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7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2008</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38" w:lineRule="exact"/>
        <w:rPr>
          <w:sz w:val="24"/>
          <w:szCs w:val="24"/>
          <w:color w:val="auto"/>
        </w:rPr>
      </w:pPr>
    </w:p>
    <w:tbl>
      <w:tblPr>
        <w:tblLayout w:type="fixed"/>
        <w:tblInd w:w="0" w:type="dxa"/>
        <w:tblCellMar>
          <w:top w:w="0" w:type="dxa"/>
          <w:left w:w="0" w:type="dxa"/>
          <w:bottom w:w="0" w:type="dxa"/>
          <w:right w:w="0" w:type="dxa"/>
        </w:tblCellMar>
      </w:tblPr>
      <w:tr>
        <w:trPr>
          <w:trHeight w:val="243"/>
        </w:trPr>
        <w:tc>
          <w:tcPr>
            <w:tcW w:w="300" w:type="dxa"/>
            <w:vAlign w:val="bottom"/>
          </w:tcPr>
          <w:p>
            <w:pPr>
              <w:spacing w:after="0" w:line="181" w:lineRule="exact"/>
              <w:rPr>
                <w:sz w:val="20"/>
                <w:szCs w:val="20"/>
                <w:color w:val="auto"/>
              </w:rPr>
            </w:pPr>
            <w:r>
              <w:rPr>
                <w:rFonts w:ascii="MS PGothic" w:cs="MS PGothic" w:eastAsia="MS PGothic" w:hAnsi="MS PGothic"/>
                <w:sz w:val="18"/>
                <w:szCs w:val="18"/>
                <w:color w:val="auto"/>
                <w:highlight w:val="black"/>
              </w:rPr>
              <w:t>☐</w:t>
            </w:r>
          </w:p>
        </w:tc>
        <w:tc>
          <w:tcPr>
            <w:tcW w:w="10240" w:type="dxa"/>
            <w:vAlign w:val="bottom"/>
            <w:gridSpan w:val="3"/>
          </w:tcPr>
          <w:p>
            <w:pPr>
              <w:ind w:left="160"/>
              <w:spacing w:after="0"/>
              <w:rPr>
                <w:sz w:val="20"/>
                <w:szCs w:val="20"/>
                <w:color w:val="auto"/>
              </w:rPr>
            </w:pPr>
            <w:r>
              <w:rPr>
                <w:rFonts w:ascii="Arial" w:cs="Arial" w:eastAsia="Arial" w:hAnsi="Arial"/>
                <w:sz w:val="18"/>
                <w:szCs w:val="18"/>
                <w:b w:val="1"/>
                <w:bCs w:val="1"/>
                <w:color w:val="auto"/>
                <w:w w:val="99"/>
              </w:rPr>
              <w:t>Transition Report pursuant to Section 13 or 15(d) of the Securities Exchange Act of 1934 for the Transition Period from</w:t>
            </w:r>
          </w:p>
        </w:tc>
        <w:tc>
          <w:tcPr>
            <w:tcW w:w="880" w:type="dxa"/>
            <w:vAlign w:val="bottom"/>
          </w:tcPr>
          <w:p>
            <w:pPr>
              <w:ind w:left="740"/>
              <w:spacing w:after="0"/>
              <w:rPr>
                <w:sz w:val="20"/>
                <w:szCs w:val="20"/>
                <w:color w:val="auto"/>
              </w:rPr>
            </w:pPr>
            <w:r>
              <w:rPr>
                <w:rFonts w:ascii="Arial" w:cs="Arial" w:eastAsia="Arial" w:hAnsi="Arial"/>
                <w:sz w:val="18"/>
                <w:szCs w:val="18"/>
                <w:b w:val="1"/>
                <w:bCs w:val="1"/>
                <w:color w:val="auto"/>
                <w:w w:val="70"/>
              </w:rPr>
              <w:t>to</w:t>
            </w:r>
          </w:p>
        </w:tc>
      </w:tr>
      <w:tr>
        <w:trPr>
          <w:trHeight w:val="228"/>
        </w:trPr>
        <w:tc>
          <w:tcPr>
            <w:tcW w:w="300" w:type="dxa"/>
            <w:vAlign w:val="bottom"/>
          </w:tcPr>
          <w:p>
            <w:pPr>
              <w:spacing w:after="0"/>
              <w:rPr>
                <w:sz w:val="19"/>
                <w:szCs w:val="19"/>
                <w:color w:val="auto"/>
              </w:rPr>
            </w:pPr>
          </w:p>
        </w:tc>
        <w:tc>
          <w:tcPr>
            <w:tcW w:w="4220" w:type="dxa"/>
            <w:vAlign w:val="bottom"/>
          </w:tcPr>
          <w:p>
            <w:pPr>
              <w:jc w:val="right"/>
              <w:ind w:right="3052"/>
              <w:spacing w:after="0"/>
              <w:rPr>
                <w:sz w:val="20"/>
                <w:szCs w:val="20"/>
                <w:color w:val="auto"/>
              </w:rPr>
            </w:pPr>
            <w:r>
              <w:rPr>
                <w:rFonts w:ascii="Arial" w:cs="Arial" w:eastAsia="Arial" w:hAnsi="Arial"/>
                <w:sz w:val="18"/>
                <w:szCs w:val="18"/>
                <w:b w:val="1"/>
                <w:bCs w:val="1"/>
                <w:color w:val="auto"/>
              </w:rPr>
              <w:t>.</w:t>
            </w:r>
          </w:p>
        </w:tc>
        <w:tc>
          <w:tcPr>
            <w:tcW w:w="238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84"/>
        </w:trPr>
        <w:tc>
          <w:tcPr>
            <w:tcW w:w="300" w:type="dxa"/>
            <w:vAlign w:val="bottom"/>
          </w:tcPr>
          <w:p>
            <w:pPr>
              <w:spacing w:after="0"/>
              <w:rPr>
                <w:sz w:val="24"/>
                <w:szCs w:val="24"/>
                <w:color w:val="auto"/>
              </w:rPr>
            </w:pPr>
          </w:p>
        </w:tc>
        <w:tc>
          <w:tcPr>
            <w:tcW w:w="10240" w:type="dxa"/>
            <w:vAlign w:val="bottom"/>
            <w:gridSpan w:val="3"/>
          </w:tcPr>
          <w:p>
            <w:pPr>
              <w:ind w:left="4060"/>
              <w:spacing w:after="0"/>
              <w:rPr>
                <w:sz w:val="20"/>
                <w:szCs w:val="20"/>
                <w:color w:val="auto"/>
              </w:rPr>
            </w:pPr>
            <w:r>
              <w:rPr>
                <w:rFonts w:ascii="Arial" w:cs="Arial" w:eastAsia="Arial" w:hAnsi="Arial"/>
                <w:sz w:val="18"/>
                <w:szCs w:val="18"/>
                <w:b w:val="1"/>
                <w:bCs w:val="1"/>
                <w:color w:val="auto"/>
              </w:rPr>
              <w:t>Commission File Number 001-32871</w:t>
            </w:r>
          </w:p>
        </w:tc>
        <w:tc>
          <w:tcPr>
            <w:tcW w:w="880" w:type="dxa"/>
            <w:vAlign w:val="bottom"/>
          </w:tcPr>
          <w:p>
            <w:pPr>
              <w:spacing w:after="0"/>
              <w:rPr>
                <w:sz w:val="24"/>
                <w:szCs w:val="24"/>
                <w:color w:val="auto"/>
              </w:rPr>
            </w:pPr>
          </w:p>
        </w:tc>
      </w:tr>
      <w:tr>
        <w:trPr>
          <w:trHeight w:val="164"/>
        </w:trPr>
        <w:tc>
          <w:tcPr>
            <w:tcW w:w="30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3640" w:type="dxa"/>
            <w:vAlign w:val="bottom"/>
          </w:tcPr>
          <w:p>
            <w:pPr>
              <w:spacing w:after="0"/>
              <w:rPr>
                <w:sz w:val="14"/>
                <w:szCs w:val="14"/>
                <w:color w:val="auto"/>
              </w:rPr>
            </w:pPr>
          </w:p>
        </w:tc>
        <w:tc>
          <w:tcPr>
            <w:tcW w:w="88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2165985</wp:posOffset>
            </wp:positionH>
            <wp:positionV relativeFrom="paragraph">
              <wp:posOffset>43180</wp:posOffset>
            </wp:positionV>
            <wp:extent cx="2933065" cy="763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33065" cy="7632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COMCAST CORPORATION</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57" w:lineRule="exact"/>
        <w:rPr>
          <w:sz w:val="24"/>
          <w:szCs w:val="24"/>
          <w:color w:val="auto"/>
        </w:rPr>
      </w:pPr>
    </w:p>
    <w:tbl>
      <w:tblPr>
        <w:tblLayout w:type="fixed"/>
        <w:tblInd w:w="1360" w:type="dxa"/>
        <w:tblCellMar>
          <w:top w:w="0" w:type="dxa"/>
          <w:left w:w="0" w:type="dxa"/>
          <w:bottom w:w="0" w:type="dxa"/>
          <w:right w:w="0" w:type="dxa"/>
        </w:tblCellMar>
      </w:tblPr>
      <w:tr>
        <w:trPr>
          <w:trHeight w:val="222"/>
        </w:trPr>
        <w:tc>
          <w:tcPr>
            <w:tcW w:w="4820" w:type="dxa"/>
            <w:vAlign w:val="bottom"/>
          </w:tcPr>
          <w:p>
            <w:pPr>
              <w:jc w:val="center"/>
              <w:ind w:right="1832"/>
              <w:spacing w:after="0"/>
              <w:rPr>
                <w:sz w:val="20"/>
                <w:szCs w:val="20"/>
                <w:color w:val="auto"/>
              </w:rPr>
            </w:pPr>
            <w:r>
              <w:rPr>
                <w:rFonts w:ascii="Arial" w:cs="Arial" w:eastAsia="Arial" w:hAnsi="Arial"/>
                <w:sz w:val="18"/>
                <w:szCs w:val="18"/>
                <w:b w:val="1"/>
                <w:bCs w:val="1"/>
                <w:color w:val="auto"/>
                <w:w w:val="94"/>
              </w:rPr>
              <w:t>PENNSYLVANIA</w:t>
            </w:r>
          </w:p>
        </w:tc>
        <w:tc>
          <w:tcPr>
            <w:tcW w:w="3220" w:type="dxa"/>
            <w:vAlign w:val="bottom"/>
          </w:tcPr>
          <w:p>
            <w:pPr>
              <w:jc w:val="center"/>
              <w:ind w:left="1812"/>
              <w:spacing w:after="0"/>
              <w:rPr>
                <w:sz w:val="20"/>
                <w:szCs w:val="20"/>
                <w:color w:val="auto"/>
              </w:rPr>
            </w:pPr>
            <w:r>
              <w:rPr>
                <w:rFonts w:ascii="Arial" w:cs="Arial" w:eastAsia="Arial" w:hAnsi="Arial"/>
                <w:sz w:val="18"/>
                <w:szCs w:val="18"/>
                <w:b w:val="1"/>
                <w:bCs w:val="1"/>
                <w:color w:val="auto"/>
                <w:w w:val="87"/>
              </w:rPr>
              <w:t>27-0000798</w:t>
            </w:r>
          </w:p>
        </w:tc>
      </w:tr>
      <w:tr>
        <w:trPr>
          <w:trHeight w:val="216"/>
        </w:trPr>
        <w:tc>
          <w:tcPr>
            <w:tcW w:w="4820" w:type="dxa"/>
            <w:vAlign w:val="bottom"/>
          </w:tcPr>
          <w:p>
            <w:pPr>
              <w:jc w:val="center"/>
              <w:ind w:right="1832"/>
              <w:spacing w:after="0"/>
              <w:rPr>
                <w:sz w:val="20"/>
                <w:szCs w:val="20"/>
                <w:color w:val="auto"/>
              </w:rPr>
            </w:pPr>
            <w:r>
              <w:rPr>
                <w:rFonts w:ascii="Arial" w:cs="Arial" w:eastAsia="Arial" w:hAnsi="Arial"/>
                <w:sz w:val="18"/>
                <w:szCs w:val="18"/>
                <w:color w:val="auto"/>
                <w:w w:val="89"/>
              </w:rPr>
              <w:t>(State or other jurisdiction of</w:t>
            </w:r>
          </w:p>
        </w:tc>
        <w:tc>
          <w:tcPr>
            <w:tcW w:w="3220" w:type="dxa"/>
            <w:vAlign w:val="bottom"/>
          </w:tcPr>
          <w:p>
            <w:pPr>
              <w:jc w:val="center"/>
              <w:ind w:left="1812"/>
              <w:spacing w:after="0"/>
              <w:rPr>
                <w:sz w:val="20"/>
                <w:szCs w:val="20"/>
                <w:color w:val="auto"/>
              </w:rPr>
            </w:pPr>
            <w:r>
              <w:rPr>
                <w:rFonts w:ascii="Arial" w:cs="Arial" w:eastAsia="Arial" w:hAnsi="Arial"/>
                <w:sz w:val="18"/>
                <w:szCs w:val="18"/>
                <w:color w:val="auto"/>
                <w:w w:val="90"/>
              </w:rPr>
              <w:t>(I.R.S. Employer</w:t>
            </w:r>
          </w:p>
        </w:tc>
      </w:tr>
      <w:tr>
        <w:trPr>
          <w:trHeight w:val="222"/>
        </w:trPr>
        <w:tc>
          <w:tcPr>
            <w:tcW w:w="4820" w:type="dxa"/>
            <w:vAlign w:val="bottom"/>
          </w:tcPr>
          <w:p>
            <w:pPr>
              <w:jc w:val="center"/>
              <w:ind w:right="1832"/>
              <w:spacing w:after="0"/>
              <w:rPr>
                <w:sz w:val="20"/>
                <w:szCs w:val="20"/>
                <w:color w:val="auto"/>
              </w:rPr>
            </w:pPr>
            <w:r>
              <w:rPr>
                <w:rFonts w:ascii="Arial" w:cs="Arial" w:eastAsia="Arial" w:hAnsi="Arial"/>
                <w:sz w:val="18"/>
                <w:szCs w:val="18"/>
                <w:color w:val="auto"/>
                <w:w w:val="89"/>
              </w:rPr>
              <w:t>incorporation or organization)</w:t>
            </w:r>
          </w:p>
        </w:tc>
        <w:tc>
          <w:tcPr>
            <w:tcW w:w="3220" w:type="dxa"/>
            <w:vAlign w:val="bottom"/>
          </w:tcPr>
          <w:p>
            <w:pPr>
              <w:jc w:val="center"/>
              <w:ind w:left="1812"/>
              <w:spacing w:after="0"/>
              <w:rPr>
                <w:sz w:val="20"/>
                <w:szCs w:val="20"/>
                <w:color w:val="auto"/>
              </w:rPr>
            </w:pPr>
            <w:r>
              <w:rPr>
                <w:rFonts w:ascii="Arial" w:cs="Arial" w:eastAsia="Arial" w:hAnsi="Arial"/>
                <w:sz w:val="18"/>
                <w:szCs w:val="18"/>
                <w:color w:val="auto"/>
                <w:w w:val="94"/>
              </w:rPr>
              <w:t>Identification No.)</w:t>
            </w:r>
          </w:p>
        </w:tc>
      </w:tr>
      <w:tr>
        <w:trPr>
          <w:trHeight w:val="426"/>
        </w:trPr>
        <w:tc>
          <w:tcPr>
            <w:tcW w:w="4820" w:type="dxa"/>
            <w:vAlign w:val="bottom"/>
          </w:tcPr>
          <w:p>
            <w:pPr>
              <w:jc w:val="center"/>
              <w:ind w:right="1832"/>
              <w:spacing w:after="0"/>
              <w:rPr>
                <w:sz w:val="20"/>
                <w:szCs w:val="20"/>
                <w:color w:val="auto"/>
              </w:rPr>
            </w:pPr>
            <w:r>
              <w:rPr>
                <w:rFonts w:ascii="Arial" w:cs="Arial" w:eastAsia="Arial" w:hAnsi="Arial"/>
                <w:sz w:val="18"/>
                <w:szCs w:val="18"/>
                <w:b w:val="1"/>
                <w:bCs w:val="1"/>
                <w:color w:val="auto"/>
                <w:w w:val="88"/>
              </w:rPr>
              <w:t>One Comcast Center, Philadelphia, PA</w:t>
            </w:r>
          </w:p>
        </w:tc>
        <w:tc>
          <w:tcPr>
            <w:tcW w:w="3220" w:type="dxa"/>
            <w:vAlign w:val="bottom"/>
          </w:tcPr>
          <w:p>
            <w:pPr>
              <w:jc w:val="center"/>
              <w:ind w:left="1812"/>
              <w:spacing w:after="0"/>
              <w:rPr>
                <w:sz w:val="20"/>
                <w:szCs w:val="20"/>
                <w:color w:val="auto"/>
              </w:rPr>
            </w:pPr>
            <w:r>
              <w:rPr>
                <w:rFonts w:ascii="Arial" w:cs="Arial" w:eastAsia="Arial" w:hAnsi="Arial"/>
                <w:sz w:val="18"/>
                <w:szCs w:val="18"/>
                <w:b w:val="1"/>
                <w:bCs w:val="1"/>
                <w:color w:val="auto"/>
                <w:w w:val="87"/>
              </w:rPr>
              <w:t>19103-2838</w:t>
            </w:r>
          </w:p>
        </w:tc>
      </w:tr>
      <w:tr>
        <w:trPr>
          <w:trHeight w:val="222"/>
        </w:trPr>
        <w:tc>
          <w:tcPr>
            <w:tcW w:w="4820" w:type="dxa"/>
            <w:vAlign w:val="bottom"/>
          </w:tcPr>
          <w:p>
            <w:pPr>
              <w:jc w:val="center"/>
              <w:ind w:right="1832"/>
              <w:spacing w:after="0"/>
              <w:rPr>
                <w:sz w:val="20"/>
                <w:szCs w:val="20"/>
                <w:color w:val="auto"/>
              </w:rPr>
            </w:pPr>
            <w:r>
              <w:rPr>
                <w:rFonts w:ascii="Arial" w:cs="Arial" w:eastAsia="Arial" w:hAnsi="Arial"/>
                <w:sz w:val="18"/>
                <w:szCs w:val="18"/>
                <w:color w:val="auto"/>
                <w:w w:val="90"/>
              </w:rPr>
              <w:t>(Address of principal executive offices)</w:t>
            </w:r>
          </w:p>
        </w:tc>
        <w:tc>
          <w:tcPr>
            <w:tcW w:w="3220" w:type="dxa"/>
            <w:vAlign w:val="bottom"/>
          </w:tcPr>
          <w:p>
            <w:pPr>
              <w:jc w:val="center"/>
              <w:ind w:left="1812"/>
              <w:spacing w:after="0"/>
              <w:rPr>
                <w:sz w:val="20"/>
                <w:szCs w:val="20"/>
                <w:color w:val="auto"/>
              </w:rPr>
            </w:pPr>
            <w:r>
              <w:rPr>
                <w:rFonts w:ascii="Arial" w:cs="Arial" w:eastAsia="Arial" w:hAnsi="Arial"/>
                <w:sz w:val="18"/>
                <w:szCs w:val="18"/>
                <w:color w:val="auto"/>
                <w:w w:val="89"/>
              </w:rPr>
              <w:t>(Zip Code)</w:t>
            </w:r>
          </w:p>
        </w:tc>
      </w:tr>
    </w:tbl>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(215) 286-1700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9"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requirements for the past 90 days.</w:t>
      </w:r>
    </w:p>
    <w:p>
      <w:pPr>
        <w:spacing w:after="0" w:line="13"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126365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1"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5" w:lineRule="exact"/>
        <w:rPr>
          <w:sz w:val="24"/>
          <w:szCs w:val="24"/>
          <w:color w:val="auto"/>
        </w:rPr>
      </w:pPr>
    </w:p>
    <w:p>
      <w:pPr>
        <w:ind w:right="4120" w:firstLine="5"/>
        <w:spacing w:after="0" w:line="270"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Indicate by check mark whether the Registrant is a shell company (as defined in Rule 12b-2 of the Act).</w:t>
      </w:r>
    </w:p>
    <w:p>
      <w:pPr>
        <w:spacing w:after="0" w:line="29"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9" w:lineRule="exact"/>
        <w:rPr>
          <w:sz w:val="24"/>
          <w:szCs w:val="24"/>
          <w:color w:val="auto"/>
        </w:rPr>
      </w:pPr>
    </w:p>
    <w:p>
      <w:pPr>
        <w:ind w:right="20"/>
        <w:spacing w:after="0" w:line="268" w:lineRule="auto"/>
        <w:rPr>
          <w:sz w:val="20"/>
          <w:szCs w:val="20"/>
          <w:color w:val="auto"/>
        </w:rPr>
      </w:pPr>
      <w:r>
        <w:rPr>
          <w:rFonts w:ascii="Arial" w:cs="Arial" w:eastAsia="Arial" w:hAnsi="Arial"/>
          <w:sz w:val="18"/>
          <w:szCs w:val="18"/>
          <w:color w:val="auto"/>
        </w:rPr>
        <w:t>As of June 30, 2008, there were 2,058,872,104 shares of our Class A Common Stock, 849,856,706 shares of our Class A Special Common Stock and 9,444,375 shares of our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OF CONTENTS</w:t>
      </w: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tcPr>
          <w:p>
            <w:pPr>
              <w:jc w:val="right"/>
              <w:ind w:right="15"/>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Number</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480" w:type="dxa"/>
            <w:vAlign w:val="bottom"/>
            <w:gridSpan w:val="17"/>
          </w:tcPr>
          <w:p>
            <w:pPr>
              <w:spacing w:after="0" w:line="195" w:lineRule="exact"/>
              <w:rPr>
                <w:sz w:val="20"/>
                <w:szCs w:val="20"/>
                <w:color w:val="auto"/>
              </w:rPr>
            </w:pPr>
            <w:r>
              <w:rPr>
                <w:rFonts w:ascii="Arial" w:cs="Arial" w:eastAsia="Arial" w:hAnsi="Arial"/>
                <w:sz w:val="18"/>
                <w:szCs w:val="18"/>
                <w:b w:val="1"/>
                <w:bCs w:val="1"/>
                <w:color w:val="auto"/>
              </w:rPr>
              <w:t>PART I. FINANCIAL INFORMATION</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000" w:type="dxa"/>
            <w:vAlign w:val="bottom"/>
            <w:gridSpan w:val="2"/>
          </w:tcPr>
          <w:p>
            <w:pPr>
              <w:ind w:left="700"/>
              <w:spacing w:after="0" w:line="190" w:lineRule="exact"/>
              <w:rPr>
                <w:sz w:val="20"/>
                <w:szCs w:val="20"/>
                <w:color w:val="auto"/>
              </w:rPr>
            </w:pPr>
            <w:r>
              <w:rPr>
                <w:rFonts w:ascii="Arial" w:cs="Arial" w:eastAsia="Arial" w:hAnsi="Arial"/>
                <w:sz w:val="18"/>
                <w:szCs w:val="18"/>
                <w:b w:val="1"/>
                <w:bCs w:val="1"/>
                <w:color w:val="auto"/>
              </w:rPr>
              <w:t>Item 1.</w:t>
            </w:r>
          </w:p>
        </w:tc>
        <w:tc>
          <w:tcPr>
            <w:tcW w:w="8480" w:type="dxa"/>
            <w:vAlign w:val="bottom"/>
            <w:gridSpan w:val="15"/>
          </w:tcPr>
          <w:p>
            <w:pPr>
              <w:spacing w:after="0" w:line="190"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920" w:type="dxa"/>
            <w:vAlign w:val="bottom"/>
          </w:tcPr>
          <w:p>
            <w:pPr>
              <w:jc w:val="right"/>
              <w:spacing w:after="0" w:line="190"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820" w:type="dxa"/>
            <w:vAlign w:val="bottom"/>
            <w:tcBorders>
              <w:bottom w:val="single" w:sz="8" w:color="0000EE"/>
            </w:tcBorders>
            <w:gridSpan w:val="12"/>
          </w:tcPr>
          <w:p>
            <w:pPr>
              <w:spacing w:after="0" w:line="196" w:lineRule="exact"/>
              <w:rPr>
                <w:rFonts w:ascii="Arial" w:cs="Arial" w:eastAsia="Arial" w:hAnsi="Arial"/>
                <w:sz w:val="18"/>
                <w:szCs w:val="18"/>
                <w:color w:val="0000EE"/>
                <w:w w:val="86"/>
              </w:rPr>
            </w:pPr>
            <w:hyperlink w:anchor="page3">
              <w:r>
                <w:rPr>
                  <w:rFonts w:ascii="Arial" w:cs="Arial" w:eastAsia="Arial" w:hAnsi="Arial"/>
                  <w:sz w:val="18"/>
                  <w:szCs w:val="18"/>
                  <w:color w:val="0000EE"/>
                  <w:w w:val="86"/>
                </w:rPr>
                <w:t>Condensed Consolidated Balance Sheet as of June 30, 2008 and December 31, 2007 (Unaudited)</w:t>
              </w:r>
            </w:hyperlink>
          </w:p>
        </w:tc>
        <w:tc>
          <w:tcPr>
            <w:tcW w:w="1660" w:type="dxa"/>
            <w:vAlign w:val="bottom"/>
            <w:gridSpan w:val="3"/>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80" w:type="dxa"/>
            <w:vAlign w:val="bottom"/>
            <w:gridSpan w:val="15"/>
          </w:tcPr>
          <w:p>
            <w:pPr>
              <w:spacing w:after="0" w:line="196" w:lineRule="exact"/>
              <w:rPr>
                <w:rFonts w:ascii="Arial" w:cs="Arial" w:eastAsia="Arial" w:hAnsi="Arial"/>
                <w:sz w:val="18"/>
                <w:szCs w:val="18"/>
                <w:color w:val="0000EE"/>
                <w:w w:val="94"/>
              </w:rPr>
            </w:pPr>
            <w:hyperlink w:anchor="page4">
              <w:r>
                <w:rPr>
                  <w:rFonts w:ascii="Arial" w:cs="Arial" w:eastAsia="Arial" w:hAnsi="Arial"/>
                  <w:sz w:val="18"/>
                  <w:szCs w:val="18"/>
                  <w:color w:val="0000EE"/>
                  <w:w w:val="94"/>
                </w:rPr>
                <w:t>Condensed Consolidated Statement of Operations for the Three and Six Months Ended June 30, 2008 and 2007</w:t>
              </w:r>
            </w:hyperlink>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82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(Unaudited)</w:t>
              </w:r>
            </w:hyperlink>
          </w:p>
        </w:tc>
        <w:tc>
          <w:tcPr>
            <w:tcW w:w="660" w:type="dxa"/>
            <w:vAlign w:val="bottom"/>
            <w:gridSpan w:val="2"/>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80" w:type="dxa"/>
            <w:vAlign w:val="bottom"/>
            <w:gridSpan w:val="15"/>
          </w:tcPr>
          <w:p>
            <w:pPr>
              <w:spacing w:after="0" w:line="196" w:lineRule="exact"/>
              <w:rPr>
                <w:rFonts w:ascii="Arial" w:cs="Arial" w:eastAsia="Arial" w:hAnsi="Arial"/>
                <w:sz w:val="18"/>
                <w:szCs w:val="18"/>
                <w:color w:val="0000EE"/>
                <w:w w:val="92"/>
              </w:rPr>
            </w:pPr>
            <w:hyperlink w:anchor="page5">
              <w:r>
                <w:rPr>
                  <w:rFonts w:ascii="Arial" w:cs="Arial" w:eastAsia="Arial" w:hAnsi="Arial"/>
                  <w:sz w:val="18"/>
                  <w:szCs w:val="18"/>
                  <w:color w:val="0000EE"/>
                  <w:w w:val="92"/>
                </w:rPr>
                <w:t>Condensed Consolidated Statement of Cash Flows for the Six Months Ended June 30, 2008 and 2007 (Unaudited)</w:t>
              </w:r>
            </w:hyperlink>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0" w:type="dxa"/>
            <w:vAlign w:val="bottom"/>
            <w:gridSpan w:val="2"/>
            <w:vMerge w:val="restart"/>
          </w:tcPr>
          <w:p>
            <w:pPr>
              <w:ind w:left="700"/>
              <w:spacing w:after="0"/>
              <w:rPr>
                <w:sz w:val="20"/>
                <w:szCs w:val="20"/>
                <w:color w:val="auto"/>
              </w:rPr>
            </w:pPr>
            <w:r>
              <w:rPr>
                <w:rFonts w:ascii="Arial" w:cs="Arial" w:eastAsia="Arial" w:hAnsi="Arial"/>
                <w:sz w:val="18"/>
                <w:szCs w:val="18"/>
                <w:b w:val="1"/>
                <w:bCs w:val="1"/>
                <w:color w:val="auto"/>
              </w:rPr>
              <w:t>Item 2.</w:t>
            </w:r>
          </w:p>
        </w:tc>
        <w:tc>
          <w:tcPr>
            <w:tcW w:w="802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 (Unaudited)</w:t>
              </w:r>
            </w:hyperlink>
          </w:p>
        </w:tc>
        <w:tc>
          <w:tcPr>
            <w:tcW w:w="46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gridSpan w:val="2"/>
            <w:vMerge w:val="continu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0" w:type="dxa"/>
            <w:vAlign w:val="bottom"/>
            <w:gridSpan w:val="2"/>
            <w:vMerge w:val="continue"/>
          </w:tcPr>
          <w:p>
            <w:pPr>
              <w:spacing w:after="0"/>
              <w:rPr>
                <w:sz w:val="17"/>
                <w:szCs w:val="17"/>
                <w:color w:val="auto"/>
              </w:rPr>
            </w:pPr>
          </w:p>
        </w:tc>
        <w:tc>
          <w:tcPr>
            <w:tcW w:w="8480" w:type="dxa"/>
            <w:vAlign w:val="bottom"/>
            <w:gridSpan w:val="15"/>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Management’s Discussion and Analysis of Financial Condition and Results of Operations</w:t>
              </w:r>
            </w:hyperlink>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0" w:type="dxa"/>
            <w:vAlign w:val="bottom"/>
            <w:gridSpan w:val="2"/>
          </w:tcPr>
          <w:p>
            <w:pPr>
              <w:ind w:left="700"/>
              <w:spacing w:after="0" w:line="196" w:lineRule="exact"/>
              <w:rPr>
                <w:sz w:val="20"/>
                <w:szCs w:val="20"/>
                <w:color w:val="auto"/>
              </w:rPr>
            </w:pPr>
            <w:r>
              <w:rPr>
                <w:rFonts w:ascii="Arial" w:cs="Arial" w:eastAsia="Arial" w:hAnsi="Arial"/>
                <w:sz w:val="18"/>
                <w:szCs w:val="18"/>
                <w:b w:val="1"/>
                <w:bCs w:val="1"/>
                <w:color w:val="auto"/>
              </w:rPr>
              <w:t>Item 3.</w:t>
            </w:r>
          </w:p>
        </w:tc>
        <w:tc>
          <w:tcPr>
            <w:tcW w:w="42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17"/>
                <w:szCs w:val="17"/>
                <w:color w:val="auto"/>
              </w:rPr>
            </w:pPr>
          </w:p>
        </w:tc>
        <w:tc>
          <w:tcPr>
            <w:tcW w:w="2180" w:type="dxa"/>
            <w:vAlign w:val="bottom"/>
            <w:gridSpan w:val="4"/>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0" w:type="dxa"/>
            <w:vAlign w:val="bottom"/>
            <w:gridSpan w:val="2"/>
          </w:tcPr>
          <w:p>
            <w:pPr>
              <w:ind w:left="700"/>
              <w:spacing w:after="0" w:line="196" w:lineRule="exact"/>
              <w:rPr>
                <w:sz w:val="20"/>
                <w:szCs w:val="20"/>
                <w:color w:val="auto"/>
              </w:rPr>
            </w:pPr>
            <w:r>
              <w:rPr>
                <w:rFonts w:ascii="Arial" w:cs="Arial" w:eastAsia="Arial" w:hAnsi="Arial"/>
                <w:sz w:val="18"/>
                <w:szCs w:val="18"/>
                <w:b w:val="1"/>
                <w:bCs w:val="1"/>
                <w:color w:val="auto"/>
              </w:rPr>
              <w:t>Item 4.</w:t>
            </w:r>
          </w:p>
        </w:tc>
        <w:tc>
          <w:tcPr>
            <w:tcW w:w="8480" w:type="dxa"/>
            <w:vAlign w:val="bottom"/>
            <w:gridSpan w:val="15"/>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Controls and Procedures</w:t>
              </w:r>
            </w:hyperlink>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40" w:type="dxa"/>
            <w:vAlign w:val="bottom"/>
            <w:gridSpan w:val="7"/>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0500" w:type="dxa"/>
            <w:vAlign w:val="bottom"/>
            <w:gridSpan w:val="18"/>
          </w:tcPr>
          <w:p>
            <w:pPr>
              <w:spacing w:after="0"/>
              <w:rPr>
                <w:sz w:val="20"/>
                <w:szCs w:val="20"/>
                <w:color w:val="auto"/>
              </w:rPr>
            </w:pPr>
            <w:r>
              <w:rPr>
                <w:rFonts w:ascii="Arial" w:cs="Arial" w:eastAsia="Arial" w:hAnsi="Arial"/>
                <w:sz w:val="18"/>
                <w:szCs w:val="18"/>
                <w:b w:val="1"/>
                <w:bCs w:val="1"/>
                <w:color w:val="auto"/>
              </w:rPr>
              <w:t>PART II. OTHER INFORMATION</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000" w:type="dxa"/>
            <w:vAlign w:val="bottom"/>
            <w:gridSpan w:val="2"/>
          </w:tcPr>
          <w:p>
            <w:pPr>
              <w:ind w:left="700"/>
              <w:spacing w:after="0" w:line="190" w:lineRule="exact"/>
              <w:rPr>
                <w:sz w:val="20"/>
                <w:szCs w:val="20"/>
                <w:color w:val="auto"/>
              </w:rPr>
            </w:pPr>
            <w:r>
              <w:rPr>
                <w:rFonts w:ascii="Arial" w:cs="Arial" w:eastAsia="Arial" w:hAnsi="Arial"/>
                <w:sz w:val="18"/>
                <w:szCs w:val="18"/>
                <w:b w:val="1"/>
                <w:bCs w:val="1"/>
                <w:color w:val="auto"/>
              </w:rPr>
              <w:t>Item 1.</w:t>
            </w:r>
          </w:p>
        </w:tc>
        <w:tc>
          <w:tcPr>
            <w:tcW w:w="8480" w:type="dxa"/>
            <w:vAlign w:val="bottom"/>
            <w:gridSpan w:val="15"/>
          </w:tcPr>
          <w:p>
            <w:pPr>
              <w:spacing w:after="0" w:line="190" w:lineRule="exact"/>
              <w:rPr>
                <w:rFonts w:ascii="Arial" w:cs="Arial" w:eastAsia="Arial" w:hAnsi="Arial"/>
                <w:sz w:val="18"/>
                <w:szCs w:val="18"/>
                <w:color w:val="0000EE"/>
              </w:rPr>
            </w:pPr>
            <w:hyperlink w:anchor="page31">
              <w:r>
                <w:rPr>
                  <w:rFonts w:ascii="Arial" w:cs="Arial" w:eastAsia="Arial" w:hAnsi="Arial"/>
                  <w:sz w:val="18"/>
                  <w:szCs w:val="18"/>
                  <w:color w:val="0000EE"/>
                </w:rPr>
                <w:t>Legal Proceedings</w:t>
              </w:r>
            </w:hyperlink>
          </w:p>
        </w:tc>
        <w:tc>
          <w:tcPr>
            <w:tcW w:w="920" w:type="dxa"/>
            <w:vAlign w:val="bottom"/>
          </w:tcPr>
          <w:p>
            <w:pPr>
              <w:jc w:val="right"/>
              <w:spacing w:after="0" w:line="190"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0" w:type="dxa"/>
            <w:vAlign w:val="bottom"/>
            <w:gridSpan w:val="2"/>
          </w:tcPr>
          <w:p>
            <w:pPr>
              <w:ind w:left="700"/>
              <w:spacing w:after="0" w:line="196" w:lineRule="exact"/>
              <w:rPr>
                <w:sz w:val="20"/>
                <w:szCs w:val="20"/>
                <w:color w:val="auto"/>
              </w:rPr>
            </w:pPr>
            <w:r>
              <w:rPr>
                <w:rFonts w:ascii="Arial" w:cs="Arial" w:eastAsia="Arial" w:hAnsi="Arial"/>
                <w:sz w:val="18"/>
                <w:szCs w:val="18"/>
                <w:b w:val="1"/>
                <w:bCs w:val="1"/>
                <w:color w:val="auto"/>
              </w:rPr>
              <w:t>Item 1A.</w:t>
            </w:r>
          </w:p>
        </w:tc>
        <w:tc>
          <w:tcPr>
            <w:tcW w:w="13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Risk Factors</w:t>
              </w:r>
            </w:hyperlink>
          </w:p>
        </w:tc>
        <w:tc>
          <w:tcPr>
            <w:tcW w:w="7180" w:type="dxa"/>
            <w:vAlign w:val="bottom"/>
            <w:gridSpan w:val="11"/>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gridSpan w:val="2"/>
            <w:vMerge w:val="restart"/>
          </w:tcPr>
          <w:p>
            <w:pPr>
              <w:ind w:left="700"/>
              <w:spacing w:after="0"/>
              <w:rPr>
                <w:sz w:val="20"/>
                <w:szCs w:val="20"/>
                <w:color w:val="auto"/>
              </w:rPr>
            </w:pPr>
            <w:r>
              <w:rPr>
                <w:rFonts w:ascii="Arial" w:cs="Arial" w:eastAsia="Arial" w:hAnsi="Arial"/>
                <w:sz w:val="18"/>
                <w:szCs w:val="18"/>
                <w:b w:val="1"/>
                <w:bCs w:val="1"/>
                <w:color w:val="auto"/>
              </w:rPr>
              <w:t>Item 2.</w:t>
            </w:r>
          </w:p>
        </w:tc>
        <w:tc>
          <w:tcPr>
            <w:tcW w:w="5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80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40" w:type="dxa"/>
            <w:vAlign w:val="bottom"/>
            <w:gridSpan w:val="7"/>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0" w:type="dxa"/>
            <w:vAlign w:val="bottom"/>
            <w:gridSpan w:val="2"/>
            <w:vMerge w:val="continue"/>
          </w:tcPr>
          <w:p>
            <w:pPr>
              <w:spacing w:after="0"/>
              <w:rPr>
                <w:sz w:val="17"/>
                <w:szCs w:val="17"/>
                <w:color w:val="auto"/>
              </w:rPr>
            </w:pPr>
          </w:p>
        </w:tc>
        <w:tc>
          <w:tcPr>
            <w:tcW w:w="8480" w:type="dxa"/>
            <w:vAlign w:val="bottom"/>
            <w:gridSpan w:val="15"/>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Unregistered Sales of Equity Securities and Use of Proceeds</w:t>
              </w:r>
            </w:hyperlink>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0" w:type="dxa"/>
            <w:vAlign w:val="bottom"/>
            <w:gridSpan w:val="2"/>
          </w:tcPr>
          <w:p>
            <w:pPr>
              <w:ind w:left="700"/>
              <w:spacing w:after="0" w:line="196" w:lineRule="exact"/>
              <w:rPr>
                <w:sz w:val="20"/>
                <w:szCs w:val="20"/>
                <w:color w:val="auto"/>
              </w:rPr>
            </w:pPr>
            <w:r>
              <w:rPr>
                <w:rFonts w:ascii="Arial" w:cs="Arial" w:eastAsia="Arial" w:hAnsi="Arial"/>
                <w:sz w:val="18"/>
                <w:szCs w:val="18"/>
                <w:b w:val="1"/>
                <w:bCs w:val="1"/>
                <w:color w:val="auto"/>
              </w:rPr>
              <w:t>Item 4.</w:t>
            </w:r>
          </w:p>
        </w:tc>
        <w:tc>
          <w:tcPr>
            <w:tcW w:w="36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8"/>
              </w:rPr>
            </w:pPr>
            <w:hyperlink w:anchor="page32">
              <w:r>
                <w:rPr>
                  <w:rFonts w:ascii="Arial" w:cs="Arial" w:eastAsia="Arial" w:hAnsi="Arial"/>
                  <w:sz w:val="18"/>
                  <w:szCs w:val="18"/>
                  <w:color w:val="0000EE"/>
                  <w:w w:val="88"/>
                </w:rPr>
                <w:t>Submission of Matters to a Vote of Security Holders</w:t>
              </w:r>
            </w:hyperlink>
          </w:p>
        </w:tc>
        <w:tc>
          <w:tcPr>
            <w:tcW w:w="560" w:type="dxa"/>
            <w:vAlign w:val="bottom"/>
            <w:tcBorders>
              <w:top w:val="single" w:sz="8" w:color="0000EE"/>
            </w:tcBorders>
          </w:tcPr>
          <w:p>
            <w:pPr>
              <w:spacing w:after="0"/>
              <w:rPr>
                <w:sz w:val="17"/>
                <w:szCs w:val="17"/>
                <w:color w:val="auto"/>
              </w:rPr>
            </w:pPr>
          </w:p>
        </w:tc>
        <w:tc>
          <w:tcPr>
            <w:tcW w:w="4240" w:type="dxa"/>
            <w:vAlign w:val="bottom"/>
            <w:gridSpan w:val="7"/>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0" w:type="dxa"/>
            <w:vAlign w:val="bottom"/>
            <w:gridSpan w:val="2"/>
          </w:tcPr>
          <w:p>
            <w:pPr>
              <w:ind w:left="700"/>
              <w:spacing w:after="0" w:line="196" w:lineRule="exact"/>
              <w:rPr>
                <w:sz w:val="20"/>
                <w:szCs w:val="20"/>
                <w:color w:val="auto"/>
              </w:rPr>
            </w:pPr>
            <w:r>
              <w:rPr>
                <w:rFonts w:ascii="Arial" w:cs="Arial" w:eastAsia="Arial" w:hAnsi="Arial"/>
                <w:sz w:val="18"/>
                <w:szCs w:val="18"/>
                <w:b w:val="1"/>
                <w:bCs w:val="1"/>
                <w:color w:val="auto"/>
              </w:rPr>
              <w:t>Item 6.</w:t>
            </w:r>
          </w:p>
        </w:tc>
        <w:tc>
          <w:tcPr>
            <w:tcW w:w="8480" w:type="dxa"/>
            <w:vAlign w:val="bottom"/>
            <w:gridSpan w:val="15"/>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Exhibits</w:t>
              </w:r>
            </w:hyperlink>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140" w:type="dxa"/>
            <w:vAlign w:val="bottom"/>
            <w:tcBorders>
              <w:bottom w:val="single" w:sz="8" w:color="0000EE"/>
            </w:tcBorders>
            <w:gridSpan w:val="2"/>
          </w:tcPr>
          <w:p>
            <w:pPr>
              <w:spacing w:after="0" w:line="196" w:lineRule="exact"/>
              <w:rPr>
                <w:rFonts w:ascii="Arial" w:cs="Arial" w:eastAsia="Arial" w:hAnsi="Arial"/>
                <w:sz w:val="18"/>
                <w:szCs w:val="18"/>
                <w:b w:val="1"/>
                <w:bCs w:val="1"/>
                <w:color w:val="0000EE"/>
                <w:w w:val="94"/>
              </w:rPr>
            </w:pPr>
            <w:hyperlink w:anchor="page34">
              <w:r>
                <w:rPr>
                  <w:rFonts w:ascii="Arial" w:cs="Arial" w:eastAsia="Arial" w:hAnsi="Arial"/>
                  <w:sz w:val="18"/>
                  <w:szCs w:val="18"/>
                  <w:b w:val="1"/>
                  <w:bCs w:val="1"/>
                  <w:color w:val="0000EE"/>
                  <w:w w:val="94"/>
                </w:rPr>
                <w:t>SIGNATURES</w:t>
              </w:r>
            </w:hyperlink>
          </w:p>
        </w:tc>
        <w:tc>
          <w:tcPr>
            <w:tcW w:w="880" w:type="dxa"/>
            <w:vAlign w:val="bottom"/>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This Quarterly Report on Form 10-Q is for the three and six months ended June 30, 2008. This Quarterly Report modifies and supersedes documents filed prior to this Quarterly Report. The Securities and Exchange Commission (“SEC”) allows us to “incorporate by reference” information that we file with them, which means that we can disclose important information to you by referring you directly to those documents. Information incorporated by reference is considered to be part of this Quarterly Report. In addition, information that we file with the SEC in the future will automatically update and supersede information contained in this Quarterly Report. Throughout this Quarterly Report, we refer to Comcast Corporation as “Comcast;” Comcast and its consolidated subsidiaries as “we,” “us” and “our;” and Comcast Holdings Corporation as “Comcast Holdings.”</w:t>
      </w:r>
    </w:p>
    <w:p>
      <w:pPr>
        <w:spacing w:after="0" w:line="2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You should carefully review the information contained in this Quarterly Report and particularly consider any risk factors that we set forth in this Quarterly Report and in other reports or documents that we file from time to time with the SEC. In this Quarterly Report, we state our beliefs of future events and of our future financial performance. In some cases, you can identify these so-called “forward-looking statements” by words such as “may,” “will,” “should,” “expects,” “believes,” “estimates,” “potential,” or “continue,” or the negative of those words, and other comparable words. You should be aware that those statements are only our predictions. In evaluating those statements, you should specifically consider various factors, including the risks outlined below. Actual events or our actual results may differ materially from any of our forward-looking statements. We undertake no obligation to update any forward-looking statements.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Our businesses may be affected by, among other things, the following:</w:t>
      </w:r>
    </w:p>
    <w:p>
      <w:pPr>
        <w:spacing w:after="0" w:line="77" w:lineRule="exact"/>
        <w:rPr>
          <w:sz w:val="20"/>
          <w:szCs w:val="20"/>
          <w:color w:val="auto"/>
        </w:rPr>
      </w:pPr>
    </w:p>
    <w:p>
      <w:pPr>
        <w:ind w:left="1020" w:right="1260" w:hanging="215"/>
        <w:spacing w:after="0" w:line="268"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of the services offered by our cable systems face a wide range of competition that could adversely affect our future results of operations</w:t>
      </w:r>
    </w:p>
    <w:p>
      <w:pPr>
        <w:spacing w:after="0" w:line="37" w:lineRule="exact"/>
        <w:rPr>
          <w:rFonts w:ascii="Arial" w:cs="Arial" w:eastAsia="Arial" w:hAnsi="Arial"/>
          <w:sz w:val="18"/>
          <w:szCs w:val="18"/>
          <w:color w:val="auto"/>
        </w:rPr>
      </w:pPr>
    </w:p>
    <w:p>
      <w:pPr>
        <w:ind w:left="1020" w:right="1260" w:hanging="215"/>
        <w:spacing w:after="0" w:line="268"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may face increased competition because of technological advances and new regulatory requirements, which could adversely affect our future results of operations</w:t>
      </w:r>
    </w:p>
    <w:p>
      <w:pPr>
        <w:spacing w:after="0" w:line="37" w:lineRule="exact"/>
        <w:rPr>
          <w:rFonts w:ascii="Arial" w:cs="Arial" w:eastAsia="Arial" w:hAnsi="Arial"/>
          <w:sz w:val="18"/>
          <w:szCs w:val="18"/>
          <w:color w:val="auto"/>
        </w:rPr>
      </w:pPr>
    </w:p>
    <w:p>
      <w:pPr>
        <w:ind w:left="1020" w:hanging="215"/>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programming expenses are increasing, which could adversely affect our future results of operations</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are subject to regulation by federal, state and local governments, which may impose additional costs and restrictions</w:t>
      </w:r>
    </w:p>
    <w:p>
      <w:pPr>
        <w:spacing w:after="0" w:line="76" w:lineRule="exact"/>
        <w:rPr>
          <w:rFonts w:ascii="Arial" w:cs="Arial" w:eastAsia="Arial" w:hAnsi="Arial"/>
          <w:sz w:val="18"/>
          <w:szCs w:val="18"/>
          <w:color w:val="auto"/>
        </w:rPr>
      </w:pPr>
    </w:p>
    <w:p>
      <w:pPr>
        <w:ind w:left="1020" w:right="1260" w:hanging="215"/>
        <w:spacing w:after="0" w:line="268"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weakening economic conditions may reduce subscriber spending on video, Internet and phone services and may reduce our rate of growth of subscriber additions</w:t>
      </w:r>
    </w:p>
    <w:p>
      <w:pPr>
        <w:spacing w:after="0" w:line="37" w:lineRule="exact"/>
        <w:rPr>
          <w:rFonts w:ascii="Arial" w:cs="Arial" w:eastAsia="Arial" w:hAnsi="Arial"/>
          <w:sz w:val="18"/>
          <w:szCs w:val="18"/>
          <w:color w:val="auto"/>
        </w:rPr>
      </w:pPr>
    </w:p>
    <w:p>
      <w:pPr>
        <w:ind w:left="1020" w:hanging="215"/>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face risks arising from the outcome of various litigation matters</w:t>
      </w:r>
    </w:p>
    <w:p>
      <w:pPr>
        <w:spacing w:after="0" w:line="76" w:lineRule="exact"/>
        <w:rPr>
          <w:rFonts w:ascii="Arial" w:cs="Arial" w:eastAsia="Arial" w:hAnsi="Arial"/>
          <w:sz w:val="18"/>
          <w:szCs w:val="18"/>
          <w:color w:val="auto"/>
        </w:rPr>
      </w:pPr>
    </w:p>
    <w:p>
      <w:pPr>
        <w:ind w:left="1020" w:right="1240" w:hanging="215"/>
        <w:spacing w:after="0" w:line="268"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acquisitions and other strategic transactions present many risks, and we may not realize the financial and strategic goals that were contemplated at the time of any transaction</w:t>
      </w:r>
    </w:p>
    <w:p>
      <w:pPr>
        <w:spacing w:after="0" w:line="37" w:lineRule="exact"/>
        <w:rPr>
          <w:rFonts w:ascii="Arial" w:cs="Arial" w:eastAsia="Arial" w:hAnsi="Arial"/>
          <w:sz w:val="18"/>
          <w:szCs w:val="18"/>
          <w:color w:val="auto"/>
        </w:rPr>
      </w:pPr>
    </w:p>
    <w:p>
      <w:pPr>
        <w:jc w:val="both"/>
        <w:ind w:left="1020" w:right="1240" w:hanging="215"/>
        <w:spacing w:after="0" w:line="259"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Class B common stock has substantial voting rights and separate approval rights over several potentially material transactions, and our Chairman and CEO has considerable influence over our operations through his beneficial ownership of our Class B common stock</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 FINANCIAL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FINANCIAL STATEMENTS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Balance Sheet</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jc w:val="right"/>
              <w:ind w:right="313"/>
              <w:spacing w:after="0"/>
              <w:rPr>
                <w:sz w:val="20"/>
                <w:szCs w:val="20"/>
                <w:color w:val="auto"/>
              </w:rPr>
            </w:pPr>
            <w:r>
              <w:rPr>
                <w:rFonts w:ascii="Arial" w:cs="Arial" w:eastAsia="Arial" w:hAnsi="Arial"/>
                <w:sz w:val="14"/>
                <w:szCs w:val="14"/>
                <w:color w:val="auto"/>
                <w:w w:val="81"/>
              </w:rPr>
              <w:t>June 30,</w:t>
            </w:r>
          </w:p>
        </w:tc>
        <w:tc>
          <w:tcPr>
            <w:tcW w:w="1060" w:type="dxa"/>
            <w:vAlign w:val="bottom"/>
            <w:gridSpan w:val="2"/>
          </w:tcPr>
          <w:p>
            <w:pPr>
              <w:ind w:left="220"/>
              <w:spacing w:after="0"/>
              <w:rPr>
                <w:sz w:val="20"/>
                <w:szCs w:val="20"/>
                <w:color w:val="auto"/>
              </w:rPr>
            </w:pPr>
            <w:r>
              <w:rPr>
                <w:rFonts w:ascii="Arial" w:cs="Arial" w:eastAsia="Arial" w:hAnsi="Arial"/>
                <w:sz w:val="14"/>
                <w:szCs w:val="14"/>
                <w:color w:val="auto"/>
                <w:w w:val="93"/>
              </w:rPr>
              <w:t>December 31,</w:t>
            </w:r>
          </w:p>
        </w:tc>
      </w:tr>
      <w:tr>
        <w:trPr>
          <w:trHeight w:val="173"/>
        </w:trPr>
        <w:tc>
          <w:tcPr>
            <w:tcW w:w="9080" w:type="dxa"/>
            <w:vAlign w:val="bottom"/>
            <w:gridSpan w:val="2"/>
          </w:tcPr>
          <w:p>
            <w:pPr>
              <w:spacing w:after="0"/>
              <w:rPr>
                <w:sz w:val="20"/>
                <w:szCs w:val="20"/>
                <w:color w:val="auto"/>
              </w:rPr>
            </w:pPr>
            <w:r>
              <w:rPr>
                <w:rFonts w:ascii="Arial" w:cs="Arial" w:eastAsia="Arial" w:hAnsi="Arial"/>
                <w:sz w:val="14"/>
                <w:szCs w:val="14"/>
                <w:color w:val="auto"/>
              </w:rPr>
              <w:t>(in millions, except share data)</w:t>
            </w:r>
          </w:p>
        </w:tc>
        <w:tc>
          <w:tcPr>
            <w:tcW w:w="420" w:type="dxa"/>
            <w:vAlign w:val="bottom"/>
          </w:tcPr>
          <w:p>
            <w:pPr>
              <w:spacing w:after="0"/>
              <w:rPr>
                <w:sz w:val="15"/>
                <w:szCs w:val="15"/>
                <w:color w:val="auto"/>
              </w:rPr>
            </w:pPr>
          </w:p>
        </w:tc>
        <w:tc>
          <w:tcPr>
            <w:tcW w:w="860" w:type="dxa"/>
            <w:vAlign w:val="bottom"/>
          </w:tcPr>
          <w:p>
            <w:pPr>
              <w:jc w:val="right"/>
              <w:ind w:right="393"/>
              <w:spacing w:after="0"/>
              <w:rPr>
                <w:sz w:val="20"/>
                <w:szCs w:val="20"/>
                <w:color w:val="auto"/>
              </w:rPr>
            </w:pPr>
            <w:r>
              <w:rPr>
                <w:rFonts w:ascii="Arial" w:cs="Arial" w:eastAsia="Arial" w:hAnsi="Arial"/>
                <w:sz w:val="14"/>
                <w:szCs w:val="14"/>
                <w:color w:val="auto"/>
              </w:rPr>
              <w:t>2008</w:t>
            </w:r>
          </w:p>
        </w:tc>
        <w:tc>
          <w:tcPr>
            <w:tcW w:w="380" w:type="dxa"/>
            <w:vAlign w:val="bottom"/>
          </w:tcPr>
          <w:p>
            <w:pPr>
              <w:spacing w:after="0"/>
              <w:rPr>
                <w:sz w:val="15"/>
                <w:szCs w:val="15"/>
                <w:color w:val="auto"/>
              </w:rPr>
            </w:pPr>
          </w:p>
        </w:tc>
        <w:tc>
          <w:tcPr>
            <w:tcW w:w="680" w:type="dxa"/>
            <w:vAlign w:val="bottom"/>
          </w:tcPr>
          <w:p>
            <w:pPr>
              <w:jc w:val="right"/>
              <w:ind w:right="233"/>
              <w:spacing w:after="0"/>
              <w:rPr>
                <w:sz w:val="20"/>
                <w:szCs w:val="20"/>
                <w:color w:val="auto"/>
              </w:rPr>
            </w:pPr>
            <w:r>
              <w:rPr>
                <w:rFonts w:ascii="Arial" w:cs="Arial" w:eastAsia="Arial" w:hAnsi="Arial"/>
                <w:sz w:val="14"/>
                <w:szCs w:val="14"/>
                <w:color w:val="auto"/>
              </w:rPr>
              <w:t>2007</w:t>
            </w:r>
          </w:p>
        </w:tc>
      </w:tr>
      <w:tr>
        <w:trPr>
          <w:trHeight w:val="210"/>
        </w:trPr>
        <w:tc>
          <w:tcPr>
            <w:tcW w:w="20" w:type="dxa"/>
            <w:vAlign w:val="bottom"/>
          </w:tcPr>
          <w:p>
            <w:pPr>
              <w:spacing w:after="0"/>
              <w:rPr>
                <w:sz w:val="18"/>
                <w:szCs w:val="18"/>
                <w:color w:val="auto"/>
              </w:rPr>
            </w:pPr>
          </w:p>
        </w:tc>
        <w:tc>
          <w:tcPr>
            <w:tcW w:w="90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420" w:type="dxa"/>
            <w:vAlign w:val="bottom"/>
            <w:tcBorders>
              <w:top w:val="single" w:sz="8" w:color="auto"/>
            </w:tcBorders>
            <w:shd w:val="clear" w:color="auto" w:fill="E5E5E5"/>
          </w:tcPr>
          <w:p>
            <w:pPr>
              <w:spacing w:after="0"/>
              <w:rPr>
                <w:sz w:val="18"/>
                <w:szCs w:val="18"/>
                <w:color w:val="auto"/>
              </w:rPr>
            </w:pPr>
          </w:p>
        </w:tc>
        <w:tc>
          <w:tcPr>
            <w:tcW w:w="860" w:type="dxa"/>
            <w:vAlign w:val="bottom"/>
            <w:tcBorders>
              <w:top w:val="single" w:sz="8" w:color="auto"/>
            </w:tcBorders>
            <w:shd w:val="clear" w:color="auto" w:fill="E5E5E5"/>
          </w:tcPr>
          <w:p>
            <w:pPr>
              <w:spacing w:after="0"/>
              <w:rPr>
                <w:sz w:val="18"/>
                <w:szCs w:val="18"/>
                <w:color w:val="auto"/>
              </w:rPr>
            </w:pPr>
          </w:p>
        </w:tc>
        <w:tc>
          <w:tcPr>
            <w:tcW w:w="38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Current Assets:</w:t>
            </w: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Cash and cash equivalents</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1,767</w:t>
            </w:r>
          </w:p>
        </w:tc>
        <w:tc>
          <w:tcPr>
            <w:tcW w:w="380" w:type="dxa"/>
            <w:vAlign w:val="bottom"/>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963</w:t>
            </w: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Investments</w:t>
            </w:r>
          </w:p>
        </w:tc>
        <w:tc>
          <w:tcPr>
            <w:tcW w:w="420" w:type="dxa"/>
            <w:vAlign w:val="bottom"/>
          </w:tcPr>
          <w:p>
            <w:pPr>
              <w:spacing w:after="0"/>
              <w:rPr>
                <w:sz w:val="18"/>
                <w:szCs w:val="18"/>
                <w:color w:val="auto"/>
              </w:rPr>
            </w:pPr>
          </w:p>
        </w:tc>
        <w:tc>
          <w:tcPr>
            <w:tcW w:w="860" w:type="dxa"/>
            <w:vAlign w:val="bottom"/>
          </w:tcPr>
          <w:p>
            <w:pPr>
              <w:jc w:val="right"/>
              <w:ind w:right="213"/>
              <w:spacing w:after="0"/>
              <w:rPr>
                <w:sz w:val="20"/>
                <w:szCs w:val="20"/>
                <w:color w:val="auto"/>
              </w:rPr>
            </w:pPr>
            <w:r>
              <w:rPr>
                <w:rFonts w:ascii="Arial" w:cs="Arial" w:eastAsia="Arial" w:hAnsi="Arial"/>
                <w:sz w:val="18"/>
                <w:szCs w:val="18"/>
                <w:color w:val="auto"/>
              </w:rPr>
              <w:t>295</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20" w:type="dxa"/>
            <w:vAlign w:val="bottom"/>
          </w:tcPr>
          <w:p>
            <w:pPr>
              <w:spacing w:after="0"/>
              <w:rPr>
                <w:sz w:val="18"/>
                <w:szCs w:val="18"/>
                <w:color w:val="auto"/>
              </w:rPr>
            </w:pPr>
          </w:p>
        </w:tc>
        <w:tc>
          <w:tcPr>
            <w:tcW w:w="90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Accounts receivable, less allowance for doubtful accounts of $183 and $181</w:t>
            </w:r>
          </w:p>
        </w:tc>
        <w:tc>
          <w:tcPr>
            <w:tcW w:w="4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1,665</w:t>
            </w:r>
          </w:p>
        </w:tc>
        <w:tc>
          <w:tcPr>
            <w:tcW w:w="38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1,645</w:t>
            </w:r>
          </w:p>
        </w:tc>
      </w:tr>
      <w:tr>
        <w:trPr>
          <w:trHeight w:val="216"/>
        </w:trPr>
        <w:tc>
          <w:tcPr>
            <w:tcW w:w="20" w:type="dxa"/>
            <w:vAlign w:val="bottom"/>
          </w:tcPr>
          <w:p>
            <w:pPr>
              <w:spacing w:after="0"/>
              <w:rPr>
                <w:sz w:val="18"/>
                <w:szCs w:val="18"/>
                <w:color w:val="auto"/>
              </w:rPr>
            </w:pPr>
          </w:p>
        </w:tc>
        <w:tc>
          <w:tcPr>
            <w:tcW w:w="90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 current assets</w:t>
            </w: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920</w:t>
            </w:r>
          </w:p>
        </w:tc>
        <w:tc>
          <w:tcPr>
            <w:tcW w:w="3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w:t>
            </w:r>
          </w:p>
        </w:tc>
      </w:tr>
      <w:tr>
        <w:trPr>
          <w:trHeight w:val="210"/>
        </w:trPr>
        <w:tc>
          <w:tcPr>
            <w:tcW w:w="20" w:type="dxa"/>
            <w:vAlign w:val="bottom"/>
          </w:tcPr>
          <w:p>
            <w:pPr>
              <w:spacing w:after="0"/>
              <w:rPr>
                <w:sz w:val="18"/>
                <w:szCs w:val="18"/>
                <w:color w:val="auto"/>
              </w:rPr>
            </w:pPr>
          </w:p>
        </w:tc>
        <w:tc>
          <w:tcPr>
            <w:tcW w:w="9060" w:type="dxa"/>
            <w:vAlign w:val="bottom"/>
            <w:shd w:val="clear" w:color="auto" w:fill="E5E5E5"/>
          </w:tcPr>
          <w:p>
            <w:pPr>
              <w:spacing w:after="0"/>
              <w:rPr>
                <w:sz w:val="20"/>
                <w:szCs w:val="20"/>
                <w:color w:val="auto"/>
              </w:rPr>
            </w:pPr>
            <w:r>
              <w:rPr>
                <w:rFonts w:ascii="Arial" w:cs="Arial" w:eastAsia="Arial" w:hAnsi="Arial"/>
                <w:sz w:val="18"/>
                <w:szCs w:val="18"/>
                <w:color w:val="auto"/>
              </w:rPr>
              <w:t>Total current assets</w:t>
            </w:r>
          </w:p>
        </w:tc>
        <w:tc>
          <w:tcPr>
            <w:tcW w:w="4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4,647</w:t>
            </w:r>
          </w:p>
        </w:tc>
        <w:tc>
          <w:tcPr>
            <w:tcW w:w="38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3,667</w:t>
            </w: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Investments</w:t>
            </w:r>
          </w:p>
        </w:tc>
        <w:tc>
          <w:tcPr>
            <w:tcW w:w="420" w:type="dxa"/>
            <w:vAlign w:val="bottom"/>
          </w:tcPr>
          <w:p>
            <w:pPr>
              <w:spacing w:after="0"/>
              <w:rPr>
                <w:sz w:val="18"/>
                <w:szCs w:val="18"/>
                <w:color w:val="auto"/>
              </w:rPr>
            </w:pPr>
          </w:p>
        </w:tc>
        <w:tc>
          <w:tcPr>
            <w:tcW w:w="860" w:type="dxa"/>
            <w:vAlign w:val="bottom"/>
          </w:tcPr>
          <w:p>
            <w:pPr>
              <w:jc w:val="right"/>
              <w:ind w:right="213"/>
              <w:spacing w:after="0"/>
              <w:rPr>
                <w:sz w:val="20"/>
                <w:szCs w:val="20"/>
                <w:color w:val="auto"/>
              </w:rPr>
            </w:pPr>
            <w:r>
              <w:rPr>
                <w:rFonts w:ascii="Arial" w:cs="Arial" w:eastAsia="Arial" w:hAnsi="Arial"/>
                <w:sz w:val="18"/>
                <w:szCs w:val="18"/>
                <w:color w:val="auto"/>
              </w:rPr>
              <w:t>5,366</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7,963</w:t>
            </w:r>
          </w:p>
        </w:tc>
      </w:tr>
      <w:tr>
        <w:trPr>
          <w:trHeight w:val="216"/>
        </w:trPr>
        <w:tc>
          <w:tcPr>
            <w:tcW w:w="20" w:type="dxa"/>
            <w:vAlign w:val="bottom"/>
          </w:tcPr>
          <w:p>
            <w:pPr>
              <w:spacing w:after="0"/>
              <w:rPr>
                <w:sz w:val="18"/>
                <w:szCs w:val="18"/>
                <w:color w:val="auto"/>
              </w:rPr>
            </w:pPr>
          </w:p>
        </w:tc>
        <w:tc>
          <w:tcPr>
            <w:tcW w:w="9060" w:type="dxa"/>
            <w:vAlign w:val="bottom"/>
            <w:shd w:val="clear" w:color="auto" w:fill="E5E5E5"/>
          </w:tcPr>
          <w:p>
            <w:pPr>
              <w:spacing w:after="0"/>
              <w:rPr>
                <w:sz w:val="20"/>
                <w:szCs w:val="20"/>
                <w:color w:val="auto"/>
              </w:rPr>
            </w:pPr>
            <w:r>
              <w:rPr>
                <w:rFonts w:ascii="Arial" w:cs="Arial" w:eastAsia="Arial" w:hAnsi="Arial"/>
                <w:sz w:val="18"/>
                <w:szCs w:val="18"/>
                <w:color w:val="auto"/>
              </w:rPr>
              <w:t>Property and equipment, net of accumulated depreciation of $21,574 and $19,808</w:t>
            </w:r>
          </w:p>
        </w:tc>
        <w:tc>
          <w:tcPr>
            <w:tcW w:w="4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w w:val="98"/>
              </w:rPr>
              <w:t>23,833</w:t>
            </w:r>
          </w:p>
        </w:tc>
        <w:tc>
          <w:tcPr>
            <w:tcW w:w="38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23,624</w:t>
            </w: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Franchise rights</w:t>
            </w:r>
          </w:p>
        </w:tc>
        <w:tc>
          <w:tcPr>
            <w:tcW w:w="420" w:type="dxa"/>
            <w:vAlign w:val="bottom"/>
          </w:tcPr>
          <w:p>
            <w:pPr>
              <w:spacing w:after="0"/>
              <w:rPr>
                <w:sz w:val="18"/>
                <w:szCs w:val="18"/>
                <w:color w:val="auto"/>
              </w:rPr>
            </w:pPr>
          </w:p>
        </w:tc>
        <w:tc>
          <w:tcPr>
            <w:tcW w:w="860" w:type="dxa"/>
            <w:vAlign w:val="bottom"/>
          </w:tcPr>
          <w:p>
            <w:pPr>
              <w:jc w:val="right"/>
              <w:ind w:right="213"/>
              <w:spacing w:after="0"/>
              <w:rPr>
                <w:sz w:val="20"/>
                <w:szCs w:val="20"/>
                <w:color w:val="auto"/>
              </w:rPr>
            </w:pPr>
            <w:r>
              <w:rPr>
                <w:rFonts w:ascii="Arial" w:cs="Arial" w:eastAsia="Arial" w:hAnsi="Arial"/>
                <w:sz w:val="18"/>
                <w:szCs w:val="18"/>
                <w:color w:val="auto"/>
                <w:w w:val="98"/>
              </w:rPr>
              <w:t>59,449</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58,077</w:t>
            </w:r>
          </w:p>
        </w:tc>
      </w:tr>
      <w:tr>
        <w:trPr>
          <w:trHeight w:val="216"/>
        </w:trPr>
        <w:tc>
          <w:tcPr>
            <w:tcW w:w="20" w:type="dxa"/>
            <w:vAlign w:val="bottom"/>
          </w:tcPr>
          <w:p>
            <w:pPr>
              <w:spacing w:after="0"/>
              <w:rPr>
                <w:sz w:val="18"/>
                <w:szCs w:val="18"/>
                <w:color w:val="auto"/>
              </w:rPr>
            </w:pPr>
          </w:p>
        </w:tc>
        <w:tc>
          <w:tcPr>
            <w:tcW w:w="9060" w:type="dxa"/>
            <w:vAlign w:val="bottom"/>
            <w:shd w:val="clear" w:color="auto" w:fill="E5E5E5"/>
          </w:tcPr>
          <w:p>
            <w:pPr>
              <w:spacing w:after="0"/>
              <w:rPr>
                <w:sz w:val="20"/>
                <w:szCs w:val="20"/>
                <w:color w:val="auto"/>
              </w:rPr>
            </w:pPr>
            <w:r>
              <w:rPr>
                <w:rFonts w:ascii="Arial" w:cs="Arial" w:eastAsia="Arial" w:hAnsi="Arial"/>
                <w:sz w:val="18"/>
                <w:szCs w:val="18"/>
                <w:color w:val="auto"/>
              </w:rPr>
              <w:t>Goodwill</w:t>
            </w:r>
          </w:p>
        </w:tc>
        <w:tc>
          <w:tcPr>
            <w:tcW w:w="4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w w:val="98"/>
              </w:rPr>
              <w:t>15,074</w:t>
            </w:r>
          </w:p>
        </w:tc>
        <w:tc>
          <w:tcPr>
            <w:tcW w:w="38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14,705</w:t>
            </w: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Other intangible assets, net of accumulated amortization of $7,554 and $6,977</w:t>
            </w:r>
          </w:p>
        </w:tc>
        <w:tc>
          <w:tcPr>
            <w:tcW w:w="420" w:type="dxa"/>
            <w:vAlign w:val="bottom"/>
          </w:tcPr>
          <w:p>
            <w:pPr>
              <w:spacing w:after="0"/>
              <w:rPr>
                <w:sz w:val="18"/>
                <w:szCs w:val="18"/>
                <w:color w:val="auto"/>
              </w:rPr>
            </w:pPr>
          </w:p>
        </w:tc>
        <w:tc>
          <w:tcPr>
            <w:tcW w:w="860" w:type="dxa"/>
            <w:vAlign w:val="bottom"/>
          </w:tcPr>
          <w:p>
            <w:pPr>
              <w:jc w:val="right"/>
              <w:ind w:right="213"/>
              <w:spacing w:after="0"/>
              <w:rPr>
                <w:sz w:val="20"/>
                <w:szCs w:val="20"/>
                <w:color w:val="auto"/>
              </w:rPr>
            </w:pPr>
            <w:r>
              <w:rPr>
                <w:rFonts w:ascii="Arial" w:cs="Arial" w:eastAsia="Arial" w:hAnsi="Arial"/>
                <w:sz w:val="18"/>
                <w:szCs w:val="18"/>
                <w:color w:val="auto"/>
              </w:rPr>
              <w:t>4,614</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4,739</w:t>
            </w:r>
          </w:p>
        </w:tc>
      </w:tr>
      <w:tr>
        <w:trPr>
          <w:trHeight w:val="216"/>
        </w:trPr>
        <w:tc>
          <w:tcPr>
            <w:tcW w:w="20" w:type="dxa"/>
            <w:vAlign w:val="bottom"/>
          </w:tcPr>
          <w:p>
            <w:pPr>
              <w:spacing w:after="0"/>
              <w:rPr>
                <w:sz w:val="18"/>
                <w:szCs w:val="18"/>
                <w:color w:val="auto"/>
              </w:rPr>
            </w:pPr>
          </w:p>
        </w:tc>
        <w:tc>
          <w:tcPr>
            <w:tcW w:w="90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noncurrent assets, net</w:t>
            </w:r>
          </w:p>
        </w:tc>
        <w:tc>
          <w:tcPr>
            <w:tcW w:w="42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color w:val="auto"/>
              </w:rPr>
              <w:t>914</w:t>
            </w:r>
          </w:p>
        </w:tc>
        <w:tc>
          <w:tcPr>
            <w:tcW w:w="3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642</w:t>
            </w:r>
          </w:p>
        </w:tc>
      </w:tr>
      <w:tr>
        <w:trPr>
          <w:trHeight w:val="217"/>
        </w:trPr>
        <w:tc>
          <w:tcPr>
            <w:tcW w:w="20" w:type="dxa"/>
            <w:vAlign w:val="bottom"/>
          </w:tcPr>
          <w:p>
            <w:pPr>
              <w:spacing w:after="0"/>
              <w:rPr>
                <w:sz w:val="18"/>
                <w:szCs w:val="18"/>
                <w:color w:val="auto"/>
              </w:rPr>
            </w:pPr>
          </w:p>
        </w:tc>
        <w:tc>
          <w:tcPr>
            <w:tcW w:w="9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assets</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b w:val="1"/>
                <w:bCs w:val="1"/>
                <w:color w:val="auto"/>
                <w:w w:val="82"/>
              </w:rPr>
              <w:t>113,897</w:t>
            </w:r>
          </w:p>
        </w:tc>
        <w:tc>
          <w:tcPr>
            <w:tcW w:w="3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113,417</w:t>
            </w:r>
          </w:p>
        </w:tc>
      </w:tr>
      <w:tr>
        <w:trPr>
          <w:trHeight w:val="216"/>
        </w:trPr>
        <w:tc>
          <w:tcPr>
            <w:tcW w:w="20" w:type="dxa"/>
            <w:vAlign w:val="bottom"/>
          </w:tcPr>
          <w:p>
            <w:pPr>
              <w:spacing w:after="0"/>
              <w:rPr>
                <w:sz w:val="18"/>
                <w:szCs w:val="18"/>
                <w:color w:val="auto"/>
              </w:rPr>
            </w:pPr>
          </w:p>
        </w:tc>
        <w:tc>
          <w:tcPr>
            <w:tcW w:w="90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42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Current Liabilities:</w:t>
            </w: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Accounts payable and accrued expenses related to trade creditors</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3,027</w:t>
            </w:r>
          </w:p>
        </w:tc>
        <w:tc>
          <w:tcPr>
            <w:tcW w:w="380" w:type="dxa"/>
            <w:vAlign w:val="bottom"/>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3,336</w:t>
            </w: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420" w:type="dxa"/>
            <w:vAlign w:val="bottom"/>
          </w:tcPr>
          <w:p>
            <w:pPr>
              <w:spacing w:after="0"/>
              <w:rPr>
                <w:sz w:val="18"/>
                <w:szCs w:val="18"/>
                <w:color w:val="auto"/>
              </w:rPr>
            </w:pPr>
          </w:p>
        </w:tc>
        <w:tc>
          <w:tcPr>
            <w:tcW w:w="860" w:type="dxa"/>
            <w:vAlign w:val="bottom"/>
          </w:tcPr>
          <w:p>
            <w:pPr>
              <w:jc w:val="right"/>
              <w:ind w:right="213"/>
              <w:spacing w:after="0"/>
              <w:rPr>
                <w:sz w:val="20"/>
                <w:szCs w:val="20"/>
                <w:color w:val="auto"/>
              </w:rPr>
            </w:pPr>
            <w:r>
              <w:rPr>
                <w:rFonts w:ascii="Arial" w:cs="Arial" w:eastAsia="Arial" w:hAnsi="Arial"/>
                <w:sz w:val="18"/>
                <w:szCs w:val="18"/>
                <w:color w:val="auto"/>
              </w:rPr>
              <w:t>3,173</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3,121</w:t>
            </w:r>
          </w:p>
        </w:tc>
      </w:tr>
      <w:tr>
        <w:trPr>
          <w:trHeight w:val="216"/>
        </w:trPr>
        <w:tc>
          <w:tcPr>
            <w:tcW w:w="20" w:type="dxa"/>
            <w:vAlign w:val="bottom"/>
          </w:tcPr>
          <w:p>
            <w:pPr>
              <w:spacing w:after="0"/>
              <w:rPr>
                <w:sz w:val="18"/>
                <w:szCs w:val="18"/>
                <w:color w:val="auto"/>
              </w:rPr>
            </w:pPr>
          </w:p>
        </w:tc>
        <w:tc>
          <w:tcPr>
            <w:tcW w:w="906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Current portion of long-term debt</w:t>
            </w:r>
          </w:p>
        </w:tc>
        <w:tc>
          <w:tcPr>
            <w:tcW w:w="42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color w:val="auto"/>
              </w:rPr>
              <w:t>1,889</w:t>
            </w:r>
          </w:p>
        </w:tc>
        <w:tc>
          <w:tcPr>
            <w:tcW w:w="3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1,495</w:t>
            </w:r>
          </w:p>
        </w:tc>
      </w:tr>
      <w:tr>
        <w:trPr>
          <w:trHeight w:val="210"/>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420" w:type="dxa"/>
            <w:vAlign w:val="bottom"/>
          </w:tcPr>
          <w:p>
            <w:pPr>
              <w:spacing w:after="0"/>
              <w:rPr>
                <w:sz w:val="18"/>
                <w:szCs w:val="18"/>
                <w:color w:val="auto"/>
              </w:rPr>
            </w:pPr>
          </w:p>
        </w:tc>
        <w:tc>
          <w:tcPr>
            <w:tcW w:w="860" w:type="dxa"/>
            <w:vAlign w:val="bottom"/>
          </w:tcPr>
          <w:p>
            <w:pPr>
              <w:jc w:val="right"/>
              <w:ind w:right="213"/>
              <w:spacing w:after="0"/>
              <w:rPr>
                <w:sz w:val="20"/>
                <w:szCs w:val="20"/>
                <w:color w:val="auto"/>
              </w:rPr>
            </w:pPr>
            <w:r>
              <w:rPr>
                <w:rFonts w:ascii="Arial" w:cs="Arial" w:eastAsia="Arial" w:hAnsi="Arial"/>
                <w:sz w:val="18"/>
                <w:szCs w:val="18"/>
                <w:color w:val="auto"/>
              </w:rPr>
              <w:t>8,089</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7,952</w:t>
            </w:r>
          </w:p>
        </w:tc>
      </w:tr>
      <w:tr>
        <w:trPr>
          <w:trHeight w:val="216"/>
        </w:trPr>
        <w:tc>
          <w:tcPr>
            <w:tcW w:w="20" w:type="dxa"/>
            <w:vAlign w:val="bottom"/>
          </w:tcPr>
          <w:p>
            <w:pPr>
              <w:spacing w:after="0"/>
              <w:rPr>
                <w:sz w:val="18"/>
                <w:szCs w:val="18"/>
                <w:color w:val="auto"/>
              </w:rPr>
            </w:pPr>
          </w:p>
        </w:tc>
        <w:tc>
          <w:tcPr>
            <w:tcW w:w="9060" w:type="dxa"/>
            <w:vAlign w:val="bottom"/>
            <w:shd w:val="clear" w:color="auto" w:fill="E5E5E5"/>
          </w:tcPr>
          <w:p>
            <w:pPr>
              <w:spacing w:after="0"/>
              <w:rPr>
                <w:sz w:val="20"/>
                <w:szCs w:val="20"/>
                <w:color w:val="auto"/>
              </w:rPr>
            </w:pPr>
            <w:r>
              <w:rPr>
                <w:rFonts w:ascii="Arial" w:cs="Arial" w:eastAsia="Arial" w:hAnsi="Arial"/>
                <w:sz w:val="18"/>
                <w:szCs w:val="18"/>
                <w:color w:val="auto"/>
              </w:rPr>
              <w:t>Long-term debt, less current portion</w:t>
            </w:r>
          </w:p>
        </w:tc>
        <w:tc>
          <w:tcPr>
            <w:tcW w:w="4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w w:val="98"/>
              </w:rPr>
              <w:t>30,624</w:t>
            </w:r>
          </w:p>
        </w:tc>
        <w:tc>
          <w:tcPr>
            <w:tcW w:w="38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29,828</w:t>
            </w: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Deferred income taxes</w:t>
            </w:r>
          </w:p>
        </w:tc>
        <w:tc>
          <w:tcPr>
            <w:tcW w:w="420" w:type="dxa"/>
            <w:vAlign w:val="bottom"/>
          </w:tcPr>
          <w:p>
            <w:pPr>
              <w:spacing w:after="0"/>
              <w:rPr>
                <w:sz w:val="18"/>
                <w:szCs w:val="18"/>
                <w:color w:val="auto"/>
              </w:rPr>
            </w:pPr>
          </w:p>
        </w:tc>
        <w:tc>
          <w:tcPr>
            <w:tcW w:w="860" w:type="dxa"/>
            <w:vAlign w:val="bottom"/>
          </w:tcPr>
          <w:p>
            <w:pPr>
              <w:jc w:val="right"/>
              <w:ind w:right="213"/>
              <w:spacing w:after="0"/>
              <w:rPr>
                <w:sz w:val="20"/>
                <w:szCs w:val="20"/>
                <w:color w:val="auto"/>
              </w:rPr>
            </w:pPr>
            <w:r>
              <w:rPr>
                <w:rFonts w:ascii="Arial" w:cs="Arial" w:eastAsia="Arial" w:hAnsi="Arial"/>
                <w:sz w:val="18"/>
                <w:szCs w:val="18"/>
                <w:color w:val="auto"/>
                <w:w w:val="98"/>
              </w:rPr>
              <w:t>27,292</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26,880</w:t>
            </w:r>
          </w:p>
        </w:tc>
      </w:tr>
      <w:tr>
        <w:trPr>
          <w:trHeight w:val="216"/>
        </w:trPr>
        <w:tc>
          <w:tcPr>
            <w:tcW w:w="20" w:type="dxa"/>
            <w:vAlign w:val="bottom"/>
          </w:tcPr>
          <w:p>
            <w:pPr>
              <w:spacing w:after="0"/>
              <w:rPr>
                <w:sz w:val="18"/>
                <w:szCs w:val="18"/>
                <w:color w:val="auto"/>
              </w:rPr>
            </w:pPr>
          </w:p>
        </w:tc>
        <w:tc>
          <w:tcPr>
            <w:tcW w:w="9060" w:type="dxa"/>
            <w:vAlign w:val="bottom"/>
            <w:shd w:val="clear" w:color="auto" w:fill="E5E5E5"/>
          </w:tcPr>
          <w:p>
            <w:pPr>
              <w:spacing w:after="0"/>
              <w:rPr>
                <w:sz w:val="20"/>
                <w:szCs w:val="20"/>
                <w:color w:val="auto"/>
              </w:rPr>
            </w:pPr>
            <w:r>
              <w:rPr>
                <w:rFonts w:ascii="Arial" w:cs="Arial" w:eastAsia="Arial" w:hAnsi="Arial"/>
                <w:sz w:val="18"/>
                <w:szCs w:val="18"/>
                <w:color w:val="auto"/>
              </w:rPr>
              <w:t>Other noncurrent liabilities</w:t>
            </w:r>
          </w:p>
        </w:tc>
        <w:tc>
          <w:tcPr>
            <w:tcW w:w="4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7,207</w:t>
            </w:r>
          </w:p>
        </w:tc>
        <w:tc>
          <w:tcPr>
            <w:tcW w:w="38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7,167</w:t>
            </w: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Minority interest</w:t>
            </w:r>
          </w:p>
        </w:tc>
        <w:tc>
          <w:tcPr>
            <w:tcW w:w="420" w:type="dxa"/>
            <w:vAlign w:val="bottom"/>
          </w:tcPr>
          <w:p>
            <w:pPr>
              <w:spacing w:after="0"/>
              <w:rPr>
                <w:sz w:val="18"/>
                <w:szCs w:val="18"/>
                <w:color w:val="auto"/>
              </w:rPr>
            </w:pPr>
          </w:p>
        </w:tc>
        <w:tc>
          <w:tcPr>
            <w:tcW w:w="860" w:type="dxa"/>
            <w:vAlign w:val="bottom"/>
          </w:tcPr>
          <w:p>
            <w:pPr>
              <w:jc w:val="right"/>
              <w:ind w:right="213"/>
              <w:spacing w:after="0"/>
              <w:rPr>
                <w:sz w:val="20"/>
                <w:szCs w:val="20"/>
                <w:color w:val="auto"/>
              </w:rPr>
            </w:pPr>
            <w:r>
              <w:rPr>
                <w:rFonts w:ascii="Arial" w:cs="Arial" w:eastAsia="Arial" w:hAnsi="Arial"/>
                <w:sz w:val="18"/>
                <w:szCs w:val="18"/>
                <w:color w:val="auto"/>
              </w:rPr>
              <w:t>348</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16"/>
        </w:trPr>
        <w:tc>
          <w:tcPr>
            <w:tcW w:w="20" w:type="dxa"/>
            <w:vAlign w:val="bottom"/>
          </w:tcPr>
          <w:p>
            <w:pPr>
              <w:spacing w:after="0"/>
              <w:rPr>
                <w:sz w:val="18"/>
                <w:szCs w:val="18"/>
                <w:color w:val="auto"/>
              </w:rPr>
            </w:pPr>
          </w:p>
        </w:tc>
        <w:tc>
          <w:tcPr>
            <w:tcW w:w="9060" w:type="dxa"/>
            <w:vAlign w:val="bottom"/>
            <w:shd w:val="clear" w:color="auto" w:fill="E5E5E5"/>
          </w:tcPr>
          <w:p>
            <w:pPr>
              <w:spacing w:after="0"/>
              <w:rPr>
                <w:sz w:val="20"/>
                <w:szCs w:val="20"/>
                <w:color w:val="auto"/>
              </w:rPr>
            </w:pPr>
            <w:r>
              <w:rPr>
                <w:rFonts w:ascii="Arial" w:cs="Arial" w:eastAsia="Arial" w:hAnsi="Arial"/>
                <w:sz w:val="18"/>
                <w:szCs w:val="18"/>
                <w:color w:val="auto"/>
              </w:rPr>
              <w:t>Commitments and Contingencies (Note 11)</w:t>
            </w:r>
          </w:p>
        </w:tc>
        <w:tc>
          <w:tcPr>
            <w:tcW w:w="42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Stockholders’ Equity:</w:t>
            </w: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Preferred stock—authorized, 20,000,000 shares; issued, zero</w:t>
            </w:r>
          </w:p>
        </w:tc>
        <w:tc>
          <w:tcPr>
            <w:tcW w:w="4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r>
      <w:tr>
        <w:trPr>
          <w:trHeight w:val="208"/>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w w:val="90"/>
              </w:rPr>
              <w:t>Class A common stock, $0.01 par value—authorized, 7,500,000,000 shares; issued, 2,424,332,854 and 2,419,025,659;</w:t>
            </w: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060" w:type="dxa"/>
            <w:vAlign w:val="bottom"/>
          </w:tcPr>
          <w:p>
            <w:pPr>
              <w:ind w:left="640"/>
              <w:spacing w:after="0"/>
              <w:rPr>
                <w:sz w:val="20"/>
                <w:szCs w:val="20"/>
                <w:color w:val="auto"/>
              </w:rPr>
            </w:pPr>
            <w:r>
              <w:rPr>
                <w:rFonts w:ascii="Arial" w:cs="Arial" w:eastAsia="Arial" w:hAnsi="Arial"/>
                <w:sz w:val="18"/>
                <w:szCs w:val="18"/>
                <w:color w:val="auto"/>
              </w:rPr>
              <w:t>outstanding, 2,058,872,104 and 2,053,564,909</w:t>
            </w:r>
          </w:p>
        </w:tc>
        <w:tc>
          <w:tcPr>
            <w:tcW w:w="420" w:type="dxa"/>
            <w:vAlign w:val="bottom"/>
          </w:tcPr>
          <w:p>
            <w:pPr>
              <w:spacing w:after="0"/>
              <w:rPr>
                <w:sz w:val="19"/>
                <w:szCs w:val="19"/>
                <w:color w:val="auto"/>
              </w:rPr>
            </w:pPr>
          </w:p>
        </w:tc>
        <w:tc>
          <w:tcPr>
            <w:tcW w:w="860" w:type="dxa"/>
            <w:vAlign w:val="bottom"/>
          </w:tcPr>
          <w:p>
            <w:pPr>
              <w:jc w:val="right"/>
              <w:ind w:right="213"/>
              <w:spacing w:after="0"/>
              <w:rPr>
                <w:sz w:val="20"/>
                <w:szCs w:val="20"/>
                <w:color w:val="auto"/>
              </w:rPr>
            </w:pPr>
            <w:r>
              <w:rPr>
                <w:rFonts w:ascii="Arial" w:cs="Arial" w:eastAsia="Arial" w:hAnsi="Arial"/>
                <w:sz w:val="18"/>
                <w:szCs w:val="18"/>
                <w:color w:val="auto"/>
              </w:rPr>
              <w:t>24</w:t>
            </w: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9"/>
        </w:trPr>
        <w:tc>
          <w:tcPr>
            <w:tcW w:w="20" w:type="dxa"/>
            <w:vAlign w:val="bottom"/>
          </w:tcPr>
          <w:p>
            <w:pPr>
              <w:spacing w:after="0"/>
              <w:rPr>
                <w:sz w:val="18"/>
                <w:szCs w:val="18"/>
                <w:color w:val="auto"/>
              </w:rPr>
            </w:pPr>
          </w:p>
        </w:tc>
        <w:tc>
          <w:tcPr>
            <w:tcW w:w="9060" w:type="dxa"/>
            <w:vAlign w:val="bottom"/>
            <w:shd w:val="clear" w:color="auto" w:fill="E5E5E5"/>
          </w:tcPr>
          <w:p>
            <w:pPr>
              <w:ind w:left="420"/>
              <w:spacing w:after="0"/>
              <w:rPr>
                <w:sz w:val="20"/>
                <w:szCs w:val="20"/>
                <w:color w:val="auto"/>
              </w:rPr>
            </w:pPr>
            <w:r>
              <w:rPr>
                <w:rFonts w:ascii="Arial" w:cs="Arial" w:eastAsia="Arial" w:hAnsi="Arial"/>
                <w:sz w:val="18"/>
                <w:szCs w:val="18"/>
                <w:color w:val="auto"/>
                <w:w w:val="98"/>
              </w:rPr>
              <w:t>Class A Special common stock, $0.01 par value—authorized, 7,500,000,000 shares; issued, 920,791,470 and</w:t>
            </w:r>
          </w:p>
        </w:tc>
        <w:tc>
          <w:tcPr>
            <w:tcW w:w="42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9060" w:type="dxa"/>
            <w:vAlign w:val="bottom"/>
            <w:shd w:val="clear" w:color="auto" w:fill="E5E5E5"/>
          </w:tcPr>
          <w:p>
            <w:pPr>
              <w:ind w:left="640"/>
              <w:spacing w:after="0"/>
              <w:rPr>
                <w:sz w:val="20"/>
                <w:szCs w:val="20"/>
                <w:color w:val="auto"/>
              </w:rPr>
            </w:pPr>
            <w:r>
              <w:rPr>
                <w:rFonts w:ascii="Arial" w:cs="Arial" w:eastAsia="Arial" w:hAnsi="Arial"/>
                <w:sz w:val="18"/>
                <w:szCs w:val="18"/>
                <w:color w:val="auto"/>
              </w:rPr>
              <w:t>1,018,960,463; outstanding, 849,856,706 and 948,025,699</w:t>
            </w:r>
          </w:p>
        </w:tc>
        <w:tc>
          <w:tcPr>
            <w:tcW w:w="420" w:type="dxa"/>
            <w:vAlign w:val="bottom"/>
            <w:shd w:val="clear" w:color="auto" w:fill="E5E5E5"/>
          </w:tcPr>
          <w:p>
            <w:pPr>
              <w:spacing w:after="0"/>
              <w:rPr>
                <w:sz w:val="19"/>
                <w:szCs w:val="19"/>
                <w:color w:val="auto"/>
              </w:rPr>
            </w:pPr>
          </w:p>
        </w:tc>
        <w:tc>
          <w:tcPr>
            <w:tcW w:w="86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9</w:t>
            </w:r>
          </w:p>
        </w:tc>
        <w:tc>
          <w:tcPr>
            <w:tcW w:w="380" w:type="dxa"/>
            <w:vAlign w:val="bottom"/>
            <w:shd w:val="clear" w:color="auto" w:fill="E5E5E5"/>
          </w:tcPr>
          <w:p>
            <w:pPr>
              <w:spacing w:after="0"/>
              <w:rPr>
                <w:sz w:val="19"/>
                <w:szCs w:val="19"/>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w w:val="99"/>
              </w:rPr>
              <w:t>Class B common stock, $0.01 par value—authorized, 75,000,000 shares; issued and outstanding, 9,444,375</w:t>
            </w:r>
          </w:p>
        </w:tc>
        <w:tc>
          <w:tcPr>
            <w:tcW w:w="420" w:type="dxa"/>
            <w:vAlign w:val="bottom"/>
          </w:tcPr>
          <w:p>
            <w:pPr>
              <w:spacing w:after="0"/>
              <w:rPr>
                <w:sz w:val="18"/>
                <w:szCs w:val="18"/>
                <w:color w:val="auto"/>
              </w:rPr>
            </w:pPr>
          </w:p>
        </w:tc>
        <w:tc>
          <w:tcPr>
            <w:tcW w:w="86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0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Additional paid-in capital</w:t>
            </w:r>
          </w:p>
        </w:tc>
        <w:tc>
          <w:tcPr>
            <w:tcW w:w="4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w w:val="98"/>
              </w:rPr>
              <w:t>40,913</w:t>
            </w:r>
          </w:p>
        </w:tc>
        <w:tc>
          <w:tcPr>
            <w:tcW w:w="38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41,688</w:t>
            </w: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420" w:type="dxa"/>
            <w:vAlign w:val="bottom"/>
          </w:tcPr>
          <w:p>
            <w:pPr>
              <w:spacing w:after="0"/>
              <w:rPr>
                <w:sz w:val="18"/>
                <w:szCs w:val="18"/>
                <w:color w:val="auto"/>
              </w:rPr>
            </w:pPr>
          </w:p>
        </w:tc>
        <w:tc>
          <w:tcPr>
            <w:tcW w:w="860" w:type="dxa"/>
            <w:vAlign w:val="bottom"/>
          </w:tcPr>
          <w:p>
            <w:pPr>
              <w:jc w:val="right"/>
              <w:ind w:right="213"/>
              <w:spacing w:after="0"/>
              <w:rPr>
                <w:sz w:val="20"/>
                <w:szCs w:val="20"/>
                <w:color w:val="auto"/>
              </w:rPr>
            </w:pPr>
            <w:r>
              <w:rPr>
                <w:rFonts w:ascii="Arial" w:cs="Arial" w:eastAsia="Arial" w:hAnsi="Arial"/>
                <w:sz w:val="18"/>
                <w:szCs w:val="18"/>
                <w:color w:val="auto"/>
              </w:rPr>
              <w:t>6,967</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7,191</w:t>
            </w:r>
          </w:p>
        </w:tc>
      </w:tr>
      <w:tr>
        <w:trPr>
          <w:trHeight w:val="216"/>
        </w:trPr>
        <w:tc>
          <w:tcPr>
            <w:tcW w:w="20" w:type="dxa"/>
            <w:vAlign w:val="bottom"/>
          </w:tcPr>
          <w:p>
            <w:pPr>
              <w:spacing w:after="0"/>
              <w:rPr>
                <w:sz w:val="18"/>
                <w:szCs w:val="18"/>
                <w:color w:val="auto"/>
              </w:rPr>
            </w:pPr>
          </w:p>
        </w:tc>
        <w:tc>
          <w:tcPr>
            <w:tcW w:w="90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Treasury stock—365,460,750 Class A common shares and 70,934,764 Class A Special common shares</w:t>
            </w:r>
          </w:p>
        </w:tc>
        <w:tc>
          <w:tcPr>
            <w:tcW w:w="4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(7,517)</w:t>
            </w:r>
          </w:p>
        </w:tc>
        <w:tc>
          <w:tcPr>
            <w:tcW w:w="38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(7,517)</w:t>
            </w:r>
          </w:p>
        </w:tc>
      </w:tr>
      <w:tr>
        <w:trPr>
          <w:trHeight w:val="216"/>
        </w:trPr>
        <w:tc>
          <w:tcPr>
            <w:tcW w:w="20" w:type="dxa"/>
            <w:vAlign w:val="bottom"/>
          </w:tcPr>
          <w:p>
            <w:pPr>
              <w:spacing w:after="0"/>
              <w:rPr>
                <w:sz w:val="18"/>
                <w:szCs w:val="18"/>
                <w:color w:val="auto"/>
              </w:rPr>
            </w:pPr>
          </w:p>
        </w:tc>
        <w:tc>
          <w:tcPr>
            <w:tcW w:w="90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(59)</w:t>
            </w:r>
          </w:p>
        </w:tc>
        <w:tc>
          <w:tcPr>
            <w:tcW w:w="3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r>
      <w:tr>
        <w:trPr>
          <w:trHeight w:val="210"/>
        </w:trPr>
        <w:tc>
          <w:tcPr>
            <w:tcW w:w="20" w:type="dxa"/>
            <w:vAlign w:val="bottom"/>
          </w:tcPr>
          <w:p>
            <w:pPr>
              <w:spacing w:after="0"/>
              <w:rPr>
                <w:sz w:val="18"/>
                <w:szCs w:val="18"/>
                <w:color w:val="auto"/>
              </w:rPr>
            </w:pPr>
          </w:p>
        </w:tc>
        <w:tc>
          <w:tcPr>
            <w:tcW w:w="90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stockholders’ equity</w:t>
            </w:r>
          </w:p>
        </w:tc>
        <w:tc>
          <w:tcPr>
            <w:tcW w:w="42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color w:val="auto"/>
                <w:w w:val="98"/>
              </w:rPr>
              <w:t>40,337</w:t>
            </w:r>
          </w:p>
        </w:tc>
        <w:tc>
          <w:tcPr>
            <w:tcW w:w="3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41,340</w:t>
            </w:r>
          </w:p>
        </w:tc>
      </w:tr>
      <w:tr>
        <w:trPr>
          <w:trHeight w:val="217"/>
        </w:trPr>
        <w:tc>
          <w:tcPr>
            <w:tcW w:w="20" w:type="dxa"/>
            <w:vAlign w:val="bottom"/>
            <w:tcBorders>
              <w:bottom w:val="single" w:sz="8" w:color="auto"/>
            </w:tcBorders>
          </w:tcPr>
          <w:p>
            <w:pPr>
              <w:spacing w:after="0"/>
              <w:rPr>
                <w:sz w:val="18"/>
                <w:szCs w:val="18"/>
                <w:color w:val="auto"/>
              </w:rPr>
            </w:pPr>
          </w:p>
        </w:tc>
        <w:tc>
          <w:tcPr>
            <w:tcW w:w="9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b w:val="1"/>
                <w:bCs w:val="1"/>
                <w:color w:val="auto"/>
                <w:w w:val="82"/>
              </w:rPr>
              <w:t>113,897</w:t>
            </w:r>
          </w:p>
        </w:tc>
        <w:tc>
          <w:tcPr>
            <w:tcW w:w="3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113,417</w:t>
            </w: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 of Operations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0" w:type="dxa"/>
            <w:vAlign w:val="bottom"/>
            <w:gridSpan w:val="3"/>
          </w:tcPr>
          <w:p>
            <w:pPr>
              <w:jc w:val="right"/>
              <w:ind w:right="313"/>
              <w:spacing w:after="0"/>
              <w:rPr>
                <w:sz w:val="20"/>
                <w:szCs w:val="20"/>
                <w:color w:val="auto"/>
              </w:rPr>
            </w:pPr>
            <w:r>
              <w:rPr>
                <w:rFonts w:ascii="Arial" w:cs="Arial" w:eastAsia="Arial" w:hAnsi="Arial"/>
                <w:sz w:val="14"/>
                <w:szCs w:val="14"/>
                <w:color w:val="auto"/>
                <w:w w:val="90"/>
              </w:rPr>
              <w:t>Three Months Ended</w:t>
            </w:r>
          </w:p>
        </w:tc>
        <w:tc>
          <w:tcPr>
            <w:tcW w:w="260" w:type="dxa"/>
            <w:vAlign w:val="bottom"/>
          </w:tcPr>
          <w:p>
            <w:pPr>
              <w:spacing w:after="0"/>
              <w:rPr>
                <w:sz w:val="14"/>
                <w:szCs w:val="14"/>
                <w:color w:val="auto"/>
              </w:rPr>
            </w:pPr>
          </w:p>
        </w:tc>
        <w:tc>
          <w:tcPr>
            <w:tcW w:w="1540" w:type="dxa"/>
            <w:vAlign w:val="bottom"/>
            <w:gridSpan w:val="3"/>
          </w:tcPr>
          <w:p>
            <w:pPr>
              <w:jc w:val="right"/>
              <w:ind w:right="253"/>
              <w:spacing w:after="0"/>
              <w:rPr>
                <w:sz w:val="20"/>
                <w:szCs w:val="20"/>
                <w:color w:val="auto"/>
              </w:rPr>
            </w:pPr>
            <w:r>
              <w:rPr>
                <w:rFonts w:ascii="Arial" w:cs="Arial" w:eastAsia="Arial" w:hAnsi="Arial"/>
                <w:sz w:val="14"/>
                <w:szCs w:val="14"/>
                <w:color w:val="auto"/>
              </w:rPr>
              <w:t>Six Months Ended</w:t>
            </w:r>
          </w:p>
        </w:tc>
      </w:tr>
      <w:tr>
        <w:trPr>
          <w:trHeight w:val="172"/>
        </w:trPr>
        <w:tc>
          <w:tcPr>
            <w:tcW w:w="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June 30</w:t>
            </w: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June 30</w:t>
            </w:r>
          </w:p>
        </w:tc>
        <w:tc>
          <w:tcPr>
            <w:tcW w:w="560" w:type="dxa"/>
            <w:vAlign w:val="bottom"/>
            <w:tcBorders>
              <w:bottom w:val="single" w:sz="8" w:color="auto"/>
            </w:tcBorders>
          </w:tcPr>
          <w:p>
            <w:pPr>
              <w:spacing w:after="0"/>
              <w:rPr>
                <w:sz w:val="14"/>
                <w:szCs w:val="14"/>
                <w:color w:val="auto"/>
              </w:rPr>
            </w:pPr>
          </w:p>
        </w:tc>
      </w:tr>
      <w:tr>
        <w:trPr>
          <w:trHeight w:val="143"/>
        </w:trPr>
        <w:tc>
          <w:tcPr>
            <w:tcW w:w="7600" w:type="dxa"/>
            <w:vAlign w:val="bottom"/>
            <w:gridSpan w:val="2"/>
          </w:tcPr>
          <w:p>
            <w:pPr>
              <w:spacing w:after="0" w:line="143" w:lineRule="exact"/>
              <w:rPr>
                <w:sz w:val="20"/>
                <w:szCs w:val="20"/>
                <w:color w:val="auto"/>
              </w:rPr>
            </w:pPr>
            <w:r>
              <w:rPr>
                <w:rFonts w:ascii="Arial" w:cs="Arial" w:eastAsia="Arial" w:hAnsi="Arial"/>
                <w:sz w:val="14"/>
                <w:szCs w:val="14"/>
                <w:color w:val="auto"/>
              </w:rPr>
              <w:t>(in millions, except per share data)</w:t>
            </w:r>
          </w:p>
        </w:tc>
        <w:tc>
          <w:tcPr>
            <w:tcW w:w="420" w:type="dxa"/>
            <w:vAlign w:val="bottom"/>
          </w:tcPr>
          <w:p>
            <w:pPr>
              <w:spacing w:after="0"/>
              <w:rPr>
                <w:sz w:val="12"/>
                <w:szCs w:val="12"/>
                <w:color w:val="auto"/>
              </w:rPr>
            </w:pPr>
          </w:p>
        </w:tc>
        <w:tc>
          <w:tcPr>
            <w:tcW w:w="860" w:type="dxa"/>
            <w:vAlign w:val="bottom"/>
          </w:tcPr>
          <w:p>
            <w:pPr>
              <w:jc w:val="right"/>
              <w:ind w:right="455"/>
              <w:spacing w:after="0" w:line="143" w:lineRule="exact"/>
              <w:rPr>
                <w:sz w:val="20"/>
                <w:szCs w:val="20"/>
                <w:color w:val="auto"/>
              </w:rPr>
            </w:pPr>
            <w:r>
              <w:rPr>
                <w:rFonts w:ascii="Arial" w:cs="Arial" w:eastAsia="Arial" w:hAnsi="Arial"/>
                <w:sz w:val="14"/>
                <w:szCs w:val="14"/>
                <w:color w:val="auto"/>
                <w:w w:val="96"/>
              </w:rPr>
              <w:t>2008</w:t>
            </w:r>
          </w:p>
        </w:tc>
        <w:tc>
          <w:tcPr>
            <w:tcW w:w="120" w:type="dxa"/>
            <w:vAlign w:val="bottom"/>
          </w:tcPr>
          <w:p>
            <w:pPr>
              <w:spacing w:after="0"/>
              <w:rPr>
                <w:sz w:val="12"/>
                <w:szCs w:val="12"/>
                <w:color w:val="auto"/>
              </w:rPr>
            </w:pPr>
          </w:p>
        </w:tc>
        <w:tc>
          <w:tcPr>
            <w:tcW w:w="620" w:type="dxa"/>
            <w:vAlign w:val="bottom"/>
          </w:tcPr>
          <w:p>
            <w:pPr>
              <w:jc w:val="right"/>
              <w:ind w:right="253"/>
              <w:spacing w:after="0" w:line="143" w:lineRule="exact"/>
              <w:rPr>
                <w:sz w:val="20"/>
                <w:szCs w:val="20"/>
                <w:color w:val="auto"/>
              </w:rPr>
            </w:pPr>
            <w:r>
              <w:rPr>
                <w:rFonts w:ascii="Arial" w:cs="Arial" w:eastAsia="Arial" w:hAnsi="Arial"/>
                <w:sz w:val="14"/>
                <w:szCs w:val="14"/>
                <w:color w:val="auto"/>
                <w:w w:val="83"/>
              </w:rPr>
              <w:t>2007</w:t>
            </w:r>
          </w:p>
        </w:tc>
        <w:tc>
          <w:tcPr>
            <w:tcW w:w="260" w:type="dxa"/>
            <w:vAlign w:val="bottom"/>
          </w:tcPr>
          <w:p>
            <w:pPr>
              <w:spacing w:after="0"/>
              <w:rPr>
                <w:sz w:val="12"/>
                <w:szCs w:val="12"/>
                <w:color w:val="auto"/>
              </w:rPr>
            </w:pPr>
          </w:p>
        </w:tc>
        <w:tc>
          <w:tcPr>
            <w:tcW w:w="720" w:type="dxa"/>
            <w:vAlign w:val="bottom"/>
          </w:tcPr>
          <w:p>
            <w:pPr>
              <w:jc w:val="right"/>
              <w:ind w:right="295"/>
              <w:spacing w:after="0" w:line="143" w:lineRule="exact"/>
              <w:rPr>
                <w:sz w:val="20"/>
                <w:szCs w:val="20"/>
                <w:color w:val="auto"/>
              </w:rPr>
            </w:pPr>
            <w:r>
              <w:rPr>
                <w:rFonts w:ascii="Arial" w:cs="Arial" w:eastAsia="Arial" w:hAnsi="Arial"/>
                <w:sz w:val="14"/>
                <w:szCs w:val="14"/>
                <w:color w:val="auto"/>
              </w:rPr>
              <w:t>2008</w:t>
            </w:r>
          </w:p>
        </w:tc>
        <w:tc>
          <w:tcPr>
            <w:tcW w:w="260" w:type="dxa"/>
            <w:vAlign w:val="bottom"/>
          </w:tcPr>
          <w:p>
            <w:pPr>
              <w:spacing w:after="0"/>
              <w:rPr>
                <w:sz w:val="12"/>
                <w:szCs w:val="12"/>
                <w:color w:val="auto"/>
              </w:rPr>
            </w:pPr>
          </w:p>
        </w:tc>
        <w:tc>
          <w:tcPr>
            <w:tcW w:w="560" w:type="dxa"/>
            <w:vAlign w:val="bottom"/>
          </w:tcPr>
          <w:p>
            <w:pPr>
              <w:jc w:val="right"/>
              <w:ind w:right="133"/>
              <w:spacing w:after="0" w:line="143" w:lineRule="exact"/>
              <w:rPr>
                <w:sz w:val="20"/>
                <w:szCs w:val="20"/>
                <w:color w:val="auto"/>
              </w:rPr>
            </w:pPr>
            <w:r>
              <w:rPr>
                <w:rFonts w:ascii="Arial" w:cs="Arial" w:eastAsia="Arial" w:hAnsi="Arial"/>
                <w:sz w:val="14"/>
                <w:szCs w:val="14"/>
                <w:color w:val="auto"/>
              </w:rPr>
              <w:t>2007</w:t>
            </w:r>
          </w:p>
        </w:tc>
      </w:tr>
      <w:tr>
        <w:trPr>
          <w:trHeight w:val="210"/>
        </w:trPr>
        <w:tc>
          <w:tcPr>
            <w:tcW w:w="20" w:type="dxa"/>
            <w:vAlign w:val="bottom"/>
          </w:tcPr>
          <w:p>
            <w:pPr>
              <w:spacing w:after="0"/>
              <w:rPr>
                <w:sz w:val="18"/>
                <w:szCs w:val="18"/>
                <w:color w:val="auto"/>
              </w:rPr>
            </w:pPr>
          </w:p>
        </w:tc>
        <w:tc>
          <w:tcPr>
            <w:tcW w:w="75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Revenue</w:t>
            </w:r>
          </w:p>
        </w:tc>
        <w:tc>
          <w:tcPr>
            <w:tcW w:w="4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E5E5E5"/>
          </w:tcPr>
          <w:p>
            <w:pPr>
              <w:jc w:val="right"/>
              <w:ind w:right="295"/>
              <w:spacing w:after="0"/>
              <w:rPr>
                <w:sz w:val="20"/>
                <w:szCs w:val="20"/>
                <w:color w:val="auto"/>
              </w:rPr>
            </w:pPr>
            <w:r>
              <w:rPr>
                <w:rFonts w:ascii="Arial" w:cs="Arial" w:eastAsia="Arial" w:hAnsi="Arial"/>
                <w:sz w:val="18"/>
                <w:szCs w:val="18"/>
                <w:color w:val="auto"/>
              </w:rPr>
              <w:t>8,553</w:t>
            </w:r>
          </w:p>
        </w:tc>
        <w:tc>
          <w:tcPr>
            <w:tcW w:w="1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w w:val="84"/>
              </w:rPr>
              <w:t>7,712</w:t>
            </w:r>
          </w:p>
        </w:tc>
        <w:tc>
          <w:tcPr>
            <w:tcW w:w="2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E5E5E5"/>
          </w:tcPr>
          <w:p>
            <w:pPr>
              <w:jc w:val="right"/>
              <w:ind w:right="155"/>
              <w:spacing w:after="0"/>
              <w:rPr>
                <w:sz w:val="20"/>
                <w:szCs w:val="20"/>
                <w:color w:val="auto"/>
              </w:rPr>
            </w:pPr>
            <w:r>
              <w:rPr>
                <w:rFonts w:ascii="Arial" w:cs="Arial" w:eastAsia="Arial" w:hAnsi="Arial"/>
                <w:sz w:val="18"/>
                <w:szCs w:val="18"/>
                <w:color w:val="auto"/>
                <w:w w:val="83"/>
              </w:rPr>
              <w:t>16,942</w:t>
            </w:r>
          </w:p>
        </w:tc>
        <w:tc>
          <w:tcPr>
            <w:tcW w:w="2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87"/>
              </w:rPr>
              <w:t>15,100</w:t>
            </w: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Costs and Expenses:</w:t>
            </w: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Operating (excluding depreciation and amortization)</w:t>
            </w:r>
          </w:p>
        </w:tc>
        <w:tc>
          <w:tcPr>
            <w:tcW w:w="4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295"/>
              <w:spacing w:after="0"/>
              <w:rPr>
                <w:sz w:val="20"/>
                <w:szCs w:val="20"/>
                <w:color w:val="auto"/>
              </w:rPr>
            </w:pPr>
            <w:r>
              <w:rPr>
                <w:rFonts w:ascii="Arial" w:cs="Arial" w:eastAsia="Arial" w:hAnsi="Arial"/>
                <w:sz w:val="18"/>
                <w:szCs w:val="18"/>
                <w:color w:val="auto"/>
              </w:rPr>
              <w:t>3,091</w:t>
            </w:r>
          </w:p>
        </w:tc>
        <w:tc>
          <w:tcPr>
            <w:tcW w:w="1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w w:val="84"/>
              </w:rPr>
              <w:t>2,754</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rPr>
              <w:t>6,198</w:t>
            </w:r>
          </w:p>
        </w:tc>
        <w:tc>
          <w:tcPr>
            <w:tcW w:w="26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5,513</w:t>
            </w: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420" w:type="dxa"/>
            <w:vAlign w:val="bottom"/>
          </w:tcPr>
          <w:p>
            <w:pPr>
              <w:spacing w:after="0"/>
              <w:rPr>
                <w:sz w:val="18"/>
                <w:szCs w:val="18"/>
                <w:color w:val="auto"/>
              </w:rPr>
            </w:pPr>
          </w:p>
        </w:tc>
        <w:tc>
          <w:tcPr>
            <w:tcW w:w="860" w:type="dxa"/>
            <w:vAlign w:val="bottom"/>
          </w:tcPr>
          <w:p>
            <w:pPr>
              <w:jc w:val="right"/>
              <w:ind w:right="295"/>
              <w:spacing w:after="0"/>
              <w:rPr>
                <w:sz w:val="20"/>
                <w:szCs w:val="20"/>
                <w:color w:val="auto"/>
              </w:rPr>
            </w:pPr>
            <w:r>
              <w:rPr>
                <w:rFonts w:ascii="Arial" w:cs="Arial" w:eastAsia="Arial" w:hAnsi="Arial"/>
                <w:sz w:val="18"/>
                <w:szCs w:val="18"/>
                <w:color w:val="auto"/>
              </w:rPr>
              <w:t>2,111</w:t>
            </w:r>
          </w:p>
        </w:tc>
        <w:tc>
          <w:tcPr>
            <w:tcW w:w="120" w:type="dxa"/>
            <w:vAlign w:val="bottom"/>
          </w:tcPr>
          <w:p>
            <w:pPr>
              <w:spacing w:after="0"/>
              <w:rPr>
                <w:sz w:val="18"/>
                <w:szCs w:val="18"/>
                <w:color w:val="auto"/>
              </w:rPr>
            </w:pPr>
          </w:p>
        </w:tc>
        <w:tc>
          <w:tcPr>
            <w:tcW w:w="620" w:type="dxa"/>
            <w:vAlign w:val="bottom"/>
          </w:tcPr>
          <w:p>
            <w:pPr>
              <w:jc w:val="right"/>
              <w:ind w:right="133"/>
              <w:spacing w:after="0"/>
              <w:rPr>
                <w:sz w:val="20"/>
                <w:szCs w:val="20"/>
                <w:color w:val="auto"/>
              </w:rPr>
            </w:pPr>
            <w:r>
              <w:rPr>
                <w:rFonts w:ascii="Arial" w:cs="Arial" w:eastAsia="Arial" w:hAnsi="Arial"/>
                <w:sz w:val="18"/>
                <w:szCs w:val="18"/>
                <w:color w:val="auto"/>
                <w:w w:val="84"/>
              </w:rPr>
              <w:t>1,946</w:t>
            </w:r>
          </w:p>
        </w:tc>
        <w:tc>
          <w:tcPr>
            <w:tcW w:w="260" w:type="dxa"/>
            <w:vAlign w:val="bottom"/>
          </w:tcPr>
          <w:p>
            <w:pPr>
              <w:spacing w:after="0"/>
              <w:rPr>
                <w:sz w:val="18"/>
                <w:szCs w:val="18"/>
                <w:color w:val="auto"/>
              </w:rPr>
            </w:pPr>
          </w:p>
        </w:tc>
        <w:tc>
          <w:tcPr>
            <w:tcW w:w="720" w:type="dxa"/>
            <w:vAlign w:val="bottom"/>
          </w:tcPr>
          <w:p>
            <w:pPr>
              <w:jc w:val="right"/>
              <w:ind w:right="155"/>
              <w:spacing w:after="0"/>
              <w:rPr>
                <w:sz w:val="20"/>
                <w:szCs w:val="20"/>
                <w:color w:val="auto"/>
              </w:rPr>
            </w:pPr>
            <w:r>
              <w:rPr>
                <w:rFonts w:ascii="Arial" w:cs="Arial" w:eastAsia="Arial" w:hAnsi="Arial"/>
                <w:sz w:val="18"/>
                <w:szCs w:val="18"/>
                <w:color w:val="auto"/>
              </w:rPr>
              <w:t>4,219</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3,812</w:t>
            </w:r>
          </w:p>
        </w:tc>
      </w:tr>
      <w:tr>
        <w:trPr>
          <w:trHeight w:val="216"/>
        </w:trPr>
        <w:tc>
          <w:tcPr>
            <w:tcW w:w="20" w:type="dxa"/>
            <w:vAlign w:val="bottom"/>
          </w:tcPr>
          <w:p>
            <w:pPr>
              <w:spacing w:after="0"/>
              <w:rPr>
                <w:sz w:val="18"/>
                <w:szCs w:val="18"/>
                <w:color w:val="auto"/>
              </w:rPr>
            </w:pPr>
          </w:p>
        </w:tc>
        <w:tc>
          <w:tcPr>
            <w:tcW w:w="75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Depreciation</w:t>
            </w:r>
          </w:p>
        </w:tc>
        <w:tc>
          <w:tcPr>
            <w:tcW w:w="4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295"/>
              <w:spacing w:after="0"/>
              <w:rPr>
                <w:sz w:val="20"/>
                <w:szCs w:val="20"/>
                <w:color w:val="auto"/>
              </w:rPr>
            </w:pPr>
            <w:r>
              <w:rPr>
                <w:rFonts w:ascii="Arial" w:cs="Arial" w:eastAsia="Arial" w:hAnsi="Arial"/>
                <w:sz w:val="18"/>
                <w:szCs w:val="18"/>
                <w:color w:val="auto"/>
              </w:rPr>
              <w:t>1,371</w:t>
            </w:r>
          </w:p>
        </w:tc>
        <w:tc>
          <w:tcPr>
            <w:tcW w:w="1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w w:val="84"/>
              </w:rPr>
              <w:t>1,252</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rPr>
              <w:t>2,761</w:t>
            </w:r>
          </w:p>
        </w:tc>
        <w:tc>
          <w:tcPr>
            <w:tcW w:w="26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2,477</w:t>
            </w:r>
          </w:p>
        </w:tc>
      </w:tr>
      <w:tr>
        <w:trPr>
          <w:trHeight w:val="216"/>
        </w:trPr>
        <w:tc>
          <w:tcPr>
            <w:tcW w:w="20" w:type="dxa"/>
            <w:vAlign w:val="bottom"/>
          </w:tcPr>
          <w:p>
            <w:pPr>
              <w:spacing w:after="0"/>
              <w:rPr>
                <w:sz w:val="18"/>
                <w:szCs w:val="18"/>
                <w:color w:val="auto"/>
              </w:rPr>
            </w:pPr>
          </w:p>
        </w:tc>
        <w:tc>
          <w:tcPr>
            <w:tcW w:w="75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Amortization</w:t>
            </w: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5"/>
              <w:spacing w:after="0"/>
              <w:rPr>
                <w:sz w:val="20"/>
                <w:szCs w:val="20"/>
                <w:color w:val="auto"/>
              </w:rPr>
            </w:pPr>
            <w:r>
              <w:rPr>
                <w:rFonts w:ascii="Arial" w:cs="Arial" w:eastAsia="Arial" w:hAnsi="Arial"/>
                <w:sz w:val="18"/>
                <w:szCs w:val="18"/>
                <w:color w:val="auto"/>
              </w:rPr>
              <w:t>230</w:t>
            </w: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292</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459</w:t>
            </w:r>
          </w:p>
        </w:tc>
        <w:tc>
          <w:tcPr>
            <w:tcW w:w="2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w:t>
            </w:r>
          </w:p>
        </w:tc>
      </w:tr>
      <w:tr>
        <w:trPr>
          <w:trHeight w:val="210"/>
        </w:trPr>
        <w:tc>
          <w:tcPr>
            <w:tcW w:w="20" w:type="dxa"/>
            <w:vAlign w:val="bottom"/>
          </w:tcPr>
          <w:p>
            <w:pPr>
              <w:spacing w:after="0"/>
              <w:rPr>
                <w:sz w:val="18"/>
                <w:szCs w:val="18"/>
                <w:color w:val="auto"/>
              </w:rPr>
            </w:pPr>
          </w:p>
        </w:tc>
        <w:tc>
          <w:tcPr>
            <w:tcW w:w="758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295"/>
              <w:spacing w:after="0"/>
              <w:rPr>
                <w:sz w:val="20"/>
                <w:szCs w:val="20"/>
                <w:color w:val="auto"/>
              </w:rPr>
            </w:pPr>
            <w:r>
              <w:rPr>
                <w:rFonts w:ascii="Arial" w:cs="Arial" w:eastAsia="Arial" w:hAnsi="Arial"/>
                <w:sz w:val="18"/>
                <w:szCs w:val="18"/>
                <w:color w:val="auto"/>
              </w:rPr>
              <w:t>6,803</w:t>
            </w:r>
          </w:p>
        </w:tc>
        <w:tc>
          <w:tcPr>
            <w:tcW w:w="1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w w:val="84"/>
              </w:rPr>
              <w:t>6,244</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55"/>
              <w:spacing w:after="0"/>
              <w:rPr>
                <w:sz w:val="20"/>
                <w:szCs w:val="20"/>
                <w:color w:val="auto"/>
              </w:rPr>
            </w:pPr>
            <w:r>
              <w:rPr>
                <w:rFonts w:ascii="Arial" w:cs="Arial" w:eastAsia="Arial" w:hAnsi="Arial"/>
                <w:sz w:val="18"/>
                <w:szCs w:val="18"/>
                <w:color w:val="auto"/>
                <w:w w:val="83"/>
              </w:rPr>
              <w:t>13,637</w:t>
            </w:r>
          </w:p>
        </w:tc>
        <w:tc>
          <w:tcPr>
            <w:tcW w:w="26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87"/>
              </w:rPr>
              <w:t>12,371</w:t>
            </w:r>
          </w:p>
        </w:tc>
      </w:tr>
      <w:tr>
        <w:trPr>
          <w:trHeight w:val="210"/>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Operating income</w:t>
            </w:r>
          </w:p>
        </w:tc>
        <w:tc>
          <w:tcPr>
            <w:tcW w:w="420" w:type="dxa"/>
            <w:vAlign w:val="bottom"/>
          </w:tcPr>
          <w:p>
            <w:pPr>
              <w:spacing w:after="0"/>
              <w:rPr>
                <w:sz w:val="18"/>
                <w:szCs w:val="18"/>
                <w:color w:val="auto"/>
              </w:rPr>
            </w:pPr>
          </w:p>
        </w:tc>
        <w:tc>
          <w:tcPr>
            <w:tcW w:w="860" w:type="dxa"/>
            <w:vAlign w:val="bottom"/>
          </w:tcPr>
          <w:p>
            <w:pPr>
              <w:jc w:val="right"/>
              <w:ind w:right="295"/>
              <w:spacing w:after="0"/>
              <w:rPr>
                <w:sz w:val="20"/>
                <w:szCs w:val="20"/>
                <w:color w:val="auto"/>
              </w:rPr>
            </w:pPr>
            <w:r>
              <w:rPr>
                <w:rFonts w:ascii="Arial" w:cs="Arial" w:eastAsia="Arial" w:hAnsi="Arial"/>
                <w:sz w:val="18"/>
                <w:szCs w:val="18"/>
                <w:color w:val="auto"/>
              </w:rPr>
              <w:t>1,750</w:t>
            </w:r>
          </w:p>
        </w:tc>
        <w:tc>
          <w:tcPr>
            <w:tcW w:w="120" w:type="dxa"/>
            <w:vAlign w:val="bottom"/>
          </w:tcPr>
          <w:p>
            <w:pPr>
              <w:spacing w:after="0"/>
              <w:rPr>
                <w:sz w:val="18"/>
                <w:szCs w:val="18"/>
                <w:color w:val="auto"/>
              </w:rPr>
            </w:pPr>
          </w:p>
        </w:tc>
        <w:tc>
          <w:tcPr>
            <w:tcW w:w="620" w:type="dxa"/>
            <w:vAlign w:val="bottom"/>
          </w:tcPr>
          <w:p>
            <w:pPr>
              <w:jc w:val="right"/>
              <w:ind w:right="133"/>
              <w:spacing w:after="0"/>
              <w:rPr>
                <w:sz w:val="20"/>
                <w:szCs w:val="20"/>
                <w:color w:val="auto"/>
              </w:rPr>
            </w:pPr>
            <w:r>
              <w:rPr>
                <w:rFonts w:ascii="Arial" w:cs="Arial" w:eastAsia="Arial" w:hAnsi="Arial"/>
                <w:sz w:val="18"/>
                <w:szCs w:val="18"/>
                <w:color w:val="auto"/>
                <w:w w:val="84"/>
              </w:rPr>
              <w:t>1,468</w:t>
            </w:r>
          </w:p>
        </w:tc>
        <w:tc>
          <w:tcPr>
            <w:tcW w:w="260" w:type="dxa"/>
            <w:vAlign w:val="bottom"/>
          </w:tcPr>
          <w:p>
            <w:pPr>
              <w:spacing w:after="0"/>
              <w:rPr>
                <w:sz w:val="18"/>
                <w:szCs w:val="18"/>
                <w:color w:val="auto"/>
              </w:rPr>
            </w:pPr>
          </w:p>
        </w:tc>
        <w:tc>
          <w:tcPr>
            <w:tcW w:w="720" w:type="dxa"/>
            <w:vAlign w:val="bottom"/>
          </w:tcPr>
          <w:p>
            <w:pPr>
              <w:jc w:val="right"/>
              <w:ind w:right="155"/>
              <w:spacing w:after="0"/>
              <w:rPr>
                <w:sz w:val="20"/>
                <w:szCs w:val="20"/>
                <w:color w:val="auto"/>
              </w:rPr>
            </w:pPr>
            <w:r>
              <w:rPr>
                <w:rFonts w:ascii="Arial" w:cs="Arial" w:eastAsia="Arial" w:hAnsi="Arial"/>
                <w:sz w:val="18"/>
                <w:szCs w:val="18"/>
                <w:color w:val="auto"/>
              </w:rPr>
              <w:t>3,305</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2,729</w:t>
            </w:r>
          </w:p>
        </w:tc>
      </w:tr>
      <w:tr>
        <w:trPr>
          <w:trHeight w:val="216"/>
        </w:trPr>
        <w:tc>
          <w:tcPr>
            <w:tcW w:w="20" w:type="dxa"/>
            <w:vAlign w:val="bottom"/>
          </w:tcPr>
          <w:p>
            <w:pPr>
              <w:spacing w:after="0"/>
              <w:rPr>
                <w:sz w:val="18"/>
                <w:szCs w:val="18"/>
                <w:color w:val="auto"/>
              </w:rPr>
            </w:pPr>
          </w:p>
        </w:tc>
        <w:tc>
          <w:tcPr>
            <w:tcW w:w="7580" w:type="dxa"/>
            <w:vAlign w:val="bottom"/>
            <w:shd w:val="clear" w:color="auto" w:fill="E5E5E5"/>
          </w:tcPr>
          <w:p>
            <w:pPr>
              <w:spacing w:after="0"/>
              <w:rPr>
                <w:sz w:val="20"/>
                <w:szCs w:val="20"/>
                <w:color w:val="auto"/>
              </w:rPr>
            </w:pPr>
            <w:r>
              <w:rPr>
                <w:rFonts w:ascii="Arial" w:cs="Arial" w:eastAsia="Arial" w:hAnsi="Arial"/>
                <w:sz w:val="18"/>
                <w:szCs w:val="18"/>
                <w:color w:val="auto"/>
              </w:rPr>
              <w:t>Other Income (Expense):</w:t>
            </w:r>
          </w:p>
        </w:tc>
        <w:tc>
          <w:tcPr>
            <w:tcW w:w="42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420" w:type="dxa"/>
            <w:vAlign w:val="bottom"/>
          </w:tcPr>
          <w:p>
            <w:pPr>
              <w:spacing w:after="0"/>
              <w:rPr>
                <w:sz w:val="18"/>
                <w:szCs w:val="18"/>
                <w:color w:val="auto"/>
              </w:rPr>
            </w:pPr>
          </w:p>
        </w:tc>
        <w:tc>
          <w:tcPr>
            <w:tcW w:w="860" w:type="dxa"/>
            <w:vAlign w:val="bottom"/>
          </w:tcPr>
          <w:p>
            <w:pPr>
              <w:jc w:val="right"/>
              <w:ind w:right="235"/>
              <w:spacing w:after="0"/>
              <w:rPr>
                <w:sz w:val="20"/>
                <w:szCs w:val="20"/>
                <w:color w:val="auto"/>
              </w:rPr>
            </w:pPr>
            <w:r>
              <w:rPr>
                <w:rFonts w:ascii="Arial" w:cs="Arial" w:eastAsia="Arial" w:hAnsi="Arial"/>
                <w:sz w:val="18"/>
                <w:szCs w:val="18"/>
                <w:color w:val="auto"/>
              </w:rPr>
              <w:t>(618)</w:t>
            </w:r>
          </w:p>
        </w:tc>
        <w:tc>
          <w:tcPr>
            <w:tcW w:w="120" w:type="dxa"/>
            <w:vAlign w:val="bottom"/>
          </w:tcPr>
          <w:p>
            <w:pPr>
              <w:spacing w:after="0"/>
              <w:rPr>
                <w:sz w:val="18"/>
                <w:szCs w:val="18"/>
                <w:color w:val="auto"/>
              </w:rPr>
            </w:pPr>
          </w:p>
        </w:tc>
        <w:tc>
          <w:tcPr>
            <w:tcW w:w="620" w:type="dxa"/>
            <w:vAlign w:val="bottom"/>
          </w:tcPr>
          <w:p>
            <w:pPr>
              <w:jc w:val="right"/>
              <w:ind w:right="73"/>
              <w:spacing w:after="0"/>
              <w:rPr>
                <w:sz w:val="20"/>
                <w:szCs w:val="20"/>
                <w:color w:val="auto"/>
              </w:rPr>
            </w:pPr>
            <w:r>
              <w:rPr>
                <w:rFonts w:ascii="Arial" w:cs="Arial" w:eastAsia="Arial" w:hAnsi="Arial"/>
                <w:sz w:val="18"/>
                <w:szCs w:val="18"/>
                <w:color w:val="auto"/>
              </w:rPr>
              <w:t>(550)</w:t>
            </w:r>
          </w:p>
        </w:tc>
        <w:tc>
          <w:tcPr>
            <w:tcW w:w="260" w:type="dxa"/>
            <w:vAlign w:val="bottom"/>
          </w:tcPr>
          <w:p>
            <w:pPr>
              <w:spacing w:after="0"/>
              <w:rPr>
                <w:sz w:val="18"/>
                <w:szCs w:val="18"/>
                <w:color w:val="auto"/>
              </w:rPr>
            </w:pPr>
          </w:p>
        </w:tc>
        <w:tc>
          <w:tcPr>
            <w:tcW w:w="720" w:type="dxa"/>
            <w:vAlign w:val="bottom"/>
          </w:tcPr>
          <w:p>
            <w:pPr>
              <w:jc w:val="right"/>
              <w:ind w:right="95"/>
              <w:spacing w:after="0"/>
              <w:rPr>
                <w:sz w:val="20"/>
                <w:szCs w:val="20"/>
                <w:color w:val="auto"/>
              </w:rPr>
            </w:pPr>
            <w:r>
              <w:rPr>
                <w:rFonts w:ascii="Arial" w:cs="Arial" w:eastAsia="Arial" w:hAnsi="Arial"/>
                <w:sz w:val="18"/>
                <w:szCs w:val="18"/>
                <w:color w:val="auto"/>
                <w:w w:val="91"/>
              </w:rPr>
              <w:t>(1,239)</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(1,118)</w:t>
            </w:r>
          </w:p>
        </w:tc>
      </w:tr>
      <w:tr>
        <w:trPr>
          <w:trHeight w:val="216"/>
        </w:trPr>
        <w:tc>
          <w:tcPr>
            <w:tcW w:w="20" w:type="dxa"/>
            <w:vAlign w:val="bottom"/>
          </w:tcPr>
          <w:p>
            <w:pPr>
              <w:spacing w:after="0"/>
              <w:rPr>
                <w:sz w:val="18"/>
                <w:szCs w:val="18"/>
                <w:color w:val="auto"/>
              </w:rPr>
            </w:pPr>
          </w:p>
        </w:tc>
        <w:tc>
          <w:tcPr>
            <w:tcW w:w="75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Investment income (loss), net</w:t>
            </w:r>
          </w:p>
        </w:tc>
        <w:tc>
          <w:tcPr>
            <w:tcW w:w="4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235"/>
              <w:spacing w:after="0"/>
              <w:rPr>
                <w:sz w:val="20"/>
                <w:szCs w:val="20"/>
                <w:color w:val="auto"/>
              </w:rPr>
            </w:pPr>
            <w:r>
              <w:rPr>
                <w:rFonts w:ascii="Arial" w:cs="Arial" w:eastAsia="Arial" w:hAnsi="Arial"/>
                <w:sz w:val="18"/>
                <w:szCs w:val="18"/>
                <w:color w:val="auto"/>
              </w:rPr>
              <w:t>(70)</w:t>
            </w:r>
          </w:p>
        </w:tc>
        <w:tc>
          <w:tcPr>
            <w:tcW w:w="1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126</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rPr>
              <w:t>9</w:t>
            </w:r>
          </w:p>
        </w:tc>
        <w:tc>
          <w:tcPr>
            <w:tcW w:w="26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300</w:t>
            </w: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Equity in net (losses) income of affiliates, net</w:t>
            </w:r>
          </w:p>
        </w:tc>
        <w:tc>
          <w:tcPr>
            <w:tcW w:w="420" w:type="dxa"/>
            <w:vAlign w:val="bottom"/>
          </w:tcPr>
          <w:p>
            <w:pPr>
              <w:spacing w:after="0"/>
              <w:rPr>
                <w:sz w:val="18"/>
                <w:szCs w:val="18"/>
                <w:color w:val="auto"/>
              </w:rPr>
            </w:pPr>
          </w:p>
        </w:tc>
        <w:tc>
          <w:tcPr>
            <w:tcW w:w="860" w:type="dxa"/>
            <w:vAlign w:val="bottom"/>
          </w:tcPr>
          <w:p>
            <w:pPr>
              <w:jc w:val="right"/>
              <w:ind w:right="235"/>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620" w:type="dxa"/>
            <w:vAlign w:val="bottom"/>
          </w:tcPr>
          <w:p>
            <w:pPr>
              <w:jc w:val="right"/>
              <w:ind w:right="73"/>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8"/>
                <w:szCs w:val="18"/>
                <w:color w:val="auto"/>
              </w:rPr>
            </w:pPr>
          </w:p>
        </w:tc>
        <w:tc>
          <w:tcPr>
            <w:tcW w:w="720" w:type="dxa"/>
            <w:vAlign w:val="bottom"/>
          </w:tcPr>
          <w:p>
            <w:pPr>
              <w:jc w:val="right"/>
              <w:ind w:right="95"/>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20" w:type="dxa"/>
            <w:vAlign w:val="bottom"/>
          </w:tcPr>
          <w:p>
            <w:pPr>
              <w:spacing w:after="0"/>
              <w:rPr>
                <w:sz w:val="18"/>
                <w:szCs w:val="18"/>
                <w:color w:val="auto"/>
              </w:rPr>
            </w:pPr>
          </w:p>
        </w:tc>
        <w:tc>
          <w:tcPr>
            <w:tcW w:w="758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Other income (expense)</w:t>
            </w:r>
          </w:p>
        </w:tc>
        <w:tc>
          <w:tcPr>
            <w:tcW w:w="42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295"/>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55"/>
              <w:spacing w:after="0"/>
              <w:rPr>
                <w:sz w:val="20"/>
                <w:szCs w:val="20"/>
                <w:color w:val="auto"/>
              </w:rPr>
            </w:pPr>
            <w:r>
              <w:rPr>
                <w:rFonts w:ascii="Arial" w:cs="Arial" w:eastAsia="Arial" w:hAnsi="Arial"/>
                <w:sz w:val="18"/>
                <w:szCs w:val="18"/>
                <w:color w:val="auto"/>
              </w:rPr>
              <w:t>293</w:t>
            </w:r>
          </w:p>
        </w:tc>
        <w:tc>
          <w:tcPr>
            <w:tcW w:w="26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514</w:t>
            </w:r>
          </w:p>
        </w:tc>
      </w:tr>
      <w:tr>
        <w:trPr>
          <w:trHeight w:val="210"/>
        </w:trPr>
        <w:tc>
          <w:tcPr>
            <w:tcW w:w="20" w:type="dxa"/>
            <w:vAlign w:val="bottom"/>
          </w:tcPr>
          <w:p>
            <w:pPr>
              <w:spacing w:after="0"/>
              <w:rPr>
                <w:sz w:val="18"/>
                <w:szCs w:val="18"/>
                <w:color w:val="auto"/>
              </w:rPr>
            </w:pPr>
          </w:p>
        </w:tc>
        <w:tc>
          <w:tcPr>
            <w:tcW w:w="75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35"/>
              <w:spacing w:after="0"/>
              <w:rPr>
                <w:sz w:val="20"/>
                <w:szCs w:val="20"/>
                <w:color w:val="auto"/>
              </w:rPr>
            </w:pPr>
            <w:r>
              <w:rPr>
                <w:rFonts w:ascii="Arial" w:cs="Arial" w:eastAsia="Arial" w:hAnsi="Arial"/>
                <w:sz w:val="18"/>
                <w:szCs w:val="18"/>
                <w:color w:val="auto"/>
              </w:rPr>
              <w:t>(676)</w:t>
            </w: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(439)</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(985)</w:t>
            </w:r>
          </w:p>
        </w:tc>
        <w:tc>
          <w:tcPr>
            <w:tcW w:w="2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r>
      <w:tr>
        <w:trPr>
          <w:trHeight w:val="210"/>
        </w:trPr>
        <w:tc>
          <w:tcPr>
            <w:tcW w:w="20" w:type="dxa"/>
            <w:vAlign w:val="bottom"/>
          </w:tcPr>
          <w:p>
            <w:pPr>
              <w:spacing w:after="0"/>
              <w:rPr>
                <w:sz w:val="18"/>
                <w:szCs w:val="18"/>
                <w:color w:val="auto"/>
              </w:rPr>
            </w:pPr>
          </w:p>
        </w:tc>
        <w:tc>
          <w:tcPr>
            <w:tcW w:w="7580" w:type="dxa"/>
            <w:vAlign w:val="bottom"/>
            <w:shd w:val="clear" w:color="auto" w:fill="E5E5E5"/>
          </w:tcPr>
          <w:p>
            <w:pPr>
              <w:spacing w:after="0"/>
              <w:rPr>
                <w:sz w:val="20"/>
                <w:szCs w:val="20"/>
                <w:color w:val="auto"/>
              </w:rPr>
            </w:pPr>
            <w:r>
              <w:rPr>
                <w:rFonts w:ascii="Arial" w:cs="Arial" w:eastAsia="Arial" w:hAnsi="Arial"/>
                <w:sz w:val="18"/>
                <w:szCs w:val="18"/>
                <w:color w:val="auto"/>
              </w:rPr>
              <w:t>Income before income taxes and minority interest</w:t>
            </w:r>
          </w:p>
        </w:tc>
        <w:tc>
          <w:tcPr>
            <w:tcW w:w="4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295"/>
              <w:spacing w:after="0"/>
              <w:rPr>
                <w:sz w:val="20"/>
                <w:szCs w:val="20"/>
                <w:color w:val="auto"/>
              </w:rPr>
            </w:pPr>
            <w:r>
              <w:rPr>
                <w:rFonts w:ascii="Arial" w:cs="Arial" w:eastAsia="Arial" w:hAnsi="Arial"/>
                <w:sz w:val="18"/>
                <w:szCs w:val="18"/>
                <w:color w:val="auto"/>
              </w:rPr>
              <w:t>1,074</w:t>
            </w:r>
          </w:p>
        </w:tc>
        <w:tc>
          <w:tcPr>
            <w:tcW w:w="1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w w:val="84"/>
              </w:rPr>
              <w:t>1,029</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rPr>
              <w:t>2,320</w:t>
            </w:r>
          </w:p>
        </w:tc>
        <w:tc>
          <w:tcPr>
            <w:tcW w:w="26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2,388</w:t>
            </w:r>
          </w:p>
        </w:tc>
      </w:tr>
      <w:tr>
        <w:trPr>
          <w:trHeight w:val="216"/>
        </w:trPr>
        <w:tc>
          <w:tcPr>
            <w:tcW w:w="20" w:type="dxa"/>
            <w:vAlign w:val="bottom"/>
          </w:tcPr>
          <w:p>
            <w:pPr>
              <w:spacing w:after="0"/>
              <w:rPr>
                <w:sz w:val="18"/>
                <w:szCs w:val="18"/>
                <w:color w:val="auto"/>
              </w:rPr>
            </w:pPr>
          </w:p>
        </w:tc>
        <w:tc>
          <w:tcPr>
            <w:tcW w:w="7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expense</w:t>
            </w: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35"/>
              <w:spacing w:after="0"/>
              <w:rPr>
                <w:sz w:val="20"/>
                <w:szCs w:val="20"/>
                <w:color w:val="auto"/>
              </w:rPr>
            </w:pPr>
            <w:r>
              <w:rPr>
                <w:rFonts w:ascii="Arial" w:cs="Arial" w:eastAsia="Arial" w:hAnsi="Arial"/>
                <w:sz w:val="18"/>
                <w:szCs w:val="18"/>
                <w:color w:val="auto"/>
              </w:rPr>
              <w:t>(455)</w:t>
            </w: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(453)</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(963)</w:t>
            </w:r>
          </w:p>
        </w:tc>
        <w:tc>
          <w:tcPr>
            <w:tcW w:w="2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w:t>
            </w:r>
          </w:p>
        </w:tc>
      </w:tr>
      <w:tr>
        <w:trPr>
          <w:trHeight w:val="210"/>
        </w:trPr>
        <w:tc>
          <w:tcPr>
            <w:tcW w:w="20" w:type="dxa"/>
            <w:vAlign w:val="bottom"/>
          </w:tcPr>
          <w:p>
            <w:pPr>
              <w:spacing w:after="0"/>
              <w:rPr>
                <w:sz w:val="18"/>
                <w:szCs w:val="18"/>
                <w:color w:val="auto"/>
              </w:rPr>
            </w:pPr>
          </w:p>
        </w:tc>
        <w:tc>
          <w:tcPr>
            <w:tcW w:w="7580" w:type="dxa"/>
            <w:vAlign w:val="bottom"/>
            <w:shd w:val="clear" w:color="auto" w:fill="E5E5E5"/>
          </w:tcPr>
          <w:p>
            <w:pPr>
              <w:spacing w:after="0"/>
              <w:rPr>
                <w:sz w:val="20"/>
                <w:szCs w:val="20"/>
                <w:color w:val="auto"/>
              </w:rPr>
            </w:pPr>
            <w:r>
              <w:rPr>
                <w:rFonts w:ascii="Arial" w:cs="Arial" w:eastAsia="Arial" w:hAnsi="Arial"/>
                <w:sz w:val="18"/>
                <w:szCs w:val="18"/>
                <w:color w:val="auto"/>
              </w:rPr>
              <w:t>Income before minority interest</w:t>
            </w:r>
          </w:p>
        </w:tc>
        <w:tc>
          <w:tcPr>
            <w:tcW w:w="4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295"/>
              <w:spacing w:after="0"/>
              <w:rPr>
                <w:sz w:val="20"/>
                <w:szCs w:val="20"/>
                <w:color w:val="auto"/>
              </w:rPr>
            </w:pPr>
            <w:r>
              <w:rPr>
                <w:rFonts w:ascii="Arial" w:cs="Arial" w:eastAsia="Arial" w:hAnsi="Arial"/>
                <w:sz w:val="18"/>
                <w:szCs w:val="18"/>
                <w:color w:val="auto"/>
              </w:rPr>
              <w:t>619</w:t>
            </w:r>
          </w:p>
        </w:tc>
        <w:tc>
          <w:tcPr>
            <w:tcW w:w="1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576</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rPr>
              <w:t>1,357</w:t>
            </w:r>
          </w:p>
        </w:tc>
        <w:tc>
          <w:tcPr>
            <w:tcW w:w="26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1,409</w:t>
            </w:r>
          </w:p>
        </w:tc>
      </w:tr>
      <w:tr>
        <w:trPr>
          <w:trHeight w:val="216"/>
        </w:trPr>
        <w:tc>
          <w:tcPr>
            <w:tcW w:w="20" w:type="dxa"/>
            <w:vAlign w:val="bottom"/>
          </w:tcPr>
          <w:p>
            <w:pPr>
              <w:spacing w:after="0"/>
              <w:rPr>
                <w:sz w:val="18"/>
                <w:szCs w:val="18"/>
                <w:color w:val="auto"/>
              </w:rPr>
            </w:pPr>
          </w:p>
        </w:tc>
        <w:tc>
          <w:tcPr>
            <w:tcW w:w="7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Minority interest</w:t>
            </w: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5"/>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12</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7</w:t>
            </w:r>
          </w:p>
        </w:tc>
        <w:tc>
          <w:tcPr>
            <w:tcW w:w="2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17"/>
        </w:trPr>
        <w:tc>
          <w:tcPr>
            <w:tcW w:w="20" w:type="dxa"/>
            <w:vAlign w:val="bottom"/>
          </w:tcPr>
          <w:p>
            <w:pPr>
              <w:spacing w:after="0"/>
              <w:rPr>
                <w:sz w:val="18"/>
                <w:szCs w:val="18"/>
                <w:color w:val="auto"/>
              </w:rPr>
            </w:pPr>
          </w:p>
        </w:tc>
        <w:tc>
          <w:tcPr>
            <w:tcW w:w="75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income</w:t>
            </w: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shd w:val="clear" w:color="auto" w:fill="E5E5E5"/>
          </w:tcPr>
          <w:p>
            <w:pPr>
              <w:jc w:val="right"/>
              <w:ind w:right="295"/>
              <w:spacing w:after="0"/>
              <w:rPr>
                <w:sz w:val="20"/>
                <w:szCs w:val="20"/>
                <w:color w:val="auto"/>
              </w:rPr>
            </w:pPr>
            <w:r>
              <w:rPr>
                <w:rFonts w:ascii="Arial" w:cs="Arial" w:eastAsia="Arial" w:hAnsi="Arial"/>
                <w:sz w:val="18"/>
                <w:szCs w:val="18"/>
                <w:b w:val="1"/>
                <w:bCs w:val="1"/>
                <w:color w:val="auto"/>
              </w:rPr>
              <w:t>632</w:t>
            </w:r>
          </w:p>
        </w:tc>
        <w:tc>
          <w:tcPr>
            <w:tcW w:w="1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b w:val="1"/>
                <w:bCs w:val="1"/>
                <w:color w:val="auto"/>
              </w:rPr>
              <w:t>588</w:t>
            </w:r>
          </w:p>
        </w:tc>
        <w:tc>
          <w:tcPr>
            <w:tcW w:w="2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E5E5E5"/>
          </w:tcPr>
          <w:p>
            <w:pPr>
              <w:jc w:val="right"/>
              <w:ind w:right="155"/>
              <w:spacing w:after="0"/>
              <w:rPr>
                <w:sz w:val="20"/>
                <w:szCs w:val="20"/>
                <w:color w:val="auto"/>
              </w:rPr>
            </w:pPr>
            <w:r>
              <w:rPr>
                <w:rFonts w:ascii="Arial" w:cs="Arial" w:eastAsia="Arial" w:hAnsi="Arial"/>
                <w:sz w:val="18"/>
                <w:szCs w:val="18"/>
                <w:b w:val="1"/>
                <w:bCs w:val="1"/>
                <w:color w:val="auto"/>
              </w:rPr>
              <w:t>1,364</w:t>
            </w:r>
          </w:p>
        </w:tc>
        <w:tc>
          <w:tcPr>
            <w:tcW w:w="2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1,425</w:t>
            </w:r>
          </w:p>
        </w:tc>
      </w:tr>
      <w:tr>
        <w:trPr>
          <w:trHeight w:val="322"/>
        </w:trPr>
        <w:tc>
          <w:tcPr>
            <w:tcW w:w="7600" w:type="dxa"/>
            <w:vAlign w:val="bottom"/>
            <w:gridSpan w:val="2"/>
          </w:tcPr>
          <w:p>
            <w:pPr>
              <w:spacing w:after="0"/>
              <w:rPr>
                <w:sz w:val="20"/>
                <w:szCs w:val="20"/>
                <w:color w:val="auto"/>
              </w:rPr>
            </w:pPr>
            <w:r>
              <w:rPr>
                <w:rFonts w:ascii="Arial" w:cs="Arial" w:eastAsia="Arial" w:hAnsi="Arial"/>
                <w:sz w:val="18"/>
                <w:szCs w:val="18"/>
                <w:b w:val="1"/>
                <w:bCs w:val="1"/>
                <w:color w:val="auto"/>
              </w:rPr>
              <w:t>Basic earnings per common share</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295"/>
              <w:spacing w:after="0"/>
              <w:rPr>
                <w:sz w:val="20"/>
                <w:szCs w:val="20"/>
                <w:color w:val="auto"/>
              </w:rPr>
            </w:pPr>
            <w:r>
              <w:rPr>
                <w:rFonts w:ascii="Arial" w:cs="Arial" w:eastAsia="Arial" w:hAnsi="Arial"/>
                <w:sz w:val="18"/>
                <w:szCs w:val="18"/>
                <w:b w:val="1"/>
                <w:bCs w:val="1"/>
                <w:color w:val="auto"/>
              </w:rPr>
              <w:t>0.21</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Pr>
          <w:p>
            <w:pPr>
              <w:jc w:val="right"/>
              <w:ind w:right="133"/>
              <w:spacing w:after="0"/>
              <w:rPr>
                <w:sz w:val="20"/>
                <w:szCs w:val="20"/>
                <w:color w:val="auto"/>
              </w:rPr>
            </w:pPr>
            <w:r>
              <w:rPr>
                <w:rFonts w:ascii="Arial" w:cs="Arial" w:eastAsia="Arial" w:hAnsi="Arial"/>
                <w:sz w:val="18"/>
                <w:szCs w:val="18"/>
                <w:b w:val="1"/>
                <w:bCs w:val="1"/>
                <w:color w:val="auto"/>
              </w:rPr>
              <w:t>0.19</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155"/>
              <w:spacing w:after="0"/>
              <w:rPr>
                <w:sz w:val="20"/>
                <w:szCs w:val="20"/>
                <w:color w:val="auto"/>
              </w:rPr>
            </w:pPr>
            <w:r>
              <w:rPr>
                <w:rFonts w:ascii="Arial" w:cs="Arial" w:eastAsia="Arial" w:hAnsi="Arial"/>
                <w:sz w:val="18"/>
                <w:szCs w:val="18"/>
                <w:b w:val="1"/>
                <w:bCs w:val="1"/>
                <w:color w:val="auto"/>
              </w:rPr>
              <w:t>0.46</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0.46</w:t>
            </w:r>
          </w:p>
        </w:tc>
      </w:tr>
      <w:tr>
        <w:trPr>
          <w:trHeight w:val="218"/>
        </w:trPr>
        <w:tc>
          <w:tcPr>
            <w:tcW w:w="20" w:type="dxa"/>
            <w:vAlign w:val="bottom"/>
          </w:tcPr>
          <w:p>
            <w:pPr>
              <w:spacing w:after="0"/>
              <w:rPr>
                <w:sz w:val="18"/>
                <w:szCs w:val="18"/>
                <w:color w:val="auto"/>
              </w:rPr>
            </w:pPr>
          </w:p>
        </w:tc>
        <w:tc>
          <w:tcPr>
            <w:tcW w:w="75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Diluted earnings per common share</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E5E5E5"/>
          </w:tcPr>
          <w:p>
            <w:pPr>
              <w:jc w:val="right"/>
              <w:ind w:right="295"/>
              <w:spacing w:after="0"/>
              <w:rPr>
                <w:sz w:val="20"/>
                <w:szCs w:val="20"/>
                <w:color w:val="auto"/>
              </w:rPr>
            </w:pPr>
            <w:r>
              <w:rPr>
                <w:rFonts w:ascii="Arial" w:cs="Arial" w:eastAsia="Arial" w:hAnsi="Arial"/>
                <w:sz w:val="18"/>
                <w:szCs w:val="18"/>
                <w:b w:val="1"/>
                <w:bCs w:val="1"/>
                <w:color w:val="auto"/>
              </w:rPr>
              <w:t>0.21</w:t>
            </w:r>
          </w:p>
        </w:tc>
        <w:tc>
          <w:tcPr>
            <w:tcW w:w="1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shd w:val="clear" w:color="auto" w:fill="E5E5E5"/>
          </w:tcPr>
          <w:p>
            <w:pPr>
              <w:jc w:val="right"/>
              <w:ind w:right="133"/>
              <w:spacing w:after="0"/>
              <w:rPr>
                <w:sz w:val="20"/>
                <w:szCs w:val="20"/>
                <w:color w:val="auto"/>
              </w:rPr>
            </w:pPr>
            <w:r>
              <w:rPr>
                <w:rFonts w:ascii="Arial" w:cs="Arial" w:eastAsia="Arial" w:hAnsi="Arial"/>
                <w:sz w:val="18"/>
                <w:szCs w:val="18"/>
                <w:b w:val="1"/>
                <w:bCs w:val="1"/>
                <w:color w:val="auto"/>
              </w:rPr>
              <w:t>0.19</w:t>
            </w:r>
          </w:p>
        </w:tc>
        <w:tc>
          <w:tcPr>
            <w:tcW w:w="2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5E5E5"/>
          </w:tcPr>
          <w:p>
            <w:pPr>
              <w:jc w:val="right"/>
              <w:ind w:right="155"/>
              <w:spacing w:after="0"/>
              <w:rPr>
                <w:sz w:val="20"/>
                <w:szCs w:val="20"/>
                <w:color w:val="auto"/>
              </w:rPr>
            </w:pPr>
            <w:r>
              <w:rPr>
                <w:rFonts w:ascii="Arial" w:cs="Arial" w:eastAsia="Arial" w:hAnsi="Arial"/>
                <w:sz w:val="18"/>
                <w:szCs w:val="18"/>
                <w:b w:val="1"/>
                <w:bCs w:val="1"/>
                <w:color w:val="auto"/>
              </w:rPr>
              <w:t>0.46</w:t>
            </w:r>
          </w:p>
        </w:tc>
        <w:tc>
          <w:tcPr>
            <w:tcW w:w="2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0.45</w:t>
            </w:r>
          </w:p>
        </w:tc>
      </w:tr>
      <w:tr>
        <w:trPr>
          <w:trHeight w:val="223"/>
        </w:trPr>
        <w:tc>
          <w:tcPr>
            <w:tcW w:w="20" w:type="dxa"/>
            <w:vAlign w:val="bottom"/>
            <w:tcBorders>
              <w:bottom w:val="single" w:sz="8" w:color="auto"/>
            </w:tcBorders>
          </w:tcPr>
          <w:p>
            <w:pPr>
              <w:spacing w:after="0"/>
              <w:rPr>
                <w:sz w:val="19"/>
                <w:szCs w:val="19"/>
                <w:color w:val="auto"/>
              </w:rPr>
            </w:pPr>
          </w:p>
        </w:tc>
        <w:tc>
          <w:tcPr>
            <w:tcW w:w="7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Dividends declared per common share</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295"/>
              <w:spacing w:after="0"/>
              <w:rPr>
                <w:sz w:val="20"/>
                <w:szCs w:val="20"/>
                <w:color w:val="auto"/>
              </w:rPr>
            </w:pPr>
            <w:r>
              <w:rPr>
                <w:rFonts w:ascii="Arial" w:cs="Arial" w:eastAsia="Arial" w:hAnsi="Arial"/>
                <w:sz w:val="18"/>
                <w:szCs w:val="18"/>
                <w:b w:val="1"/>
                <w:bCs w:val="1"/>
                <w:color w:val="auto"/>
                <w:w w:val="83"/>
              </w:rPr>
              <w:t>0.0625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b w:val="1"/>
                <w:bCs w:val="1"/>
                <w:color w:val="auto"/>
                <w:w w:val="83"/>
              </w:rPr>
              <w:t>0.1250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 of Cash Flows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2100" w:type="dxa"/>
            <w:vAlign w:val="bottom"/>
            <w:gridSpan w:val="3"/>
          </w:tcPr>
          <w:p>
            <w:pPr>
              <w:jc w:val="right"/>
              <w:ind w:right="273"/>
              <w:spacing w:after="0"/>
              <w:rPr>
                <w:sz w:val="20"/>
                <w:szCs w:val="20"/>
                <w:color w:val="auto"/>
              </w:rPr>
            </w:pPr>
            <w:r>
              <w:rPr>
                <w:rFonts w:ascii="Arial" w:cs="Arial" w:eastAsia="Arial" w:hAnsi="Arial"/>
                <w:sz w:val="14"/>
                <w:szCs w:val="14"/>
                <w:color w:val="auto"/>
              </w:rPr>
              <w:t>Six Months Ended</w:t>
            </w:r>
          </w:p>
        </w:tc>
      </w:tr>
      <w:tr>
        <w:trPr>
          <w:trHeight w:val="172"/>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June 30</w:t>
            </w: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3"/>
        </w:trPr>
        <w:tc>
          <w:tcPr>
            <w:tcW w:w="9320" w:type="dxa"/>
            <w:vAlign w:val="bottom"/>
            <w:gridSpan w:val="2"/>
          </w:tcPr>
          <w:p>
            <w:pPr>
              <w:spacing w:after="0" w:line="143" w:lineRule="exact"/>
              <w:rPr>
                <w:sz w:val="20"/>
                <w:szCs w:val="20"/>
                <w:color w:val="auto"/>
              </w:rPr>
            </w:pPr>
            <w:r>
              <w:rPr>
                <w:rFonts w:ascii="Arial" w:cs="Arial" w:eastAsia="Arial" w:hAnsi="Arial"/>
                <w:sz w:val="14"/>
                <w:szCs w:val="14"/>
                <w:color w:val="auto"/>
              </w:rPr>
              <w:t>(in millions)</w:t>
            </w:r>
          </w:p>
        </w:tc>
        <w:tc>
          <w:tcPr>
            <w:tcW w:w="1460" w:type="dxa"/>
            <w:vAlign w:val="bottom"/>
          </w:tcPr>
          <w:p>
            <w:pPr>
              <w:jc w:val="right"/>
              <w:ind w:right="535"/>
              <w:spacing w:after="0" w:line="143" w:lineRule="exact"/>
              <w:rPr>
                <w:sz w:val="20"/>
                <w:szCs w:val="20"/>
                <w:color w:val="auto"/>
              </w:rPr>
            </w:pPr>
            <w:r>
              <w:rPr>
                <w:rFonts w:ascii="Arial" w:cs="Arial" w:eastAsia="Arial" w:hAnsi="Arial"/>
                <w:sz w:val="14"/>
                <w:szCs w:val="14"/>
                <w:color w:val="auto"/>
              </w:rPr>
              <w:t>2008</w:t>
            </w:r>
          </w:p>
        </w:tc>
        <w:tc>
          <w:tcPr>
            <w:tcW w:w="120" w:type="dxa"/>
            <w:vAlign w:val="bottom"/>
          </w:tcPr>
          <w:p>
            <w:pPr>
              <w:spacing w:after="0"/>
              <w:rPr>
                <w:sz w:val="12"/>
                <w:szCs w:val="12"/>
                <w:color w:val="auto"/>
              </w:rPr>
            </w:pPr>
          </w:p>
        </w:tc>
        <w:tc>
          <w:tcPr>
            <w:tcW w:w="520" w:type="dxa"/>
            <w:vAlign w:val="bottom"/>
          </w:tcPr>
          <w:p>
            <w:pPr>
              <w:jc w:val="right"/>
              <w:ind w:right="113"/>
              <w:spacing w:after="0" w:line="143" w:lineRule="exact"/>
              <w:rPr>
                <w:sz w:val="20"/>
                <w:szCs w:val="20"/>
                <w:color w:val="auto"/>
              </w:rPr>
            </w:pPr>
            <w:r>
              <w:rPr>
                <w:rFonts w:ascii="Arial" w:cs="Arial" w:eastAsia="Arial" w:hAnsi="Arial"/>
                <w:sz w:val="14"/>
                <w:szCs w:val="14"/>
                <w:color w:val="auto"/>
                <w:w w:val="96"/>
              </w:rPr>
              <w:t>2007</w:t>
            </w:r>
          </w:p>
        </w:tc>
      </w:tr>
      <w:tr>
        <w:trPr>
          <w:trHeight w:val="210"/>
        </w:trPr>
        <w:tc>
          <w:tcPr>
            <w:tcW w:w="20" w:type="dxa"/>
            <w:vAlign w:val="bottom"/>
          </w:tcPr>
          <w:p>
            <w:pPr>
              <w:spacing w:after="0"/>
              <w:rPr>
                <w:sz w:val="18"/>
                <w:szCs w:val="18"/>
                <w:color w:val="auto"/>
              </w:rPr>
            </w:pPr>
          </w:p>
        </w:tc>
        <w:tc>
          <w:tcPr>
            <w:tcW w:w="9300" w:type="dxa"/>
            <w:vAlign w:val="bottom"/>
            <w:tcBorders>
              <w:top w:val="single" w:sz="8" w:color="auto"/>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460" w:type="dxa"/>
            <w:vAlign w:val="bottom"/>
            <w:tcBorders>
              <w:top w:val="single" w:sz="8" w:color="auto"/>
              <w:bottom w:val="single" w:sz="8" w:color="auto"/>
            </w:tcBorders>
            <w:shd w:val="clear" w:color="auto" w:fill="E5E5E5"/>
          </w:tcPr>
          <w:p>
            <w:pPr>
              <w:jc w:val="right"/>
              <w:ind w:right="395"/>
              <w:spacing w:after="0"/>
              <w:rPr>
                <w:sz w:val="20"/>
                <w:szCs w:val="20"/>
                <w:color w:val="auto"/>
              </w:rPr>
            </w:pPr>
            <w:r>
              <w:rPr>
                <w:rFonts w:ascii="Arial" w:cs="Arial" w:eastAsia="Arial" w:hAnsi="Arial"/>
                <w:sz w:val="18"/>
                <w:szCs w:val="18"/>
                <w:b w:val="1"/>
                <w:bCs w:val="1"/>
                <w:color w:val="auto"/>
              </w:rPr>
              <w:t>$ 4,928</w:t>
            </w:r>
          </w:p>
        </w:tc>
        <w:tc>
          <w:tcPr>
            <w:tcW w:w="12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97"/>
              </w:rPr>
              <w:t>3,907</w:t>
            </w:r>
          </w:p>
        </w:tc>
      </w:tr>
      <w:tr>
        <w:trPr>
          <w:trHeight w:val="269"/>
        </w:trPr>
        <w:tc>
          <w:tcPr>
            <w:tcW w:w="932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1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r>
      <w:tr>
        <w:trPr>
          <w:trHeight w:val="224"/>
        </w:trPr>
        <w:tc>
          <w:tcPr>
            <w:tcW w:w="20" w:type="dxa"/>
            <w:vAlign w:val="bottom"/>
          </w:tcPr>
          <w:p>
            <w:pPr>
              <w:spacing w:after="0"/>
              <w:rPr>
                <w:sz w:val="19"/>
                <w:szCs w:val="19"/>
                <w:color w:val="auto"/>
              </w:rPr>
            </w:pPr>
          </w:p>
        </w:tc>
        <w:tc>
          <w:tcPr>
            <w:tcW w:w="93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Proceeds from borrowings</w:t>
            </w:r>
          </w:p>
        </w:tc>
        <w:tc>
          <w:tcPr>
            <w:tcW w:w="1460" w:type="dxa"/>
            <w:vAlign w:val="bottom"/>
            <w:shd w:val="clear" w:color="auto" w:fill="E5E5E5"/>
          </w:tcPr>
          <w:p>
            <w:pPr>
              <w:jc w:val="right"/>
              <w:ind w:right="395"/>
              <w:spacing w:after="0"/>
              <w:rPr>
                <w:sz w:val="20"/>
                <w:szCs w:val="20"/>
                <w:color w:val="auto"/>
              </w:rPr>
            </w:pPr>
            <w:r>
              <w:rPr>
                <w:rFonts w:ascii="Arial" w:cs="Arial" w:eastAsia="Arial" w:hAnsi="Arial"/>
                <w:sz w:val="18"/>
                <w:szCs w:val="18"/>
                <w:color w:val="auto"/>
              </w:rPr>
              <w:t>2,009</w:t>
            </w:r>
          </w:p>
        </w:tc>
        <w:tc>
          <w:tcPr>
            <w:tcW w:w="120" w:type="dxa"/>
            <w:vAlign w:val="bottom"/>
            <w:shd w:val="clear" w:color="auto" w:fill="E5E5E5"/>
          </w:tcPr>
          <w:p>
            <w:pPr>
              <w:spacing w:after="0"/>
              <w:rPr>
                <w:sz w:val="19"/>
                <w:szCs w:val="19"/>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590</w:t>
            </w: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Retirements and repayments of debt</w:t>
            </w:r>
          </w:p>
        </w:tc>
        <w:tc>
          <w:tcPr>
            <w:tcW w:w="1460" w:type="dxa"/>
            <w:vAlign w:val="bottom"/>
          </w:tcPr>
          <w:p>
            <w:pPr>
              <w:jc w:val="right"/>
              <w:ind w:right="335"/>
              <w:spacing w:after="0"/>
              <w:rPr>
                <w:sz w:val="20"/>
                <w:szCs w:val="20"/>
                <w:color w:val="auto"/>
              </w:rPr>
            </w:pPr>
            <w:r>
              <w:rPr>
                <w:rFonts w:ascii="Arial" w:cs="Arial" w:eastAsia="Arial" w:hAnsi="Arial"/>
                <w:sz w:val="18"/>
                <w:szCs w:val="18"/>
                <w:color w:val="auto"/>
              </w:rPr>
              <w:t>(831)</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(1,320)</w:t>
            </w:r>
          </w:p>
        </w:tc>
      </w:tr>
      <w:tr>
        <w:trPr>
          <w:trHeight w:val="216"/>
        </w:trPr>
        <w:tc>
          <w:tcPr>
            <w:tcW w:w="20" w:type="dxa"/>
            <w:vAlign w:val="bottom"/>
          </w:tcPr>
          <w:p>
            <w:pPr>
              <w:spacing w:after="0"/>
              <w:rPr>
                <w:sz w:val="18"/>
                <w:szCs w:val="18"/>
                <w:color w:val="auto"/>
              </w:rPr>
            </w:pPr>
          </w:p>
        </w:tc>
        <w:tc>
          <w:tcPr>
            <w:tcW w:w="93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Repurchases of common stock</w:t>
            </w:r>
          </w:p>
        </w:tc>
        <w:tc>
          <w:tcPr>
            <w:tcW w:w="146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(1,979)</w:t>
            </w:r>
          </w:p>
        </w:tc>
        <w:tc>
          <w:tcPr>
            <w:tcW w:w="12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7"/>
              </w:rPr>
              <w:t>(1,252)</w:t>
            </w: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Dividends paid</w:t>
            </w:r>
          </w:p>
        </w:tc>
        <w:tc>
          <w:tcPr>
            <w:tcW w:w="1460" w:type="dxa"/>
            <w:vAlign w:val="bottom"/>
          </w:tcPr>
          <w:p>
            <w:pPr>
              <w:jc w:val="right"/>
              <w:ind w:right="335"/>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3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Issuances of common stock</w:t>
            </w:r>
          </w:p>
        </w:tc>
        <w:tc>
          <w:tcPr>
            <w:tcW w:w="1460" w:type="dxa"/>
            <w:vAlign w:val="bottom"/>
            <w:shd w:val="clear" w:color="auto" w:fill="E5E5E5"/>
          </w:tcPr>
          <w:p>
            <w:pPr>
              <w:jc w:val="right"/>
              <w:ind w:right="395"/>
              <w:spacing w:after="0"/>
              <w:rPr>
                <w:sz w:val="20"/>
                <w:szCs w:val="20"/>
                <w:color w:val="auto"/>
              </w:rPr>
            </w:pPr>
            <w:r>
              <w:rPr>
                <w:rFonts w:ascii="Arial" w:cs="Arial" w:eastAsia="Arial" w:hAnsi="Arial"/>
                <w:sz w:val="18"/>
                <w:szCs w:val="18"/>
                <w:color w:val="auto"/>
              </w:rPr>
              <w:t>42</w:t>
            </w:r>
          </w:p>
        </w:tc>
        <w:tc>
          <w:tcPr>
            <w:tcW w:w="12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334</w:t>
            </w:r>
          </w:p>
        </w:tc>
      </w:tr>
      <w:tr>
        <w:trPr>
          <w:trHeight w:val="216"/>
        </w:trPr>
        <w:tc>
          <w:tcPr>
            <w:tcW w:w="20" w:type="dxa"/>
            <w:vAlign w:val="bottom"/>
          </w:tcPr>
          <w:p>
            <w:pPr>
              <w:spacing w:after="0"/>
              <w:rPr>
                <w:sz w:val="18"/>
                <w:szCs w:val="18"/>
                <w:color w:val="auto"/>
              </w:rPr>
            </w:pPr>
          </w:p>
        </w:tc>
        <w:tc>
          <w:tcPr>
            <w:tcW w:w="93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w:t>
            </w:r>
          </w:p>
        </w:tc>
        <w:tc>
          <w:tcPr>
            <w:tcW w:w="1460" w:type="dxa"/>
            <w:vAlign w:val="bottom"/>
            <w:tcBorders>
              <w:bottom w:val="single" w:sz="8" w:color="auto"/>
            </w:tcBorders>
          </w:tcPr>
          <w:p>
            <w:pPr>
              <w:jc w:val="right"/>
              <w:ind w:right="335"/>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r>
      <w:tr>
        <w:trPr>
          <w:trHeight w:val="210"/>
        </w:trPr>
        <w:tc>
          <w:tcPr>
            <w:tcW w:w="20" w:type="dxa"/>
            <w:vAlign w:val="bottom"/>
          </w:tcPr>
          <w:p>
            <w:pPr>
              <w:spacing w:after="0"/>
              <w:rPr>
                <w:sz w:val="18"/>
                <w:szCs w:val="18"/>
                <w:color w:val="auto"/>
              </w:rPr>
            </w:pPr>
          </w:p>
        </w:tc>
        <w:tc>
          <w:tcPr>
            <w:tcW w:w="93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460" w:type="dxa"/>
            <w:vAlign w:val="bottom"/>
            <w:tcBorders>
              <w:bottom w:val="single" w:sz="8" w:color="auto"/>
            </w:tcBorders>
            <w:shd w:val="clear" w:color="auto" w:fill="E5E5E5"/>
          </w:tcPr>
          <w:p>
            <w:pPr>
              <w:jc w:val="right"/>
              <w:ind w:right="335"/>
              <w:spacing w:after="0"/>
              <w:rPr>
                <w:sz w:val="20"/>
                <w:szCs w:val="20"/>
                <w:color w:val="auto"/>
              </w:rPr>
            </w:pPr>
            <w:r>
              <w:rPr>
                <w:rFonts w:ascii="Arial" w:cs="Arial" w:eastAsia="Arial" w:hAnsi="Arial"/>
                <w:sz w:val="18"/>
                <w:szCs w:val="18"/>
                <w:b w:val="1"/>
                <w:bCs w:val="1"/>
                <w:color w:val="auto"/>
              </w:rPr>
              <w:t>(1,079)</w:t>
            </w:r>
          </w:p>
        </w:tc>
        <w:tc>
          <w:tcPr>
            <w:tcW w:w="1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87"/>
              </w:rPr>
              <w:t>(1,596)</w:t>
            </w:r>
          </w:p>
        </w:tc>
      </w:tr>
      <w:tr>
        <w:trPr>
          <w:trHeight w:val="210"/>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Capital expenditures</w:t>
            </w:r>
          </w:p>
        </w:tc>
        <w:tc>
          <w:tcPr>
            <w:tcW w:w="146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(2,731)</w:t>
            </w:r>
          </w:p>
        </w:tc>
        <w:tc>
          <w:tcPr>
            <w:tcW w:w="12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7"/>
              </w:rPr>
              <w:t>(3,058)</w:t>
            </w: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Cash paid for intangible assets</w:t>
            </w:r>
          </w:p>
        </w:tc>
        <w:tc>
          <w:tcPr>
            <w:tcW w:w="1460" w:type="dxa"/>
            <w:vAlign w:val="bottom"/>
          </w:tcPr>
          <w:p>
            <w:pPr>
              <w:jc w:val="right"/>
              <w:ind w:right="335"/>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(229)</w:t>
            </w:r>
          </w:p>
        </w:tc>
      </w:tr>
      <w:tr>
        <w:trPr>
          <w:trHeight w:val="216"/>
        </w:trPr>
        <w:tc>
          <w:tcPr>
            <w:tcW w:w="20" w:type="dxa"/>
            <w:vAlign w:val="bottom"/>
          </w:tcPr>
          <w:p>
            <w:pPr>
              <w:spacing w:after="0"/>
              <w:rPr>
                <w:sz w:val="18"/>
                <w:szCs w:val="18"/>
                <w:color w:val="auto"/>
              </w:rPr>
            </w:pPr>
          </w:p>
        </w:tc>
        <w:tc>
          <w:tcPr>
            <w:tcW w:w="93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Acquisitions, net of cash acquired</w:t>
            </w:r>
          </w:p>
        </w:tc>
        <w:tc>
          <w:tcPr>
            <w:tcW w:w="146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(331)</w:t>
            </w:r>
          </w:p>
        </w:tc>
        <w:tc>
          <w:tcPr>
            <w:tcW w:w="12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(770)</w:t>
            </w: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Proceeds from sales of investments</w:t>
            </w:r>
          </w:p>
        </w:tc>
        <w:tc>
          <w:tcPr>
            <w:tcW w:w="1460" w:type="dxa"/>
            <w:vAlign w:val="bottom"/>
          </w:tcPr>
          <w:p>
            <w:pPr>
              <w:jc w:val="right"/>
              <w:ind w:right="395"/>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1,288</w:t>
            </w:r>
          </w:p>
        </w:tc>
      </w:tr>
      <w:tr>
        <w:trPr>
          <w:trHeight w:val="216"/>
        </w:trPr>
        <w:tc>
          <w:tcPr>
            <w:tcW w:w="20" w:type="dxa"/>
            <w:vAlign w:val="bottom"/>
          </w:tcPr>
          <w:p>
            <w:pPr>
              <w:spacing w:after="0"/>
              <w:rPr>
                <w:sz w:val="18"/>
                <w:szCs w:val="18"/>
                <w:color w:val="auto"/>
              </w:rPr>
            </w:pPr>
          </w:p>
        </w:tc>
        <w:tc>
          <w:tcPr>
            <w:tcW w:w="93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Purchases of investments</w:t>
            </w:r>
          </w:p>
        </w:tc>
        <w:tc>
          <w:tcPr>
            <w:tcW w:w="146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(41)</w:t>
            </w:r>
          </w:p>
        </w:tc>
        <w:tc>
          <w:tcPr>
            <w:tcW w:w="12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Proceeds from sales (purchases) of short-term investments</w:t>
            </w:r>
          </w:p>
        </w:tc>
        <w:tc>
          <w:tcPr>
            <w:tcW w:w="1460" w:type="dxa"/>
            <w:vAlign w:val="bottom"/>
          </w:tcPr>
          <w:p>
            <w:pPr>
              <w:jc w:val="right"/>
              <w:ind w:right="39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20" w:type="dxa"/>
            <w:vAlign w:val="bottom"/>
          </w:tcPr>
          <w:p>
            <w:pPr>
              <w:spacing w:after="0"/>
              <w:rPr>
                <w:sz w:val="18"/>
                <w:szCs w:val="18"/>
                <w:color w:val="auto"/>
              </w:rPr>
            </w:pPr>
          </w:p>
        </w:tc>
        <w:tc>
          <w:tcPr>
            <w:tcW w:w="930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Other</w:t>
            </w:r>
          </w:p>
        </w:tc>
        <w:tc>
          <w:tcPr>
            <w:tcW w:w="1460" w:type="dxa"/>
            <w:vAlign w:val="bottom"/>
            <w:tcBorders>
              <w:bottom w:val="single" w:sz="8" w:color="auto"/>
            </w:tcBorders>
            <w:shd w:val="clear" w:color="auto" w:fill="E5E5E5"/>
          </w:tcPr>
          <w:p>
            <w:pPr>
              <w:jc w:val="right"/>
              <w:ind w:right="335"/>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43</w:t>
            </w:r>
          </w:p>
        </w:tc>
      </w:tr>
      <w:tr>
        <w:trPr>
          <w:trHeight w:val="210"/>
        </w:trPr>
        <w:tc>
          <w:tcPr>
            <w:tcW w:w="20" w:type="dxa"/>
            <w:vAlign w:val="bottom"/>
          </w:tcPr>
          <w:p>
            <w:pPr>
              <w:spacing w:after="0"/>
              <w:rPr>
                <w:sz w:val="18"/>
                <w:szCs w:val="18"/>
                <w:color w:val="auto"/>
              </w:rPr>
            </w:pPr>
          </w:p>
        </w:tc>
        <w:tc>
          <w:tcPr>
            <w:tcW w:w="9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1460" w:type="dxa"/>
            <w:vAlign w:val="bottom"/>
            <w:tcBorders>
              <w:bottom w:val="single" w:sz="8" w:color="auto"/>
            </w:tcBorders>
          </w:tcPr>
          <w:p>
            <w:pPr>
              <w:jc w:val="right"/>
              <w:ind w:right="335"/>
              <w:spacing w:after="0"/>
              <w:rPr>
                <w:sz w:val="20"/>
                <w:szCs w:val="20"/>
                <w:color w:val="auto"/>
              </w:rPr>
            </w:pPr>
            <w:r>
              <w:rPr>
                <w:rFonts w:ascii="Arial" w:cs="Arial" w:eastAsia="Arial" w:hAnsi="Arial"/>
                <w:sz w:val="18"/>
                <w:szCs w:val="18"/>
                <w:b w:val="1"/>
                <w:bCs w:val="1"/>
                <w:color w:val="auto"/>
              </w:rPr>
              <w:t>(3,045)</w:t>
            </w: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(2,722)</w:t>
            </w:r>
          </w:p>
        </w:tc>
      </w:tr>
      <w:tr>
        <w:trPr>
          <w:trHeight w:val="210"/>
        </w:trPr>
        <w:tc>
          <w:tcPr>
            <w:tcW w:w="20" w:type="dxa"/>
            <w:vAlign w:val="bottom"/>
          </w:tcPr>
          <w:p>
            <w:pPr>
              <w:spacing w:after="0"/>
              <w:rPr>
                <w:sz w:val="18"/>
                <w:szCs w:val="18"/>
                <w:color w:val="auto"/>
              </w:rPr>
            </w:pPr>
          </w:p>
        </w:tc>
        <w:tc>
          <w:tcPr>
            <w:tcW w:w="9300" w:type="dxa"/>
            <w:vAlign w:val="bottom"/>
            <w:shd w:val="clear" w:color="auto" w:fill="E5E5E5"/>
          </w:tcPr>
          <w:p>
            <w:pPr>
              <w:spacing w:after="0"/>
              <w:rPr>
                <w:sz w:val="20"/>
                <w:szCs w:val="20"/>
                <w:color w:val="auto"/>
              </w:rPr>
            </w:pPr>
            <w:r>
              <w:rPr>
                <w:rFonts w:ascii="Arial" w:cs="Arial" w:eastAsia="Arial" w:hAnsi="Arial"/>
                <w:sz w:val="18"/>
                <w:szCs w:val="18"/>
                <w:color w:val="auto"/>
              </w:rPr>
              <w:t>Increase (decrease) in cash and cash equivalents</w:t>
            </w:r>
          </w:p>
        </w:tc>
        <w:tc>
          <w:tcPr>
            <w:tcW w:w="1460" w:type="dxa"/>
            <w:vAlign w:val="bottom"/>
            <w:shd w:val="clear" w:color="auto" w:fill="E5E5E5"/>
          </w:tcPr>
          <w:p>
            <w:pPr>
              <w:jc w:val="right"/>
              <w:ind w:right="395"/>
              <w:spacing w:after="0"/>
              <w:rPr>
                <w:sz w:val="20"/>
                <w:szCs w:val="20"/>
                <w:color w:val="auto"/>
              </w:rPr>
            </w:pPr>
            <w:r>
              <w:rPr>
                <w:rFonts w:ascii="Arial" w:cs="Arial" w:eastAsia="Arial" w:hAnsi="Arial"/>
                <w:sz w:val="18"/>
                <w:szCs w:val="18"/>
                <w:color w:val="auto"/>
              </w:rPr>
              <w:t>804</w:t>
            </w:r>
          </w:p>
        </w:tc>
        <w:tc>
          <w:tcPr>
            <w:tcW w:w="12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(411)</w:t>
            </w:r>
          </w:p>
        </w:tc>
      </w:tr>
      <w:tr>
        <w:trPr>
          <w:trHeight w:val="216"/>
        </w:trPr>
        <w:tc>
          <w:tcPr>
            <w:tcW w:w="20" w:type="dxa"/>
            <w:vAlign w:val="bottom"/>
          </w:tcPr>
          <w:p>
            <w:pPr>
              <w:spacing w:after="0"/>
              <w:rPr>
                <w:sz w:val="18"/>
                <w:szCs w:val="18"/>
                <w:color w:val="auto"/>
              </w:rPr>
            </w:pPr>
          </w:p>
        </w:tc>
        <w:tc>
          <w:tcPr>
            <w:tcW w:w="9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1460" w:type="dxa"/>
            <w:vAlign w:val="bottom"/>
            <w:tcBorders>
              <w:bottom w:val="single" w:sz="8" w:color="auto"/>
            </w:tcBorders>
          </w:tcPr>
          <w:p>
            <w:pPr>
              <w:jc w:val="right"/>
              <w:ind w:right="395"/>
              <w:spacing w:after="0"/>
              <w:rPr>
                <w:sz w:val="20"/>
                <w:szCs w:val="20"/>
                <w:color w:val="auto"/>
              </w:rPr>
            </w:pPr>
            <w:r>
              <w:rPr>
                <w:rFonts w:ascii="Arial" w:cs="Arial" w:eastAsia="Arial" w:hAnsi="Arial"/>
                <w:sz w:val="18"/>
                <w:szCs w:val="18"/>
                <w:color w:val="auto"/>
              </w:rPr>
              <w:t>963</w:t>
            </w: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1,239</w:t>
            </w:r>
          </w:p>
        </w:tc>
      </w:tr>
      <w:tr>
        <w:trPr>
          <w:trHeight w:val="217"/>
        </w:trPr>
        <w:tc>
          <w:tcPr>
            <w:tcW w:w="20" w:type="dxa"/>
            <w:vAlign w:val="bottom"/>
          </w:tcPr>
          <w:p>
            <w:pPr>
              <w:spacing w:after="0"/>
              <w:rPr>
                <w:sz w:val="18"/>
                <w:szCs w:val="18"/>
                <w:color w:val="auto"/>
              </w:rPr>
            </w:pPr>
          </w:p>
        </w:tc>
        <w:tc>
          <w:tcPr>
            <w:tcW w:w="93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460" w:type="dxa"/>
            <w:vAlign w:val="bottom"/>
            <w:tcBorders>
              <w:bottom w:val="single" w:sz="8" w:color="auto"/>
            </w:tcBorders>
            <w:shd w:val="clear" w:color="auto" w:fill="E5E5E5"/>
          </w:tcPr>
          <w:p>
            <w:pPr>
              <w:jc w:val="right"/>
              <w:ind w:right="395"/>
              <w:spacing w:after="0"/>
              <w:rPr>
                <w:sz w:val="20"/>
                <w:szCs w:val="20"/>
                <w:color w:val="auto"/>
              </w:rPr>
            </w:pPr>
            <w:r>
              <w:rPr>
                <w:rFonts w:ascii="Arial" w:cs="Arial" w:eastAsia="Arial" w:hAnsi="Arial"/>
                <w:sz w:val="18"/>
                <w:szCs w:val="18"/>
                <w:b w:val="1"/>
                <w:bCs w:val="1"/>
                <w:color w:val="auto"/>
              </w:rPr>
              <w:t>$ 1,767</w:t>
            </w:r>
          </w:p>
        </w:tc>
        <w:tc>
          <w:tcPr>
            <w:tcW w:w="1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828</w:t>
            </w: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CONDENSED CONSOLIDATED FINANCIAL STATEMENTS (Unaudited)</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Condensed Consolidated Financial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prepared these unaudited condensed consolidated financial statements based on Securities and Exchange Commission (“SEC”) rules that permit reduced disclosure for interim periods. These financial statements include all adjustments that are necessary for a fair presentation of our results of operations and financial condition for the periods shown, including normal, recurring accruals and other items. The results of operations for the interim periods presented are not necessarily indicative of results for the full year.</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year-end condensed balance sheet was derived from audited financial statements but does not include all disclosures required by generally accepted accounting principles in the United States (“GAAP”). For a more complete discussion of our accounting policies and certain other information, refer to our annual financial statements for the preceding fiscal year as filed with the SEC.</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Recent Accounting Pronouncements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SFAS No. 157</w:t>
      </w:r>
    </w:p>
    <w:p>
      <w:pPr>
        <w:spacing w:after="0" w:line="7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September 2006, the Financial Accounting Standards Board (“FASB”) issued SFAS No. 157, “Fair Value Measurements,” (“SFAS No. 157”). SFAS No. 157 defines fair value, establishes a framework for measuring fair value and expands disclosure requirements for fair value measurements. SFAS No. 157 is effective for financial assets and financial liabilities in fiscal years beginning after November 15, 2007 and for nonfinancial assets and nonfinancial liabilities in fiscal years beginning after March 15, 2008. Effective January 1, 2008, we adopted the provisions of SFAS No. 157 that relate to our financial assets and financial liabilities. We are currently evaluating the impact of the provisions of SFAS No. 157 that relate to our nonfinancial assets and nonfinancial liabilities, which are effective for us as of January 1, 2009. See Note 8 for further details regarding the adoption of this standard.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SFAS No. 159</w:t>
      </w:r>
    </w:p>
    <w:p>
      <w:pPr>
        <w:spacing w:after="0" w:line="7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February 2007, the FASB issued SFAS No. 159, “The Fair Value Option for Financial Assets and Financial Liabilities,” (“SFAS No. 159”), which provides the option to report certain financial assets and financial liabilities at fair value, with the intent to mitigate the volatility in financial reporting that can occur when related assets and liabilities are recorded on different bases. SFAS No. 159 amends SFAS No. 95, “Statement of Cash Flows,” (“SFAS No. 95”) and SFAS No. 115, “Accounting for Certain Investments in Debt and Equity Securities,” (“SFAS No. 115”). SFAS No. 159 specifies that cash flows from trading securities, including securities for which an entity has elected the fair value option, should be classified in the statement of cash flows based on the nature of and purpose for which the securities were acquired. Before this amendment, SFAS No. 95 and SFAS No. 115 specified that cash flows from trading securities must be classified as cash flows from operating activities. Effective January 1, 2008, we adopted SFAS No. 159. We have not elected the fair value option for any financial assets or financial liabilities. Upon adoption, we reclassified for the six months ended June 30, 2007 and the year ended December 31, 2007 approximately $483 million and $603 million, respectively, of proceeds from the sale of trading securities within our statement of cash flows from operating activities to investing activities. The adoption of SFAS No. 159 had no effect on our statement of cash flows for the year ended December 31, 2006. We will classify proceeds from future sales based on the nature of the securities and the purpose for which they were acquired.</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SFAS No. 161</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2008, the FASB issued SFAS No. 161, “Disclosures about Derivative Instruments and Hedging Activities,” (“SFAS No. 161”). SFAS No. 161 amends and expands the disclosure requirements of SFAS No. 133, “Derivative Instruments and Hedging Activities,” (“SFAS No. 133”). It requires enhanced disclosure about (i) how and why an entity uses derivative instruments, (ii) how derivative instruments and related hedged items are accounted for under SFAS No. 133 and its related interpretations, and (iii) how derivative instruments and related hedged items affect an entity’s financial position, financial performance and cash flows. SFAS No. 161 is effective for us as of January 1, 2009.</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EITF Issue No. 06-10</w:t>
      </w:r>
    </w:p>
    <w:p>
      <w:pPr>
        <w:spacing w:after="0" w:line="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March 2007, the Emerging Issues Task Force (“EITF”) reached a consensus on EITF Issue No. 06-10, “Accounting for Deferred Compensation and Postretirement Benefit Aspects of Collateral Assignment Split-Dollar Life Insurance Arrangements,” (“EITF 06-10”). EITF 06-10 provides that an employer should recognize a liability for the postretirement benefit related to collateral assignment split-dollar life insurance arrangements. We adopted EITF 06-10 on January 1, 2008, at which time we adjusted beginning retained earnings and recorded a liability of approximately $130 million.</w:t>
      </w:r>
    </w:p>
    <w:p>
      <w:pPr>
        <w:spacing w:after="0" w:line="1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Earnings Per Share</w:t>
      </w:r>
    </w:p>
    <w:p>
      <w:pPr>
        <w:spacing w:after="0" w:line="13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Basic earnings per common share (“Basic EPS”) is computed by dividing net income for common stockholders by the weighted-average number of common shares outstanding during the period. Diluted earnings per common share (“Diluted EPS”) considers the impact of potentially dilutive securities except in periods where there is a loss because the inclusion of the potential common shares would have an antidilutive effect. Our potentially dilutive securities include potential common shares related to our stock options and our restricted share units (“RSUs”).</w:t>
      </w:r>
    </w:p>
    <w:p>
      <w:pPr>
        <w:spacing w:after="0" w:line="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Diluted EPS for the three and six months ended June 30, 2008 excludes approximately 146 million and 165 million potential common shares, respectively, related to our share-based compensation plans, because their inclusion would have had an antidilutive effect. For the three and six months ended June 30, 2007, Diluted EPS excluded approximately 39 million potential common shares.</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Diluted EPS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w w:val="88"/>
              </w:rPr>
              <w:t>Three Months Ended June 30</w:t>
            </w: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3"/>
              </w:rPr>
              <w:t>2008</w:t>
            </w:r>
          </w:p>
        </w:tc>
        <w:tc>
          <w:tcPr>
            <w:tcW w:w="3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20"/>
              <w:spacing w:after="0" w:line="142" w:lineRule="exact"/>
              <w:rPr>
                <w:sz w:val="20"/>
                <w:szCs w:val="20"/>
                <w:color w:val="auto"/>
              </w:rPr>
            </w:pPr>
            <w:r>
              <w:rPr>
                <w:rFonts w:ascii="Arial" w:cs="Arial" w:eastAsia="Arial" w:hAnsi="Arial"/>
                <w:sz w:val="14"/>
                <w:szCs w:val="14"/>
                <w:color w:val="auto"/>
              </w:rPr>
              <w:t>2007</w:t>
            </w: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31"/>
        </w:trPr>
        <w:tc>
          <w:tcPr>
            <w:tcW w:w="2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jc w:val="center"/>
              <w:spacing w:after="0" w:line="131" w:lineRule="exact"/>
              <w:rPr>
                <w:sz w:val="20"/>
                <w:szCs w:val="20"/>
                <w:color w:val="auto"/>
              </w:rPr>
            </w:pPr>
            <w:r>
              <w:rPr>
                <w:rFonts w:ascii="Arial" w:cs="Arial" w:eastAsia="Arial" w:hAnsi="Arial"/>
                <w:sz w:val="14"/>
                <w:szCs w:val="14"/>
                <w:color w:val="auto"/>
                <w:w w:val="82"/>
              </w:rPr>
              <w:t>Per Share</w:t>
            </w: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gridSpan w:val="2"/>
          </w:tcPr>
          <w:p>
            <w:pPr>
              <w:jc w:val="center"/>
              <w:ind w:left="19"/>
              <w:spacing w:after="0" w:line="131" w:lineRule="exact"/>
              <w:rPr>
                <w:sz w:val="20"/>
                <w:szCs w:val="20"/>
                <w:color w:val="auto"/>
              </w:rPr>
            </w:pPr>
            <w:r>
              <w:rPr>
                <w:rFonts w:ascii="Arial" w:cs="Arial" w:eastAsia="Arial" w:hAnsi="Arial"/>
                <w:sz w:val="14"/>
                <w:szCs w:val="14"/>
                <w:color w:val="auto"/>
                <w:w w:val="85"/>
              </w:rPr>
              <w:t>Per Share</w:t>
            </w:r>
          </w:p>
        </w:tc>
        <w:tc>
          <w:tcPr>
            <w:tcW w:w="20" w:type="dxa"/>
            <w:vAlign w:val="bottom"/>
          </w:tcPr>
          <w:p>
            <w:pPr>
              <w:spacing w:after="0"/>
              <w:rPr>
                <w:sz w:val="11"/>
                <w:szCs w:val="11"/>
                <w:color w:val="auto"/>
              </w:rPr>
            </w:pPr>
          </w:p>
        </w:tc>
      </w:tr>
      <w:tr>
        <w:trPr>
          <w:trHeight w:val="173"/>
        </w:trPr>
        <w:tc>
          <w:tcPr>
            <w:tcW w:w="5240" w:type="dxa"/>
            <w:vAlign w:val="bottom"/>
            <w:gridSpan w:val="2"/>
          </w:tcPr>
          <w:p>
            <w:pPr>
              <w:spacing w:after="0"/>
              <w:rPr>
                <w:sz w:val="20"/>
                <w:szCs w:val="20"/>
                <w:color w:val="auto"/>
              </w:rPr>
            </w:pPr>
            <w:r>
              <w:rPr>
                <w:rFonts w:ascii="Arial" w:cs="Arial" w:eastAsia="Arial" w:hAnsi="Arial"/>
                <w:sz w:val="14"/>
                <w:szCs w:val="14"/>
                <w:color w:val="auto"/>
              </w:rPr>
              <w:t>(in millions, except per share data)</w:t>
            </w:r>
          </w:p>
        </w:tc>
        <w:tc>
          <w:tcPr>
            <w:tcW w:w="1620" w:type="dxa"/>
            <w:vAlign w:val="bottom"/>
          </w:tcPr>
          <w:p>
            <w:pPr>
              <w:spacing w:after="0"/>
              <w:rPr>
                <w:sz w:val="15"/>
                <w:szCs w:val="15"/>
                <w:color w:val="auto"/>
              </w:rPr>
            </w:pPr>
          </w:p>
        </w:tc>
        <w:tc>
          <w:tcPr>
            <w:tcW w:w="900" w:type="dxa"/>
            <w:vAlign w:val="bottom"/>
            <w:gridSpan w:val="2"/>
          </w:tcPr>
          <w:p>
            <w:pPr>
              <w:jc w:val="right"/>
              <w:ind w:right="112"/>
              <w:spacing w:after="0"/>
              <w:rPr>
                <w:sz w:val="20"/>
                <w:szCs w:val="20"/>
                <w:color w:val="auto"/>
              </w:rPr>
            </w:pPr>
            <w:r>
              <w:rPr>
                <w:rFonts w:ascii="Arial" w:cs="Arial" w:eastAsia="Arial" w:hAnsi="Arial"/>
                <w:sz w:val="14"/>
                <w:szCs w:val="14"/>
                <w:color w:val="auto"/>
              </w:rPr>
              <w:t>Income</w:t>
            </w:r>
          </w:p>
        </w:tc>
        <w:tc>
          <w:tcPr>
            <w:tcW w:w="620" w:type="dxa"/>
            <w:vAlign w:val="bottom"/>
          </w:tcPr>
          <w:p>
            <w:pPr>
              <w:jc w:val="center"/>
              <w:spacing w:after="0"/>
              <w:rPr>
                <w:sz w:val="20"/>
                <w:szCs w:val="20"/>
                <w:color w:val="auto"/>
              </w:rPr>
            </w:pPr>
            <w:r>
              <w:rPr>
                <w:rFonts w:ascii="Arial" w:cs="Arial" w:eastAsia="Arial" w:hAnsi="Arial"/>
                <w:sz w:val="14"/>
                <w:szCs w:val="14"/>
                <w:color w:val="auto"/>
                <w:w w:val="81"/>
              </w:rPr>
              <w:t>Shares</w:t>
            </w:r>
          </w:p>
        </w:tc>
        <w:tc>
          <w:tcPr>
            <w:tcW w:w="840" w:type="dxa"/>
            <w:vAlign w:val="bottom"/>
            <w:gridSpan w:val="2"/>
          </w:tcPr>
          <w:p>
            <w:pPr>
              <w:jc w:val="center"/>
              <w:spacing w:after="0"/>
              <w:rPr>
                <w:sz w:val="20"/>
                <w:szCs w:val="20"/>
                <w:color w:val="auto"/>
              </w:rPr>
            </w:pPr>
            <w:r>
              <w:rPr>
                <w:rFonts w:ascii="Arial" w:cs="Arial" w:eastAsia="Arial" w:hAnsi="Arial"/>
                <w:sz w:val="14"/>
                <w:szCs w:val="14"/>
                <w:color w:val="auto"/>
                <w:w w:val="91"/>
              </w:rPr>
              <w:t>Amount</w:t>
            </w:r>
          </w:p>
        </w:tc>
        <w:tc>
          <w:tcPr>
            <w:tcW w:w="880" w:type="dxa"/>
            <w:vAlign w:val="bottom"/>
            <w:gridSpan w:val="2"/>
          </w:tcPr>
          <w:p>
            <w:pPr>
              <w:jc w:val="right"/>
              <w:ind w:right="192"/>
              <w:spacing w:after="0"/>
              <w:rPr>
                <w:sz w:val="20"/>
                <w:szCs w:val="20"/>
                <w:color w:val="auto"/>
              </w:rPr>
            </w:pPr>
            <w:r>
              <w:rPr>
                <w:rFonts w:ascii="Arial" w:cs="Arial" w:eastAsia="Arial" w:hAnsi="Arial"/>
                <w:sz w:val="14"/>
                <w:szCs w:val="14"/>
                <w:color w:val="auto"/>
              </w:rPr>
              <w:t>Income</w:t>
            </w:r>
          </w:p>
        </w:tc>
        <w:tc>
          <w:tcPr>
            <w:tcW w:w="600" w:type="dxa"/>
            <w:vAlign w:val="bottom"/>
          </w:tcPr>
          <w:p>
            <w:pPr>
              <w:jc w:val="right"/>
              <w:ind w:right="100"/>
              <w:spacing w:after="0"/>
              <w:rPr>
                <w:sz w:val="20"/>
                <w:szCs w:val="20"/>
                <w:color w:val="auto"/>
              </w:rPr>
            </w:pPr>
            <w:r>
              <w:rPr>
                <w:rFonts w:ascii="Arial" w:cs="Arial" w:eastAsia="Arial" w:hAnsi="Arial"/>
                <w:sz w:val="14"/>
                <w:szCs w:val="14"/>
                <w:color w:val="auto"/>
                <w:w w:val="90"/>
              </w:rPr>
              <w:t>Shares</w:t>
            </w:r>
          </w:p>
        </w:tc>
        <w:tc>
          <w:tcPr>
            <w:tcW w:w="180" w:type="dxa"/>
            <w:vAlign w:val="bottom"/>
          </w:tcPr>
          <w:p>
            <w:pPr>
              <w:spacing w:after="0"/>
              <w:rPr>
                <w:sz w:val="15"/>
                <w:szCs w:val="15"/>
                <w:color w:val="auto"/>
              </w:rPr>
            </w:pPr>
          </w:p>
        </w:tc>
        <w:tc>
          <w:tcPr>
            <w:tcW w:w="56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Amount</w:t>
            </w:r>
          </w:p>
        </w:tc>
      </w:tr>
      <w:tr>
        <w:trPr>
          <w:trHeight w:val="210"/>
        </w:trPr>
        <w:tc>
          <w:tcPr>
            <w:tcW w:w="20" w:type="dxa"/>
            <w:vAlign w:val="bottom"/>
          </w:tcPr>
          <w:p>
            <w:pPr>
              <w:spacing w:after="0"/>
              <w:rPr>
                <w:sz w:val="18"/>
                <w:szCs w:val="18"/>
                <w:color w:val="auto"/>
              </w:rPr>
            </w:pPr>
          </w:p>
        </w:tc>
        <w:tc>
          <w:tcPr>
            <w:tcW w:w="52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Basic EPS</w:t>
            </w:r>
          </w:p>
        </w:tc>
        <w:tc>
          <w:tcPr>
            <w:tcW w:w="1960" w:type="dxa"/>
            <w:vAlign w:val="bottom"/>
            <w:tcBorders>
              <w:top w:val="single" w:sz="8" w:color="auto"/>
            </w:tcBorders>
            <w:gridSpan w:val="2"/>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632</w:t>
            </w:r>
          </w:p>
        </w:tc>
        <w:tc>
          <w:tcPr>
            <w:tcW w:w="6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2,957</w:t>
            </w:r>
          </w:p>
        </w:tc>
        <w:tc>
          <w:tcPr>
            <w:tcW w:w="320" w:type="dxa"/>
            <w:vAlign w:val="bottom"/>
            <w:tcBorders>
              <w:top w:val="single" w:sz="8" w:color="auto"/>
            </w:tcBorders>
            <w:shd w:val="clear" w:color="auto" w:fill="E5E5E5"/>
          </w:tcPr>
          <w:p>
            <w:pPr>
              <w:ind w:left="14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0.21</w:t>
            </w:r>
          </w:p>
        </w:tc>
        <w:tc>
          <w:tcPr>
            <w:tcW w:w="2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588</w:t>
            </w:r>
          </w:p>
        </w:tc>
        <w:tc>
          <w:tcPr>
            <w:tcW w:w="600" w:type="dxa"/>
            <w:vAlign w:val="bottom"/>
            <w:tcBorders>
              <w:top w:val="single" w:sz="8" w:color="auto"/>
            </w:tcBorders>
            <w:shd w:val="clear" w:color="auto" w:fill="E5E5E5"/>
          </w:tcPr>
          <w:p>
            <w:pPr>
              <w:jc w:val="right"/>
              <w:ind w:right="40"/>
              <w:spacing w:after="0"/>
              <w:rPr>
                <w:sz w:val="20"/>
                <w:szCs w:val="20"/>
                <w:color w:val="auto"/>
              </w:rPr>
            </w:pPr>
            <w:r>
              <w:rPr>
                <w:rFonts w:ascii="Arial" w:cs="Arial" w:eastAsia="Arial" w:hAnsi="Arial"/>
                <w:sz w:val="18"/>
                <w:szCs w:val="18"/>
                <w:color w:val="auto"/>
              </w:rPr>
              <w:t>3,113</w:t>
            </w:r>
          </w:p>
        </w:tc>
        <w:tc>
          <w:tcPr>
            <w:tcW w:w="1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0.19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w w:val="95"/>
              </w:rPr>
              <w:t>Assumed exercise or issuance of shares relating to stock plans</w:t>
            </w:r>
          </w:p>
        </w:tc>
        <w:tc>
          <w:tcPr>
            <w:tcW w:w="1620" w:type="dxa"/>
            <w:vAlign w:val="bottom"/>
            <w:tcBorders>
              <w:bottom w:val="single" w:sz="8" w:color="auto"/>
            </w:tcBorders>
            <w:shd w:val="clear" w:color="auto" w:fill="E5E5E5"/>
          </w:tcPr>
          <w:p>
            <w:pPr>
              <w:spacing w:after="0"/>
              <w:rPr>
                <w:sz w:val="18"/>
                <w:szCs w:val="18"/>
                <w:color w:val="auto"/>
              </w:rPr>
            </w:pPr>
          </w:p>
        </w:tc>
        <w:tc>
          <w:tcPr>
            <w:tcW w:w="34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13</w:t>
            </w:r>
          </w:p>
        </w:tc>
        <w:tc>
          <w:tcPr>
            <w:tcW w:w="3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spacing w:after="0"/>
              <w:rPr>
                <w:sz w:val="18"/>
                <w:szCs w:val="18"/>
                <w:color w:val="auto"/>
              </w:rPr>
            </w:pPr>
          </w:p>
        </w:tc>
        <w:tc>
          <w:tcPr>
            <w:tcW w:w="2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40"/>
              <w:spacing w:after="0"/>
              <w:rPr>
                <w:sz w:val="20"/>
                <w:szCs w:val="20"/>
                <w:color w:val="auto"/>
              </w:rPr>
            </w:pPr>
            <w:r>
              <w:rPr>
                <w:rFonts w:ascii="Arial" w:cs="Arial" w:eastAsia="Arial" w:hAnsi="Arial"/>
                <w:sz w:val="18"/>
                <w:szCs w:val="18"/>
                <w:color w:val="auto"/>
              </w:rPr>
              <w:t>34</w:t>
            </w:r>
          </w:p>
        </w:tc>
        <w:tc>
          <w:tcPr>
            <w:tcW w:w="18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spacing w:after="0"/>
              <w:rPr>
                <w:sz w:val="18"/>
                <w:szCs w:val="18"/>
                <w:color w:val="auto"/>
              </w:rPr>
            </w:pP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5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Diluted EPS</w:t>
            </w:r>
          </w:p>
        </w:tc>
        <w:tc>
          <w:tcPr>
            <w:tcW w:w="1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632</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2,970</w:t>
            </w:r>
          </w:p>
        </w:tc>
        <w:tc>
          <w:tcPr>
            <w:tcW w:w="3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0.21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588</w:t>
            </w:r>
          </w:p>
        </w:tc>
        <w:tc>
          <w:tcPr>
            <w:tcW w:w="60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b w:val="1"/>
                <w:bCs w:val="1"/>
                <w:color w:val="auto"/>
              </w:rPr>
              <w:t>3,147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0.19</w:t>
            </w:r>
          </w:p>
        </w:tc>
        <w:tc>
          <w:tcPr>
            <w:tcW w:w="20" w:type="dxa"/>
            <w:vAlign w:val="bottom"/>
          </w:tcPr>
          <w:p>
            <w:pPr>
              <w:spacing w:after="0"/>
              <w:rPr>
                <w:sz w:val="18"/>
                <w:szCs w:val="18"/>
                <w:color w:val="auto"/>
              </w:rPr>
            </w:pPr>
          </w:p>
        </w:tc>
      </w:tr>
      <w:tr>
        <w:trPr>
          <w:trHeight w:val="365"/>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color w:val="auto"/>
                <w:w w:val="93"/>
              </w:rPr>
              <w:t>Six Months Ended June 30</w:t>
            </w: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3"/>
              </w:rPr>
              <w:t>2008</w:t>
            </w:r>
          </w:p>
        </w:tc>
        <w:tc>
          <w:tcPr>
            <w:tcW w:w="3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20"/>
              <w:spacing w:after="0" w:line="142" w:lineRule="exact"/>
              <w:rPr>
                <w:sz w:val="20"/>
                <w:szCs w:val="20"/>
                <w:color w:val="auto"/>
              </w:rPr>
            </w:pPr>
            <w:r>
              <w:rPr>
                <w:rFonts w:ascii="Arial" w:cs="Arial" w:eastAsia="Arial" w:hAnsi="Arial"/>
                <w:sz w:val="14"/>
                <w:szCs w:val="14"/>
                <w:color w:val="auto"/>
              </w:rPr>
              <w:t>2007</w:t>
            </w: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31"/>
        </w:trPr>
        <w:tc>
          <w:tcPr>
            <w:tcW w:w="2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jc w:val="center"/>
              <w:spacing w:after="0" w:line="131" w:lineRule="exact"/>
              <w:rPr>
                <w:sz w:val="20"/>
                <w:szCs w:val="20"/>
                <w:color w:val="auto"/>
              </w:rPr>
            </w:pPr>
            <w:r>
              <w:rPr>
                <w:rFonts w:ascii="Arial" w:cs="Arial" w:eastAsia="Arial" w:hAnsi="Arial"/>
                <w:sz w:val="14"/>
                <w:szCs w:val="14"/>
                <w:color w:val="auto"/>
                <w:w w:val="82"/>
              </w:rPr>
              <w:t>Per Share</w:t>
            </w: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gridSpan w:val="2"/>
          </w:tcPr>
          <w:p>
            <w:pPr>
              <w:jc w:val="center"/>
              <w:ind w:left="19"/>
              <w:spacing w:after="0" w:line="131" w:lineRule="exact"/>
              <w:rPr>
                <w:sz w:val="20"/>
                <w:szCs w:val="20"/>
                <w:color w:val="auto"/>
              </w:rPr>
            </w:pPr>
            <w:r>
              <w:rPr>
                <w:rFonts w:ascii="Arial" w:cs="Arial" w:eastAsia="Arial" w:hAnsi="Arial"/>
                <w:sz w:val="14"/>
                <w:szCs w:val="14"/>
                <w:color w:val="auto"/>
                <w:w w:val="85"/>
              </w:rPr>
              <w:t>Per Share</w:t>
            </w:r>
          </w:p>
        </w:tc>
        <w:tc>
          <w:tcPr>
            <w:tcW w:w="20" w:type="dxa"/>
            <w:vAlign w:val="bottom"/>
          </w:tcPr>
          <w:p>
            <w:pPr>
              <w:spacing w:after="0"/>
              <w:rPr>
                <w:sz w:val="11"/>
                <w:szCs w:val="11"/>
                <w:color w:val="auto"/>
              </w:rPr>
            </w:pPr>
          </w:p>
        </w:tc>
      </w:tr>
      <w:tr>
        <w:trPr>
          <w:trHeight w:val="173"/>
        </w:trPr>
        <w:tc>
          <w:tcPr>
            <w:tcW w:w="5240" w:type="dxa"/>
            <w:vAlign w:val="bottom"/>
            <w:gridSpan w:val="2"/>
          </w:tcPr>
          <w:p>
            <w:pPr>
              <w:spacing w:after="0"/>
              <w:rPr>
                <w:sz w:val="20"/>
                <w:szCs w:val="20"/>
                <w:color w:val="auto"/>
              </w:rPr>
            </w:pPr>
            <w:r>
              <w:rPr>
                <w:rFonts w:ascii="Arial" w:cs="Arial" w:eastAsia="Arial" w:hAnsi="Arial"/>
                <w:sz w:val="14"/>
                <w:szCs w:val="14"/>
                <w:color w:val="auto"/>
              </w:rPr>
              <w:t>(in millions, except per share data)</w:t>
            </w:r>
          </w:p>
        </w:tc>
        <w:tc>
          <w:tcPr>
            <w:tcW w:w="1620" w:type="dxa"/>
            <w:vAlign w:val="bottom"/>
          </w:tcPr>
          <w:p>
            <w:pPr>
              <w:spacing w:after="0"/>
              <w:rPr>
                <w:sz w:val="15"/>
                <w:szCs w:val="15"/>
                <w:color w:val="auto"/>
              </w:rPr>
            </w:pPr>
          </w:p>
        </w:tc>
        <w:tc>
          <w:tcPr>
            <w:tcW w:w="900" w:type="dxa"/>
            <w:vAlign w:val="bottom"/>
            <w:gridSpan w:val="2"/>
          </w:tcPr>
          <w:p>
            <w:pPr>
              <w:jc w:val="right"/>
              <w:ind w:right="112"/>
              <w:spacing w:after="0"/>
              <w:rPr>
                <w:sz w:val="20"/>
                <w:szCs w:val="20"/>
                <w:color w:val="auto"/>
              </w:rPr>
            </w:pPr>
            <w:r>
              <w:rPr>
                <w:rFonts w:ascii="Arial" w:cs="Arial" w:eastAsia="Arial" w:hAnsi="Arial"/>
                <w:sz w:val="14"/>
                <w:szCs w:val="14"/>
                <w:color w:val="auto"/>
              </w:rPr>
              <w:t>Income</w:t>
            </w:r>
          </w:p>
        </w:tc>
        <w:tc>
          <w:tcPr>
            <w:tcW w:w="620" w:type="dxa"/>
            <w:vAlign w:val="bottom"/>
          </w:tcPr>
          <w:p>
            <w:pPr>
              <w:jc w:val="center"/>
              <w:spacing w:after="0"/>
              <w:rPr>
                <w:sz w:val="20"/>
                <w:szCs w:val="20"/>
                <w:color w:val="auto"/>
              </w:rPr>
            </w:pPr>
            <w:r>
              <w:rPr>
                <w:rFonts w:ascii="Arial" w:cs="Arial" w:eastAsia="Arial" w:hAnsi="Arial"/>
                <w:sz w:val="14"/>
                <w:szCs w:val="14"/>
                <w:color w:val="auto"/>
                <w:w w:val="81"/>
              </w:rPr>
              <w:t>Shares</w:t>
            </w:r>
          </w:p>
        </w:tc>
        <w:tc>
          <w:tcPr>
            <w:tcW w:w="840" w:type="dxa"/>
            <w:vAlign w:val="bottom"/>
            <w:gridSpan w:val="2"/>
          </w:tcPr>
          <w:p>
            <w:pPr>
              <w:jc w:val="center"/>
              <w:spacing w:after="0"/>
              <w:rPr>
                <w:sz w:val="20"/>
                <w:szCs w:val="20"/>
                <w:color w:val="auto"/>
              </w:rPr>
            </w:pPr>
            <w:r>
              <w:rPr>
                <w:rFonts w:ascii="Arial" w:cs="Arial" w:eastAsia="Arial" w:hAnsi="Arial"/>
                <w:sz w:val="14"/>
                <w:szCs w:val="14"/>
                <w:color w:val="auto"/>
                <w:w w:val="91"/>
              </w:rPr>
              <w:t>Amount</w:t>
            </w:r>
          </w:p>
        </w:tc>
        <w:tc>
          <w:tcPr>
            <w:tcW w:w="880" w:type="dxa"/>
            <w:vAlign w:val="bottom"/>
            <w:gridSpan w:val="2"/>
          </w:tcPr>
          <w:p>
            <w:pPr>
              <w:jc w:val="right"/>
              <w:ind w:right="192"/>
              <w:spacing w:after="0"/>
              <w:rPr>
                <w:sz w:val="20"/>
                <w:szCs w:val="20"/>
                <w:color w:val="auto"/>
              </w:rPr>
            </w:pPr>
            <w:r>
              <w:rPr>
                <w:rFonts w:ascii="Arial" w:cs="Arial" w:eastAsia="Arial" w:hAnsi="Arial"/>
                <w:sz w:val="14"/>
                <w:szCs w:val="14"/>
                <w:color w:val="auto"/>
              </w:rPr>
              <w:t>Income</w:t>
            </w:r>
          </w:p>
        </w:tc>
        <w:tc>
          <w:tcPr>
            <w:tcW w:w="600" w:type="dxa"/>
            <w:vAlign w:val="bottom"/>
          </w:tcPr>
          <w:p>
            <w:pPr>
              <w:jc w:val="right"/>
              <w:ind w:right="100"/>
              <w:spacing w:after="0"/>
              <w:rPr>
                <w:sz w:val="20"/>
                <w:szCs w:val="20"/>
                <w:color w:val="auto"/>
              </w:rPr>
            </w:pPr>
            <w:r>
              <w:rPr>
                <w:rFonts w:ascii="Arial" w:cs="Arial" w:eastAsia="Arial" w:hAnsi="Arial"/>
                <w:sz w:val="14"/>
                <w:szCs w:val="14"/>
                <w:color w:val="auto"/>
                <w:w w:val="90"/>
              </w:rPr>
              <w:t>Shares</w:t>
            </w:r>
          </w:p>
        </w:tc>
        <w:tc>
          <w:tcPr>
            <w:tcW w:w="180" w:type="dxa"/>
            <w:vAlign w:val="bottom"/>
          </w:tcPr>
          <w:p>
            <w:pPr>
              <w:spacing w:after="0"/>
              <w:rPr>
                <w:sz w:val="15"/>
                <w:szCs w:val="15"/>
                <w:color w:val="auto"/>
              </w:rPr>
            </w:pPr>
          </w:p>
        </w:tc>
        <w:tc>
          <w:tcPr>
            <w:tcW w:w="56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Amount</w:t>
            </w:r>
          </w:p>
        </w:tc>
      </w:tr>
      <w:tr>
        <w:trPr>
          <w:trHeight w:val="210"/>
        </w:trPr>
        <w:tc>
          <w:tcPr>
            <w:tcW w:w="20" w:type="dxa"/>
            <w:vAlign w:val="bottom"/>
          </w:tcPr>
          <w:p>
            <w:pPr>
              <w:spacing w:after="0"/>
              <w:rPr>
                <w:sz w:val="18"/>
                <w:szCs w:val="18"/>
                <w:color w:val="auto"/>
              </w:rPr>
            </w:pPr>
          </w:p>
        </w:tc>
        <w:tc>
          <w:tcPr>
            <w:tcW w:w="52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Basic EPS</w:t>
            </w:r>
          </w:p>
        </w:tc>
        <w:tc>
          <w:tcPr>
            <w:tcW w:w="1960" w:type="dxa"/>
            <w:vAlign w:val="bottom"/>
            <w:tcBorders>
              <w:top w:val="single" w:sz="8" w:color="auto"/>
            </w:tcBorders>
            <w:gridSpan w:val="2"/>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w w:val="88"/>
              </w:rPr>
              <w:t>1,364</w:t>
            </w:r>
          </w:p>
        </w:tc>
        <w:tc>
          <w:tcPr>
            <w:tcW w:w="6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2,983</w:t>
            </w:r>
          </w:p>
        </w:tc>
        <w:tc>
          <w:tcPr>
            <w:tcW w:w="320" w:type="dxa"/>
            <w:vAlign w:val="bottom"/>
            <w:tcBorders>
              <w:top w:val="single" w:sz="8" w:color="auto"/>
            </w:tcBorders>
            <w:shd w:val="clear" w:color="auto" w:fill="E5E5E5"/>
          </w:tcPr>
          <w:p>
            <w:pPr>
              <w:ind w:left="14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0.46</w:t>
            </w:r>
          </w:p>
        </w:tc>
        <w:tc>
          <w:tcPr>
            <w:tcW w:w="2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w w:val="93"/>
              </w:rPr>
              <w:t>1,425</w:t>
            </w:r>
          </w:p>
        </w:tc>
        <w:tc>
          <w:tcPr>
            <w:tcW w:w="600" w:type="dxa"/>
            <w:vAlign w:val="bottom"/>
            <w:tcBorders>
              <w:top w:val="single" w:sz="8" w:color="auto"/>
            </w:tcBorders>
            <w:shd w:val="clear" w:color="auto" w:fill="E5E5E5"/>
          </w:tcPr>
          <w:p>
            <w:pPr>
              <w:jc w:val="right"/>
              <w:ind w:right="40"/>
              <w:spacing w:after="0"/>
              <w:rPr>
                <w:sz w:val="20"/>
                <w:szCs w:val="20"/>
                <w:color w:val="auto"/>
              </w:rPr>
            </w:pPr>
            <w:r>
              <w:rPr>
                <w:rFonts w:ascii="Arial" w:cs="Arial" w:eastAsia="Arial" w:hAnsi="Arial"/>
                <w:sz w:val="18"/>
                <w:szCs w:val="18"/>
                <w:color w:val="auto"/>
              </w:rPr>
              <w:t>3,119</w:t>
            </w:r>
          </w:p>
        </w:tc>
        <w:tc>
          <w:tcPr>
            <w:tcW w:w="1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0.46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w w:val="95"/>
              </w:rPr>
              <w:t>Assumed exercise or issuance of shares relating to stock plans</w:t>
            </w:r>
          </w:p>
        </w:tc>
        <w:tc>
          <w:tcPr>
            <w:tcW w:w="1620" w:type="dxa"/>
            <w:vAlign w:val="bottom"/>
            <w:tcBorders>
              <w:bottom w:val="single" w:sz="8" w:color="auto"/>
            </w:tcBorders>
            <w:shd w:val="clear" w:color="auto" w:fill="E5E5E5"/>
          </w:tcPr>
          <w:p>
            <w:pPr>
              <w:spacing w:after="0"/>
              <w:rPr>
                <w:sz w:val="18"/>
                <w:szCs w:val="18"/>
                <w:color w:val="auto"/>
              </w:rPr>
            </w:pPr>
          </w:p>
        </w:tc>
        <w:tc>
          <w:tcPr>
            <w:tcW w:w="34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12</w:t>
            </w:r>
          </w:p>
        </w:tc>
        <w:tc>
          <w:tcPr>
            <w:tcW w:w="3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spacing w:after="0"/>
              <w:rPr>
                <w:sz w:val="18"/>
                <w:szCs w:val="18"/>
                <w:color w:val="auto"/>
              </w:rPr>
            </w:pPr>
          </w:p>
        </w:tc>
        <w:tc>
          <w:tcPr>
            <w:tcW w:w="2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40"/>
              <w:spacing w:after="0"/>
              <w:rPr>
                <w:sz w:val="20"/>
                <w:szCs w:val="20"/>
                <w:color w:val="auto"/>
              </w:rPr>
            </w:pPr>
            <w:r>
              <w:rPr>
                <w:rFonts w:ascii="Arial" w:cs="Arial" w:eastAsia="Arial" w:hAnsi="Arial"/>
                <w:sz w:val="18"/>
                <w:szCs w:val="18"/>
                <w:color w:val="auto"/>
              </w:rPr>
              <w:t>36</w:t>
            </w:r>
          </w:p>
        </w:tc>
        <w:tc>
          <w:tcPr>
            <w:tcW w:w="18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spacing w:after="0"/>
              <w:rPr>
                <w:sz w:val="18"/>
                <w:szCs w:val="18"/>
                <w:color w:val="auto"/>
              </w:rPr>
            </w:pP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5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Diluted EPS</w:t>
            </w:r>
          </w:p>
        </w:tc>
        <w:tc>
          <w:tcPr>
            <w:tcW w:w="1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88"/>
              </w:rPr>
              <w:t>1,364</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2,995</w:t>
            </w:r>
          </w:p>
        </w:tc>
        <w:tc>
          <w:tcPr>
            <w:tcW w:w="3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0.46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3"/>
              </w:rPr>
              <w:t>1,425</w:t>
            </w:r>
          </w:p>
        </w:tc>
        <w:tc>
          <w:tcPr>
            <w:tcW w:w="60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b w:val="1"/>
                <w:bCs w:val="1"/>
                <w:color w:val="auto"/>
              </w:rPr>
              <w:t>3,155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0.45</w:t>
            </w:r>
          </w:p>
        </w:tc>
        <w:tc>
          <w:tcPr>
            <w:tcW w:w="20" w:type="dxa"/>
            <w:vAlign w:val="bottom"/>
          </w:tcPr>
          <w:p>
            <w:pPr>
              <w:spacing w:after="0"/>
              <w:rPr>
                <w:sz w:val="18"/>
                <w:szCs w:val="18"/>
                <w:color w:val="auto"/>
              </w:rPr>
            </w:pPr>
          </w:p>
        </w:tc>
      </w:tr>
      <w:tr>
        <w:trPr>
          <w:trHeight w:val="363"/>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620" w:type="dxa"/>
            <w:vAlign w:val="bottom"/>
          </w:tcPr>
          <w:p>
            <w:pPr>
              <w:jc w:val="right"/>
              <w:ind w:right="1012"/>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Acquisitions and Other Significant Events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Insight Midwest Partnership</w:t>
      </w:r>
    </w:p>
    <w:p>
      <w:pPr>
        <w:spacing w:after="0" w:line="7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April 2007, we and Insight Communications (“Insight”) agreed to divide the assets and liabilities of Insight Midwest, a 50%-50% cable system partnership with Insight (the “Insight transaction”). On December 31, 2007, we contributed approximately $1.3 billion to Insight Midwest for our share of the partnership’s debt. On January 1, 2008, the distribution of the assets of Insight Midwest was completed without the assumption of any of Insight’s debt by us and we received cable systems serving approximately 696,000 video subscribers in Illinois and Indiana (the “Comcast asset pool”). Insight received cable systems serving approximately 652,000 video subscribers, together with approximately $1.24 billion of debt allocated to those cable systems (the “Insight asset pool”). We accounted for our interest in Insight Midwest as an equity method investment until the Comcast asset pool was distributed to us on January 1, 2008. We accounted for the distribution of assets by Insight Midwest as a sale of our 50% interest in the Insight asset pool in exchange for our acquiring an additional 50% interest in the Comcast asset pool. The estimated fair value of the 50% interest of the Comcast asset pool we received was approximately $1.2 billion and resulted in a pretax gain of approximately $235 million, which is included in other income (expense). We recorded our 50% interest in the Comcast Asset Pool as a step acquisition in accordance with SFAS No. 141, “Business Combinations,” (“SFAS No. 141”). The valuation of assets and estimated gain are based on preliminary valuations. Refinements may occur as the valuations are finalized. The exchange of our 50% interest in the Insight asset pool for Insight’s 50% interest in the Comcast asset pool is a noncash investing activity.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Information</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unaudited pro forma information has been presented as if the Insight transaction had occurred on January 1, 2007. It is based on historical results of operations, adjusted for purchase price allocations, and is not necessarily indicative of what the results would have been had we operated the cable systems since January 1, 2007.</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4840" w:type="dxa"/>
            <w:vAlign w:val="bottom"/>
            <w:gridSpan w:val="2"/>
          </w:tcPr>
          <w:p>
            <w:pPr>
              <w:ind w:left="3140"/>
              <w:spacing w:after="0"/>
              <w:rPr>
                <w:sz w:val="20"/>
                <w:szCs w:val="20"/>
                <w:color w:val="auto"/>
              </w:rPr>
            </w:pPr>
            <w:r>
              <w:rPr>
                <w:rFonts w:ascii="Arial" w:cs="Arial" w:eastAsia="Arial" w:hAnsi="Arial"/>
                <w:sz w:val="14"/>
                <w:szCs w:val="14"/>
                <w:color w:val="auto"/>
              </w:rPr>
              <w:t>Three Months Ended</w:t>
            </w:r>
          </w:p>
        </w:tc>
        <w:tc>
          <w:tcPr>
            <w:tcW w:w="1580" w:type="dxa"/>
            <w:vAlign w:val="bottom"/>
            <w:gridSpan w:val="3"/>
          </w:tcPr>
          <w:p>
            <w:pPr>
              <w:ind w:left="560"/>
              <w:spacing w:after="0"/>
              <w:rPr>
                <w:sz w:val="20"/>
                <w:szCs w:val="20"/>
                <w:color w:val="auto"/>
              </w:rPr>
            </w:pPr>
            <w:r>
              <w:rPr>
                <w:rFonts w:ascii="Arial" w:cs="Arial" w:eastAsia="Arial" w:hAnsi="Arial"/>
                <w:sz w:val="14"/>
                <w:szCs w:val="14"/>
                <w:color w:val="auto"/>
                <w:w w:val="87"/>
              </w:rPr>
              <w:t>Six Months Ended</w:t>
            </w:r>
          </w:p>
        </w:tc>
      </w:tr>
      <w:tr>
        <w:trPr>
          <w:trHeight w:val="173"/>
        </w:trPr>
        <w:tc>
          <w:tcPr>
            <w:tcW w:w="5020" w:type="dxa"/>
            <w:vAlign w:val="bottom"/>
            <w:gridSpan w:val="2"/>
          </w:tcPr>
          <w:p>
            <w:pPr>
              <w:spacing w:after="0"/>
              <w:rPr>
                <w:sz w:val="20"/>
                <w:szCs w:val="20"/>
                <w:color w:val="auto"/>
              </w:rPr>
            </w:pPr>
            <w:r>
              <w:rPr>
                <w:rFonts w:ascii="Arial" w:cs="Arial" w:eastAsia="Arial" w:hAnsi="Arial"/>
                <w:sz w:val="14"/>
                <w:szCs w:val="14"/>
                <w:color w:val="auto"/>
              </w:rPr>
              <w:t>(in millions, except per share data)</w:t>
            </w:r>
          </w:p>
        </w:tc>
        <w:tc>
          <w:tcPr>
            <w:tcW w:w="3280" w:type="dxa"/>
            <w:vAlign w:val="bottom"/>
          </w:tcPr>
          <w:p>
            <w:pPr>
              <w:spacing w:after="0"/>
              <w:rPr>
                <w:sz w:val="15"/>
                <w:szCs w:val="15"/>
                <w:color w:val="auto"/>
              </w:rPr>
            </w:pPr>
          </w:p>
        </w:tc>
        <w:tc>
          <w:tcPr>
            <w:tcW w:w="1560" w:type="dxa"/>
            <w:vAlign w:val="bottom"/>
          </w:tcPr>
          <w:p>
            <w:pPr>
              <w:jc w:val="right"/>
              <w:ind w:right="676"/>
              <w:spacing w:after="0"/>
              <w:rPr>
                <w:sz w:val="20"/>
                <w:szCs w:val="20"/>
                <w:color w:val="auto"/>
              </w:rPr>
            </w:pPr>
            <w:r>
              <w:rPr>
                <w:rFonts w:ascii="Arial" w:cs="Arial" w:eastAsia="Arial" w:hAnsi="Arial"/>
                <w:sz w:val="14"/>
                <w:szCs w:val="14"/>
                <w:color w:val="auto"/>
                <w:w w:val="87"/>
              </w:rPr>
              <w:t>June 30, 2007</w:t>
            </w:r>
          </w:p>
        </w:tc>
        <w:tc>
          <w:tcPr>
            <w:tcW w:w="660" w:type="dxa"/>
            <w:vAlign w:val="bottom"/>
          </w:tcPr>
          <w:p>
            <w:pPr>
              <w:spacing w:after="0"/>
              <w:rPr>
                <w:sz w:val="15"/>
                <w:szCs w:val="15"/>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color w:val="auto"/>
                <w:w w:val="99"/>
              </w:rPr>
              <w:t>June 30, 2007</w:t>
            </w:r>
          </w:p>
        </w:tc>
      </w:tr>
      <w:tr>
        <w:trPr>
          <w:trHeight w:val="210"/>
        </w:trPr>
        <w:tc>
          <w:tcPr>
            <w:tcW w:w="20" w:type="dxa"/>
            <w:vAlign w:val="bottom"/>
          </w:tcPr>
          <w:p>
            <w:pPr>
              <w:spacing w:after="0"/>
              <w:rPr>
                <w:sz w:val="18"/>
                <w:szCs w:val="18"/>
                <w:color w:val="auto"/>
              </w:rPr>
            </w:pPr>
          </w:p>
        </w:tc>
        <w:tc>
          <w:tcPr>
            <w:tcW w:w="50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Revenue</w:t>
            </w:r>
          </w:p>
        </w:tc>
        <w:tc>
          <w:tcPr>
            <w:tcW w:w="3280" w:type="dxa"/>
            <w:vAlign w:val="bottom"/>
            <w:tcBorders>
              <w:top w:val="single" w:sz="8" w:color="auto"/>
            </w:tcBorders>
            <w:shd w:val="clear" w:color="auto" w:fill="E5E5E5"/>
          </w:tcPr>
          <w:p>
            <w:pPr>
              <w:ind w:left="314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tcBorders>
            <w:shd w:val="clear" w:color="auto" w:fill="E5E5E5"/>
          </w:tcPr>
          <w:p>
            <w:pPr>
              <w:jc w:val="right"/>
              <w:ind w:right="476"/>
              <w:spacing w:after="0"/>
              <w:rPr>
                <w:sz w:val="20"/>
                <w:szCs w:val="20"/>
                <w:color w:val="auto"/>
              </w:rPr>
            </w:pPr>
            <w:r>
              <w:rPr>
                <w:rFonts w:ascii="Arial" w:cs="Arial" w:eastAsia="Arial" w:hAnsi="Arial"/>
                <w:sz w:val="18"/>
                <w:szCs w:val="18"/>
                <w:color w:val="auto"/>
              </w:rPr>
              <w:t>7,882</w:t>
            </w:r>
          </w:p>
        </w:tc>
        <w:tc>
          <w:tcPr>
            <w:tcW w:w="660" w:type="dxa"/>
            <w:vAlign w:val="bottom"/>
            <w:tcBorders>
              <w:top w:val="single" w:sz="8" w:color="auto"/>
            </w:tcBorders>
            <w:shd w:val="clear" w:color="auto" w:fill="E5E5E5"/>
          </w:tcPr>
          <w:p>
            <w:pPr>
              <w:ind w:left="54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15,432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Net income</w:t>
            </w:r>
          </w:p>
        </w:tc>
        <w:tc>
          <w:tcPr>
            <w:tcW w:w="3280" w:type="dxa"/>
            <w:vAlign w:val="bottom"/>
          </w:tcPr>
          <w:p>
            <w:pPr>
              <w:ind w:left="314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476"/>
              <w:spacing w:after="0"/>
              <w:rPr>
                <w:sz w:val="20"/>
                <w:szCs w:val="20"/>
                <w:color w:val="auto"/>
              </w:rPr>
            </w:pPr>
            <w:r>
              <w:rPr>
                <w:rFonts w:ascii="Arial" w:cs="Arial" w:eastAsia="Arial" w:hAnsi="Arial"/>
                <w:sz w:val="18"/>
                <w:szCs w:val="18"/>
                <w:color w:val="auto"/>
              </w:rPr>
              <w:t>600</w:t>
            </w:r>
          </w:p>
        </w:tc>
        <w:tc>
          <w:tcPr>
            <w:tcW w:w="660" w:type="dxa"/>
            <w:vAlign w:val="bottom"/>
          </w:tcPr>
          <w:p>
            <w:pPr>
              <w:ind w:left="54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1,446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E5E5E5"/>
          </w:tcPr>
          <w:p>
            <w:pPr>
              <w:spacing w:after="0"/>
              <w:rPr>
                <w:sz w:val="20"/>
                <w:szCs w:val="20"/>
                <w:color w:val="auto"/>
              </w:rPr>
            </w:pPr>
            <w:r>
              <w:rPr>
                <w:rFonts w:ascii="Arial" w:cs="Arial" w:eastAsia="Arial" w:hAnsi="Arial"/>
                <w:sz w:val="18"/>
                <w:szCs w:val="18"/>
                <w:color w:val="auto"/>
              </w:rPr>
              <w:t>Basic EPS</w:t>
            </w:r>
          </w:p>
        </w:tc>
        <w:tc>
          <w:tcPr>
            <w:tcW w:w="3280" w:type="dxa"/>
            <w:vAlign w:val="bottom"/>
            <w:shd w:val="clear" w:color="auto" w:fill="E5E5E5"/>
          </w:tcPr>
          <w:p>
            <w:pPr>
              <w:ind w:left="3140"/>
              <w:spacing w:after="0"/>
              <w:rPr>
                <w:sz w:val="20"/>
                <w:szCs w:val="20"/>
                <w:color w:val="auto"/>
              </w:rPr>
            </w:pPr>
            <w:r>
              <w:rPr>
                <w:rFonts w:ascii="Arial" w:cs="Arial" w:eastAsia="Arial" w:hAnsi="Arial"/>
                <w:sz w:val="18"/>
                <w:szCs w:val="18"/>
                <w:color w:val="auto"/>
              </w:rPr>
              <w:t>$</w:t>
            </w:r>
          </w:p>
        </w:tc>
        <w:tc>
          <w:tcPr>
            <w:tcW w:w="1560" w:type="dxa"/>
            <w:vAlign w:val="bottom"/>
            <w:shd w:val="clear" w:color="auto" w:fill="E5E5E5"/>
          </w:tcPr>
          <w:p>
            <w:pPr>
              <w:jc w:val="right"/>
              <w:ind w:right="476"/>
              <w:spacing w:after="0"/>
              <w:rPr>
                <w:sz w:val="20"/>
                <w:szCs w:val="20"/>
                <w:color w:val="auto"/>
              </w:rPr>
            </w:pPr>
            <w:r>
              <w:rPr>
                <w:rFonts w:ascii="Arial" w:cs="Arial" w:eastAsia="Arial" w:hAnsi="Arial"/>
                <w:sz w:val="18"/>
                <w:szCs w:val="18"/>
                <w:color w:val="auto"/>
              </w:rPr>
              <w:t>0.19</w:t>
            </w:r>
          </w:p>
        </w:tc>
        <w:tc>
          <w:tcPr>
            <w:tcW w:w="660" w:type="dxa"/>
            <w:vAlign w:val="bottom"/>
            <w:shd w:val="clear" w:color="auto" w:fill="E5E5E5"/>
          </w:tcPr>
          <w:p>
            <w:pPr>
              <w:ind w:left="54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0.46</w:t>
            </w:r>
          </w:p>
        </w:tc>
        <w:tc>
          <w:tcPr>
            <w:tcW w:w="20" w:type="dxa"/>
            <w:vAlign w:val="bottom"/>
          </w:tcPr>
          <w:p>
            <w:pPr>
              <w:spacing w:after="0"/>
              <w:rPr>
                <w:sz w:val="18"/>
                <w:szCs w:val="18"/>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Diluted EPS</w:t>
            </w:r>
          </w:p>
        </w:tc>
        <w:tc>
          <w:tcPr>
            <w:tcW w:w="3280" w:type="dxa"/>
            <w:vAlign w:val="bottom"/>
            <w:tcBorders>
              <w:bottom w:val="single" w:sz="8" w:color="auto"/>
            </w:tcBorders>
          </w:tcPr>
          <w:p>
            <w:pPr>
              <w:ind w:left="31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jc w:val="right"/>
              <w:ind w:right="476"/>
              <w:spacing w:after="0"/>
              <w:rPr>
                <w:sz w:val="20"/>
                <w:szCs w:val="20"/>
                <w:color w:val="auto"/>
              </w:rPr>
            </w:pPr>
            <w:r>
              <w:rPr>
                <w:rFonts w:ascii="Arial" w:cs="Arial" w:eastAsia="Arial" w:hAnsi="Arial"/>
                <w:sz w:val="18"/>
                <w:szCs w:val="18"/>
                <w:color w:val="auto"/>
              </w:rPr>
              <w:t>0.19</w:t>
            </w:r>
          </w:p>
        </w:tc>
        <w:tc>
          <w:tcPr>
            <w:tcW w:w="6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0.46</w:t>
            </w:r>
          </w:p>
        </w:tc>
        <w:tc>
          <w:tcPr>
            <w:tcW w:w="20" w:type="dxa"/>
            <w:vAlign w:val="bottom"/>
            <w:tcBorders>
              <w:bottom w:val="single" w:sz="8" w:color="auto"/>
            </w:tcBorders>
          </w:tcPr>
          <w:p>
            <w:pPr>
              <w:spacing w:after="0"/>
              <w:rPr>
                <w:sz w:val="18"/>
                <w:szCs w:val="18"/>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Investments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1260" w:type="dxa"/>
            <w:vAlign w:val="bottom"/>
          </w:tcPr>
          <w:p>
            <w:pPr>
              <w:jc w:val="right"/>
              <w:ind w:right="217"/>
              <w:spacing w:after="0"/>
              <w:rPr>
                <w:sz w:val="20"/>
                <w:szCs w:val="20"/>
                <w:color w:val="auto"/>
              </w:rPr>
            </w:pPr>
            <w:r>
              <w:rPr>
                <w:rFonts w:ascii="Arial" w:cs="Arial" w:eastAsia="Arial" w:hAnsi="Arial"/>
                <w:sz w:val="14"/>
                <w:szCs w:val="14"/>
                <w:color w:val="auto"/>
              </w:rPr>
              <w:t>June 30,</w:t>
            </w:r>
          </w:p>
        </w:tc>
        <w:tc>
          <w:tcPr>
            <w:tcW w:w="1060" w:type="dxa"/>
            <w:vAlign w:val="bottom"/>
            <w:gridSpan w:val="3"/>
          </w:tcPr>
          <w:p>
            <w:pPr>
              <w:ind w:left="280"/>
              <w:spacing w:after="0"/>
              <w:rPr>
                <w:sz w:val="20"/>
                <w:szCs w:val="20"/>
                <w:color w:val="auto"/>
              </w:rPr>
            </w:pPr>
            <w:r>
              <w:rPr>
                <w:rFonts w:ascii="Arial" w:cs="Arial" w:eastAsia="Arial" w:hAnsi="Arial"/>
                <w:sz w:val="14"/>
                <w:szCs w:val="14"/>
                <w:color w:val="auto"/>
                <w:w w:val="86"/>
              </w:rPr>
              <w:t>December 31,</w:t>
            </w:r>
          </w:p>
        </w:tc>
      </w:tr>
      <w:tr>
        <w:trPr>
          <w:trHeight w:val="159"/>
        </w:trPr>
        <w:tc>
          <w:tcPr>
            <w:tcW w:w="912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1260" w:type="dxa"/>
            <w:vAlign w:val="bottom"/>
          </w:tcPr>
          <w:p>
            <w:pPr>
              <w:jc w:val="right"/>
              <w:ind w:right="317"/>
              <w:spacing w:after="0" w:line="159" w:lineRule="exact"/>
              <w:rPr>
                <w:sz w:val="20"/>
                <w:szCs w:val="20"/>
                <w:color w:val="auto"/>
              </w:rPr>
            </w:pPr>
            <w:r>
              <w:rPr>
                <w:rFonts w:ascii="Arial" w:cs="Arial" w:eastAsia="Arial" w:hAnsi="Arial"/>
                <w:sz w:val="14"/>
                <w:szCs w:val="14"/>
                <w:color w:val="auto"/>
              </w:rPr>
              <w:t>2008</w:t>
            </w:r>
          </w:p>
        </w:tc>
        <w:tc>
          <w:tcPr>
            <w:tcW w:w="440" w:type="dxa"/>
            <w:vAlign w:val="bottom"/>
          </w:tcPr>
          <w:p>
            <w:pPr>
              <w:spacing w:after="0"/>
              <w:rPr>
                <w:sz w:val="13"/>
                <w:szCs w:val="13"/>
                <w:color w:val="auto"/>
              </w:rPr>
            </w:pPr>
          </w:p>
        </w:tc>
        <w:tc>
          <w:tcPr>
            <w:tcW w:w="600" w:type="dxa"/>
            <w:vAlign w:val="bottom"/>
          </w:tcPr>
          <w:p>
            <w:pPr>
              <w:jc w:val="right"/>
              <w:ind w:right="155"/>
              <w:spacing w:after="0" w:line="159" w:lineRule="exact"/>
              <w:rPr>
                <w:sz w:val="20"/>
                <w:szCs w:val="20"/>
                <w:color w:val="auto"/>
              </w:rPr>
            </w:pPr>
            <w:r>
              <w:rPr>
                <w:rFonts w:ascii="Arial" w:cs="Arial" w:eastAsia="Arial" w:hAnsi="Arial"/>
                <w:sz w:val="14"/>
                <w:szCs w:val="14"/>
                <w:color w:val="auto"/>
              </w:rPr>
              <w:t>2007</w:t>
            </w:r>
          </w:p>
        </w:tc>
        <w:tc>
          <w:tcPr>
            <w:tcW w:w="20" w:type="dxa"/>
            <w:vAlign w:val="bottom"/>
          </w:tcPr>
          <w:p>
            <w:pPr>
              <w:spacing w:after="0"/>
              <w:rPr>
                <w:sz w:val="13"/>
                <w:szCs w:val="13"/>
                <w:color w:val="auto"/>
              </w:rPr>
            </w:pPr>
          </w:p>
        </w:tc>
      </w:tr>
      <w:tr>
        <w:trPr>
          <w:trHeight w:val="210"/>
        </w:trPr>
        <w:tc>
          <w:tcPr>
            <w:tcW w:w="20" w:type="dxa"/>
            <w:vAlign w:val="bottom"/>
          </w:tcPr>
          <w:p>
            <w:pPr>
              <w:spacing w:after="0"/>
              <w:rPr>
                <w:sz w:val="18"/>
                <w:szCs w:val="18"/>
                <w:color w:val="auto"/>
              </w:rPr>
            </w:pPr>
          </w:p>
        </w:tc>
        <w:tc>
          <w:tcPr>
            <w:tcW w:w="91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Fair value method</w:t>
            </w:r>
          </w:p>
        </w:tc>
        <w:tc>
          <w:tcPr>
            <w:tcW w:w="1260" w:type="dxa"/>
            <w:vAlign w:val="bottom"/>
            <w:tcBorders>
              <w:top w:val="single" w:sz="8" w:color="auto"/>
            </w:tcBorders>
            <w:shd w:val="clear" w:color="auto" w:fill="E5E5E5"/>
          </w:tcPr>
          <w:p>
            <w:pPr>
              <w:jc w:val="right"/>
              <w:ind w:right="197"/>
              <w:spacing w:after="0"/>
              <w:rPr>
                <w:sz w:val="20"/>
                <w:szCs w:val="20"/>
                <w:color w:val="auto"/>
              </w:rPr>
            </w:pPr>
            <w:r>
              <w:rPr>
                <w:rFonts w:ascii="Arial" w:cs="Arial" w:eastAsia="Arial" w:hAnsi="Arial"/>
                <w:sz w:val="18"/>
                <w:szCs w:val="18"/>
                <w:color w:val="auto"/>
              </w:rPr>
              <w:t>$2,156</w:t>
            </w:r>
          </w:p>
        </w:tc>
        <w:tc>
          <w:tcPr>
            <w:tcW w:w="440" w:type="dxa"/>
            <w:vAlign w:val="bottom"/>
            <w:tcBorders>
              <w:top w:val="single" w:sz="8" w:color="auto"/>
            </w:tcBorders>
            <w:shd w:val="clear" w:color="auto" w:fill="E5E5E5"/>
          </w:tcPr>
          <w:p>
            <w:pPr>
              <w:ind w:left="28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2,701</w:t>
            </w:r>
          </w:p>
        </w:tc>
        <w:tc>
          <w:tcPr>
            <w:tcW w:w="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w w:val="94"/>
              </w:rPr>
              <w:t>Equity method, primarily SpectrumCo, LLC at June 30, 2008 and Insight Midwest and SpectrumCo, LLC at December 31,</w:t>
            </w: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9120" w:type="dxa"/>
            <w:vAlign w:val="bottom"/>
            <w:gridSpan w:val="2"/>
          </w:tcPr>
          <w:p>
            <w:pPr>
              <w:jc w:val="right"/>
              <w:ind w:right="8452"/>
              <w:spacing w:after="0"/>
              <w:rPr>
                <w:sz w:val="20"/>
                <w:szCs w:val="20"/>
                <w:color w:val="auto"/>
              </w:rPr>
            </w:pPr>
            <w:r>
              <w:rPr>
                <w:rFonts w:ascii="Arial" w:cs="Arial" w:eastAsia="Arial" w:hAnsi="Arial"/>
                <w:sz w:val="18"/>
                <w:szCs w:val="18"/>
                <w:color w:val="auto"/>
              </w:rPr>
              <w:t>2007</w:t>
            </w:r>
          </w:p>
        </w:tc>
        <w:tc>
          <w:tcPr>
            <w:tcW w:w="1260" w:type="dxa"/>
            <w:vAlign w:val="bottom"/>
          </w:tcPr>
          <w:p>
            <w:pPr>
              <w:jc w:val="right"/>
              <w:ind w:right="197"/>
              <w:spacing w:after="0"/>
              <w:rPr>
                <w:sz w:val="20"/>
                <w:szCs w:val="20"/>
                <w:color w:val="auto"/>
              </w:rPr>
            </w:pPr>
            <w:r>
              <w:rPr>
                <w:rFonts w:ascii="Arial" w:cs="Arial" w:eastAsia="Arial" w:hAnsi="Arial"/>
                <w:sz w:val="18"/>
                <w:szCs w:val="18"/>
                <w:color w:val="auto"/>
              </w:rPr>
              <w:t>1,800</w:t>
            </w:r>
          </w:p>
        </w:tc>
        <w:tc>
          <w:tcPr>
            <w:tcW w:w="44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3,682</w:t>
            </w:r>
          </w:p>
        </w:tc>
      </w:tr>
      <w:tr>
        <w:trPr>
          <w:trHeight w:val="218"/>
        </w:trPr>
        <w:tc>
          <w:tcPr>
            <w:tcW w:w="20" w:type="dxa"/>
            <w:vAlign w:val="bottom"/>
          </w:tcPr>
          <w:p>
            <w:pPr>
              <w:spacing w:after="0"/>
              <w:rPr>
                <w:sz w:val="18"/>
                <w:szCs w:val="18"/>
                <w:color w:val="auto"/>
              </w:rPr>
            </w:pPr>
          </w:p>
        </w:tc>
        <w:tc>
          <w:tcPr>
            <w:tcW w:w="91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Cost method, primarily AirTouch</w:t>
            </w:r>
          </w:p>
        </w:tc>
        <w:tc>
          <w:tcPr>
            <w:tcW w:w="1260" w:type="dxa"/>
            <w:vAlign w:val="bottom"/>
            <w:tcBorders>
              <w:bottom w:val="single" w:sz="8" w:color="auto"/>
            </w:tcBorders>
            <w:shd w:val="clear" w:color="auto" w:fill="E5E5E5"/>
          </w:tcPr>
          <w:p>
            <w:pPr>
              <w:jc w:val="right"/>
              <w:ind w:right="197"/>
              <w:spacing w:after="0"/>
              <w:rPr>
                <w:sz w:val="20"/>
                <w:szCs w:val="20"/>
                <w:color w:val="auto"/>
              </w:rPr>
            </w:pPr>
            <w:r>
              <w:rPr>
                <w:rFonts w:ascii="Arial" w:cs="Arial" w:eastAsia="Arial" w:hAnsi="Arial"/>
                <w:sz w:val="18"/>
                <w:szCs w:val="18"/>
                <w:color w:val="auto"/>
              </w:rPr>
              <w:t>1,705</w:t>
            </w:r>
          </w:p>
        </w:tc>
        <w:tc>
          <w:tcPr>
            <w:tcW w:w="44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1,678</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Total investments</w:t>
            </w:r>
          </w:p>
        </w:tc>
        <w:tc>
          <w:tcPr>
            <w:tcW w:w="1260" w:type="dxa"/>
            <w:vAlign w:val="bottom"/>
          </w:tcPr>
          <w:p>
            <w:pPr>
              <w:jc w:val="right"/>
              <w:ind w:right="197"/>
              <w:spacing w:after="0"/>
              <w:rPr>
                <w:sz w:val="20"/>
                <w:szCs w:val="20"/>
                <w:color w:val="auto"/>
              </w:rPr>
            </w:pPr>
            <w:r>
              <w:rPr>
                <w:rFonts w:ascii="Arial" w:cs="Arial" w:eastAsia="Arial" w:hAnsi="Arial"/>
                <w:sz w:val="18"/>
                <w:szCs w:val="18"/>
                <w:color w:val="auto"/>
              </w:rPr>
              <w:t>5,661</w:t>
            </w: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8,061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Less: Current investments</w:t>
            </w:r>
          </w:p>
        </w:tc>
        <w:tc>
          <w:tcPr>
            <w:tcW w:w="1260" w:type="dxa"/>
            <w:vAlign w:val="bottom"/>
            <w:tcBorders>
              <w:bottom w:val="single" w:sz="8" w:color="auto"/>
            </w:tcBorders>
            <w:shd w:val="clear" w:color="auto" w:fill="E5E5E5"/>
          </w:tcPr>
          <w:p>
            <w:pPr>
              <w:jc w:val="right"/>
              <w:ind w:right="197"/>
              <w:spacing w:after="0"/>
              <w:rPr>
                <w:sz w:val="20"/>
                <w:szCs w:val="20"/>
                <w:color w:val="auto"/>
              </w:rPr>
            </w:pPr>
            <w:r>
              <w:rPr>
                <w:rFonts w:ascii="Arial" w:cs="Arial" w:eastAsia="Arial" w:hAnsi="Arial"/>
                <w:sz w:val="18"/>
                <w:szCs w:val="18"/>
                <w:color w:val="auto"/>
              </w:rPr>
              <w:t>295</w:t>
            </w:r>
          </w:p>
        </w:tc>
        <w:tc>
          <w:tcPr>
            <w:tcW w:w="44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9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Noncurrent investments</w:t>
            </w:r>
          </w:p>
        </w:tc>
        <w:tc>
          <w:tcPr>
            <w:tcW w:w="126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b w:val="1"/>
                <w:bCs w:val="1"/>
                <w:color w:val="auto"/>
              </w:rPr>
              <w:t>$5,366</w:t>
            </w:r>
          </w:p>
        </w:tc>
        <w:tc>
          <w:tcPr>
            <w:tcW w:w="44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7,963</w:t>
            </w:r>
          </w:p>
        </w:tc>
        <w:tc>
          <w:tcPr>
            <w:tcW w:w="20" w:type="dxa"/>
            <w:vAlign w:val="bottom"/>
            <w:tcBorders>
              <w:bottom w:val="single" w:sz="8" w:color="auto"/>
            </w:tcBorders>
          </w:tcPr>
          <w:p>
            <w:pPr>
              <w:spacing w:after="0"/>
              <w:rPr>
                <w:sz w:val="18"/>
                <w:szCs w:val="18"/>
                <w:color w:val="auto"/>
              </w:rPr>
            </w:pPr>
          </w:p>
        </w:tc>
      </w:tr>
    </w:tbl>
    <w:p>
      <w:pPr>
        <w:spacing w:after="0" w:line="10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accounted for our interest in Insight Midwest as an equity method investment until January 1, 2008, the date the Comcast asset pool was distributed to us (see Note 4).</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Components of Investment Income (Loss), Net</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60" w:type="dxa"/>
            <w:vAlign w:val="bottom"/>
            <w:gridSpan w:val="3"/>
          </w:tcPr>
          <w:p>
            <w:pPr>
              <w:jc w:val="right"/>
              <w:ind w:right="695"/>
              <w:spacing w:after="0"/>
              <w:rPr>
                <w:sz w:val="20"/>
                <w:szCs w:val="20"/>
                <w:color w:val="auto"/>
              </w:rPr>
            </w:pPr>
            <w:r>
              <w:rPr>
                <w:rFonts w:ascii="Arial" w:cs="Arial" w:eastAsia="Arial" w:hAnsi="Arial"/>
                <w:sz w:val="14"/>
                <w:szCs w:val="14"/>
                <w:color w:val="auto"/>
              </w:rPr>
              <w:t>Three Months Ended</w:t>
            </w:r>
          </w:p>
        </w:tc>
        <w:tc>
          <w:tcPr>
            <w:tcW w:w="50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600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9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99"/>
              <w:spacing w:after="0" w:line="159" w:lineRule="exact"/>
              <w:rPr>
                <w:sz w:val="20"/>
                <w:szCs w:val="20"/>
                <w:color w:val="auto"/>
              </w:rPr>
            </w:pPr>
            <w:r>
              <w:rPr>
                <w:rFonts w:ascii="Arial" w:cs="Arial" w:eastAsia="Arial" w:hAnsi="Arial"/>
                <w:sz w:val="14"/>
                <w:szCs w:val="14"/>
                <w:color w:val="auto"/>
                <w:w w:val="88"/>
              </w:rPr>
              <w:t>June 30</w:t>
            </w:r>
          </w:p>
        </w:tc>
        <w:tc>
          <w:tcPr>
            <w:tcW w:w="8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19"/>
              <w:spacing w:after="0" w:line="159" w:lineRule="exact"/>
              <w:rPr>
                <w:sz w:val="20"/>
                <w:szCs w:val="20"/>
                <w:color w:val="auto"/>
              </w:rPr>
            </w:pPr>
            <w:r>
              <w:rPr>
                <w:rFonts w:ascii="Arial" w:cs="Arial" w:eastAsia="Arial" w:hAnsi="Arial"/>
                <w:sz w:val="14"/>
                <w:szCs w:val="14"/>
                <w:color w:val="auto"/>
                <w:w w:val="88"/>
              </w:rPr>
              <w:t>June 30</w:t>
            </w:r>
          </w:p>
        </w:tc>
        <w:tc>
          <w:tcPr>
            <w:tcW w:w="4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000" w:type="dxa"/>
            <w:vAlign w:val="bottom"/>
            <w:gridSpan w:val="2"/>
            <w:vMerge w:val="continue"/>
          </w:tcPr>
          <w:p>
            <w:pPr>
              <w:spacing w:after="0"/>
              <w:rPr>
                <w:sz w:val="12"/>
                <w:szCs w:val="12"/>
                <w:color w:val="auto"/>
              </w:rPr>
            </w:pPr>
          </w:p>
        </w:tc>
        <w:tc>
          <w:tcPr>
            <w:tcW w:w="980" w:type="dxa"/>
            <w:vAlign w:val="bottom"/>
          </w:tcPr>
          <w:p>
            <w:pPr>
              <w:spacing w:after="0"/>
              <w:rPr>
                <w:sz w:val="12"/>
                <w:szCs w:val="12"/>
                <w:color w:val="auto"/>
              </w:rPr>
            </w:pPr>
          </w:p>
        </w:tc>
        <w:tc>
          <w:tcPr>
            <w:tcW w:w="540" w:type="dxa"/>
            <w:vAlign w:val="bottom"/>
          </w:tcPr>
          <w:p>
            <w:pPr>
              <w:jc w:val="right"/>
              <w:ind w:right="157"/>
              <w:spacing w:after="0" w:line="142" w:lineRule="exact"/>
              <w:rPr>
                <w:sz w:val="20"/>
                <w:szCs w:val="20"/>
                <w:color w:val="auto"/>
              </w:rPr>
            </w:pPr>
            <w:r>
              <w:rPr>
                <w:rFonts w:ascii="Arial" w:cs="Arial" w:eastAsia="Arial" w:hAnsi="Arial"/>
                <w:sz w:val="14"/>
                <w:szCs w:val="14"/>
                <w:color w:val="auto"/>
                <w:w w:val="89"/>
              </w:rPr>
              <w:t>2008</w:t>
            </w:r>
          </w:p>
        </w:tc>
        <w:tc>
          <w:tcPr>
            <w:tcW w:w="740" w:type="dxa"/>
            <w:vAlign w:val="bottom"/>
          </w:tcPr>
          <w:p>
            <w:pPr>
              <w:spacing w:after="0"/>
              <w:rPr>
                <w:sz w:val="12"/>
                <w:szCs w:val="12"/>
                <w:color w:val="auto"/>
              </w:rPr>
            </w:pPr>
          </w:p>
        </w:tc>
        <w:tc>
          <w:tcPr>
            <w:tcW w:w="880" w:type="dxa"/>
            <w:vAlign w:val="bottom"/>
          </w:tcPr>
          <w:p>
            <w:pPr>
              <w:jc w:val="right"/>
              <w:ind w:right="495"/>
              <w:spacing w:after="0" w:line="142" w:lineRule="exact"/>
              <w:rPr>
                <w:sz w:val="20"/>
                <w:szCs w:val="20"/>
                <w:color w:val="auto"/>
              </w:rPr>
            </w:pPr>
            <w:r>
              <w:rPr>
                <w:rFonts w:ascii="Arial" w:cs="Arial" w:eastAsia="Arial" w:hAnsi="Arial"/>
                <w:sz w:val="14"/>
                <w:szCs w:val="14"/>
                <w:color w:val="auto"/>
                <w:w w:val="89"/>
              </w:rPr>
              <w:t>2007</w:t>
            </w:r>
          </w:p>
        </w:tc>
        <w:tc>
          <w:tcPr>
            <w:tcW w:w="500" w:type="dxa"/>
            <w:vAlign w:val="bottom"/>
          </w:tcPr>
          <w:p>
            <w:pPr>
              <w:spacing w:after="0"/>
              <w:rPr>
                <w:sz w:val="12"/>
                <w:szCs w:val="12"/>
                <w:color w:val="auto"/>
              </w:rPr>
            </w:pPr>
          </w:p>
        </w:tc>
        <w:tc>
          <w:tcPr>
            <w:tcW w:w="540" w:type="dxa"/>
            <w:vAlign w:val="bottom"/>
          </w:tcPr>
          <w:p>
            <w:pPr>
              <w:jc w:val="right"/>
              <w:ind w:right="157"/>
              <w:spacing w:after="0" w:line="142" w:lineRule="exact"/>
              <w:rPr>
                <w:sz w:val="20"/>
                <w:szCs w:val="20"/>
                <w:color w:val="auto"/>
              </w:rPr>
            </w:pPr>
            <w:r>
              <w:rPr>
                <w:rFonts w:ascii="Arial" w:cs="Arial" w:eastAsia="Arial" w:hAnsi="Arial"/>
                <w:sz w:val="14"/>
                <w:szCs w:val="14"/>
                <w:color w:val="auto"/>
                <w:w w:val="89"/>
              </w:rPr>
              <w:t>2008</w:t>
            </w:r>
          </w:p>
        </w:tc>
        <w:tc>
          <w:tcPr>
            <w:tcW w:w="760" w:type="dxa"/>
            <w:vAlign w:val="bottom"/>
          </w:tcPr>
          <w:p>
            <w:pPr>
              <w:spacing w:after="0"/>
              <w:rPr>
                <w:sz w:val="12"/>
                <w:szCs w:val="12"/>
                <w:color w:val="auto"/>
              </w:rPr>
            </w:pPr>
          </w:p>
        </w:tc>
        <w:tc>
          <w:tcPr>
            <w:tcW w:w="480" w:type="dxa"/>
            <w:vAlign w:val="bottom"/>
          </w:tcPr>
          <w:p>
            <w:pPr>
              <w:jc w:val="right"/>
              <w:ind w:right="115"/>
              <w:spacing w:after="0" w:line="142" w:lineRule="exact"/>
              <w:rPr>
                <w:sz w:val="20"/>
                <w:szCs w:val="20"/>
                <w:color w:val="auto"/>
              </w:rPr>
            </w:pPr>
            <w:r>
              <w:rPr>
                <w:rFonts w:ascii="Arial" w:cs="Arial" w:eastAsia="Arial" w:hAnsi="Arial"/>
                <w:sz w:val="14"/>
                <w:szCs w:val="14"/>
                <w:color w:val="auto"/>
                <w:w w:val="83"/>
              </w:rPr>
              <w:t>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Interest and dividend income</w:t>
            </w:r>
          </w:p>
        </w:tc>
        <w:tc>
          <w:tcPr>
            <w:tcW w:w="9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E5E5E5"/>
          </w:tcPr>
          <w:p>
            <w:pPr>
              <w:jc w:val="right"/>
              <w:ind w:right="37"/>
              <w:spacing w:after="0"/>
              <w:rPr>
                <w:sz w:val="20"/>
                <w:szCs w:val="20"/>
                <w:color w:val="auto"/>
              </w:rPr>
            </w:pPr>
            <w:r>
              <w:rPr>
                <w:rFonts w:ascii="Arial" w:cs="Arial" w:eastAsia="Arial" w:hAnsi="Arial"/>
                <w:sz w:val="18"/>
                <w:szCs w:val="18"/>
                <w:color w:val="auto"/>
              </w:rPr>
              <w:t>18</w:t>
            </w:r>
          </w:p>
        </w:tc>
        <w:tc>
          <w:tcPr>
            <w:tcW w:w="7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E5E5E5"/>
          </w:tcPr>
          <w:p>
            <w:pPr>
              <w:jc w:val="right"/>
              <w:ind w:right="355"/>
              <w:spacing w:after="0"/>
              <w:rPr>
                <w:sz w:val="20"/>
                <w:szCs w:val="20"/>
                <w:color w:val="auto"/>
              </w:rPr>
            </w:pPr>
            <w:r>
              <w:rPr>
                <w:rFonts w:ascii="Arial" w:cs="Arial" w:eastAsia="Arial" w:hAnsi="Arial"/>
                <w:sz w:val="18"/>
                <w:szCs w:val="18"/>
                <w:color w:val="auto"/>
              </w:rPr>
              <w:t>34</w:t>
            </w:r>
          </w:p>
        </w:tc>
        <w:tc>
          <w:tcPr>
            <w:tcW w:w="5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E5E5E5"/>
          </w:tcPr>
          <w:p>
            <w:pPr>
              <w:jc w:val="right"/>
              <w:ind w:right="37"/>
              <w:spacing w:after="0"/>
              <w:rPr>
                <w:sz w:val="20"/>
                <w:szCs w:val="20"/>
                <w:color w:val="auto"/>
              </w:rPr>
            </w:pPr>
            <w:r>
              <w:rPr>
                <w:rFonts w:ascii="Arial" w:cs="Arial" w:eastAsia="Arial" w:hAnsi="Arial"/>
                <w:sz w:val="18"/>
                <w:szCs w:val="18"/>
                <w:color w:val="auto"/>
              </w:rPr>
              <w:t>37</w:t>
            </w:r>
          </w:p>
        </w:tc>
        <w:tc>
          <w:tcPr>
            <w:tcW w:w="7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Gains on sales and exchanges of investments, net</w:t>
            </w:r>
          </w:p>
        </w:tc>
        <w:tc>
          <w:tcPr>
            <w:tcW w:w="980" w:type="dxa"/>
            <w:vAlign w:val="bottom"/>
          </w:tcPr>
          <w:p>
            <w:pPr>
              <w:spacing w:after="0"/>
              <w:rPr>
                <w:sz w:val="18"/>
                <w:szCs w:val="18"/>
                <w:color w:val="auto"/>
              </w:rPr>
            </w:pPr>
          </w:p>
        </w:tc>
        <w:tc>
          <w:tcPr>
            <w:tcW w:w="540" w:type="dxa"/>
            <w:vAlign w:val="bottom"/>
          </w:tcPr>
          <w:p>
            <w:pPr>
              <w:jc w:val="right"/>
              <w:ind w:right="37"/>
              <w:spacing w:after="0"/>
              <w:rPr>
                <w:sz w:val="20"/>
                <w:szCs w:val="20"/>
                <w:color w:val="auto"/>
              </w:rPr>
            </w:pPr>
            <w:r>
              <w:rPr>
                <w:rFonts w:ascii="Arial" w:cs="Arial" w:eastAsia="Arial" w:hAnsi="Arial"/>
                <w:sz w:val="18"/>
                <w:szCs w:val="18"/>
                <w:color w:val="auto"/>
              </w:rPr>
              <w:t>2</w:t>
            </w:r>
          </w:p>
        </w:tc>
        <w:tc>
          <w:tcPr>
            <w:tcW w:w="740" w:type="dxa"/>
            <w:vAlign w:val="bottom"/>
          </w:tcPr>
          <w:p>
            <w:pPr>
              <w:spacing w:after="0"/>
              <w:rPr>
                <w:sz w:val="18"/>
                <w:szCs w:val="18"/>
                <w:color w:val="auto"/>
              </w:rPr>
            </w:pPr>
          </w:p>
        </w:tc>
        <w:tc>
          <w:tcPr>
            <w:tcW w:w="880" w:type="dxa"/>
            <w:vAlign w:val="bottom"/>
          </w:tcPr>
          <w:p>
            <w:pPr>
              <w:jc w:val="right"/>
              <w:ind w:right="355"/>
              <w:spacing w:after="0"/>
              <w:rPr>
                <w:sz w:val="20"/>
                <w:szCs w:val="20"/>
                <w:color w:val="auto"/>
              </w:rPr>
            </w:pPr>
            <w:r>
              <w:rPr>
                <w:rFonts w:ascii="Arial" w:cs="Arial" w:eastAsia="Arial" w:hAnsi="Arial"/>
                <w:sz w:val="18"/>
                <w:szCs w:val="18"/>
                <w:color w:val="auto"/>
              </w:rPr>
              <w:t>57</w:t>
            </w:r>
          </w:p>
        </w:tc>
        <w:tc>
          <w:tcPr>
            <w:tcW w:w="500" w:type="dxa"/>
            <w:vAlign w:val="bottom"/>
          </w:tcPr>
          <w:p>
            <w:pPr>
              <w:spacing w:after="0"/>
              <w:rPr>
                <w:sz w:val="18"/>
                <w:szCs w:val="18"/>
                <w:color w:val="auto"/>
              </w:rPr>
            </w:pPr>
          </w:p>
        </w:tc>
        <w:tc>
          <w:tcPr>
            <w:tcW w:w="540" w:type="dxa"/>
            <w:vAlign w:val="bottom"/>
          </w:tcPr>
          <w:p>
            <w:pPr>
              <w:jc w:val="right"/>
              <w:ind w:right="37"/>
              <w:spacing w:after="0"/>
              <w:rPr>
                <w:sz w:val="20"/>
                <w:szCs w:val="20"/>
                <w:color w:val="auto"/>
              </w:rPr>
            </w:pPr>
            <w:r>
              <w:rPr>
                <w:rFonts w:ascii="Arial" w:cs="Arial" w:eastAsia="Arial" w:hAnsi="Arial"/>
                <w:sz w:val="18"/>
                <w:szCs w:val="18"/>
                <w:color w:val="auto"/>
              </w:rPr>
              <w:t>13</w:t>
            </w:r>
          </w:p>
        </w:tc>
        <w:tc>
          <w:tcPr>
            <w:tcW w:w="7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E5E5E5"/>
          </w:tcPr>
          <w:p>
            <w:pPr>
              <w:spacing w:after="0"/>
              <w:rPr>
                <w:sz w:val="20"/>
                <w:szCs w:val="20"/>
                <w:color w:val="auto"/>
              </w:rPr>
            </w:pPr>
            <w:r>
              <w:rPr>
                <w:rFonts w:ascii="Arial" w:cs="Arial" w:eastAsia="Arial" w:hAnsi="Arial"/>
                <w:sz w:val="18"/>
                <w:szCs w:val="18"/>
                <w:color w:val="auto"/>
              </w:rPr>
              <w:t>Investment impairment losses</w:t>
            </w:r>
          </w:p>
        </w:tc>
        <w:tc>
          <w:tcPr>
            <w:tcW w:w="98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37"/>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295"/>
              <w:spacing w:after="0"/>
              <w:rPr>
                <w:sz w:val="20"/>
                <w:szCs w:val="20"/>
                <w:color w:val="auto"/>
              </w:rPr>
            </w:pPr>
            <w:r>
              <w:rPr>
                <w:rFonts w:ascii="Arial" w:cs="Arial" w:eastAsia="Arial" w:hAnsi="Arial"/>
                <w:sz w:val="18"/>
                <w:szCs w:val="18"/>
                <w:color w:val="auto"/>
              </w:rPr>
              <w:t>(2)</w:t>
            </w:r>
          </w:p>
        </w:tc>
        <w:tc>
          <w:tcPr>
            <w:tcW w:w="500" w:type="dxa"/>
            <w:vAlign w:val="bottom"/>
            <w:shd w:val="clear" w:color="auto" w:fill="E5E5E5"/>
          </w:tcPr>
          <w:p>
            <w:pPr>
              <w:spacing w:after="0"/>
              <w:rPr>
                <w:sz w:val="18"/>
                <w:szCs w:val="18"/>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w:t>
            </w:r>
          </w:p>
        </w:tc>
        <w:tc>
          <w:tcPr>
            <w:tcW w:w="76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Unrealized gains (losses) on trading securities and hedged items</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w:t>
            </w:r>
          </w:p>
        </w:tc>
        <w:tc>
          <w:tcPr>
            <w:tcW w:w="740" w:type="dxa"/>
            <w:vAlign w:val="bottom"/>
          </w:tcPr>
          <w:p>
            <w:pPr>
              <w:spacing w:after="0"/>
              <w:rPr>
                <w:sz w:val="18"/>
                <w:szCs w:val="18"/>
                <w:color w:val="auto"/>
              </w:rPr>
            </w:pPr>
          </w:p>
        </w:tc>
        <w:tc>
          <w:tcPr>
            <w:tcW w:w="880" w:type="dxa"/>
            <w:vAlign w:val="bottom"/>
          </w:tcPr>
          <w:p>
            <w:pPr>
              <w:jc w:val="right"/>
              <w:ind w:right="355"/>
              <w:spacing w:after="0"/>
              <w:rPr>
                <w:sz w:val="20"/>
                <w:szCs w:val="20"/>
                <w:color w:val="auto"/>
              </w:rPr>
            </w:pPr>
            <w:r>
              <w:rPr>
                <w:rFonts w:ascii="Arial" w:cs="Arial" w:eastAsia="Arial" w:hAnsi="Arial"/>
                <w:sz w:val="18"/>
                <w:szCs w:val="18"/>
                <w:color w:val="auto"/>
              </w:rPr>
              <w:t>277</w:t>
            </w:r>
          </w:p>
        </w:tc>
        <w:tc>
          <w:tcPr>
            <w:tcW w:w="5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(290)</w:t>
            </w:r>
          </w:p>
        </w:tc>
        <w:tc>
          <w:tcPr>
            <w:tcW w:w="7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80" w:type="dxa"/>
            <w:vAlign w:val="bottom"/>
            <w:shd w:val="clear" w:color="auto" w:fill="E5E5E5"/>
          </w:tcPr>
          <w:p>
            <w:pPr>
              <w:spacing w:after="0"/>
              <w:rPr>
                <w:sz w:val="20"/>
                <w:szCs w:val="20"/>
                <w:color w:val="auto"/>
              </w:rPr>
            </w:pPr>
            <w:r>
              <w:rPr>
                <w:rFonts w:ascii="Arial" w:cs="Arial" w:eastAsia="Arial" w:hAnsi="Arial"/>
                <w:sz w:val="18"/>
                <w:szCs w:val="18"/>
                <w:color w:val="auto"/>
                <w:w w:val="90"/>
              </w:rPr>
              <w:t>Mark to market adjustments on derivatives related to trading securities and hedged</w:t>
            </w:r>
          </w:p>
        </w:tc>
        <w:tc>
          <w:tcPr>
            <w:tcW w:w="98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9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items</w:t>
            </w:r>
          </w:p>
        </w:tc>
        <w:tc>
          <w:tcPr>
            <w:tcW w:w="980" w:type="dxa"/>
            <w:vAlign w:val="bottom"/>
            <w:shd w:val="clear" w:color="auto" w:fill="E5E5E5"/>
          </w:tcPr>
          <w:p>
            <w:pPr>
              <w:spacing w:after="0"/>
              <w:rPr>
                <w:sz w:val="19"/>
                <w:szCs w:val="19"/>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(21)</w:t>
            </w:r>
          </w:p>
        </w:tc>
        <w:tc>
          <w:tcPr>
            <w:tcW w:w="740" w:type="dxa"/>
            <w:vAlign w:val="bottom"/>
            <w:shd w:val="clear" w:color="auto" w:fill="E5E5E5"/>
          </w:tcPr>
          <w:p>
            <w:pPr>
              <w:spacing w:after="0"/>
              <w:rPr>
                <w:sz w:val="19"/>
                <w:szCs w:val="19"/>
                <w:color w:val="auto"/>
              </w:rPr>
            </w:pPr>
          </w:p>
        </w:tc>
        <w:tc>
          <w:tcPr>
            <w:tcW w:w="880" w:type="dxa"/>
            <w:vAlign w:val="bottom"/>
            <w:shd w:val="clear" w:color="auto" w:fill="E5E5E5"/>
          </w:tcPr>
          <w:p>
            <w:pPr>
              <w:jc w:val="right"/>
              <w:ind w:right="295"/>
              <w:spacing w:after="0"/>
              <w:rPr>
                <w:sz w:val="20"/>
                <w:szCs w:val="20"/>
                <w:color w:val="auto"/>
              </w:rPr>
            </w:pPr>
            <w:r>
              <w:rPr>
                <w:rFonts w:ascii="Arial" w:cs="Arial" w:eastAsia="Arial" w:hAnsi="Arial"/>
                <w:sz w:val="18"/>
                <w:szCs w:val="18"/>
                <w:color w:val="auto"/>
              </w:rPr>
              <w:t>(243)</w:t>
            </w:r>
          </w:p>
        </w:tc>
        <w:tc>
          <w:tcPr>
            <w:tcW w:w="500" w:type="dxa"/>
            <w:vAlign w:val="bottom"/>
            <w:shd w:val="clear" w:color="auto" w:fill="E5E5E5"/>
          </w:tcPr>
          <w:p>
            <w:pPr>
              <w:spacing w:after="0"/>
              <w:rPr>
                <w:sz w:val="19"/>
                <w:szCs w:val="19"/>
                <w:color w:val="auto"/>
              </w:rPr>
            </w:pPr>
          </w:p>
        </w:tc>
        <w:tc>
          <w:tcPr>
            <w:tcW w:w="540" w:type="dxa"/>
            <w:vAlign w:val="bottom"/>
            <w:shd w:val="clear" w:color="auto" w:fill="E5E5E5"/>
          </w:tcPr>
          <w:p>
            <w:pPr>
              <w:jc w:val="right"/>
              <w:ind w:right="37"/>
              <w:spacing w:after="0"/>
              <w:rPr>
                <w:sz w:val="20"/>
                <w:szCs w:val="20"/>
                <w:color w:val="auto"/>
              </w:rPr>
            </w:pPr>
            <w:r>
              <w:rPr>
                <w:rFonts w:ascii="Arial" w:cs="Arial" w:eastAsia="Arial" w:hAnsi="Arial"/>
                <w:sz w:val="18"/>
                <w:szCs w:val="18"/>
                <w:color w:val="auto"/>
              </w:rPr>
              <w:t>273</w:t>
            </w:r>
          </w:p>
        </w:tc>
        <w:tc>
          <w:tcPr>
            <w:tcW w:w="760" w:type="dxa"/>
            <w:vAlign w:val="bottom"/>
            <w:shd w:val="clear" w:color="auto" w:fill="E5E5E5"/>
          </w:tcPr>
          <w:p>
            <w:pPr>
              <w:spacing w:after="0"/>
              <w:rPr>
                <w:sz w:val="19"/>
                <w:szCs w:val="19"/>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Mark to market adjustments on derivatives</w:t>
            </w:r>
          </w:p>
        </w:tc>
        <w:tc>
          <w:tcPr>
            <w:tcW w:w="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7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5"/>
              <w:spacing w:after="0"/>
              <w:rPr>
                <w:sz w:val="20"/>
                <w:szCs w:val="20"/>
                <w:color w:val="auto"/>
              </w:rPr>
            </w:pPr>
            <w:r>
              <w:rPr>
                <w:rFonts w:ascii="Arial" w:cs="Arial" w:eastAsia="Arial" w:hAnsi="Arial"/>
                <w:sz w:val="18"/>
                <w:szCs w:val="18"/>
                <w:color w:val="auto"/>
              </w:rPr>
              <w:t>3</w:t>
            </w:r>
          </w:p>
        </w:tc>
        <w:tc>
          <w:tcPr>
            <w:tcW w:w="5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7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Investment income (loss), net</w:t>
            </w:r>
          </w:p>
        </w:tc>
        <w:tc>
          <w:tcPr>
            <w:tcW w:w="9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(70)</w:t>
            </w:r>
          </w:p>
        </w:tc>
        <w:tc>
          <w:tcPr>
            <w:tcW w:w="7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E5E5E5"/>
          </w:tcPr>
          <w:p>
            <w:pPr>
              <w:jc w:val="right"/>
              <w:ind w:right="355"/>
              <w:spacing w:after="0"/>
              <w:rPr>
                <w:sz w:val="20"/>
                <w:szCs w:val="20"/>
                <w:color w:val="auto"/>
              </w:rPr>
            </w:pPr>
            <w:r>
              <w:rPr>
                <w:rFonts w:ascii="Arial" w:cs="Arial" w:eastAsia="Arial" w:hAnsi="Arial"/>
                <w:sz w:val="18"/>
                <w:szCs w:val="18"/>
                <w:b w:val="1"/>
                <w:bCs w:val="1"/>
                <w:color w:val="auto"/>
              </w:rPr>
              <w:t>126</w:t>
            </w: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shd w:val="clear" w:color="auto" w:fill="E5E5E5"/>
          </w:tcPr>
          <w:p>
            <w:pPr>
              <w:jc w:val="right"/>
              <w:ind w:right="37"/>
              <w:spacing w:after="0"/>
              <w:rPr>
                <w:sz w:val="20"/>
                <w:szCs w:val="20"/>
                <w:color w:val="auto"/>
              </w:rPr>
            </w:pPr>
            <w:r>
              <w:rPr>
                <w:rFonts w:ascii="Arial" w:cs="Arial" w:eastAsia="Arial" w:hAnsi="Arial"/>
                <w:sz w:val="18"/>
                <w:szCs w:val="18"/>
                <w:b w:val="1"/>
                <w:bCs w:val="1"/>
                <w:color w:val="auto"/>
              </w:rPr>
              <w:t>9</w:t>
            </w:r>
          </w:p>
        </w:tc>
        <w:tc>
          <w:tcPr>
            <w:tcW w:w="7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300</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Goodwill</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business segment for the six months ended June 30, 2008 are presented in the table below.</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gridSpan w:val="2"/>
          </w:tcPr>
          <w:p>
            <w:pPr>
              <w:ind w:left="280"/>
              <w:spacing w:after="0"/>
              <w:rPr>
                <w:sz w:val="20"/>
                <w:szCs w:val="20"/>
                <w:color w:val="auto"/>
              </w:rPr>
            </w:pPr>
            <w:r>
              <w:rPr>
                <w:rFonts w:ascii="Arial" w:cs="Arial" w:eastAsia="Arial" w:hAnsi="Arial"/>
                <w:sz w:val="14"/>
                <w:szCs w:val="14"/>
                <w:color w:val="auto"/>
              </w:rPr>
              <w:t>Corporate</w:t>
            </w: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9"/>
        </w:trPr>
        <w:tc>
          <w:tcPr>
            <w:tcW w:w="470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3500" w:type="dxa"/>
            <w:vAlign w:val="bottom"/>
          </w:tcPr>
          <w:p>
            <w:pPr>
              <w:jc w:val="right"/>
              <w:ind w:right="316"/>
              <w:spacing w:after="0" w:line="159" w:lineRule="exact"/>
              <w:rPr>
                <w:sz w:val="20"/>
                <w:szCs w:val="20"/>
                <w:color w:val="auto"/>
              </w:rPr>
            </w:pPr>
            <w:r>
              <w:rPr>
                <w:rFonts w:ascii="Arial" w:cs="Arial" w:eastAsia="Arial" w:hAnsi="Arial"/>
                <w:sz w:val="14"/>
                <w:szCs w:val="14"/>
                <w:color w:val="auto"/>
              </w:rPr>
              <w:t>Cable</w:t>
            </w:r>
          </w:p>
        </w:tc>
        <w:tc>
          <w:tcPr>
            <w:tcW w:w="128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Programming</w:t>
            </w:r>
          </w:p>
        </w:tc>
        <w:tc>
          <w:tcPr>
            <w:tcW w:w="108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and Other</w:t>
            </w:r>
          </w:p>
        </w:tc>
        <w:tc>
          <w:tcPr>
            <w:tcW w:w="880" w:type="dxa"/>
            <w:vAlign w:val="bottom"/>
            <w:gridSpan w:val="2"/>
          </w:tcPr>
          <w:p>
            <w:pPr>
              <w:ind w:left="440"/>
              <w:spacing w:after="0" w:line="159" w:lineRule="exact"/>
              <w:rPr>
                <w:sz w:val="20"/>
                <w:szCs w:val="20"/>
                <w:color w:val="auto"/>
              </w:rPr>
            </w:pPr>
            <w:r>
              <w:rPr>
                <w:rFonts w:ascii="Arial" w:cs="Arial" w:eastAsia="Arial" w:hAnsi="Arial"/>
                <w:sz w:val="14"/>
                <w:szCs w:val="14"/>
                <w:color w:val="auto"/>
              </w:rPr>
              <w:t>Total</w:t>
            </w:r>
          </w:p>
        </w:tc>
      </w:tr>
      <w:tr>
        <w:trPr>
          <w:trHeight w:val="210"/>
        </w:trPr>
        <w:tc>
          <w:tcPr>
            <w:tcW w:w="20" w:type="dxa"/>
            <w:vAlign w:val="bottom"/>
          </w:tcPr>
          <w:p>
            <w:pPr>
              <w:spacing w:after="0"/>
              <w:rPr>
                <w:sz w:val="18"/>
                <w:szCs w:val="18"/>
                <w:color w:val="auto"/>
              </w:rPr>
            </w:pPr>
          </w:p>
        </w:tc>
        <w:tc>
          <w:tcPr>
            <w:tcW w:w="46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Balance, December 31, 2007</w:t>
            </w:r>
          </w:p>
        </w:tc>
        <w:tc>
          <w:tcPr>
            <w:tcW w:w="3500" w:type="dxa"/>
            <w:vAlign w:val="bottom"/>
            <w:tcBorders>
              <w:top w:val="single" w:sz="8" w:color="auto"/>
            </w:tcBorders>
            <w:shd w:val="clear" w:color="auto" w:fill="E5E5E5"/>
          </w:tcPr>
          <w:p>
            <w:pPr>
              <w:jc w:val="right"/>
              <w:ind w:right="176"/>
              <w:spacing w:after="0"/>
              <w:rPr>
                <w:sz w:val="20"/>
                <w:szCs w:val="20"/>
                <w:color w:val="auto"/>
              </w:rPr>
            </w:pPr>
            <w:r>
              <w:rPr>
                <w:rFonts w:ascii="Arial" w:cs="Arial" w:eastAsia="Arial" w:hAnsi="Arial"/>
                <w:sz w:val="18"/>
                <w:szCs w:val="18"/>
                <w:color w:val="auto"/>
              </w:rPr>
              <w:t>$12,842</w:t>
            </w:r>
          </w:p>
        </w:tc>
        <w:tc>
          <w:tcPr>
            <w:tcW w:w="500" w:type="dxa"/>
            <w:vAlign w:val="bottom"/>
            <w:tcBorders>
              <w:top w:val="single" w:sz="8" w:color="auto"/>
            </w:tcBorders>
            <w:shd w:val="clear" w:color="auto" w:fill="E5E5E5"/>
          </w:tcPr>
          <w:p>
            <w:pPr>
              <w:ind w:left="28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1,482</w:t>
            </w:r>
          </w:p>
        </w:tc>
        <w:tc>
          <w:tcPr>
            <w:tcW w:w="460" w:type="dxa"/>
            <w:vAlign w:val="bottom"/>
            <w:tcBorders>
              <w:top w:val="single" w:sz="8" w:color="auto"/>
            </w:tcBorders>
            <w:shd w:val="clear" w:color="auto" w:fill="E5E5E5"/>
          </w:tcPr>
          <w:p>
            <w:pPr>
              <w:ind w:left="28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381</w:t>
            </w:r>
          </w:p>
        </w:tc>
        <w:tc>
          <w:tcPr>
            <w:tcW w:w="8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$14,705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Settlements and adjustments</w:t>
            </w:r>
          </w:p>
        </w:tc>
        <w:tc>
          <w:tcPr>
            <w:tcW w:w="3500" w:type="dxa"/>
            <w:vAlign w:val="bottom"/>
          </w:tcPr>
          <w:p>
            <w:pPr>
              <w:jc w:val="right"/>
              <w:ind w:right="176"/>
              <w:spacing w:after="0"/>
              <w:rPr>
                <w:sz w:val="20"/>
                <w:szCs w:val="20"/>
                <w:color w:val="auto"/>
              </w:rPr>
            </w:pPr>
            <w:r>
              <w:rPr>
                <w:rFonts w:ascii="Arial" w:cs="Arial" w:eastAsia="Arial" w:hAnsi="Arial"/>
                <w:sz w:val="18"/>
                <w:szCs w:val="18"/>
                <w:color w:val="auto"/>
              </w:rPr>
              <w:t>12</w:t>
            </w:r>
          </w:p>
        </w:tc>
        <w:tc>
          <w:tcPr>
            <w:tcW w:w="500" w:type="dxa"/>
            <w:vAlign w:val="bottom"/>
          </w:tcPr>
          <w:p>
            <w:pPr>
              <w:spacing w:after="0"/>
              <w:rPr>
                <w:sz w:val="18"/>
                <w:szCs w:val="18"/>
                <w:color w:val="auto"/>
              </w:rPr>
            </w:pPr>
          </w:p>
        </w:tc>
        <w:tc>
          <w:tcPr>
            <w:tcW w:w="7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620" w:type="dxa"/>
            <w:vAlign w:val="bottom"/>
          </w:tcPr>
          <w:p>
            <w:pPr>
              <w:jc w:val="right"/>
              <w:ind w:right="172"/>
              <w:spacing w:after="0"/>
              <w:rPr>
                <w:sz w:val="20"/>
                <w:szCs w:val="20"/>
                <w:color w:val="auto"/>
              </w:rPr>
            </w:pPr>
            <w:r>
              <w:rPr>
                <w:rFonts w:ascii="Arial" w:cs="Arial" w:eastAsia="Arial" w:hAnsi="Arial"/>
                <w:sz w:val="18"/>
                <w:szCs w:val="18"/>
                <w:color w:val="auto"/>
              </w:rPr>
              <w:t>5</w:t>
            </w:r>
          </w:p>
        </w:tc>
        <w:tc>
          <w:tcPr>
            <w:tcW w:w="86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Acquisitions</w:t>
            </w:r>
          </w:p>
        </w:tc>
        <w:tc>
          <w:tcPr>
            <w:tcW w:w="3500" w:type="dxa"/>
            <w:vAlign w:val="bottom"/>
            <w:tcBorders>
              <w:bottom w:val="single" w:sz="8" w:color="auto"/>
            </w:tcBorders>
            <w:shd w:val="clear" w:color="auto" w:fill="E5E5E5"/>
          </w:tcPr>
          <w:p>
            <w:pPr>
              <w:jc w:val="right"/>
              <w:ind w:right="176"/>
              <w:spacing w:after="0"/>
              <w:rPr>
                <w:sz w:val="20"/>
                <w:szCs w:val="20"/>
                <w:color w:val="auto"/>
              </w:rPr>
            </w:pPr>
            <w:r>
              <w:rPr>
                <w:rFonts w:ascii="Arial" w:cs="Arial" w:eastAsia="Arial" w:hAnsi="Arial"/>
                <w:sz w:val="18"/>
                <w:szCs w:val="18"/>
                <w:color w:val="auto"/>
              </w:rPr>
              <w:t>304</w:t>
            </w:r>
          </w:p>
        </w:tc>
        <w:tc>
          <w:tcPr>
            <w:tcW w:w="50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38</w:t>
            </w:r>
          </w:p>
        </w:tc>
        <w:tc>
          <w:tcPr>
            <w:tcW w:w="4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10</w:t>
            </w:r>
          </w:p>
        </w:tc>
        <w:tc>
          <w:tcPr>
            <w:tcW w:w="8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352</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June 30, 2008</w:t>
            </w:r>
          </w:p>
        </w:tc>
        <w:tc>
          <w:tcPr>
            <w:tcW w:w="350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b w:val="1"/>
                <w:bCs w:val="1"/>
                <w:color w:val="auto"/>
              </w:rPr>
              <w:t>$13,158</w:t>
            </w:r>
          </w:p>
        </w:tc>
        <w:tc>
          <w:tcPr>
            <w:tcW w:w="50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1,520</w:t>
            </w:r>
          </w:p>
        </w:tc>
        <w:tc>
          <w:tcPr>
            <w:tcW w:w="46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396</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$15,074</w:t>
            </w:r>
          </w:p>
        </w:tc>
        <w:tc>
          <w:tcPr>
            <w:tcW w:w="20" w:type="dxa"/>
            <w:vAlign w:val="bottom"/>
            <w:tcBorders>
              <w:bottom w:val="single" w:sz="8" w:color="auto"/>
            </w:tcBorders>
          </w:tcPr>
          <w:p>
            <w:pPr>
              <w:spacing w:after="0"/>
              <w:rPr>
                <w:sz w:val="18"/>
                <w:szCs w:val="18"/>
                <w:color w:val="auto"/>
              </w:rPr>
            </w:pPr>
          </w:p>
        </w:tc>
      </w:tr>
    </w:tbl>
    <w:p>
      <w:pPr>
        <w:spacing w:after="0" w:line="10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Acquisitions for the six months ended June 30, 2008 primarily relate to the Insight transaction, the acquisition of an additional interest in Pacific Regional Programming Partners, which operates the Comcast SportsNet Bay Area network, and various other smaller acquisitions.</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Long-Term Debt</w:t>
      </w:r>
    </w:p>
    <w:p>
      <w:pPr>
        <w:spacing w:after="0" w:line="82"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In May 2008, we issued $1.0 billion principal amount of 5.70% notes due 2018 and $1.0 billion principal amount of 6.40% notes due 2038. We used the net proceeds of this offering for the repayment of certain debt obligations, repurchases of our common stock, working capital and general corporate purposes.</w:t>
      </w:r>
    </w:p>
    <w:p>
      <w:pPr>
        <w:spacing w:after="0" w:line="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Fair Value of Financial Assets and Financial Liabilities</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Effective January 1, 2008, we adopted the provisions of SFAS No. 157 that relate to our financial assets and financial liabilities as discussed in Note 2. SFAS No. 157 establishes a hierarchy that prioritizes fair value measurements based on the types of inputs used for the various valuation techniques (market approach, income approach and cost approach). The levels of the hierarchy are described below:</w:t>
      </w:r>
    </w:p>
    <w:p>
      <w:pPr>
        <w:spacing w:after="0" w:line="46" w:lineRule="exact"/>
        <w:rPr>
          <w:sz w:val="20"/>
          <w:szCs w:val="20"/>
          <w:color w:val="auto"/>
        </w:rPr>
      </w:pPr>
    </w:p>
    <w:p>
      <w:pPr>
        <w:ind w:left="1020" w:hanging="21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Observable inputs such as quoted prices in active markets for identical assets or liabilities</w:t>
      </w:r>
    </w:p>
    <w:p>
      <w:pPr>
        <w:spacing w:after="0" w:line="76" w:lineRule="exact"/>
        <w:rPr>
          <w:rFonts w:ascii="Arial" w:cs="Arial" w:eastAsia="Arial" w:hAnsi="Arial"/>
          <w:sz w:val="18"/>
          <w:szCs w:val="18"/>
          <w:color w:val="auto"/>
        </w:rPr>
      </w:pPr>
    </w:p>
    <w:p>
      <w:pPr>
        <w:jc w:val="both"/>
        <w:ind w:left="1020" w:right="680" w:hanging="215"/>
        <w:spacing w:after="0" w:line="259"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Inputs other than quoted prices that are observable for the asset or liability, either directly or indirectly; these include quoted prices for similar assets or liabilities in active markets and quoted prices for identical or similar assets or liabilities in markets that are not active</w:t>
      </w:r>
    </w:p>
    <w:p>
      <w:pPr>
        <w:spacing w:after="0" w:line="45" w:lineRule="exact"/>
        <w:rPr>
          <w:rFonts w:ascii="Arial" w:cs="Arial" w:eastAsia="Arial" w:hAnsi="Arial"/>
          <w:sz w:val="18"/>
          <w:szCs w:val="18"/>
          <w:color w:val="auto"/>
        </w:rPr>
      </w:pPr>
    </w:p>
    <w:p>
      <w:pPr>
        <w:ind w:left="1020" w:hanging="21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Unobservable inputs that reflect the reporting entity’s own assumptions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assessment of the significance of a particular input to the fair value measurement requires judgment and may affect the valuation of financial assets and financial liabilities and their placement within the fair value hierarchy. Our financial assets and financial liabilities that are accounted for at fair value on a recurring basis are presented in the table below.</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Recurring Fair Value Measures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4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w w:val="88"/>
              </w:rPr>
              <w:t>Fair value as of June 30, 2008</w:t>
            </w: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240" w:type="dxa"/>
            <w:vAlign w:val="bottom"/>
            <w:gridSpan w:val="2"/>
            <w:vMerge w:val="continue"/>
          </w:tcPr>
          <w:p>
            <w:pPr>
              <w:spacing w:after="0"/>
              <w:rPr>
                <w:sz w:val="12"/>
                <w:szCs w:val="12"/>
                <w:color w:val="auto"/>
              </w:rPr>
            </w:pPr>
          </w:p>
        </w:tc>
        <w:tc>
          <w:tcPr>
            <w:tcW w:w="880" w:type="dxa"/>
            <w:vAlign w:val="bottom"/>
            <w:gridSpan w:val="2"/>
          </w:tcPr>
          <w:p>
            <w:pPr>
              <w:jc w:val="right"/>
              <w:ind w:right="12"/>
              <w:spacing w:after="0" w:line="142" w:lineRule="exact"/>
              <w:rPr>
                <w:sz w:val="20"/>
                <w:szCs w:val="20"/>
                <w:color w:val="auto"/>
              </w:rPr>
            </w:pPr>
            <w:r>
              <w:rPr>
                <w:rFonts w:ascii="Arial" w:cs="Arial" w:eastAsia="Arial" w:hAnsi="Arial"/>
                <w:sz w:val="14"/>
                <w:szCs w:val="14"/>
                <w:color w:val="auto"/>
              </w:rPr>
              <w:t>Level 1</w:t>
            </w:r>
          </w:p>
        </w:tc>
        <w:tc>
          <w:tcPr>
            <w:tcW w:w="880" w:type="dxa"/>
            <w:vAlign w:val="bottom"/>
            <w:gridSpan w:val="2"/>
          </w:tcPr>
          <w:p>
            <w:pPr>
              <w:ind w:left="300"/>
              <w:spacing w:after="0" w:line="142" w:lineRule="exact"/>
              <w:rPr>
                <w:sz w:val="20"/>
                <w:szCs w:val="20"/>
                <w:color w:val="auto"/>
              </w:rPr>
            </w:pPr>
            <w:r>
              <w:rPr>
                <w:rFonts w:ascii="Arial" w:cs="Arial" w:eastAsia="Arial" w:hAnsi="Arial"/>
                <w:sz w:val="14"/>
                <w:szCs w:val="14"/>
                <w:color w:val="auto"/>
              </w:rPr>
              <w:t>Level 2</w:t>
            </w:r>
          </w:p>
        </w:tc>
        <w:tc>
          <w:tcPr>
            <w:tcW w:w="860" w:type="dxa"/>
            <w:vAlign w:val="bottom"/>
            <w:gridSpan w:val="2"/>
          </w:tcPr>
          <w:p>
            <w:pPr>
              <w:ind w:left="160"/>
              <w:spacing w:after="0" w:line="142" w:lineRule="exact"/>
              <w:rPr>
                <w:sz w:val="20"/>
                <w:szCs w:val="20"/>
                <w:color w:val="auto"/>
              </w:rPr>
            </w:pPr>
            <w:r>
              <w:rPr>
                <w:rFonts w:ascii="Arial" w:cs="Arial" w:eastAsia="Arial" w:hAnsi="Arial"/>
                <w:sz w:val="14"/>
                <w:szCs w:val="14"/>
                <w:color w:val="auto"/>
              </w:rPr>
              <w:t>Level 3</w:t>
            </w:r>
          </w:p>
        </w:tc>
        <w:tc>
          <w:tcPr>
            <w:tcW w:w="160" w:type="dxa"/>
            <w:vAlign w:val="bottom"/>
          </w:tcPr>
          <w:p>
            <w:pPr>
              <w:spacing w:after="0"/>
              <w:rPr>
                <w:sz w:val="12"/>
                <w:szCs w:val="12"/>
                <w:color w:val="auto"/>
              </w:rPr>
            </w:pPr>
          </w:p>
        </w:tc>
        <w:tc>
          <w:tcPr>
            <w:tcW w:w="400" w:type="dxa"/>
            <w:vAlign w:val="bottom"/>
          </w:tcPr>
          <w:p>
            <w:pPr>
              <w:jc w:val="right"/>
              <w:ind w:right="34"/>
              <w:spacing w:after="0" w:line="142" w:lineRule="exact"/>
              <w:rPr>
                <w:sz w:val="20"/>
                <w:szCs w:val="20"/>
                <w:color w:val="auto"/>
              </w:rPr>
            </w:pPr>
            <w:r>
              <w:rPr>
                <w:rFonts w:ascii="Arial" w:cs="Arial" w:eastAsia="Arial" w:hAnsi="Arial"/>
                <w:sz w:val="14"/>
                <w:szCs w:val="14"/>
                <w:color w:val="auto"/>
                <w:w w:val="83"/>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420" w:type="dxa"/>
            <w:vAlign w:val="bottom"/>
            <w:tcBorders>
              <w:top w:val="single" w:sz="8" w:color="auto"/>
            </w:tcBorders>
            <w:shd w:val="clear" w:color="auto" w:fill="E5E5E5"/>
          </w:tcPr>
          <w:p>
            <w:pPr>
              <w:spacing w:after="0"/>
              <w:rPr>
                <w:sz w:val="18"/>
                <w:szCs w:val="18"/>
                <w:color w:val="auto"/>
              </w:rPr>
            </w:pPr>
          </w:p>
        </w:tc>
        <w:tc>
          <w:tcPr>
            <w:tcW w:w="460" w:type="dxa"/>
            <w:vAlign w:val="bottom"/>
            <w:tcBorders>
              <w:top w:val="single" w:sz="8" w:color="auto"/>
            </w:tcBorders>
            <w:shd w:val="clear" w:color="auto" w:fill="E5E5E5"/>
          </w:tcPr>
          <w:p>
            <w:pPr>
              <w:spacing w:after="0"/>
              <w:rPr>
                <w:sz w:val="18"/>
                <w:szCs w:val="18"/>
                <w:color w:val="auto"/>
              </w:rPr>
            </w:pPr>
          </w:p>
        </w:tc>
        <w:tc>
          <w:tcPr>
            <w:tcW w:w="400" w:type="dxa"/>
            <w:vAlign w:val="bottom"/>
            <w:tcBorders>
              <w:top w:val="single" w:sz="8" w:color="auto"/>
            </w:tcBorders>
            <w:shd w:val="clear" w:color="auto" w:fill="E5E5E5"/>
          </w:tcPr>
          <w:p>
            <w:pPr>
              <w:spacing w:after="0"/>
              <w:rPr>
                <w:sz w:val="18"/>
                <w:szCs w:val="18"/>
                <w:color w:val="auto"/>
              </w:rPr>
            </w:pPr>
          </w:p>
        </w:tc>
        <w:tc>
          <w:tcPr>
            <w:tcW w:w="48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540" w:type="dxa"/>
            <w:vAlign w:val="bottom"/>
            <w:tcBorders>
              <w:top w:val="single" w:sz="8" w:color="auto"/>
            </w:tcBorders>
            <w:shd w:val="clear" w:color="auto" w:fill="E5E5E5"/>
          </w:tcPr>
          <w:p>
            <w:pPr>
              <w:spacing w:after="0"/>
              <w:rPr>
                <w:sz w:val="18"/>
                <w:szCs w:val="18"/>
                <w:color w:val="auto"/>
              </w:rPr>
            </w:pPr>
          </w:p>
        </w:tc>
        <w:tc>
          <w:tcPr>
            <w:tcW w:w="160" w:type="dxa"/>
            <w:vAlign w:val="bottom"/>
            <w:tcBorders>
              <w:top w:val="single" w:sz="8" w:color="auto"/>
            </w:tcBorders>
            <w:shd w:val="clear" w:color="auto" w:fill="E5E5E5"/>
          </w:tcPr>
          <w:p>
            <w:pPr>
              <w:spacing w:after="0"/>
              <w:rPr>
                <w:sz w:val="18"/>
                <w:szCs w:val="18"/>
                <w:color w:val="auto"/>
              </w:rPr>
            </w:pPr>
          </w:p>
        </w:tc>
        <w:tc>
          <w:tcPr>
            <w:tcW w:w="400" w:type="dxa"/>
            <w:vAlign w:val="bottom"/>
            <w:tcBorders>
              <w:top w:val="single" w:sz="8" w:color="auto"/>
            </w:tcBorders>
            <w:shd w:val="clear" w:color="auto" w:fill="E5E5E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Trading securities</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88"/>
              </w:rPr>
              <w:t>1,759</w:t>
            </w:r>
          </w:p>
        </w:tc>
        <w:tc>
          <w:tcPr>
            <w:tcW w:w="400" w:type="dxa"/>
            <w:vAlign w:val="bottom"/>
          </w:tcPr>
          <w:p>
            <w:pPr>
              <w:ind w:left="28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Pr>
          <w:p>
            <w:pPr>
              <w:ind w:left="16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1,759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E5E5E5"/>
          </w:tcPr>
          <w:p>
            <w:pPr>
              <w:spacing w:after="0"/>
              <w:rPr>
                <w:sz w:val="20"/>
                <w:szCs w:val="20"/>
                <w:color w:val="auto"/>
              </w:rPr>
            </w:pPr>
            <w:r>
              <w:rPr>
                <w:rFonts w:ascii="Arial" w:cs="Arial" w:eastAsia="Arial" w:hAnsi="Arial"/>
                <w:sz w:val="18"/>
                <w:szCs w:val="18"/>
                <w:color w:val="auto"/>
              </w:rPr>
              <w:t>Available-for-sale securities</w:t>
            </w:r>
          </w:p>
        </w:tc>
        <w:tc>
          <w:tcPr>
            <w:tcW w:w="420" w:type="dxa"/>
            <w:vAlign w:val="bottom"/>
            <w:shd w:val="clear" w:color="auto" w:fill="E5E5E5"/>
          </w:tcPr>
          <w:p>
            <w:pPr>
              <w:spacing w:after="0"/>
              <w:rPr>
                <w:sz w:val="18"/>
                <w:szCs w:val="18"/>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16</w:t>
            </w:r>
          </w:p>
        </w:tc>
        <w:tc>
          <w:tcPr>
            <w:tcW w:w="40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93"/>
              </w:rPr>
              <w:t>378</w:t>
            </w:r>
          </w:p>
        </w:tc>
        <w:tc>
          <w:tcPr>
            <w:tcW w:w="3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160" w:type="dxa"/>
            <w:vAlign w:val="bottom"/>
            <w:shd w:val="clear" w:color="auto" w:fill="E5E5E5"/>
          </w:tcPr>
          <w:p>
            <w:pPr>
              <w:spacing w:after="0"/>
              <w:rPr>
                <w:sz w:val="18"/>
                <w:szCs w:val="18"/>
                <w:color w:val="auto"/>
              </w:rPr>
            </w:pPr>
          </w:p>
        </w:tc>
        <w:tc>
          <w:tcPr>
            <w:tcW w:w="4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Equity warrants</w:t>
            </w:r>
          </w:p>
        </w:tc>
        <w:tc>
          <w:tcPr>
            <w:tcW w:w="4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4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40" w:type="dxa"/>
            <w:vAlign w:val="bottom"/>
          </w:tcPr>
          <w:p>
            <w:pPr>
              <w:jc w:val="right"/>
              <w:ind w:right="192"/>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E5E5E5"/>
          </w:tcPr>
          <w:p>
            <w:pPr>
              <w:spacing w:after="0"/>
              <w:rPr>
                <w:sz w:val="20"/>
                <w:szCs w:val="20"/>
                <w:color w:val="auto"/>
              </w:rPr>
            </w:pPr>
            <w:r>
              <w:rPr>
                <w:rFonts w:ascii="Arial" w:cs="Arial" w:eastAsia="Arial" w:hAnsi="Arial"/>
                <w:sz w:val="18"/>
                <w:szCs w:val="18"/>
                <w:color w:val="auto"/>
              </w:rPr>
              <w:t>Cash surrender value of life insurance policies</w:t>
            </w:r>
          </w:p>
        </w:tc>
        <w:tc>
          <w:tcPr>
            <w:tcW w:w="420" w:type="dxa"/>
            <w:vAlign w:val="bottom"/>
            <w:shd w:val="clear" w:color="auto" w:fill="E5E5E5"/>
          </w:tcPr>
          <w:p>
            <w:pPr>
              <w:spacing w:after="0"/>
              <w:rPr>
                <w:sz w:val="18"/>
                <w:szCs w:val="18"/>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93"/>
              </w:rPr>
              <w:t>140</w:t>
            </w:r>
          </w:p>
        </w:tc>
        <w:tc>
          <w:tcPr>
            <w:tcW w:w="3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160" w:type="dxa"/>
            <w:vAlign w:val="bottom"/>
            <w:shd w:val="clear" w:color="auto" w:fill="E5E5E5"/>
          </w:tcPr>
          <w:p>
            <w:pPr>
              <w:spacing w:after="0"/>
              <w:rPr>
                <w:sz w:val="18"/>
                <w:szCs w:val="18"/>
                <w:color w:val="auto"/>
              </w:rPr>
            </w:pPr>
          </w:p>
        </w:tc>
        <w:tc>
          <w:tcPr>
            <w:tcW w:w="4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rate exchange agreements</w:t>
            </w:r>
          </w:p>
        </w:tc>
        <w:tc>
          <w:tcPr>
            <w:tcW w:w="4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31</w:t>
            </w:r>
          </w:p>
        </w:tc>
        <w:tc>
          <w:tcPr>
            <w:tcW w:w="3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2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88"/>
              </w:rPr>
              <w:t>1,775</w:t>
            </w:r>
          </w:p>
        </w:tc>
        <w:tc>
          <w:tcPr>
            <w:tcW w:w="400" w:type="dxa"/>
            <w:vAlign w:val="bottom"/>
            <w:tcBorders>
              <w:bottom w:val="single" w:sz="8" w:color="auto"/>
            </w:tcBorders>
            <w:shd w:val="clear" w:color="auto" w:fill="E5E5E5"/>
          </w:tcPr>
          <w:p>
            <w:pPr>
              <w:ind w:left="280"/>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w w:val="93"/>
              </w:rPr>
              <w:t>549</w:t>
            </w:r>
          </w:p>
        </w:tc>
        <w:tc>
          <w:tcPr>
            <w:tcW w:w="32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b w:val="1"/>
                <w:bCs w:val="1"/>
                <w:color w:val="auto"/>
              </w:rPr>
              <w:t>3</w:t>
            </w:r>
          </w:p>
        </w:tc>
        <w:tc>
          <w:tcPr>
            <w:tcW w:w="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84"/>
              </w:rPr>
              <w:t>2,327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20" w:type="dxa"/>
            <w:vAlign w:val="bottom"/>
            <w:shd w:val="clear" w:color="auto" w:fill="E5E5E5"/>
          </w:tcPr>
          <w:p>
            <w:pPr>
              <w:spacing w:after="0"/>
              <w:rPr>
                <w:sz w:val="20"/>
                <w:szCs w:val="20"/>
                <w:color w:val="auto"/>
              </w:rPr>
            </w:pPr>
            <w:r>
              <w:rPr>
                <w:rFonts w:ascii="Arial" w:cs="Arial" w:eastAsia="Arial" w:hAnsi="Arial"/>
                <w:sz w:val="18"/>
                <w:szCs w:val="18"/>
                <w:color w:val="auto"/>
              </w:rPr>
              <w:t>Indexed debt instruments</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ind w:left="28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93"/>
              </w:rPr>
              <w:t>102</w:t>
            </w:r>
          </w:p>
        </w:tc>
        <w:tc>
          <w:tcPr>
            <w:tcW w:w="320" w:type="dxa"/>
            <w:vAlign w:val="bottom"/>
            <w:shd w:val="clear" w:color="auto" w:fill="E5E5E5"/>
          </w:tcPr>
          <w:p>
            <w:pPr>
              <w:ind w:lef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1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Prepaid forward sale agreements</w:t>
            </w:r>
          </w:p>
        </w:tc>
        <w:tc>
          <w:tcPr>
            <w:tcW w:w="4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480" w:type="dxa"/>
            <w:vAlign w:val="bottom"/>
          </w:tcPr>
          <w:p>
            <w:pPr>
              <w:jc w:val="right"/>
              <w:ind w:right="92"/>
              <w:spacing w:after="0"/>
              <w:rPr>
                <w:sz w:val="20"/>
                <w:szCs w:val="20"/>
                <w:color w:val="auto"/>
              </w:rPr>
            </w:pPr>
            <w:r>
              <w:rPr>
                <w:rFonts w:ascii="Arial" w:cs="Arial" w:eastAsia="Arial" w:hAnsi="Arial"/>
                <w:sz w:val="18"/>
                <w:szCs w:val="18"/>
                <w:color w:val="auto"/>
                <w:w w:val="93"/>
              </w:rPr>
              <w:t>381</w:t>
            </w:r>
          </w:p>
        </w:tc>
        <w:tc>
          <w:tcPr>
            <w:tcW w:w="320" w:type="dxa"/>
            <w:vAlign w:val="bottom"/>
          </w:tcPr>
          <w:p>
            <w:pPr>
              <w:spacing w:after="0"/>
              <w:rPr>
                <w:sz w:val="18"/>
                <w:szCs w:val="18"/>
                <w:color w:val="auto"/>
              </w:rPr>
            </w:pPr>
          </w:p>
        </w:tc>
        <w:tc>
          <w:tcPr>
            <w:tcW w:w="5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Interest rate exchange agreements</w:t>
            </w:r>
          </w:p>
        </w:tc>
        <w:tc>
          <w:tcPr>
            <w:tcW w:w="42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17</w:t>
            </w:r>
          </w:p>
        </w:tc>
        <w:tc>
          <w:tcPr>
            <w:tcW w:w="3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E5E5E5"/>
          </w:tcPr>
          <w:p>
            <w:pPr>
              <w:spacing w:after="0"/>
              <w:rPr>
                <w:sz w:val="18"/>
                <w:szCs w:val="18"/>
                <w:color w:val="auto"/>
              </w:rPr>
            </w:pPr>
          </w:p>
        </w:tc>
        <w:tc>
          <w:tcPr>
            <w:tcW w:w="4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3"/>
              </w:rPr>
              <w:t>500</w:t>
            </w:r>
          </w:p>
        </w:tc>
        <w:tc>
          <w:tcPr>
            <w:tcW w:w="3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Stockholders’ Equity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7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Our Board of Directors may grant share-based awards, in the form of stock options and RSUs, to certain employees and directors. Additionally, through our employee stock purchase plan, employees are able to purchase shares of Comcast stock at a discount through payroll deductions.</w:t>
      </w:r>
    </w:p>
    <w:p>
      <w:pPr>
        <w:spacing w:after="0" w:line="3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March 2008, we granted 21.1 million stock options and 7.3 million RSUs related to our annual management grant program. The fair values associated with these grants were $6.48 per stock option and $18.14 per RSU.</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Recognized Share-Based Compensation Expense</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60" w:type="dxa"/>
            <w:vAlign w:val="bottom"/>
            <w:gridSpan w:val="3"/>
          </w:tcPr>
          <w:p>
            <w:pPr>
              <w:jc w:val="right"/>
              <w:ind w:right="476"/>
              <w:spacing w:after="0"/>
              <w:rPr>
                <w:sz w:val="20"/>
                <w:szCs w:val="20"/>
                <w:color w:val="auto"/>
              </w:rPr>
            </w:pPr>
            <w:r>
              <w:rPr>
                <w:rFonts w:ascii="Arial" w:cs="Arial" w:eastAsia="Arial" w:hAnsi="Arial"/>
                <w:sz w:val="14"/>
                <w:szCs w:val="14"/>
                <w:color w:val="auto"/>
                <w:w w:val="97"/>
              </w:rPr>
              <w:t>Three Months Ended</w:t>
            </w:r>
          </w:p>
        </w:tc>
        <w:tc>
          <w:tcPr>
            <w:tcW w:w="420" w:type="dxa"/>
            <w:vAlign w:val="bottom"/>
          </w:tcPr>
          <w:p>
            <w:pPr>
              <w:spacing w:after="0"/>
              <w:rPr>
                <w:sz w:val="14"/>
                <w:szCs w:val="14"/>
                <w:color w:val="auto"/>
              </w:rPr>
            </w:pPr>
          </w:p>
        </w:tc>
        <w:tc>
          <w:tcPr>
            <w:tcW w:w="1580" w:type="dxa"/>
            <w:vAlign w:val="bottom"/>
            <w:gridSpan w:val="4"/>
          </w:tcPr>
          <w:p>
            <w:pPr>
              <w:ind w:left="22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59"/>
        </w:trPr>
        <w:tc>
          <w:tcPr>
            <w:tcW w:w="688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7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19"/>
              <w:spacing w:after="0" w:line="159" w:lineRule="exact"/>
              <w:rPr>
                <w:sz w:val="20"/>
                <w:szCs w:val="20"/>
                <w:color w:val="auto"/>
              </w:rPr>
            </w:pPr>
            <w:r>
              <w:rPr>
                <w:rFonts w:ascii="Arial" w:cs="Arial" w:eastAsia="Arial" w:hAnsi="Arial"/>
                <w:sz w:val="14"/>
                <w:szCs w:val="14"/>
                <w:color w:val="auto"/>
                <w:w w:val="88"/>
              </w:rPr>
              <w:t>June 30</w:t>
            </w:r>
          </w:p>
        </w:tc>
        <w:tc>
          <w:tcPr>
            <w:tcW w:w="7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19"/>
              <w:spacing w:after="0" w:line="159" w:lineRule="exact"/>
              <w:rPr>
                <w:sz w:val="20"/>
                <w:szCs w:val="20"/>
                <w:color w:val="auto"/>
              </w:rPr>
            </w:pPr>
            <w:r>
              <w:rPr>
                <w:rFonts w:ascii="Arial" w:cs="Arial" w:eastAsia="Arial" w:hAnsi="Arial"/>
                <w:sz w:val="14"/>
                <w:szCs w:val="14"/>
                <w:color w:val="auto"/>
                <w:w w:val="88"/>
              </w:rPr>
              <w:t>June 30</w:t>
            </w:r>
          </w:p>
        </w:tc>
        <w:tc>
          <w:tcPr>
            <w:tcW w:w="4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88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jc w:val="right"/>
              <w:ind w:right="99"/>
              <w:spacing w:after="0" w:line="142" w:lineRule="exact"/>
              <w:rPr>
                <w:sz w:val="20"/>
                <w:szCs w:val="20"/>
                <w:color w:val="auto"/>
              </w:rPr>
            </w:pPr>
            <w:r>
              <w:rPr>
                <w:rFonts w:ascii="Arial" w:cs="Arial" w:eastAsia="Arial" w:hAnsi="Arial"/>
                <w:sz w:val="14"/>
                <w:szCs w:val="14"/>
                <w:color w:val="auto"/>
                <w:w w:val="89"/>
              </w:rPr>
              <w:t>2008</w:t>
            </w:r>
          </w:p>
        </w:tc>
        <w:tc>
          <w:tcPr>
            <w:tcW w:w="660" w:type="dxa"/>
            <w:vAlign w:val="bottom"/>
          </w:tcPr>
          <w:p>
            <w:pPr>
              <w:spacing w:after="0"/>
              <w:rPr>
                <w:sz w:val="12"/>
                <w:szCs w:val="12"/>
                <w:color w:val="auto"/>
              </w:rPr>
            </w:pPr>
          </w:p>
        </w:tc>
        <w:tc>
          <w:tcPr>
            <w:tcW w:w="720" w:type="dxa"/>
            <w:vAlign w:val="bottom"/>
          </w:tcPr>
          <w:p>
            <w:pPr>
              <w:jc w:val="right"/>
              <w:ind w:right="336"/>
              <w:spacing w:after="0" w:line="142" w:lineRule="exact"/>
              <w:rPr>
                <w:sz w:val="20"/>
                <w:szCs w:val="20"/>
                <w:color w:val="auto"/>
              </w:rPr>
            </w:pPr>
            <w:r>
              <w:rPr>
                <w:rFonts w:ascii="Arial" w:cs="Arial" w:eastAsia="Arial" w:hAnsi="Arial"/>
                <w:sz w:val="14"/>
                <w:szCs w:val="14"/>
                <w:color w:val="auto"/>
                <w:w w:val="89"/>
              </w:rPr>
              <w:t>2007</w:t>
            </w:r>
          </w:p>
        </w:tc>
        <w:tc>
          <w:tcPr>
            <w:tcW w:w="420" w:type="dxa"/>
            <w:vAlign w:val="bottom"/>
          </w:tcPr>
          <w:p>
            <w:pPr>
              <w:spacing w:after="0"/>
              <w:rPr>
                <w:sz w:val="12"/>
                <w:szCs w:val="12"/>
                <w:color w:val="auto"/>
              </w:rPr>
            </w:pPr>
          </w:p>
        </w:tc>
        <w:tc>
          <w:tcPr>
            <w:tcW w:w="480" w:type="dxa"/>
            <w:vAlign w:val="bottom"/>
          </w:tcPr>
          <w:p>
            <w:pPr>
              <w:jc w:val="right"/>
              <w:ind w:right="99"/>
              <w:spacing w:after="0" w:line="142" w:lineRule="exact"/>
              <w:rPr>
                <w:sz w:val="20"/>
                <w:szCs w:val="20"/>
                <w:color w:val="auto"/>
              </w:rPr>
            </w:pPr>
            <w:r>
              <w:rPr>
                <w:rFonts w:ascii="Arial" w:cs="Arial" w:eastAsia="Arial" w:hAnsi="Arial"/>
                <w:sz w:val="14"/>
                <w:szCs w:val="14"/>
                <w:color w:val="auto"/>
                <w:w w:val="89"/>
              </w:rPr>
              <w:t>2008</w:t>
            </w:r>
          </w:p>
        </w:tc>
        <w:tc>
          <w:tcPr>
            <w:tcW w:w="660" w:type="dxa"/>
            <w:vAlign w:val="bottom"/>
          </w:tcPr>
          <w:p>
            <w:pPr>
              <w:spacing w:after="0"/>
              <w:rPr>
                <w:sz w:val="12"/>
                <w:szCs w:val="12"/>
                <w:color w:val="auto"/>
              </w:rPr>
            </w:pPr>
          </w:p>
        </w:tc>
        <w:tc>
          <w:tcPr>
            <w:tcW w:w="420" w:type="dxa"/>
            <w:vAlign w:val="bottom"/>
          </w:tcPr>
          <w:p>
            <w:pPr>
              <w:jc w:val="right"/>
              <w:ind w:right="56"/>
              <w:spacing w:after="0" w:line="142" w:lineRule="exact"/>
              <w:rPr>
                <w:sz w:val="20"/>
                <w:szCs w:val="20"/>
                <w:color w:val="auto"/>
              </w:rPr>
            </w:pPr>
            <w:r>
              <w:rPr>
                <w:rFonts w:ascii="Arial" w:cs="Arial" w:eastAsia="Arial" w:hAnsi="Arial"/>
                <w:sz w:val="14"/>
                <w:szCs w:val="14"/>
                <w:color w:val="auto"/>
                <w:w w:val="83"/>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Stock options</w:t>
            </w:r>
          </w:p>
        </w:tc>
        <w:tc>
          <w:tcPr>
            <w:tcW w:w="7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24</w:t>
            </w:r>
          </w:p>
        </w:tc>
        <w:tc>
          <w:tcPr>
            <w:tcW w:w="6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E5E5E5"/>
          </w:tcPr>
          <w:p>
            <w:pPr>
              <w:jc w:val="right"/>
              <w:ind w:right="196"/>
              <w:spacing w:after="0"/>
              <w:rPr>
                <w:sz w:val="20"/>
                <w:szCs w:val="20"/>
                <w:color w:val="auto"/>
              </w:rPr>
            </w:pPr>
            <w:r>
              <w:rPr>
                <w:rFonts w:ascii="Arial" w:cs="Arial" w:eastAsia="Arial" w:hAnsi="Arial"/>
                <w:sz w:val="18"/>
                <w:szCs w:val="18"/>
                <w:color w:val="auto"/>
              </w:rPr>
              <w:t>23</w:t>
            </w:r>
          </w:p>
        </w:tc>
        <w:tc>
          <w:tcPr>
            <w:tcW w:w="4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44</w:t>
            </w:r>
          </w:p>
        </w:tc>
        <w:tc>
          <w:tcPr>
            <w:tcW w:w="6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Restricted share units</w:t>
            </w:r>
          </w:p>
        </w:tc>
        <w:tc>
          <w:tcPr>
            <w:tcW w:w="7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w:t>
            </w:r>
          </w:p>
        </w:tc>
        <w:tc>
          <w:tcPr>
            <w:tcW w:w="660" w:type="dxa"/>
            <w:vAlign w:val="bottom"/>
          </w:tcPr>
          <w:p>
            <w:pPr>
              <w:spacing w:after="0"/>
              <w:rPr>
                <w:sz w:val="18"/>
                <w:szCs w:val="18"/>
                <w:color w:val="auto"/>
              </w:rPr>
            </w:pPr>
          </w:p>
        </w:tc>
        <w:tc>
          <w:tcPr>
            <w:tcW w:w="720" w:type="dxa"/>
            <w:vAlign w:val="bottom"/>
          </w:tcPr>
          <w:p>
            <w:pPr>
              <w:jc w:val="right"/>
              <w:ind w:right="196"/>
              <w:spacing w:after="0"/>
              <w:rPr>
                <w:sz w:val="20"/>
                <w:szCs w:val="20"/>
                <w:color w:val="auto"/>
              </w:rPr>
            </w:pPr>
            <w:r>
              <w:rPr>
                <w:rFonts w:ascii="Arial" w:cs="Arial" w:eastAsia="Arial" w:hAnsi="Arial"/>
                <w:sz w:val="18"/>
                <w:szCs w:val="18"/>
                <w:color w:val="auto"/>
              </w:rPr>
              <w:t>21</w:t>
            </w:r>
          </w:p>
        </w:tc>
        <w:tc>
          <w:tcPr>
            <w:tcW w:w="4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w:t>
            </w:r>
          </w:p>
        </w:tc>
        <w:tc>
          <w:tcPr>
            <w:tcW w:w="6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Employee stock purchase plan</w:t>
            </w:r>
          </w:p>
        </w:tc>
        <w:tc>
          <w:tcPr>
            <w:tcW w:w="70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w:t>
            </w:r>
          </w:p>
        </w:tc>
        <w:tc>
          <w:tcPr>
            <w:tcW w:w="6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96"/>
              <w:spacing w:after="0"/>
              <w:rPr>
                <w:sz w:val="20"/>
                <w:szCs w:val="20"/>
                <w:color w:val="auto"/>
              </w:rPr>
            </w:pPr>
            <w:r>
              <w:rPr>
                <w:rFonts w:ascii="Arial" w:cs="Arial" w:eastAsia="Arial" w:hAnsi="Arial"/>
                <w:sz w:val="18"/>
                <w:szCs w:val="18"/>
                <w:color w:val="auto"/>
              </w:rPr>
              <w:t>4</w:t>
            </w:r>
          </w:p>
        </w:tc>
        <w:tc>
          <w:tcPr>
            <w:tcW w:w="4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w:t>
            </w:r>
          </w:p>
        </w:tc>
        <w:tc>
          <w:tcPr>
            <w:tcW w:w="66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6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share-based compensation expense</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b w:val="1"/>
                <w:bCs w:val="1"/>
                <w:color w:val="auto"/>
              </w:rPr>
              <w:t>48</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As of June 30, 2008, there was $341 million and $330 million of unrecognized pretax compensation cost related to nonvested stock options and nonvested RSUs, respectively.</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Our total comprehensive income is presented in the table below.</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80" w:type="dxa"/>
            <w:vAlign w:val="bottom"/>
            <w:gridSpan w:val="3"/>
          </w:tcPr>
          <w:p>
            <w:pPr>
              <w:jc w:val="right"/>
              <w:ind w:right="655"/>
              <w:spacing w:after="0"/>
              <w:rPr>
                <w:sz w:val="20"/>
                <w:szCs w:val="20"/>
                <w:color w:val="auto"/>
              </w:rPr>
            </w:pPr>
            <w:r>
              <w:rPr>
                <w:rFonts w:ascii="Arial" w:cs="Arial" w:eastAsia="Arial" w:hAnsi="Arial"/>
                <w:sz w:val="14"/>
                <w:szCs w:val="14"/>
                <w:color w:val="auto"/>
              </w:rPr>
              <w:t>Three Months Ended</w:t>
            </w:r>
          </w:p>
        </w:tc>
        <w:tc>
          <w:tcPr>
            <w:tcW w:w="2180" w:type="dxa"/>
            <w:vAlign w:val="bottom"/>
            <w:gridSpan w:val="2"/>
          </w:tcPr>
          <w:p>
            <w:pPr>
              <w:jc w:val="right"/>
              <w:ind w:right="357"/>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59"/>
        </w:trPr>
        <w:tc>
          <w:tcPr>
            <w:tcW w:w="528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96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59"/>
              <w:spacing w:after="0" w:line="159" w:lineRule="exact"/>
              <w:rPr>
                <w:sz w:val="20"/>
                <w:szCs w:val="20"/>
                <w:color w:val="auto"/>
              </w:rPr>
            </w:pPr>
            <w:r>
              <w:rPr>
                <w:rFonts w:ascii="Arial" w:cs="Arial" w:eastAsia="Arial" w:hAnsi="Arial"/>
                <w:sz w:val="14"/>
                <w:szCs w:val="14"/>
                <w:color w:val="auto"/>
                <w:w w:val="84"/>
              </w:rPr>
              <w:t>June 30</w:t>
            </w:r>
          </w:p>
        </w:tc>
        <w:tc>
          <w:tcPr>
            <w:tcW w:w="8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57"/>
              <w:spacing w:after="0" w:line="159" w:lineRule="exact"/>
              <w:rPr>
                <w:sz w:val="20"/>
                <w:szCs w:val="20"/>
                <w:color w:val="auto"/>
              </w:rPr>
            </w:pPr>
            <w:r>
              <w:rPr>
                <w:rFonts w:ascii="Arial" w:cs="Arial" w:eastAsia="Arial" w:hAnsi="Arial"/>
                <w:sz w:val="14"/>
                <w:szCs w:val="14"/>
                <w:color w:val="auto"/>
                <w:w w:val="84"/>
              </w:rPr>
              <w:t>June 30</w:t>
            </w:r>
          </w:p>
        </w:tc>
        <w:tc>
          <w:tcPr>
            <w:tcW w:w="0" w:type="dxa"/>
            <w:vAlign w:val="bottom"/>
          </w:tcPr>
          <w:p>
            <w:pPr>
              <w:spacing w:after="0"/>
              <w:rPr>
                <w:sz w:val="1"/>
                <w:szCs w:val="1"/>
                <w:color w:val="auto"/>
              </w:rPr>
            </w:pPr>
          </w:p>
        </w:tc>
      </w:tr>
      <w:tr>
        <w:trPr>
          <w:trHeight w:val="142"/>
        </w:trPr>
        <w:tc>
          <w:tcPr>
            <w:tcW w:w="5280" w:type="dxa"/>
            <w:vAlign w:val="bottom"/>
            <w:gridSpan w:val="2"/>
            <w:vMerge w:val="continue"/>
          </w:tcPr>
          <w:p>
            <w:pPr>
              <w:spacing w:after="0"/>
              <w:rPr>
                <w:sz w:val="12"/>
                <w:szCs w:val="12"/>
                <w:color w:val="auto"/>
              </w:rPr>
            </w:pPr>
          </w:p>
        </w:tc>
        <w:tc>
          <w:tcPr>
            <w:tcW w:w="9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0" w:type="dxa"/>
            <w:vAlign w:val="bottom"/>
          </w:tcPr>
          <w:p>
            <w:pPr>
              <w:jc w:val="right"/>
              <w:ind w:right="157"/>
              <w:spacing w:after="0" w:line="142" w:lineRule="exact"/>
              <w:rPr>
                <w:sz w:val="20"/>
                <w:szCs w:val="20"/>
                <w:color w:val="auto"/>
              </w:rPr>
            </w:pPr>
            <w:r>
              <w:rPr>
                <w:rFonts w:ascii="Arial" w:cs="Arial" w:eastAsia="Arial" w:hAnsi="Arial"/>
                <w:sz w:val="14"/>
                <w:szCs w:val="14"/>
                <w:color w:val="auto"/>
                <w:w w:val="89"/>
              </w:rPr>
              <w:t>2008</w:t>
            </w:r>
          </w:p>
        </w:tc>
        <w:tc>
          <w:tcPr>
            <w:tcW w:w="680" w:type="dxa"/>
            <w:vAlign w:val="bottom"/>
          </w:tcPr>
          <w:p>
            <w:pPr>
              <w:spacing w:after="0"/>
              <w:rPr>
                <w:sz w:val="12"/>
                <w:szCs w:val="12"/>
                <w:color w:val="auto"/>
              </w:rPr>
            </w:pPr>
          </w:p>
        </w:tc>
        <w:tc>
          <w:tcPr>
            <w:tcW w:w="860" w:type="dxa"/>
            <w:vAlign w:val="bottom"/>
          </w:tcPr>
          <w:p>
            <w:pPr>
              <w:jc w:val="right"/>
              <w:ind w:right="475"/>
              <w:spacing w:after="0" w:line="142" w:lineRule="exact"/>
              <w:rPr>
                <w:sz w:val="20"/>
                <w:szCs w:val="20"/>
                <w:color w:val="auto"/>
              </w:rPr>
            </w:pPr>
            <w:r>
              <w:rPr>
                <w:rFonts w:ascii="Arial" w:cs="Arial" w:eastAsia="Arial" w:hAnsi="Arial"/>
                <w:sz w:val="14"/>
                <w:szCs w:val="14"/>
                <w:color w:val="auto"/>
                <w:w w:val="89"/>
              </w:rPr>
              <w:t>2007</w:t>
            </w:r>
          </w:p>
        </w:tc>
        <w:tc>
          <w:tcPr>
            <w:tcW w:w="1000" w:type="dxa"/>
            <w:vAlign w:val="bottom"/>
          </w:tcPr>
          <w:p>
            <w:pPr>
              <w:jc w:val="right"/>
              <w:ind w:right="157"/>
              <w:spacing w:after="0" w:line="142" w:lineRule="exact"/>
              <w:rPr>
                <w:sz w:val="20"/>
                <w:szCs w:val="20"/>
                <w:color w:val="auto"/>
              </w:rPr>
            </w:pPr>
            <w:r>
              <w:rPr>
                <w:rFonts w:ascii="Arial" w:cs="Arial" w:eastAsia="Arial" w:hAnsi="Arial"/>
                <w:sz w:val="14"/>
                <w:szCs w:val="14"/>
                <w:color w:val="auto"/>
              </w:rPr>
              <w:t>2008</w:t>
            </w:r>
          </w:p>
        </w:tc>
        <w:tc>
          <w:tcPr>
            <w:tcW w:w="1180" w:type="dxa"/>
            <w:vAlign w:val="bottom"/>
          </w:tcPr>
          <w:p>
            <w:pPr>
              <w:jc w:val="right"/>
              <w:ind w:right="117"/>
              <w:spacing w:after="0" w:line="142" w:lineRule="exact"/>
              <w:rPr>
                <w:sz w:val="20"/>
                <w:szCs w:val="20"/>
                <w:color w:val="auto"/>
              </w:rPr>
            </w:pPr>
            <w:r>
              <w:rPr>
                <w:rFonts w:ascii="Arial" w:cs="Arial" w:eastAsia="Arial" w:hAnsi="Arial"/>
                <w:sz w:val="14"/>
                <w:szCs w:val="14"/>
                <w:color w:val="auto"/>
              </w:rPr>
              <w:t>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w:t>
            </w:r>
          </w:p>
        </w:tc>
        <w:tc>
          <w:tcPr>
            <w:tcW w:w="1880" w:type="dxa"/>
            <w:vAlign w:val="bottom"/>
            <w:tcBorders>
              <w:top w:val="single" w:sz="8" w:color="auto"/>
            </w:tcBorders>
            <w:gridSpan w:val="2"/>
            <w:shd w:val="clear" w:color="auto" w:fill="E5E5E5"/>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E5E5E5"/>
          </w:tcPr>
          <w:p>
            <w:pPr>
              <w:jc w:val="right"/>
              <w:ind w:right="17"/>
              <w:spacing w:after="0"/>
              <w:rPr>
                <w:sz w:val="20"/>
                <w:szCs w:val="20"/>
                <w:color w:val="auto"/>
              </w:rPr>
            </w:pPr>
            <w:r>
              <w:rPr>
                <w:rFonts w:ascii="Arial" w:cs="Arial" w:eastAsia="Arial" w:hAnsi="Arial"/>
                <w:sz w:val="18"/>
                <w:szCs w:val="18"/>
                <w:color w:val="auto"/>
              </w:rPr>
              <w:t>632</w:t>
            </w:r>
          </w:p>
        </w:tc>
        <w:tc>
          <w:tcPr>
            <w:tcW w:w="6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E5E5E5"/>
          </w:tcPr>
          <w:p>
            <w:pPr>
              <w:jc w:val="right"/>
              <w:ind w:right="335"/>
              <w:spacing w:after="0"/>
              <w:rPr>
                <w:sz w:val="20"/>
                <w:szCs w:val="20"/>
                <w:color w:val="auto"/>
              </w:rPr>
            </w:pPr>
            <w:r>
              <w:rPr>
                <w:rFonts w:ascii="Arial" w:cs="Arial" w:eastAsia="Arial" w:hAnsi="Arial"/>
                <w:sz w:val="18"/>
                <w:szCs w:val="18"/>
                <w:color w:val="auto"/>
              </w:rPr>
              <w:t>588</w:t>
            </w:r>
          </w:p>
        </w:tc>
        <w:tc>
          <w:tcPr>
            <w:tcW w:w="1000" w:type="dxa"/>
            <w:vAlign w:val="bottom"/>
            <w:tcBorders>
              <w:top w:val="single" w:sz="8" w:color="auto"/>
            </w:tcBorders>
            <w:shd w:val="clear" w:color="auto" w:fill="E5E5E5"/>
          </w:tcPr>
          <w:p>
            <w:pPr>
              <w:jc w:val="right"/>
              <w:ind w:right="17"/>
              <w:spacing w:after="0"/>
              <w:rPr>
                <w:sz w:val="20"/>
                <w:szCs w:val="20"/>
                <w:color w:val="auto"/>
              </w:rPr>
            </w:pPr>
            <w:r>
              <w:rPr>
                <w:rFonts w:ascii="Arial" w:cs="Arial" w:eastAsia="Arial" w:hAnsi="Arial"/>
                <w:sz w:val="18"/>
                <w:szCs w:val="18"/>
                <w:color w:val="auto"/>
              </w:rPr>
              <w:t>$ 1,364</w:t>
            </w:r>
          </w:p>
        </w:tc>
        <w:tc>
          <w:tcPr>
            <w:tcW w:w="11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$ 1,425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Holding (losses) gains during the period</w:t>
            </w: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w:t>
            </w:r>
          </w:p>
        </w:tc>
        <w:tc>
          <w:tcPr>
            <w:tcW w:w="680" w:type="dxa"/>
            <w:vAlign w:val="bottom"/>
          </w:tcPr>
          <w:p>
            <w:pPr>
              <w:spacing w:after="0"/>
              <w:rPr>
                <w:sz w:val="18"/>
                <w:szCs w:val="18"/>
                <w:color w:val="auto"/>
              </w:rPr>
            </w:pPr>
          </w:p>
        </w:tc>
        <w:tc>
          <w:tcPr>
            <w:tcW w:w="860" w:type="dxa"/>
            <w:vAlign w:val="bottom"/>
          </w:tcPr>
          <w:p>
            <w:pPr>
              <w:jc w:val="right"/>
              <w:ind w:right="335"/>
              <w:spacing w:after="0"/>
              <w:rPr>
                <w:sz w:val="20"/>
                <w:szCs w:val="20"/>
                <w:color w:val="auto"/>
              </w:rPr>
            </w:pPr>
            <w:r>
              <w:rPr>
                <w:rFonts w:ascii="Arial" w:cs="Arial" w:eastAsia="Arial" w:hAnsi="Arial"/>
                <w:sz w:val="18"/>
                <w:szCs w:val="18"/>
                <w:color w:val="auto"/>
              </w:rPr>
              <w:t>11</w:t>
            </w: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E5E5E5"/>
          </w:tcPr>
          <w:p>
            <w:pPr>
              <w:spacing w:after="0"/>
              <w:rPr>
                <w:sz w:val="20"/>
                <w:szCs w:val="20"/>
                <w:color w:val="auto"/>
              </w:rPr>
            </w:pPr>
            <w:r>
              <w:rPr>
                <w:rFonts w:ascii="Arial" w:cs="Arial" w:eastAsia="Arial" w:hAnsi="Arial"/>
                <w:sz w:val="18"/>
                <w:szCs w:val="18"/>
                <w:color w:val="auto"/>
                <w:w w:val="94"/>
              </w:rPr>
              <w:t>Reclassification adjustments for losses (gains) included in net income</w:t>
            </w:r>
          </w:p>
        </w:tc>
        <w:tc>
          <w:tcPr>
            <w:tcW w:w="96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7"/>
              <w:spacing w:after="0"/>
              <w:rPr>
                <w:sz w:val="20"/>
                <w:szCs w:val="20"/>
                <w:color w:val="auto"/>
              </w:rPr>
            </w:pPr>
            <w:r>
              <w:rPr>
                <w:rFonts w:ascii="Arial" w:cs="Arial" w:eastAsia="Arial" w:hAnsi="Arial"/>
                <w:sz w:val="18"/>
                <w:szCs w:val="18"/>
                <w:color w:val="auto"/>
              </w:rPr>
              <w:t>2</w:t>
            </w:r>
          </w:p>
        </w:tc>
        <w:tc>
          <w:tcPr>
            <w:tcW w:w="68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275"/>
              <w:spacing w:after="0"/>
              <w:rPr>
                <w:sz w:val="20"/>
                <w:szCs w:val="20"/>
                <w:color w:val="auto"/>
              </w:rPr>
            </w:pPr>
            <w:r>
              <w:rPr>
                <w:rFonts w:ascii="Arial" w:cs="Arial" w:eastAsia="Arial" w:hAnsi="Arial"/>
                <w:sz w:val="18"/>
                <w:szCs w:val="18"/>
                <w:color w:val="auto"/>
              </w:rPr>
              <w:t>(53)</w:t>
            </w:r>
          </w:p>
        </w:tc>
        <w:tc>
          <w:tcPr>
            <w:tcW w:w="1000" w:type="dxa"/>
            <w:vAlign w:val="bottom"/>
            <w:shd w:val="clear" w:color="auto" w:fill="E5E5E5"/>
          </w:tcPr>
          <w:p>
            <w:pPr>
              <w:jc w:val="right"/>
              <w:ind w:right="17"/>
              <w:spacing w:after="0"/>
              <w:rPr>
                <w:sz w:val="20"/>
                <w:szCs w:val="20"/>
                <w:color w:val="auto"/>
              </w:rPr>
            </w:pPr>
            <w:r>
              <w:rPr>
                <w:rFonts w:ascii="Arial" w:cs="Arial" w:eastAsia="Arial" w:hAnsi="Arial"/>
                <w:sz w:val="18"/>
                <w:szCs w:val="18"/>
                <w:color w:val="auto"/>
              </w:rPr>
              <w:t>6</w:t>
            </w:r>
          </w:p>
        </w:tc>
        <w:tc>
          <w:tcPr>
            <w:tcW w:w="11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Employee benefit obligations</w:t>
            </w: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860" w:type="dxa"/>
            <w:vAlign w:val="bottom"/>
          </w:tcPr>
          <w:p>
            <w:pPr>
              <w:jc w:val="right"/>
              <w:ind w:right="33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Cumulative translation adjustments</w:t>
            </w:r>
          </w:p>
        </w:tc>
        <w:tc>
          <w:tcPr>
            <w:tcW w:w="960" w:type="dxa"/>
            <w:vAlign w:val="bottom"/>
            <w:tcBorders>
              <w:bottom w:val="single" w:sz="8" w:color="auto"/>
            </w:tcBorders>
            <w:shd w:val="clear" w:color="auto" w:fill="E5E5E5"/>
          </w:tcPr>
          <w:p>
            <w:pPr>
              <w:spacing w:after="0"/>
              <w:rPr>
                <w:sz w:val="18"/>
                <w:szCs w:val="18"/>
                <w:color w:val="auto"/>
              </w:rPr>
            </w:pPr>
          </w:p>
        </w:tc>
        <w:tc>
          <w:tcPr>
            <w:tcW w:w="9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8"/>
                <w:szCs w:val="18"/>
                <w:color w:val="auto"/>
              </w:rPr>
              <w:t>1</w:t>
            </w:r>
          </w:p>
        </w:tc>
        <w:tc>
          <w:tcPr>
            <w:tcW w:w="68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335"/>
              <w:spacing w:after="0"/>
              <w:rPr>
                <w:sz w:val="20"/>
                <w:szCs w:val="20"/>
                <w:color w:val="auto"/>
              </w:rPr>
            </w:pPr>
            <w:r>
              <w:rPr>
                <w:rFonts w:ascii="Arial" w:cs="Arial" w:eastAsia="Arial" w:hAnsi="Arial"/>
                <w:sz w:val="18"/>
                <w:szCs w:val="18"/>
                <w:color w:val="auto"/>
              </w:rPr>
              <w:t>1</w:t>
            </w:r>
          </w:p>
        </w:tc>
        <w:tc>
          <w:tcPr>
            <w:tcW w:w="100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8"/>
                <w:szCs w:val="18"/>
                <w:color w:val="auto"/>
              </w:rPr>
              <w:t>2</w:t>
            </w:r>
          </w:p>
        </w:tc>
        <w:tc>
          <w:tcPr>
            <w:tcW w:w="11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Comprehensive income</w:t>
            </w:r>
          </w:p>
        </w:tc>
        <w:tc>
          <w:tcPr>
            <w:tcW w:w="1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630</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8"/>
                <w:szCs w:val="18"/>
                <w:b w:val="1"/>
                <w:bCs w:val="1"/>
                <w:color w:val="auto"/>
              </w:rPr>
              <w:t>547</w:t>
            </w:r>
          </w:p>
        </w:tc>
        <w:tc>
          <w:tcPr>
            <w:tcW w:w="10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$ 1,361</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$ 1,339</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960" w:type="dxa"/>
            <w:vAlign w:val="bottom"/>
          </w:tcPr>
          <w:p>
            <w:pPr>
              <w:jc w:val="right"/>
              <w:ind w:right="392"/>
              <w:spacing w:after="0"/>
              <w:rPr>
                <w:sz w:val="20"/>
                <w:szCs w:val="20"/>
                <w:color w:val="auto"/>
              </w:rPr>
            </w:pPr>
            <w:r>
              <w:rPr>
                <w:rFonts w:ascii="Arial" w:cs="Arial" w:eastAsia="Arial" w:hAnsi="Arial"/>
                <w:sz w:val="18"/>
                <w:szCs w:val="18"/>
                <w:color w:val="auto"/>
              </w:rPr>
              <w:t>9</w:t>
            </w: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Statement of Cash Flows—Supplemental Information</w:t>
      </w:r>
    </w:p>
    <w:p>
      <w:pPr>
        <w:spacing w:after="0" w:line="13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Components of Operating Activities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80" w:type="dxa"/>
            <w:vAlign w:val="bottom"/>
            <w:gridSpan w:val="4"/>
          </w:tcPr>
          <w:p>
            <w:pPr>
              <w:ind w:left="40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59"/>
        </w:trPr>
        <w:tc>
          <w:tcPr>
            <w:tcW w:w="6540" w:type="dxa"/>
            <w:vAlign w:val="bottom"/>
            <w:gridSpan w:val="3"/>
            <w:vMerge w:val="restart"/>
          </w:tcPr>
          <w:p>
            <w:pPr>
              <w:spacing w:after="0"/>
              <w:rPr>
                <w:sz w:val="20"/>
                <w:szCs w:val="20"/>
                <w:color w:val="auto"/>
              </w:rPr>
            </w:pPr>
            <w:r>
              <w:rPr>
                <w:rFonts w:ascii="Arial" w:cs="Arial" w:eastAsia="Arial" w:hAnsi="Arial"/>
                <w:sz w:val="14"/>
                <w:szCs w:val="14"/>
                <w:color w:val="auto"/>
              </w:rPr>
              <w:t>(in millions)</w:t>
            </w:r>
          </w:p>
        </w:tc>
        <w:tc>
          <w:tcPr>
            <w:tcW w:w="4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June 30</w:t>
            </w:r>
          </w:p>
        </w:tc>
        <w:tc>
          <w:tcPr>
            <w:tcW w:w="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540" w:type="dxa"/>
            <w:vAlign w:val="bottom"/>
            <w:gridSpan w:val="3"/>
            <w:vMerge w:val="continue"/>
          </w:tcPr>
          <w:p>
            <w:pPr>
              <w:spacing w:after="0"/>
              <w:rPr>
                <w:sz w:val="12"/>
                <w:szCs w:val="12"/>
                <w:color w:val="auto"/>
              </w:rPr>
            </w:pPr>
          </w:p>
        </w:tc>
        <w:tc>
          <w:tcPr>
            <w:tcW w:w="4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right"/>
              <w:ind w:right="518"/>
              <w:spacing w:after="0" w:line="142" w:lineRule="exact"/>
              <w:rPr>
                <w:sz w:val="20"/>
                <w:szCs w:val="20"/>
                <w:color w:val="auto"/>
              </w:rPr>
            </w:pPr>
            <w:r>
              <w:rPr>
                <w:rFonts w:ascii="Arial" w:cs="Arial" w:eastAsia="Arial" w:hAnsi="Arial"/>
                <w:sz w:val="14"/>
                <w:szCs w:val="14"/>
                <w:color w:val="auto"/>
              </w:rPr>
              <w:t>2008</w:t>
            </w:r>
          </w:p>
        </w:tc>
        <w:tc>
          <w:tcPr>
            <w:tcW w:w="160" w:type="dxa"/>
            <w:vAlign w:val="bottom"/>
          </w:tcPr>
          <w:p>
            <w:pPr>
              <w:spacing w:after="0"/>
              <w:rPr>
                <w:sz w:val="12"/>
                <w:szCs w:val="12"/>
                <w:color w:val="auto"/>
              </w:rPr>
            </w:pPr>
          </w:p>
        </w:tc>
        <w:tc>
          <w:tcPr>
            <w:tcW w:w="500" w:type="dxa"/>
            <w:vAlign w:val="bottom"/>
          </w:tcPr>
          <w:p>
            <w:pPr>
              <w:jc w:val="right"/>
              <w:ind w:right="114"/>
              <w:spacing w:after="0" w:line="142" w:lineRule="exact"/>
              <w:rPr>
                <w:sz w:val="20"/>
                <w:szCs w:val="20"/>
                <w:color w:val="auto"/>
              </w:rPr>
            </w:pPr>
            <w:r>
              <w:rPr>
                <w:rFonts w:ascii="Arial" w:cs="Arial" w:eastAsia="Arial" w:hAnsi="Arial"/>
                <w:sz w:val="14"/>
                <w:szCs w:val="14"/>
                <w:color w:val="auto"/>
                <w:w w:val="89"/>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top w:val="single" w:sz="8" w:color="auto"/>
            </w:tcBorders>
            <w:gridSpan w:val="2"/>
            <w:shd w:val="clear" w:color="auto" w:fill="E5E5E5"/>
          </w:tcPr>
          <w:p>
            <w:pPr>
              <w:spacing w:after="0"/>
              <w:rPr>
                <w:sz w:val="20"/>
                <w:szCs w:val="20"/>
                <w:color w:val="auto"/>
              </w:rPr>
            </w:pPr>
            <w:r>
              <w:rPr>
                <w:rFonts w:ascii="Arial" w:cs="Arial" w:eastAsia="Arial" w:hAnsi="Arial"/>
                <w:sz w:val="18"/>
                <w:szCs w:val="18"/>
                <w:color w:val="auto"/>
              </w:rPr>
              <w:t>Net income</w:t>
            </w:r>
          </w:p>
        </w:tc>
        <w:tc>
          <w:tcPr>
            <w:tcW w:w="440" w:type="dxa"/>
            <w:vAlign w:val="bottom"/>
            <w:tcBorders>
              <w:top w:val="single" w:sz="8" w:color="auto"/>
            </w:tcBorders>
            <w:shd w:val="clear" w:color="auto" w:fill="E5E5E5"/>
          </w:tcPr>
          <w:p>
            <w:pPr>
              <w:spacing w:after="0"/>
              <w:rPr>
                <w:sz w:val="18"/>
                <w:szCs w:val="18"/>
                <w:color w:val="auto"/>
              </w:rPr>
            </w:pPr>
          </w:p>
        </w:tc>
        <w:tc>
          <w:tcPr>
            <w:tcW w:w="1060" w:type="dxa"/>
            <w:vAlign w:val="bottom"/>
            <w:tcBorders>
              <w:top w:val="single" w:sz="8" w:color="auto"/>
            </w:tcBorders>
            <w:shd w:val="clear" w:color="auto" w:fill="E5E5E5"/>
          </w:tcPr>
          <w:p>
            <w:pPr>
              <w:spacing w:after="0"/>
              <w:rPr>
                <w:sz w:val="18"/>
                <w:szCs w:val="18"/>
                <w:color w:val="auto"/>
              </w:rPr>
            </w:pPr>
          </w:p>
        </w:tc>
        <w:tc>
          <w:tcPr>
            <w:tcW w:w="180" w:type="dxa"/>
            <w:vAlign w:val="bottom"/>
            <w:tcBorders>
              <w:top w:val="single" w:sz="8" w:color="auto"/>
            </w:tcBorders>
            <w:shd w:val="clear" w:color="auto" w:fill="E5E5E5"/>
          </w:tcPr>
          <w:p>
            <w:pPr>
              <w:spacing w:after="0"/>
              <w:rPr>
                <w:sz w:val="18"/>
                <w:szCs w:val="18"/>
                <w:color w:val="auto"/>
              </w:rPr>
            </w:pPr>
          </w:p>
        </w:tc>
        <w:tc>
          <w:tcPr>
            <w:tcW w:w="1100" w:type="dxa"/>
            <w:vAlign w:val="bottom"/>
            <w:tcBorders>
              <w:top w:val="single" w:sz="8" w:color="auto"/>
            </w:tcBorders>
            <w:shd w:val="clear" w:color="auto" w:fill="E5E5E5"/>
          </w:tcPr>
          <w:p>
            <w:pPr>
              <w:spacing w:after="0"/>
              <w:rPr>
                <w:sz w:val="18"/>
                <w:szCs w:val="18"/>
                <w:color w:val="auto"/>
              </w:rPr>
            </w:pPr>
          </w:p>
        </w:tc>
        <w:tc>
          <w:tcPr>
            <w:tcW w:w="340" w:type="dxa"/>
            <w:vAlign w:val="bottom"/>
            <w:tcBorders>
              <w:top w:val="single" w:sz="8" w:color="auto"/>
            </w:tcBorders>
            <w:shd w:val="clear" w:color="auto" w:fill="E5E5E5"/>
          </w:tcPr>
          <w:p>
            <w:pPr>
              <w:spacing w:after="0"/>
              <w:rPr>
                <w:sz w:val="18"/>
                <w:szCs w:val="18"/>
                <w:color w:val="auto"/>
              </w:rPr>
            </w:pPr>
          </w:p>
        </w:tc>
        <w:tc>
          <w:tcPr>
            <w:tcW w:w="1100" w:type="dxa"/>
            <w:vAlign w:val="bottom"/>
            <w:tcBorders>
              <w:top w:val="single" w:sz="8" w:color="auto"/>
            </w:tcBorders>
            <w:shd w:val="clear" w:color="auto" w:fill="E5E5E5"/>
          </w:tcPr>
          <w:p>
            <w:pPr>
              <w:jc w:val="right"/>
              <w:ind w:right="378"/>
              <w:spacing w:after="0"/>
              <w:rPr>
                <w:sz w:val="20"/>
                <w:szCs w:val="20"/>
                <w:color w:val="auto"/>
              </w:rPr>
            </w:pPr>
            <w:r>
              <w:rPr>
                <w:rFonts w:ascii="Arial" w:cs="Arial" w:eastAsia="Arial" w:hAnsi="Arial"/>
                <w:sz w:val="18"/>
                <w:szCs w:val="18"/>
                <w:color w:val="auto"/>
              </w:rPr>
              <w:t>$ 1,364</w:t>
            </w:r>
          </w:p>
        </w:tc>
        <w:tc>
          <w:tcPr>
            <w:tcW w:w="1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3"/>
              </w:rPr>
              <w:t>1,425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E5E5E5"/>
          </w:tcPr>
          <w:p>
            <w:pPr>
              <w:ind w:left="420"/>
              <w:spacing w:after="0"/>
              <w:rPr>
                <w:sz w:val="20"/>
                <w:szCs w:val="20"/>
                <w:color w:val="auto"/>
              </w:rPr>
            </w:pPr>
            <w:r>
              <w:rPr>
                <w:rFonts w:ascii="Arial" w:cs="Arial" w:eastAsia="Arial" w:hAnsi="Arial"/>
                <w:sz w:val="18"/>
                <w:szCs w:val="18"/>
                <w:color w:val="auto"/>
              </w:rPr>
              <w:t>Depreciation</w:t>
            </w:r>
          </w:p>
        </w:tc>
        <w:tc>
          <w:tcPr>
            <w:tcW w:w="440" w:type="dxa"/>
            <w:vAlign w:val="bottom"/>
            <w:shd w:val="clear" w:color="auto" w:fill="E5E5E5"/>
          </w:tcPr>
          <w:p>
            <w:pPr>
              <w:spacing w:after="0"/>
              <w:rPr>
                <w:sz w:val="18"/>
                <w:szCs w:val="18"/>
                <w:color w:val="auto"/>
              </w:rPr>
            </w:pPr>
          </w:p>
        </w:tc>
        <w:tc>
          <w:tcPr>
            <w:tcW w:w="106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11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1100" w:type="dxa"/>
            <w:vAlign w:val="bottom"/>
            <w:shd w:val="clear" w:color="auto" w:fill="E5E5E5"/>
          </w:tcPr>
          <w:p>
            <w:pPr>
              <w:jc w:val="right"/>
              <w:ind w:right="378"/>
              <w:spacing w:after="0"/>
              <w:rPr>
                <w:sz w:val="20"/>
                <w:szCs w:val="20"/>
                <w:color w:val="auto"/>
              </w:rPr>
            </w:pPr>
            <w:r>
              <w:rPr>
                <w:rFonts w:ascii="Arial" w:cs="Arial" w:eastAsia="Arial" w:hAnsi="Arial"/>
                <w:sz w:val="18"/>
                <w:szCs w:val="18"/>
                <w:color w:val="auto"/>
              </w:rPr>
              <w:t>2,761</w:t>
            </w:r>
          </w:p>
        </w:tc>
        <w:tc>
          <w:tcPr>
            <w:tcW w:w="16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3"/>
              </w:rPr>
              <w:t>2,477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ind w:left="420"/>
              <w:spacing w:after="0"/>
              <w:rPr>
                <w:sz w:val="20"/>
                <w:szCs w:val="20"/>
                <w:color w:val="auto"/>
              </w:rPr>
            </w:pPr>
            <w:r>
              <w:rPr>
                <w:rFonts w:ascii="Arial" w:cs="Arial" w:eastAsia="Arial" w:hAnsi="Arial"/>
                <w:sz w:val="18"/>
                <w:szCs w:val="18"/>
                <w:color w:val="auto"/>
              </w:rPr>
              <w:t>Amortization</w:t>
            </w: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378"/>
              <w:spacing w:after="0"/>
              <w:rPr>
                <w:sz w:val="20"/>
                <w:szCs w:val="20"/>
                <w:color w:val="auto"/>
              </w:rPr>
            </w:pPr>
            <w:r>
              <w:rPr>
                <w:rFonts w:ascii="Arial" w:cs="Arial" w:eastAsia="Arial" w:hAnsi="Arial"/>
                <w:sz w:val="18"/>
                <w:szCs w:val="18"/>
                <w:color w:val="auto"/>
              </w:rPr>
              <w:t>459</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E5E5E5"/>
          </w:tcPr>
          <w:p>
            <w:pPr>
              <w:ind w:left="420"/>
              <w:spacing w:after="0"/>
              <w:rPr>
                <w:sz w:val="20"/>
                <w:szCs w:val="20"/>
                <w:color w:val="auto"/>
              </w:rPr>
            </w:pPr>
            <w:r>
              <w:rPr>
                <w:rFonts w:ascii="Arial" w:cs="Arial" w:eastAsia="Arial" w:hAnsi="Arial"/>
                <w:sz w:val="18"/>
                <w:szCs w:val="18"/>
                <w:color w:val="auto"/>
              </w:rPr>
              <w:t>Share-based compensation</w:t>
            </w:r>
          </w:p>
        </w:tc>
        <w:tc>
          <w:tcPr>
            <w:tcW w:w="440" w:type="dxa"/>
            <w:vAlign w:val="bottom"/>
            <w:shd w:val="clear" w:color="auto" w:fill="E5E5E5"/>
          </w:tcPr>
          <w:p>
            <w:pPr>
              <w:spacing w:after="0"/>
              <w:rPr>
                <w:sz w:val="18"/>
                <w:szCs w:val="18"/>
                <w:color w:val="auto"/>
              </w:rPr>
            </w:pPr>
          </w:p>
        </w:tc>
        <w:tc>
          <w:tcPr>
            <w:tcW w:w="106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11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1100" w:type="dxa"/>
            <w:vAlign w:val="bottom"/>
            <w:shd w:val="clear" w:color="auto" w:fill="E5E5E5"/>
          </w:tcPr>
          <w:p>
            <w:pPr>
              <w:jc w:val="right"/>
              <w:ind w:right="378"/>
              <w:spacing w:after="0"/>
              <w:rPr>
                <w:sz w:val="20"/>
                <w:szCs w:val="20"/>
                <w:color w:val="auto"/>
              </w:rPr>
            </w:pPr>
            <w:r>
              <w:rPr>
                <w:rFonts w:ascii="Arial" w:cs="Arial" w:eastAsia="Arial" w:hAnsi="Arial"/>
                <w:sz w:val="18"/>
                <w:szCs w:val="18"/>
                <w:color w:val="auto"/>
              </w:rPr>
              <w:t>123</w:t>
            </w:r>
          </w:p>
        </w:tc>
        <w:tc>
          <w:tcPr>
            <w:tcW w:w="16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ind w:left="420"/>
              <w:spacing w:after="0"/>
              <w:rPr>
                <w:sz w:val="20"/>
                <w:szCs w:val="20"/>
                <w:color w:val="auto"/>
              </w:rPr>
            </w:pPr>
            <w:r>
              <w:rPr>
                <w:rFonts w:ascii="Arial" w:cs="Arial" w:eastAsia="Arial" w:hAnsi="Arial"/>
                <w:sz w:val="18"/>
                <w:szCs w:val="18"/>
                <w:color w:val="auto"/>
              </w:rPr>
              <w:t>Noncash interest expense (income), net</w:t>
            </w: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378"/>
              <w:spacing w:after="0"/>
              <w:rPr>
                <w:sz w:val="20"/>
                <w:szCs w:val="20"/>
                <w:color w:val="auto"/>
              </w:rPr>
            </w:pPr>
            <w:r>
              <w:rPr>
                <w:rFonts w:ascii="Arial" w:cs="Arial" w:eastAsia="Arial" w:hAnsi="Arial"/>
                <w:sz w:val="18"/>
                <w:szCs w:val="18"/>
                <w:color w:val="auto"/>
              </w:rPr>
              <w:t>132</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E5E5E5"/>
          </w:tcPr>
          <w:p>
            <w:pPr>
              <w:ind w:left="420"/>
              <w:spacing w:after="0"/>
              <w:rPr>
                <w:sz w:val="20"/>
                <w:szCs w:val="20"/>
                <w:color w:val="auto"/>
              </w:rPr>
            </w:pPr>
            <w:r>
              <w:rPr>
                <w:rFonts w:ascii="Arial" w:cs="Arial" w:eastAsia="Arial" w:hAnsi="Arial"/>
                <w:sz w:val="18"/>
                <w:szCs w:val="18"/>
                <w:color w:val="auto"/>
              </w:rPr>
              <w:t>Equity in net losses (income) of affiliates, net</w:t>
            </w:r>
          </w:p>
        </w:tc>
        <w:tc>
          <w:tcPr>
            <w:tcW w:w="440" w:type="dxa"/>
            <w:vAlign w:val="bottom"/>
            <w:shd w:val="clear" w:color="auto" w:fill="E5E5E5"/>
          </w:tcPr>
          <w:p>
            <w:pPr>
              <w:spacing w:after="0"/>
              <w:rPr>
                <w:sz w:val="18"/>
                <w:szCs w:val="18"/>
                <w:color w:val="auto"/>
              </w:rPr>
            </w:pPr>
          </w:p>
        </w:tc>
        <w:tc>
          <w:tcPr>
            <w:tcW w:w="106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11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1100" w:type="dxa"/>
            <w:vAlign w:val="bottom"/>
            <w:shd w:val="clear" w:color="auto" w:fill="E5E5E5"/>
          </w:tcPr>
          <w:p>
            <w:pPr>
              <w:jc w:val="right"/>
              <w:ind w:right="378"/>
              <w:spacing w:after="0"/>
              <w:rPr>
                <w:sz w:val="20"/>
                <w:szCs w:val="20"/>
                <w:color w:val="auto"/>
              </w:rPr>
            </w:pPr>
            <w:r>
              <w:rPr>
                <w:rFonts w:ascii="Arial" w:cs="Arial" w:eastAsia="Arial" w:hAnsi="Arial"/>
                <w:sz w:val="18"/>
                <w:szCs w:val="18"/>
                <w:color w:val="auto"/>
              </w:rPr>
              <w:t>48</w:t>
            </w:r>
          </w:p>
        </w:tc>
        <w:tc>
          <w:tcPr>
            <w:tcW w:w="16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ind w:left="420"/>
              <w:spacing w:after="0"/>
              <w:rPr>
                <w:sz w:val="20"/>
                <w:szCs w:val="20"/>
                <w:color w:val="auto"/>
              </w:rPr>
            </w:pPr>
            <w:r>
              <w:rPr>
                <w:rFonts w:ascii="Arial" w:cs="Arial" w:eastAsia="Arial" w:hAnsi="Arial"/>
                <w:sz w:val="18"/>
                <w:szCs w:val="18"/>
                <w:color w:val="auto"/>
              </w:rPr>
              <w:t>(Gains) losses on investments and noncash other (income) expense, net</w:t>
            </w: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318"/>
              <w:spacing w:after="0"/>
              <w:rPr>
                <w:sz w:val="20"/>
                <w:szCs w:val="20"/>
                <w:color w:val="auto"/>
              </w:rPr>
            </w:pPr>
            <w:r>
              <w:rPr>
                <w:rFonts w:ascii="Arial" w:cs="Arial" w:eastAsia="Arial" w:hAnsi="Arial"/>
                <w:sz w:val="18"/>
                <w:szCs w:val="18"/>
                <w:color w:val="auto"/>
              </w:rPr>
              <w:t>(243)</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E5E5E5"/>
          </w:tcPr>
          <w:p>
            <w:pPr>
              <w:ind w:left="420"/>
              <w:spacing w:after="0"/>
              <w:rPr>
                <w:sz w:val="20"/>
                <w:szCs w:val="20"/>
                <w:color w:val="auto"/>
              </w:rPr>
            </w:pPr>
            <w:r>
              <w:rPr>
                <w:rFonts w:ascii="Arial" w:cs="Arial" w:eastAsia="Arial" w:hAnsi="Arial"/>
                <w:sz w:val="18"/>
                <w:szCs w:val="18"/>
                <w:color w:val="auto"/>
              </w:rPr>
              <w:t>Noncash contribution expense</w:t>
            </w:r>
          </w:p>
        </w:tc>
        <w:tc>
          <w:tcPr>
            <w:tcW w:w="440" w:type="dxa"/>
            <w:vAlign w:val="bottom"/>
            <w:shd w:val="clear" w:color="auto" w:fill="E5E5E5"/>
          </w:tcPr>
          <w:p>
            <w:pPr>
              <w:spacing w:after="0"/>
              <w:rPr>
                <w:sz w:val="18"/>
                <w:szCs w:val="18"/>
                <w:color w:val="auto"/>
              </w:rPr>
            </w:pPr>
          </w:p>
        </w:tc>
        <w:tc>
          <w:tcPr>
            <w:tcW w:w="106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11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1100" w:type="dxa"/>
            <w:vAlign w:val="bottom"/>
            <w:shd w:val="clear" w:color="auto" w:fill="E5E5E5"/>
          </w:tcPr>
          <w:p>
            <w:pPr>
              <w:jc w:val="right"/>
              <w:ind w:right="378"/>
              <w:spacing w:after="0"/>
              <w:rPr>
                <w:sz w:val="20"/>
                <w:szCs w:val="20"/>
                <w:color w:val="auto"/>
              </w:rPr>
            </w:pPr>
            <w:r>
              <w:rPr>
                <w:rFonts w:ascii="Arial" w:cs="Arial" w:eastAsia="Arial" w:hAnsi="Arial"/>
                <w:sz w:val="18"/>
                <w:szCs w:val="18"/>
                <w:color w:val="auto"/>
              </w:rPr>
              <w:t>—</w:t>
            </w:r>
          </w:p>
        </w:tc>
        <w:tc>
          <w:tcPr>
            <w:tcW w:w="16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ind w:left="420"/>
              <w:spacing w:after="0"/>
              <w:rPr>
                <w:sz w:val="20"/>
                <w:szCs w:val="20"/>
                <w:color w:val="auto"/>
              </w:rPr>
            </w:pPr>
            <w:r>
              <w:rPr>
                <w:rFonts w:ascii="Arial" w:cs="Arial" w:eastAsia="Arial" w:hAnsi="Arial"/>
                <w:sz w:val="18"/>
                <w:szCs w:val="18"/>
                <w:color w:val="auto"/>
              </w:rPr>
              <w:t>Minority interest</w:t>
            </w: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318"/>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E5E5E5"/>
          </w:tcPr>
          <w:p>
            <w:pPr>
              <w:ind w:left="420"/>
              <w:spacing w:after="0"/>
              <w:rPr>
                <w:sz w:val="20"/>
                <w:szCs w:val="20"/>
                <w:color w:val="auto"/>
              </w:rPr>
            </w:pPr>
            <w:r>
              <w:rPr>
                <w:rFonts w:ascii="Arial" w:cs="Arial" w:eastAsia="Arial" w:hAnsi="Arial"/>
                <w:sz w:val="18"/>
                <w:szCs w:val="18"/>
                <w:color w:val="auto"/>
              </w:rPr>
              <w:t>Deferred income taxes</w:t>
            </w:r>
          </w:p>
        </w:tc>
        <w:tc>
          <w:tcPr>
            <w:tcW w:w="440" w:type="dxa"/>
            <w:vAlign w:val="bottom"/>
            <w:shd w:val="clear" w:color="auto" w:fill="E5E5E5"/>
          </w:tcPr>
          <w:p>
            <w:pPr>
              <w:spacing w:after="0"/>
              <w:rPr>
                <w:sz w:val="18"/>
                <w:szCs w:val="18"/>
                <w:color w:val="auto"/>
              </w:rPr>
            </w:pPr>
          </w:p>
        </w:tc>
        <w:tc>
          <w:tcPr>
            <w:tcW w:w="106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11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1100" w:type="dxa"/>
            <w:vAlign w:val="bottom"/>
            <w:shd w:val="clear" w:color="auto" w:fill="E5E5E5"/>
          </w:tcPr>
          <w:p>
            <w:pPr>
              <w:jc w:val="right"/>
              <w:ind w:right="378"/>
              <w:spacing w:after="0"/>
              <w:rPr>
                <w:sz w:val="20"/>
                <w:szCs w:val="20"/>
                <w:color w:val="auto"/>
              </w:rPr>
            </w:pPr>
            <w:r>
              <w:rPr>
                <w:rFonts w:ascii="Arial" w:cs="Arial" w:eastAsia="Arial" w:hAnsi="Arial"/>
                <w:sz w:val="18"/>
                <w:szCs w:val="18"/>
                <w:color w:val="auto"/>
              </w:rPr>
              <w:t>403</w:t>
            </w:r>
          </w:p>
        </w:tc>
        <w:tc>
          <w:tcPr>
            <w:tcW w:w="16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w w:val="92"/>
              </w:rPr>
              <w:t>Changes in operating assets and liabilities, net of effects of acquisitions and divestitures:</w:t>
            </w: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E5E5E5"/>
          </w:tcPr>
          <w:p>
            <w:pPr>
              <w:ind w:left="420"/>
              <w:spacing w:after="0"/>
              <w:rPr>
                <w:sz w:val="20"/>
                <w:szCs w:val="20"/>
                <w:color w:val="auto"/>
              </w:rPr>
            </w:pPr>
            <w:r>
              <w:rPr>
                <w:rFonts w:ascii="Arial" w:cs="Arial" w:eastAsia="Arial" w:hAnsi="Arial"/>
                <w:sz w:val="18"/>
                <w:szCs w:val="18"/>
                <w:color w:val="auto"/>
              </w:rPr>
              <w:t>Change in accounts receivable, net</w:t>
            </w:r>
          </w:p>
        </w:tc>
        <w:tc>
          <w:tcPr>
            <w:tcW w:w="440" w:type="dxa"/>
            <w:vAlign w:val="bottom"/>
            <w:shd w:val="clear" w:color="auto" w:fill="E5E5E5"/>
          </w:tcPr>
          <w:p>
            <w:pPr>
              <w:spacing w:after="0"/>
              <w:rPr>
                <w:sz w:val="18"/>
                <w:szCs w:val="18"/>
                <w:color w:val="auto"/>
              </w:rPr>
            </w:pPr>
          </w:p>
        </w:tc>
        <w:tc>
          <w:tcPr>
            <w:tcW w:w="106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11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1100" w:type="dxa"/>
            <w:vAlign w:val="bottom"/>
            <w:shd w:val="clear" w:color="auto" w:fill="E5E5E5"/>
          </w:tcPr>
          <w:p>
            <w:pPr>
              <w:jc w:val="right"/>
              <w:ind w:right="318"/>
              <w:spacing w:after="0"/>
              <w:rPr>
                <w:sz w:val="20"/>
                <w:szCs w:val="20"/>
                <w:color w:val="auto"/>
              </w:rPr>
            </w:pPr>
            <w:r>
              <w:rPr>
                <w:rFonts w:ascii="Arial" w:cs="Arial" w:eastAsia="Arial" w:hAnsi="Arial"/>
                <w:sz w:val="18"/>
                <w:szCs w:val="18"/>
                <w:color w:val="auto"/>
              </w:rPr>
              <w:t>(7)</w:t>
            </w:r>
          </w:p>
        </w:tc>
        <w:tc>
          <w:tcPr>
            <w:tcW w:w="16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ind w:left="420"/>
              <w:spacing w:after="0"/>
              <w:rPr>
                <w:sz w:val="20"/>
                <w:szCs w:val="20"/>
                <w:color w:val="auto"/>
              </w:rPr>
            </w:pPr>
            <w:r>
              <w:rPr>
                <w:rFonts w:ascii="Arial" w:cs="Arial" w:eastAsia="Arial" w:hAnsi="Arial"/>
                <w:sz w:val="18"/>
                <w:szCs w:val="18"/>
                <w:color w:val="auto"/>
                <w:w w:val="99"/>
              </w:rPr>
              <w:t>Change in accounts payable and accrued expenses related to trade creditors</w:t>
            </w: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318"/>
              <w:spacing w:after="0"/>
              <w:rPr>
                <w:sz w:val="20"/>
                <w:szCs w:val="20"/>
                <w:color w:val="auto"/>
              </w:rPr>
            </w:pPr>
            <w:r>
              <w:rPr>
                <w:rFonts w:ascii="Arial" w:cs="Arial" w:eastAsia="Arial" w:hAnsi="Arial"/>
                <w:sz w:val="18"/>
                <w:szCs w:val="18"/>
                <w:color w:val="auto"/>
              </w:rPr>
              <w:t>(69)</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Borders>
              <w:bottom w:val="single" w:sz="8" w:color="auto"/>
            </w:tcBorders>
            <w:gridSpan w:val="2"/>
            <w:shd w:val="clear" w:color="auto" w:fill="E5E5E5"/>
          </w:tcPr>
          <w:p>
            <w:pPr>
              <w:ind w:left="420"/>
              <w:spacing w:after="0"/>
              <w:rPr>
                <w:sz w:val="20"/>
                <w:szCs w:val="20"/>
                <w:color w:val="auto"/>
              </w:rPr>
            </w:pPr>
            <w:r>
              <w:rPr>
                <w:rFonts w:ascii="Arial" w:cs="Arial" w:eastAsia="Arial" w:hAnsi="Arial"/>
                <w:sz w:val="18"/>
                <w:szCs w:val="18"/>
                <w:color w:val="auto"/>
              </w:rPr>
              <w:t>Change in other operating assets and liabilities</w:t>
            </w:r>
          </w:p>
        </w:tc>
        <w:tc>
          <w:tcPr>
            <w:tcW w:w="440" w:type="dxa"/>
            <w:vAlign w:val="bottom"/>
            <w:tcBorders>
              <w:bottom w:val="single" w:sz="8" w:color="auto"/>
            </w:tcBorders>
            <w:shd w:val="clear" w:color="auto" w:fill="E5E5E5"/>
          </w:tcPr>
          <w:p>
            <w:pPr>
              <w:spacing w:after="0"/>
              <w:rPr>
                <w:sz w:val="18"/>
                <w:szCs w:val="18"/>
                <w:color w:val="auto"/>
              </w:rPr>
            </w:pPr>
          </w:p>
        </w:tc>
        <w:tc>
          <w:tcPr>
            <w:tcW w:w="1060" w:type="dxa"/>
            <w:vAlign w:val="bottom"/>
            <w:tcBorders>
              <w:bottom w:val="single" w:sz="8" w:color="auto"/>
            </w:tcBorders>
            <w:shd w:val="clear" w:color="auto" w:fill="E5E5E5"/>
          </w:tcPr>
          <w:p>
            <w:pPr>
              <w:spacing w:after="0"/>
              <w:rPr>
                <w:sz w:val="18"/>
                <w:szCs w:val="18"/>
                <w:color w:val="auto"/>
              </w:rPr>
            </w:pPr>
          </w:p>
        </w:tc>
        <w:tc>
          <w:tcPr>
            <w:tcW w:w="180" w:type="dxa"/>
            <w:vAlign w:val="bottom"/>
            <w:tcBorders>
              <w:bottom w:val="single" w:sz="8" w:color="auto"/>
            </w:tcBorders>
            <w:shd w:val="clear" w:color="auto" w:fill="E5E5E5"/>
          </w:tcPr>
          <w:p>
            <w:pPr>
              <w:spacing w:after="0"/>
              <w:rPr>
                <w:sz w:val="18"/>
                <w:szCs w:val="18"/>
                <w:color w:val="auto"/>
              </w:rPr>
            </w:pPr>
          </w:p>
        </w:tc>
        <w:tc>
          <w:tcPr>
            <w:tcW w:w="1100" w:type="dxa"/>
            <w:vAlign w:val="bottom"/>
            <w:tcBorders>
              <w:bottom w:val="single" w:sz="8" w:color="auto"/>
            </w:tcBorders>
            <w:shd w:val="clear" w:color="auto" w:fill="E5E5E5"/>
          </w:tcPr>
          <w:p>
            <w:pPr>
              <w:spacing w:after="0"/>
              <w:rPr>
                <w:sz w:val="18"/>
                <w:szCs w:val="18"/>
                <w:color w:val="auto"/>
              </w:rPr>
            </w:pPr>
          </w:p>
        </w:tc>
        <w:tc>
          <w:tcPr>
            <w:tcW w:w="340" w:type="dxa"/>
            <w:vAlign w:val="bottom"/>
            <w:tcBorders>
              <w:bottom w:val="single" w:sz="8" w:color="auto"/>
            </w:tcBorders>
            <w:shd w:val="clear" w:color="auto" w:fill="E5E5E5"/>
          </w:tcPr>
          <w:p>
            <w:pPr>
              <w:spacing w:after="0"/>
              <w:rPr>
                <w:sz w:val="18"/>
                <w:szCs w:val="18"/>
                <w:color w:val="auto"/>
              </w:rPr>
            </w:pPr>
          </w:p>
        </w:tc>
        <w:tc>
          <w:tcPr>
            <w:tcW w:w="1100" w:type="dxa"/>
            <w:vAlign w:val="bottom"/>
            <w:tcBorders>
              <w:bottom w:val="single" w:sz="8" w:color="auto"/>
            </w:tcBorders>
            <w:shd w:val="clear" w:color="auto" w:fill="E5E5E5"/>
          </w:tcPr>
          <w:p>
            <w:pPr>
              <w:jc w:val="right"/>
              <w:ind w:right="318"/>
              <w:spacing w:after="0"/>
              <w:rPr>
                <w:sz w:val="20"/>
                <w:szCs w:val="20"/>
                <w:color w:val="auto"/>
              </w:rPr>
            </w:pPr>
            <w:r>
              <w:rPr>
                <w:rFonts w:ascii="Arial" w:cs="Arial" w:eastAsia="Arial" w:hAnsi="Arial"/>
                <w:sz w:val="18"/>
                <w:szCs w:val="18"/>
                <w:color w:val="auto"/>
              </w:rPr>
              <w:t>(36)</w:t>
            </w:r>
          </w:p>
        </w:tc>
        <w:tc>
          <w:tcPr>
            <w:tcW w:w="16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78"/>
              <w:spacing w:after="0"/>
              <w:rPr>
                <w:sz w:val="20"/>
                <w:szCs w:val="20"/>
                <w:color w:val="auto"/>
              </w:rPr>
            </w:pPr>
            <w:r>
              <w:rPr>
                <w:rFonts w:ascii="Arial" w:cs="Arial" w:eastAsia="Arial" w:hAnsi="Arial"/>
                <w:sz w:val="18"/>
                <w:szCs w:val="18"/>
                <w:b w:val="1"/>
                <w:bCs w:val="1"/>
                <w:color w:val="auto"/>
              </w:rPr>
              <w:t>$ 4,928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3,907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9"/>
        </w:trPr>
        <w:tc>
          <w:tcPr>
            <w:tcW w:w="20" w:type="dxa"/>
            <w:vAlign w:val="bottom"/>
          </w:tcPr>
          <w:p>
            <w:pPr>
              <w:spacing w:after="0"/>
              <w:rPr>
                <w:sz w:val="24"/>
                <w:szCs w:val="24"/>
                <w:color w:val="auto"/>
              </w:rPr>
            </w:pPr>
          </w:p>
        </w:tc>
        <w:tc>
          <w:tcPr>
            <w:tcW w:w="8020" w:type="dxa"/>
            <w:vAlign w:val="bottom"/>
            <w:gridSpan w:val="4"/>
          </w:tcPr>
          <w:p>
            <w:pPr>
              <w:ind w:left="3780"/>
              <w:spacing w:after="0"/>
              <w:rPr>
                <w:sz w:val="20"/>
                <w:szCs w:val="20"/>
                <w:color w:val="auto"/>
              </w:rPr>
            </w:pPr>
            <w:r>
              <w:rPr>
                <w:rFonts w:ascii="Arial" w:cs="Arial" w:eastAsia="Arial" w:hAnsi="Arial"/>
                <w:sz w:val="18"/>
                <w:szCs w:val="18"/>
                <w:b w:val="1"/>
                <w:bCs w:val="1"/>
                <w:color w:val="auto"/>
              </w:rPr>
              <w:t>Cash Payments for Interest and Income Taxes</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340" w:type="dxa"/>
            <w:vAlign w:val="bottom"/>
            <w:gridSpan w:val="3"/>
          </w:tcPr>
          <w:p>
            <w:pPr>
              <w:ind w:left="240"/>
              <w:spacing w:after="0"/>
              <w:rPr>
                <w:sz w:val="20"/>
                <w:szCs w:val="20"/>
                <w:color w:val="auto"/>
              </w:rPr>
            </w:pPr>
            <w:r>
              <w:rPr>
                <w:rFonts w:ascii="Arial" w:cs="Arial" w:eastAsia="Arial" w:hAnsi="Arial"/>
                <w:sz w:val="14"/>
                <w:szCs w:val="14"/>
                <w:color w:val="auto"/>
              </w:rPr>
              <w:t>Three Months Ended</w:t>
            </w:r>
          </w:p>
        </w:tc>
        <w:tc>
          <w:tcPr>
            <w:tcW w:w="340" w:type="dxa"/>
            <w:vAlign w:val="bottom"/>
          </w:tcPr>
          <w:p>
            <w:pPr>
              <w:spacing w:after="0"/>
              <w:rPr>
                <w:sz w:val="20"/>
                <w:szCs w:val="20"/>
                <w:color w:val="auto"/>
              </w:rPr>
            </w:pPr>
          </w:p>
        </w:tc>
        <w:tc>
          <w:tcPr>
            <w:tcW w:w="1780" w:type="dxa"/>
            <w:vAlign w:val="bottom"/>
            <w:gridSpan w:val="4"/>
          </w:tcPr>
          <w:p>
            <w:pPr>
              <w:ind w:left="32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02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ind w:left="600"/>
              <w:spacing w:after="0" w:line="159" w:lineRule="exact"/>
              <w:rPr>
                <w:sz w:val="20"/>
                <w:szCs w:val="20"/>
                <w:color w:val="auto"/>
              </w:rPr>
            </w:pPr>
            <w:r>
              <w:rPr>
                <w:rFonts w:ascii="Arial" w:cs="Arial" w:eastAsia="Arial" w:hAnsi="Arial"/>
                <w:sz w:val="14"/>
                <w:szCs w:val="14"/>
                <w:color w:val="auto"/>
                <w:w w:val="88"/>
              </w:rPr>
              <w:t>June 30</w:t>
            </w:r>
          </w:p>
        </w:tc>
        <w:tc>
          <w:tcPr>
            <w:tcW w:w="1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June 30</w:t>
            </w:r>
          </w:p>
        </w:tc>
        <w:tc>
          <w:tcPr>
            <w:tcW w:w="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040" w:type="dxa"/>
            <w:vAlign w:val="bottom"/>
            <w:gridSpan w:val="2"/>
          </w:tcPr>
          <w:p>
            <w:pPr>
              <w:spacing w:after="0" w:line="142" w:lineRule="exact"/>
              <w:rPr>
                <w:sz w:val="20"/>
                <w:szCs w:val="20"/>
                <w:color w:val="auto"/>
              </w:rPr>
            </w:pPr>
            <w:r>
              <w:rPr>
                <w:rFonts w:ascii="Arial" w:cs="Arial" w:eastAsia="Arial" w:hAnsi="Arial"/>
                <w:sz w:val="14"/>
                <w:szCs w:val="14"/>
                <w:color w:val="auto"/>
              </w:rPr>
              <w:t>(in millions)</w:t>
            </w: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60" w:type="dxa"/>
            <w:vAlign w:val="bottom"/>
          </w:tcPr>
          <w:p>
            <w:pPr>
              <w:ind w:left="40"/>
              <w:spacing w:after="0" w:line="142" w:lineRule="exact"/>
              <w:rPr>
                <w:sz w:val="20"/>
                <w:szCs w:val="20"/>
                <w:color w:val="auto"/>
              </w:rPr>
            </w:pPr>
            <w:r>
              <w:rPr>
                <w:rFonts w:ascii="Arial" w:cs="Arial" w:eastAsia="Arial" w:hAnsi="Arial"/>
                <w:sz w:val="14"/>
                <w:szCs w:val="14"/>
                <w:color w:val="auto"/>
              </w:rPr>
              <w:t>2008</w:t>
            </w:r>
          </w:p>
        </w:tc>
        <w:tc>
          <w:tcPr>
            <w:tcW w:w="180" w:type="dxa"/>
            <w:vAlign w:val="bottom"/>
          </w:tcPr>
          <w:p>
            <w:pPr>
              <w:spacing w:after="0"/>
              <w:rPr>
                <w:sz w:val="12"/>
                <w:szCs w:val="12"/>
                <w:color w:val="auto"/>
              </w:rPr>
            </w:pPr>
          </w:p>
        </w:tc>
        <w:tc>
          <w:tcPr>
            <w:tcW w:w="1100" w:type="dxa"/>
            <w:vAlign w:val="bottom"/>
          </w:tcPr>
          <w:p>
            <w:pPr>
              <w:jc w:val="right"/>
              <w:ind w:right="719"/>
              <w:spacing w:after="0" w:line="142" w:lineRule="exact"/>
              <w:rPr>
                <w:sz w:val="20"/>
                <w:szCs w:val="20"/>
                <w:color w:val="auto"/>
              </w:rPr>
            </w:pPr>
            <w:r>
              <w:rPr>
                <w:rFonts w:ascii="Arial" w:cs="Arial" w:eastAsia="Arial" w:hAnsi="Arial"/>
                <w:sz w:val="14"/>
                <w:szCs w:val="14"/>
                <w:color w:val="auto"/>
                <w:w w:val="89"/>
              </w:rPr>
              <w:t>2007</w:t>
            </w:r>
          </w:p>
        </w:tc>
        <w:tc>
          <w:tcPr>
            <w:tcW w:w="340" w:type="dxa"/>
            <w:vAlign w:val="bottom"/>
          </w:tcPr>
          <w:p>
            <w:pPr>
              <w:spacing w:after="0"/>
              <w:rPr>
                <w:sz w:val="12"/>
                <w:szCs w:val="12"/>
                <w:color w:val="auto"/>
              </w:rPr>
            </w:pPr>
          </w:p>
        </w:tc>
        <w:tc>
          <w:tcPr>
            <w:tcW w:w="1100" w:type="dxa"/>
            <w:vAlign w:val="bottom"/>
          </w:tcPr>
          <w:p>
            <w:pPr>
              <w:jc w:val="right"/>
              <w:ind w:right="698"/>
              <w:spacing w:after="0" w:line="142" w:lineRule="exact"/>
              <w:rPr>
                <w:sz w:val="20"/>
                <w:szCs w:val="20"/>
                <w:color w:val="auto"/>
              </w:rPr>
            </w:pPr>
            <w:r>
              <w:rPr>
                <w:rFonts w:ascii="Arial" w:cs="Arial" w:eastAsia="Arial" w:hAnsi="Arial"/>
                <w:sz w:val="14"/>
                <w:szCs w:val="14"/>
                <w:color w:val="auto"/>
                <w:w w:val="96"/>
              </w:rPr>
              <w:t>2008</w:t>
            </w:r>
          </w:p>
        </w:tc>
        <w:tc>
          <w:tcPr>
            <w:tcW w:w="160" w:type="dxa"/>
            <w:vAlign w:val="bottom"/>
          </w:tcPr>
          <w:p>
            <w:pPr>
              <w:spacing w:after="0"/>
              <w:rPr>
                <w:sz w:val="12"/>
                <w:szCs w:val="12"/>
                <w:color w:val="auto"/>
              </w:rPr>
            </w:pPr>
          </w:p>
        </w:tc>
        <w:tc>
          <w:tcPr>
            <w:tcW w:w="500" w:type="dxa"/>
            <w:vAlign w:val="bottom"/>
          </w:tcPr>
          <w:p>
            <w:pPr>
              <w:jc w:val="right"/>
              <w:ind w:right="94"/>
              <w:spacing w:after="0" w:line="142" w:lineRule="exact"/>
              <w:rPr>
                <w:sz w:val="20"/>
                <w:szCs w:val="20"/>
                <w:color w:val="auto"/>
              </w:rPr>
            </w:pPr>
            <w:r>
              <w:rPr>
                <w:rFonts w:ascii="Arial" w:cs="Arial" w:eastAsia="Arial" w:hAnsi="Arial"/>
                <w:sz w:val="14"/>
                <w:szCs w:val="14"/>
                <w:color w:val="auto"/>
                <w:w w:val="96"/>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top w:val="single" w:sz="8" w:color="auto"/>
            </w:tcBorders>
            <w:gridSpan w:val="2"/>
            <w:shd w:val="clear" w:color="auto" w:fill="E5E5E5"/>
          </w:tcPr>
          <w:p>
            <w:pPr>
              <w:spacing w:after="0"/>
              <w:rPr>
                <w:sz w:val="20"/>
                <w:szCs w:val="20"/>
                <w:color w:val="auto"/>
              </w:rPr>
            </w:pPr>
            <w:r>
              <w:rPr>
                <w:rFonts w:ascii="Arial" w:cs="Arial" w:eastAsia="Arial" w:hAnsi="Arial"/>
                <w:sz w:val="18"/>
                <w:szCs w:val="18"/>
                <w:color w:val="auto"/>
              </w:rPr>
              <w:t>Interest</w:t>
            </w:r>
          </w:p>
        </w:tc>
        <w:tc>
          <w:tcPr>
            <w:tcW w:w="4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408</w:t>
            </w:r>
          </w:p>
        </w:tc>
        <w:tc>
          <w:tcPr>
            <w:tcW w:w="1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E5E5E5"/>
          </w:tcPr>
          <w:p>
            <w:pPr>
              <w:jc w:val="right"/>
              <w:ind w:right="539"/>
              <w:spacing w:after="0"/>
              <w:rPr>
                <w:sz w:val="20"/>
                <w:szCs w:val="20"/>
                <w:color w:val="auto"/>
              </w:rPr>
            </w:pPr>
            <w:r>
              <w:rPr>
                <w:rFonts w:ascii="Arial" w:cs="Arial" w:eastAsia="Arial" w:hAnsi="Arial"/>
                <w:sz w:val="18"/>
                <w:szCs w:val="18"/>
                <w:color w:val="auto"/>
              </w:rPr>
              <w:t>416</w:t>
            </w:r>
          </w:p>
        </w:tc>
        <w:tc>
          <w:tcPr>
            <w:tcW w:w="3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E5E5E5"/>
          </w:tcPr>
          <w:p>
            <w:pPr>
              <w:jc w:val="right"/>
              <w:ind w:right="518"/>
              <w:spacing w:after="0"/>
              <w:rPr>
                <w:sz w:val="20"/>
                <w:szCs w:val="20"/>
                <w:color w:val="auto"/>
              </w:rPr>
            </w:pPr>
            <w:r>
              <w:rPr>
                <w:rFonts w:ascii="Arial" w:cs="Arial" w:eastAsia="Arial" w:hAnsi="Arial"/>
                <w:sz w:val="18"/>
                <w:szCs w:val="18"/>
                <w:color w:val="auto"/>
              </w:rPr>
              <w:t>1,116</w:t>
            </w:r>
          </w:p>
        </w:tc>
        <w:tc>
          <w:tcPr>
            <w:tcW w:w="1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1,078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6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taxes</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335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539"/>
              <w:spacing w:after="0"/>
              <w:rPr>
                <w:sz w:val="20"/>
                <w:szCs w:val="20"/>
                <w:color w:val="auto"/>
              </w:rPr>
            </w:pPr>
            <w:r>
              <w:rPr>
                <w:rFonts w:ascii="Arial" w:cs="Arial" w:eastAsia="Arial" w:hAnsi="Arial"/>
                <w:sz w:val="18"/>
                <w:szCs w:val="18"/>
                <w:color w:val="auto"/>
              </w:rPr>
              <w:t>613</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518"/>
              <w:spacing w:after="0"/>
              <w:rPr>
                <w:sz w:val="20"/>
                <w:szCs w:val="20"/>
                <w:color w:val="auto"/>
              </w:rPr>
            </w:pPr>
            <w:r>
              <w:rPr>
                <w:rFonts w:ascii="Arial" w:cs="Arial" w:eastAsia="Arial" w:hAnsi="Arial"/>
                <w:sz w:val="18"/>
                <w:szCs w:val="18"/>
                <w:color w:val="auto"/>
              </w:rPr>
              <w:t>355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Financing and Investing Activities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2008, we:</w:t>
      </w:r>
    </w:p>
    <w:p>
      <w:pPr>
        <w:spacing w:after="0" w:line="77" w:lineRule="exact"/>
        <w:rPr>
          <w:sz w:val="20"/>
          <w:szCs w:val="20"/>
          <w:color w:val="auto"/>
        </w:rPr>
      </w:pPr>
    </w:p>
    <w:p>
      <w:pPr>
        <w:ind w:left="1020" w:right="1240" w:hanging="215"/>
        <w:spacing w:after="0" w:line="268"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exchanged our 50% interest in the Insight asset pool for Insight’s 50% interest in the Comcast asset pool, which is a noncash investing activity</w:t>
      </w:r>
    </w:p>
    <w:p>
      <w:pPr>
        <w:spacing w:after="0" w:line="37" w:lineRule="exact"/>
        <w:rPr>
          <w:rFonts w:ascii="Arial" w:cs="Arial" w:eastAsia="Arial" w:hAnsi="Arial"/>
          <w:sz w:val="18"/>
          <w:szCs w:val="18"/>
          <w:color w:val="auto"/>
        </w:rPr>
      </w:pPr>
    </w:p>
    <w:p>
      <w:pPr>
        <w:ind w:left="1020" w:right="1240" w:hanging="215"/>
        <w:spacing w:after="0" w:line="268"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recorded a liability of approximately $182 million for a quarterly cash dividend of $0.0625 per common share paid in July 2008, which is a noncash financing activity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Commitments and Contingencies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of our subsidiaries support debt compliance with respect to obligations of certain cable television partnerships and investments in which we hold an ownership interest. The obligations expire between September 2008 and March 2011. Although there can be no assurance, we believe that we will not be required to meet our obligations under such commitments. The total notional amount of our commitments was $445 million as of June 30, 2008, at which time there were no quoted market prices for similar agreements. This amount reflects a decrease of $520 million from December 31, 2007 as a result of the Insight transaction (see Note 4).</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Antitrust Cases</w:t>
      </w:r>
    </w:p>
    <w:p>
      <w:pPr>
        <w:spacing w:after="0" w:line="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defendants in two purported class actions originally filed in the United States District Courts for the District of Massachusetts and the Eastern District of Pennsylvania, respectively. The potential class in the Massachusetts case is our subscriber base in the “Boston Cluster” area, and the potential class in the Pennsylvania case is our subscriber base in the “Philadelphia and Chicago Clusters,” as those terms are defined in the complaints. In each case, the plaintiffs allege that certain subscriber exchange transactions with other cable providers resulted in unlawful horizontal market restraints in those areas and seek damages under antitrust statutes, including treble damages.</w:t>
      </w:r>
    </w:p>
    <w:p>
      <w:pPr>
        <w:spacing w:after="0" w:line="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motion to dismiss the Pennsylvania case on the pleadings was denied and classes of Philadelphia Cluster and Chicago Cluster subscribers were certified. Our motion to dismiss the Massachusetts case, which was subsequently transferred to the Eastern District of Pennsylvania, was also denied. We are proceeding with discovery on plaintiffs’ claims concerning the Philadelphia Cluster. Plaintiffs’ claims concerning the other two clusters are stayed pending determination of the Philadelphia Cluster claims.</w:t>
      </w:r>
    </w:p>
    <w:p>
      <w:pPr>
        <w:spacing w:after="0" w:line="4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addition, we are among the defendants in a purported class action filed in the United States District Court for the Central District of California (“Central District”) in September 2007. The plaintiffs allege that the defendants who produce video programming have entered into agreements with the defendants who distribute video programming via cable and satellite (including us, among others), which preclude the distributors from reselling channels to subscribers on an “unbundled” basis in violation of federal antitrust laws. The plaintiffs seek treble damages for the loss of their ability to pick and choose the specific “bundled” channels to which they wish to subscribe, and injunctive relief requiring each distributor defendant to resell certain channels to its subscribers on an “unbundled” basis. The potential class is comprised of all persons residing in the United States who have subscribed to an expanded basic level of video service provided by one of the distributor defendants. We and the other defendants filed motions to dismiss an amended complaint in April 2008. In June 2008, the Central District denied the motions to dismiss. In July 2008, we and the other defendants filed motions to certify certain issues decided in the Central District’s June 2008 order for interlocutory appeal to the Ninth Circuit Court of Appeals. The Central District has scheduled a hearing on these motions for August 4, 2008.</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and Related Litigation</w:t>
      </w:r>
    </w:p>
    <w:p>
      <w:pPr>
        <w:spacing w:after="0" w:line="7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and several of our current and former officers were named as defendants in a purported class action lawsuit filed in the United States District Court for the Eastern District of Pennsylvania (“Eastern District”) in January 2008. We filed a motion to dismiss the case in February 2008. The plaintiff did not respond, but instead sought leave to amend the complaint, which the court granted. The plaintiff filed an amended complaint in May 2008 naming only us and two current officers as defendants. The alleged class comprises purchasers of our publicly issued securities between February 1, 2007 and December 4, 2007. The plaintiff asserts that during the alleged class period, the defendants violated federal securities laws through alleged material misstatements and omissions relating to forecast results for 2007. The plaintiff seeks unspecified damages. In June 2008, we filed a motion to dismiss the amended complaint. The court has not yet scheduled a hearing on the motion.</w:t>
      </w:r>
    </w:p>
    <w:p>
      <w:pPr>
        <w:spacing w:after="0" w:line="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our directors and one of our current officers have also been named as defendants in a separate purported class action lawsuit filed in the Eastern District in February 2008. The alleged class comprises participants in our retirement-investment (401(k)) plan that invested in the plan’s company stock account. The plaintiff asserts that</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defendants breached their fiduciary duties in managing the plan. The plaintiff seeks unspecified damages. The plaintiff filed an amended complaint in June 2008, and in July 2008 we filed a motion to dismiss the amended complaint.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Litigation</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defendant in several unrelated lawsuits claiming infringement of various patents relating to various aspects of our businesses. In certain of these cases other industry participants are also defendants, and also in certain of these cases we expect that any potential liability would be in part or in whole the responsibility of our equipment vendors under applicable contractual indemnification provisions.</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the claims in each of the actions described above in this item are without merit and intend to defend the actions vigorously. The final disposition of any of the above actions is not expected to have a material adverse effect on our consolidated financial position, but could possibly be material to our consolidated results of operations or cash flows for any one period.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subject to other legal proceedings and claims that arise in the ordinary course of our business. The amount of ultimate liability with respect to such actions is not expected to materially affect our financial position, results of operations or cash flows.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12: Financial Data by Business Segment</w:t>
      </w:r>
    </w:p>
    <w:p>
      <w:pPr>
        <w:spacing w:after="0" w:line="8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reportable segments consist of our Cable and Programming businesses. In evaluating the profitability of our segments, the components of net income (loss) below operating income (loss) before depreciation and amortization are not separately evaluated by our management. Assets are not allocated to segments for management reporting, although over 95% of our assets relate to our Cable segment. Our financial data by business segment is presented below.</w:t>
      </w: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1800" w:type="dxa"/>
            <w:vAlign w:val="bottom"/>
            <w:gridSpan w:val="2"/>
          </w:tcPr>
          <w:p>
            <w:pPr>
              <w:jc w:val="right"/>
              <w:ind w:right="373"/>
              <w:spacing w:after="0" w:line="158" w:lineRule="exact"/>
              <w:rPr>
                <w:sz w:val="20"/>
                <w:szCs w:val="20"/>
                <w:color w:val="auto"/>
              </w:rPr>
            </w:pPr>
            <w:r>
              <w:rPr>
                <w:rFonts w:ascii="Arial" w:cs="Arial" w:eastAsia="Arial" w:hAnsi="Arial"/>
                <w:sz w:val="14"/>
                <w:szCs w:val="14"/>
                <w:color w:val="auto"/>
              </w:rPr>
              <w:t>Cable(a)</w:t>
            </w: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60" w:type="dxa"/>
            <w:vAlign w:val="bottom"/>
            <w:gridSpan w:val="2"/>
          </w:tcPr>
          <w:p>
            <w:pPr>
              <w:ind w:left="320"/>
              <w:spacing w:after="0" w:line="158" w:lineRule="exact"/>
              <w:rPr>
                <w:sz w:val="20"/>
                <w:szCs w:val="20"/>
                <w:color w:val="auto"/>
              </w:rPr>
            </w:pPr>
            <w:r>
              <w:rPr>
                <w:rFonts w:ascii="Arial" w:cs="Arial" w:eastAsia="Arial" w:hAnsi="Arial"/>
                <w:sz w:val="14"/>
                <w:szCs w:val="14"/>
                <w:color w:val="auto"/>
              </w:rPr>
              <w:t>Corporate and</w:t>
            </w:r>
          </w:p>
        </w:tc>
        <w:tc>
          <w:tcPr>
            <w:tcW w:w="1560" w:type="dxa"/>
            <w:vAlign w:val="bottom"/>
            <w:gridSpan w:val="2"/>
          </w:tcPr>
          <w:p>
            <w:pPr>
              <w:ind w:left="340"/>
              <w:spacing w:after="0" w:line="158" w:lineRule="exact"/>
              <w:rPr>
                <w:sz w:val="20"/>
                <w:szCs w:val="20"/>
                <w:color w:val="auto"/>
              </w:rPr>
            </w:pPr>
            <w:r>
              <w:rPr>
                <w:rFonts w:ascii="Arial" w:cs="Arial" w:eastAsia="Arial" w:hAnsi="Arial"/>
                <w:sz w:val="14"/>
                <w:szCs w:val="14"/>
                <w:color w:val="auto"/>
              </w:rPr>
              <w:t>Eliminations(e)</w:t>
            </w: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24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920" w:type="dxa"/>
            <w:vAlign w:val="bottom"/>
          </w:tcPr>
          <w:p>
            <w:pPr>
              <w:spacing w:after="0"/>
              <w:rPr>
                <w:sz w:val="13"/>
                <w:szCs w:val="13"/>
                <w:color w:val="auto"/>
              </w:rPr>
            </w:pPr>
          </w:p>
        </w:tc>
        <w:tc>
          <w:tcPr>
            <w:tcW w:w="880" w:type="dxa"/>
            <w:vAlign w:val="bottom"/>
          </w:tcPr>
          <w:p>
            <w:pPr>
              <w:jc w:val="right"/>
              <w:ind w:right="533"/>
              <w:spacing w:after="0" w:line="159" w:lineRule="exact"/>
              <w:rPr>
                <w:sz w:val="20"/>
                <w:szCs w:val="20"/>
                <w:color w:val="auto"/>
              </w:rPr>
            </w:pPr>
            <w:r>
              <w:rPr>
                <w:rFonts w:ascii="Arial" w:cs="Arial" w:eastAsia="Arial" w:hAnsi="Arial"/>
                <w:sz w:val="14"/>
                <w:szCs w:val="14"/>
                <w:color w:val="auto"/>
              </w:rPr>
              <w:t>(b)</w:t>
            </w:r>
          </w:p>
        </w:tc>
        <w:tc>
          <w:tcPr>
            <w:tcW w:w="1460" w:type="dxa"/>
            <w:vAlign w:val="bottom"/>
            <w:gridSpan w:val="2"/>
          </w:tcPr>
          <w:p>
            <w:pPr>
              <w:ind w:left="240"/>
              <w:spacing w:after="0" w:line="159" w:lineRule="exact"/>
              <w:rPr>
                <w:sz w:val="20"/>
                <w:szCs w:val="20"/>
                <w:color w:val="auto"/>
              </w:rPr>
            </w:pPr>
            <w:r>
              <w:rPr>
                <w:rFonts w:ascii="Arial" w:cs="Arial" w:eastAsia="Arial" w:hAnsi="Arial"/>
                <w:sz w:val="14"/>
                <w:szCs w:val="14"/>
                <w:color w:val="auto"/>
              </w:rPr>
              <w:t>Programming(c)</w:t>
            </w:r>
          </w:p>
        </w:tc>
        <w:tc>
          <w:tcPr>
            <w:tcW w:w="1460" w:type="dxa"/>
            <w:vAlign w:val="bottom"/>
            <w:gridSpan w:val="2"/>
          </w:tcPr>
          <w:p>
            <w:pPr>
              <w:jc w:val="right"/>
              <w:ind w:right="372"/>
              <w:spacing w:after="0" w:line="159" w:lineRule="exact"/>
              <w:rPr>
                <w:sz w:val="20"/>
                <w:szCs w:val="20"/>
                <w:color w:val="auto"/>
              </w:rPr>
            </w:pPr>
            <w:r>
              <w:rPr>
                <w:rFonts w:ascii="Arial" w:cs="Arial" w:eastAsia="Arial" w:hAnsi="Arial"/>
                <w:sz w:val="14"/>
                <w:szCs w:val="14"/>
                <w:color w:val="auto"/>
              </w:rPr>
              <w:t>Other(d)(e)</w:t>
            </w:r>
          </w:p>
        </w:tc>
        <w:tc>
          <w:tcPr>
            <w:tcW w:w="540" w:type="dxa"/>
            <w:vAlign w:val="bottom"/>
          </w:tcPr>
          <w:p>
            <w:pPr>
              <w:spacing w:after="0"/>
              <w:rPr>
                <w:sz w:val="13"/>
                <w:szCs w:val="13"/>
                <w:color w:val="auto"/>
              </w:rPr>
            </w:pPr>
          </w:p>
        </w:tc>
        <w:tc>
          <w:tcPr>
            <w:tcW w:w="1020" w:type="dxa"/>
            <w:vAlign w:val="bottom"/>
          </w:tcPr>
          <w:p>
            <w:pPr>
              <w:jc w:val="right"/>
              <w:ind w:right="653"/>
              <w:spacing w:after="0" w:line="159" w:lineRule="exact"/>
              <w:rPr>
                <w:sz w:val="20"/>
                <w:szCs w:val="20"/>
                <w:color w:val="auto"/>
              </w:rPr>
            </w:pPr>
            <w:r>
              <w:rPr>
                <w:rFonts w:ascii="Arial" w:cs="Arial" w:eastAsia="Arial" w:hAnsi="Arial"/>
                <w:sz w:val="14"/>
                <w:szCs w:val="14"/>
                <w:color w:val="auto"/>
              </w:rPr>
              <w:t>(f)</w:t>
            </w:r>
          </w:p>
        </w:tc>
        <w:tc>
          <w:tcPr>
            <w:tcW w:w="420" w:type="dxa"/>
            <w:vAlign w:val="bottom"/>
          </w:tcPr>
          <w:p>
            <w:pPr>
              <w:spacing w:after="0"/>
              <w:rPr>
                <w:sz w:val="13"/>
                <w:szCs w:val="13"/>
                <w:color w:val="auto"/>
              </w:rPr>
            </w:pPr>
          </w:p>
        </w:tc>
        <w:tc>
          <w:tcPr>
            <w:tcW w:w="480" w:type="dxa"/>
            <w:vAlign w:val="bottom"/>
          </w:tcPr>
          <w:p>
            <w:pPr>
              <w:jc w:val="right"/>
              <w:ind w:right="73"/>
              <w:spacing w:after="0" w:line="159" w:lineRule="exact"/>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Three months ended June 30, 2008</w:t>
            </w:r>
          </w:p>
        </w:tc>
        <w:tc>
          <w:tcPr>
            <w:tcW w:w="920" w:type="dxa"/>
            <w:vAlign w:val="bottom"/>
            <w:tcBorders>
              <w:top w:val="single" w:sz="8" w:color="auto"/>
            </w:tcBorders>
            <w:shd w:val="clear" w:color="auto" w:fill="E5E5E5"/>
          </w:tcPr>
          <w:p>
            <w:pPr>
              <w:spacing w:after="0"/>
              <w:rPr>
                <w:sz w:val="18"/>
                <w:szCs w:val="18"/>
                <w:color w:val="auto"/>
              </w:rPr>
            </w:pPr>
          </w:p>
        </w:tc>
        <w:tc>
          <w:tcPr>
            <w:tcW w:w="88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860" w:type="dxa"/>
            <w:vAlign w:val="bottom"/>
            <w:tcBorders>
              <w:top w:val="single" w:sz="8" w:color="auto"/>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spacing w:after="0"/>
              <w:rPr>
                <w:sz w:val="18"/>
                <w:szCs w:val="18"/>
                <w:color w:val="auto"/>
              </w:rPr>
            </w:pPr>
          </w:p>
        </w:tc>
        <w:tc>
          <w:tcPr>
            <w:tcW w:w="880" w:type="dxa"/>
            <w:vAlign w:val="bottom"/>
            <w:tcBorders>
              <w:top w:val="single" w:sz="8" w:color="auto"/>
            </w:tcBorders>
            <w:shd w:val="clear" w:color="auto" w:fill="E5E5E5"/>
          </w:tcPr>
          <w:p>
            <w:pPr>
              <w:spacing w:after="0"/>
              <w:rPr>
                <w:sz w:val="18"/>
                <w:szCs w:val="18"/>
                <w:color w:val="auto"/>
              </w:rPr>
            </w:pPr>
          </w:p>
        </w:tc>
        <w:tc>
          <w:tcPr>
            <w:tcW w:w="540" w:type="dxa"/>
            <w:vAlign w:val="bottom"/>
            <w:tcBorders>
              <w:top w:val="single" w:sz="8" w:color="auto"/>
            </w:tcBorders>
            <w:shd w:val="clear" w:color="auto" w:fill="E5E5E5"/>
          </w:tcPr>
          <w:p>
            <w:pPr>
              <w:spacing w:after="0"/>
              <w:rPr>
                <w:sz w:val="18"/>
                <w:szCs w:val="18"/>
                <w:color w:val="auto"/>
              </w:rPr>
            </w:pPr>
          </w:p>
        </w:tc>
        <w:tc>
          <w:tcPr>
            <w:tcW w:w="1020" w:type="dxa"/>
            <w:vAlign w:val="bottom"/>
            <w:tcBorders>
              <w:top w:val="single" w:sz="8" w:color="auto"/>
            </w:tcBorders>
            <w:shd w:val="clear" w:color="auto" w:fill="E5E5E5"/>
          </w:tcPr>
          <w:p>
            <w:pPr>
              <w:spacing w:after="0"/>
              <w:rPr>
                <w:sz w:val="18"/>
                <w:szCs w:val="18"/>
                <w:color w:val="auto"/>
              </w:rPr>
            </w:pPr>
          </w:p>
        </w:tc>
        <w:tc>
          <w:tcPr>
            <w:tcW w:w="420" w:type="dxa"/>
            <w:vAlign w:val="bottom"/>
            <w:tcBorders>
              <w:top w:val="single" w:sz="8" w:color="auto"/>
            </w:tcBorders>
            <w:shd w:val="clear" w:color="auto" w:fill="E5E5E5"/>
          </w:tcPr>
          <w:p>
            <w:pPr>
              <w:spacing w:after="0"/>
              <w:rPr>
                <w:sz w:val="18"/>
                <w:szCs w:val="18"/>
                <w:color w:val="auto"/>
              </w:rPr>
            </w:pPr>
          </w:p>
        </w:tc>
        <w:tc>
          <w:tcPr>
            <w:tcW w:w="48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Revenue(g)</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3"/>
              <w:spacing w:after="0"/>
              <w:rPr>
                <w:sz w:val="20"/>
                <w:szCs w:val="20"/>
                <w:color w:val="auto"/>
              </w:rPr>
            </w:pPr>
            <w:r>
              <w:rPr>
                <w:rFonts w:ascii="Arial" w:cs="Arial" w:eastAsia="Arial" w:hAnsi="Arial"/>
                <w:sz w:val="18"/>
                <w:szCs w:val="18"/>
                <w:color w:val="auto"/>
              </w:rPr>
              <w:t>8,100</w:t>
            </w:r>
          </w:p>
        </w:tc>
        <w:tc>
          <w:tcPr>
            <w:tcW w:w="600" w:type="dxa"/>
            <w:vAlign w:val="bottom"/>
          </w:tcPr>
          <w:p>
            <w:pPr>
              <w:ind w:left="2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32"/>
              <w:spacing w:after="0"/>
              <w:rPr>
                <w:sz w:val="20"/>
                <w:szCs w:val="20"/>
                <w:color w:val="auto"/>
              </w:rPr>
            </w:pPr>
            <w:r>
              <w:rPr>
                <w:rFonts w:ascii="Arial" w:cs="Arial" w:eastAsia="Arial" w:hAnsi="Arial"/>
                <w:sz w:val="18"/>
                <w:szCs w:val="18"/>
                <w:color w:val="auto"/>
              </w:rPr>
              <w:t>366</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92"/>
              <w:spacing w:after="0"/>
              <w:rPr>
                <w:sz w:val="20"/>
                <w:szCs w:val="20"/>
                <w:color w:val="auto"/>
              </w:rPr>
            </w:pPr>
            <w:r>
              <w:rPr>
                <w:rFonts w:ascii="Arial" w:cs="Arial" w:eastAsia="Arial" w:hAnsi="Arial"/>
                <w:sz w:val="18"/>
                <w:szCs w:val="18"/>
                <w:color w:val="auto"/>
              </w:rPr>
              <w:t>142</w:t>
            </w:r>
          </w:p>
        </w:tc>
        <w:tc>
          <w:tcPr>
            <w:tcW w:w="540" w:type="dxa"/>
            <w:vAlign w:val="bottom"/>
          </w:tcPr>
          <w:p>
            <w:pPr>
              <w:ind w:left="3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3"/>
              <w:spacing w:after="0"/>
              <w:rPr>
                <w:sz w:val="20"/>
                <w:szCs w:val="20"/>
                <w:color w:val="auto"/>
              </w:rPr>
            </w:pPr>
            <w:r>
              <w:rPr>
                <w:rFonts w:ascii="Arial" w:cs="Arial" w:eastAsia="Arial" w:hAnsi="Arial"/>
                <w:sz w:val="18"/>
                <w:szCs w:val="18"/>
                <w:color w:val="auto"/>
              </w:rPr>
              <w:t>(55)</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8,553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2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 before depreciation and</w:t>
            </w:r>
          </w:p>
        </w:tc>
        <w:tc>
          <w:tcPr>
            <w:tcW w:w="92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102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amortization(h)</w:t>
            </w:r>
          </w:p>
        </w:tc>
        <w:tc>
          <w:tcPr>
            <w:tcW w:w="920" w:type="dxa"/>
            <w:vAlign w:val="bottom"/>
            <w:shd w:val="clear" w:color="auto" w:fill="E5E5E5"/>
          </w:tcPr>
          <w:p>
            <w:pPr>
              <w:spacing w:after="0"/>
              <w:rPr>
                <w:sz w:val="19"/>
                <w:szCs w:val="19"/>
                <w:color w:val="auto"/>
              </w:rPr>
            </w:pPr>
          </w:p>
        </w:tc>
        <w:tc>
          <w:tcPr>
            <w:tcW w:w="880" w:type="dxa"/>
            <w:vAlign w:val="bottom"/>
            <w:shd w:val="clear" w:color="auto" w:fill="E5E5E5"/>
          </w:tcPr>
          <w:p>
            <w:pPr>
              <w:jc w:val="right"/>
              <w:ind w:right="313"/>
              <w:spacing w:after="0"/>
              <w:rPr>
                <w:sz w:val="20"/>
                <w:szCs w:val="20"/>
                <w:color w:val="auto"/>
              </w:rPr>
            </w:pPr>
            <w:r>
              <w:rPr>
                <w:rFonts w:ascii="Arial" w:cs="Arial" w:eastAsia="Arial" w:hAnsi="Arial"/>
                <w:sz w:val="18"/>
                <w:szCs w:val="18"/>
                <w:color w:val="auto"/>
              </w:rPr>
              <w:t>3,362</w:t>
            </w:r>
          </w:p>
        </w:tc>
        <w:tc>
          <w:tcPr>
            <w:tcW w:w="600" w:type="dxa"/>
            <w:vAlign w:val="bottom"/>
            <w:shd w:val="clear" w:color="auto" w:fill="E5E5E5"/>
          </w:tcPr>
          <w:p>
            <w:pPr>
              <w:spacing w:after="0"/>
              <w:rPr>
                <w:sz w:val="19"/>
                <w:szCs w:val="19"/>
                <w:color w:val="auto"/>
              </w:rPr>
            </w:pPr>
          </w:p>
        </w:tc>
        <w:tc>
          <w:tcPr>
            <w:tcW w:w="860" w:type="dxa"/>
            <w:vAlign w:val="bottom"/>
            <w:shd w:val="clear" w:color="auto" w:fill="E5E5E5"/>
          </w:tcPr>
          <w:p>
            <w:pPr>
              <w:jc w:val="right"/>
              <w:ind w:right="232"/>
              <w:spacing w:after="0"/>
              <w:rPr>
                <w:sz w:val="20"/>
                <w:szCs w:val="20"/>
                <w:color w:val="auto"/>
              </w:rPr>
            </w:pPr>
            <w:r>
              <w:rPr>
                <w:rFonts w:ascii="Arial" w:cs="Arial" w:eastAsia="Arial" w:hAnsi="Arial"/>
                <w:sz w:val="18"/>
                <w:szCs w:val="18"/>
                <w:color w:val="auto"/>
              </w:rPr>
              <w:t>89</w:t>
            </w:r>
          </w:p>
        </w:tc>
        <w:tc>
          <w:tcPr>
            <w:tcW w:w="580" w:type="dxa"/>
            <w:vAlign w:val="bottom"/>
            <w:shd w:val="clear" w:color="auto" w:fill="E5E5E5"/>
          </w:tcPr>
          <w:p>
            <w:pPr>
              <w:spacing w:after="0"/>
              <w:rPr>
                <w:sz w:val="19"/>
                <w:szCs w:val="19"/>
                <w:color w:val="auto"/>
              </w:rPr>
            </w:pPr>
          </w:p>
        </w:tc>
        <w:tc>
          <w:tcPr>
            <w:tcW w:w="880" w:type="dxa"/>
            <w:vAlign w:val="bottom"/>
            <w:shd w:val="clear" w:color="auto" w:fill="E5E5E5"/>
          </w:tcPr>
          <w:p>
            <w:pPr>
              <w:jc w:val="right"/>
              <w:ind w:right="232"/>
              <w:spacing w:after="0"/>
              <w:rPr>
                <w:sz w:val="20"/>
                <w:szCs w:val="20"/>
                <w:color w:val="auto"/>
              </w:rPr>
            </w:pPr>
            <w:r>
              <w:rPr>
                <w:rFonts w:ascii="Arial" w:cs="Arial" w:eastAsia="Arial" w:hAnsi="Arial"/>
                <w:sz w:val="18"/>
                <w:szCs w:val="18"/>
                <w:color w:val="auto"/>
              </w:rPr>
              <w:t>(98)</w:t>
            </w:r>
          </w:p>
        </w:tc>
        <w:tc>
          <w:tcPr>
            <w:tcW w:w="540" w:type="dxa"/>
            <w:vAlign w:val="bottom"/>
            <w:shd w:val="clear" w:color="auto" w:fill="E5E5E5"/>
          </w:tcPr>
          <w:p>
            <w:pPr>
              <w:spacing w:after="0"/>
              <w:rPr>
                <w:sz w:val="19"/>
                <w:szCs w:val="19"/>
                <w:color w:val="auto"/>
              </w:rPr>
            </w:pPr>
          </w:p>
        </w:tc>
        <w:tc>
          <w:tcPr>
            <w:tcW w:w="102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(2)</w:t>
            </w:r>
          </w:p>
        </w:tc>
        <w:tc>
          <w:tcPr>
            <w:tcW w:w="420" w:type="dxa"/>
            <w:vAlign w:val="bottom"/>
            <w:shd w:val="clear" w:color="auto" w:fill="E5E5E5"/>
          </w:tcPr>
          <w:p>
            <w:pPr>
              <w:spacing w:after="0"/>
              <w:rPr>
                <w:sz w:val="19"/>
                <w:szCs w:val="19"/>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18"/>
                <w:szCs w:val="18"/>
                <w:color w:val="auto"/>
              </w:rPr>
            </w:pPr>
          </w:p>
        </w:tc>
        <w:tc>
          <w:tcPr>
            <w:tcW w:w="880" w:type="dxa"/>
            <w:vAlign w:val="bottom"/>
          </w:tcPr>
          <w:p>
            <w:pPr>
              <w:jc w:val="right"/>
              <w:ind w:right="313"/>
              <w:spacing w:after="0"/>
              <w:rPr>
                <w:sz w:val="20"/>
                <w:szCs w:val="20"/>
                <w:color w:val="auto"/>
              </w:rPr>
            </w:pPr>
            <w:r>
              <w:rPr>
                <w:rFonts w:ascii="Arial" w:cs="Arial" w:eastAsia="Arial" w:hAnsi="Arial"/>
                <w:sz w:val="18"/>
                <w:szCs w:val="18"/>
                <w:color w:val="auto"/>
              </w:rPr>
              <w:t>1,537</w:t>
            </w:r>
          </w:p>
        </w:tc>
        <w:tc>
          <w:tcPr>
            <w:tcW w:w="600" w:type="dxa"/>
            <w:vAlign w:val="bottom"/>
          </w:tcPr>
          <w:p>
            <w:pPr>
              <w:spacing w:after="0"/>
              <w:rPr>
                <w:sz w:val="18"/>
                <w:szCs w:val="18"/>
                <w:color w:val="auto"/>
              </w:rPr>
            </w:pPr>
          </w:p>
        </w:tc>
        <w:tc>
          <w:tcPr>
            <w:tcW w:w="860" w:type="dxa"/>
            <w:vAlign w:val="bottom"/>
          </w:tcPr>
          <w:p>
            <w:pPr>
              <w:jc w:val="right"/>
              <w:ind w:right="232"/>
              <w:spacing w:after="0"/>
              <w:rPr>
                <w:sz w:val="20"/>
                <w:szCs w:val="20"/>
                <w:color w:val="auto"/>
              </w:rPr>
            </w:pPr>
            <w:r>
              <w:rPr>
                <w:rFonts w:ascii="Arial" w:cs="Arial" w:eastAsia="Arial" w:hAnsi="Arial"/>
                <w:sz w:val="18"/>
                <w:szCs w:val="18"/>
                <w:color w:val="auto"/>
              </w:rPr>
              <w:t>45</w:t>
            </w:r>
          </w:p>
        </w:tc>
        <w:tc>
          <w:tcPr>
            <w:tcW w:w="580" w:type="dxa"/>
            <w:vAlign w:val="bottom"/>
          </w:tcPr>
          <w:p>
            <w:pPr>
              <w:spacing w:after="0"/>
              <w:rPr>
                <w:sz w:val="18"/>
                <w:szCs w:val="18"/>
                <w:color w:val="auto"/>
              </w:rPr>
            </w:pPr>
          </w:p>
        </w:tc>
        <w:tc>
          <w:tcPr>
            <w:tcW w:w="880" w:type="dxa"/>
            <w:vAlign w:val="bottom"/>
          </w:tcPr>
          <w:p>
            <w:pPr>
              <w:jc w:val="right"/>
              <w:ind w:right="292"/>
              <w:spacing w:after="0"/>
              <w:rPr>
                <w:sz w:val="20"/>
                <w:szCs w:val="20"/>
                <w:color w:val="auto"/>
              </w:rPr>
            </w:pPr>
            <w:r>
              <w:rPr>
                <w:rFonts w:ascii="Arial" w:cs="Arial" w:eastAsia="Arial" w:hAnsi="Arial"/>
                <w:sz w:val="18"/>
                <w:szCs w:val="18"/>
                <w:color w:val="auto"/>
              </w:rPr>
              <w:t>27</w:t>
            </w:r>
          </w:p>
        </w:tc>
        <w:tc>
          <w:tcPr>
            <w:tcW w:w="540" w:type="dxa"/>
            <w:vAlign w:val="bottom"/>
          </w:tcPr>
          <w:p>
            <w:pPr>
              <w:spacing w:after="0"/>
              <w:rPr>
                <w:sz w:val="18"/>
                <w:szCs w:val="18"/>
                <w:color w:val="auto"/>
              </w:rPr>
            </w:pPr>
          </w:p>
        </w:tc>
        <w:tc>
          <w:tcPr>
            <w:tcW w:w="1020" w:type="dxa"/>
            <w:vAlign w:val="bottom"/>
          </w:tcPr>
          <w:p>
            <w:pPr>
              <w:jc w:val="right"/>
              <w:ind w:right="233"/>
              <w:spacing w:after="0"/>
              <w:rPr>
                <w:sz w:val="20"/>
                <w:szCs w:val="20"/>
                <w:color w:val="auto"/>
              </w:rPr>
            </w:pPr>
            <w:r>
              <w:rPr>
                <w:rFonts w:ascii="Arial" w:cs="Arial" w:eastAsia="Arial" w:hAnsi="Arial"/>
                <w:sz w:val="18"/>
                <w:szCs w:val="18"/>
                <w:color w:val="auto"/>
              </w:rPr>
              <w:t>(8)</w:t>
            </w:r>
          </w:p>
        </w:tc>
        <w:tc>
          <w:tcPr>
            <w:tcW w:w="4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w:t>
            </w:r>
          </w:p>
        </w:tc>
        <w:tc>
          <w:tcPr>
            <w:tcW w:w="92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313"/>
              <w:spacing w:after="0"/>
              <w:rPr>
                <w:sz w:val="20"/>
                <w:szCs w:val="20"/>
                <w:color w:val="auto"/>
              </w:rPr>
            </w:pPr>
            <w:r>
              <w:rPr>
                <w:rFonts w:ascii="Arial" w:cs="Arial" w:eastAsia="Arial" w:hAnsi="Arial"/>
                <w:sz w:val="18"/>
                <w:szCs w:val="18"/>
                <w:color w:val="auto"/>
              </w:rPr>
              <w:t>1,825</w:t>
            </w:r>
          </w:p>
        </w:tc>
        <w:tc>
          <w:tcPr>
            <w:tcW w:w="60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232"/>
              <w:spacing w:after="0"/>
              <w:rPr>
                <w:sz w:val="20"/>
                <w:szCs w:val="20"/>
                <w:color w:val="auto"/>
              </w:rPr>
            </w:pPr>
            <w:r>
              <w:rPr>
                <w:rFonts w:ascii="Arial" w:cs="Arial" w:eastAsia="Arial" w:hAnsi="Arial"/>
                <w:sz w:val="18"/>
                <w:szCs w:val="18"/>
                <w:color w:val="auto"/>
              </w:rPr>
              <w:t>44</w:t>
            </w:r>
          </w:p>
        </w:tc>
        <w:tc>
          <w:tcPr>
            <w:tcW w:w="58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232"/>
              <w:spacing w:after="0"/>
              <w:rPr>
                <w:sz w:val="20"/>
                <w:szCs w:val="20"/>
                <w:color w:val="auto"/>
              </w:rPr>
            </w:pPr>
            <w:r>
              <w:rPr>
                <w:rFonts w:ascii="Arial" w:cs="Arial" w:eastAsia="Arial" w:hAnsi="Arial"/>
                <w:sz w:val="18"/>
                <w:szCs w:val="18"/>
                <w:color w:val="auto"/>
              </w:rPr>
              <w:t>(125)</w:t>
            </w:r>
          </w:p>
        </w:tc>
        <w:tc>
          <w:tcPr>
            <w:tcW w:w="54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293"/>
              <w:spacing w:after="0"/>
              <w:rPr>
                <w:sz w:val="20"/>
                <w:szCs w:val="20"/>
                <w:color w:val="auto"/>
              </w:rPr>
            </w:pPr>
            <w:r>
              <w:rPr>
                <w:rFonts w:ascii="Arial" w:cs="Arial" w:eastAsia="Arial" w:hAnsi="Arial"/>
                <w:sz w:val="18"/>
                <w:szCs w:val="18"/>
                <w:color w:val="auto"/>
              </w:rPr>
              <w:t>6</w:t>
            </w:r>
          </w:p>
        </w:tc>
        <w:tc>
          <w:tcPr>
            <w:tcW w:w="4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Capital expenditures</w:t>
            </w:r>
          </w:p>
        </w:tc>
        <w:tc>
          <w:tcPr>
            <w:tcW w:w="920" w:type="dxa"/>
            <w:vAlign w:val="bottom"/>
          </w:tcPr>
          <w:p>
            <w:pPr>
              <w:spacing w:after="0"/>
              <w:rPr>
                <w:sz w:val="19"/>
                <w:szCs w:val="19"/>
                <w:color w:val="auto"/>
              </w:rPr>
            </w:pPr>
          </w:p>
        </w:tc>
        <w:tc>
          <w:tcPr>
            <w:tcW w:w="880" w:type="dxa"/>
            <w:vAlign w:val="bottom"/>
          </w:tcPr>
          <w:p>
            <w:pPr>
              <w:jc w:val="right"/>
              <w:ind w:right="313"/>
              <w:spacing w:after="0"/>
              <w:rPr>
                <w:sz w:val="20"/>
                <w:szCs w:val="20"/>
                <w:color w:val="auto"/>
              </w:rPr>
            </w:pPr>
            <w:r>
              <w:rPr>
                <w:rFonts w:ascii="Arial" w:cs="Arial" w:eastAsia="Arial" w:hAnsi="Arial"/>
                <w:sz w:val="18"/>
                <w:szCs w:val="18"/>
                <w:color w:val="auto"/>
              </w:rPr>
              <w:t>1,254</w:t>
            </w:r>
          </w:p>
        </w:tc>
        <w:tc>
          <w:tcPr>
            <w:tcW w:w="600" w:type="dxa"/>
            <w:vAlign w:val="bottom"/>
          </w:tcPr>
          <w:p>
            <w:pPr>
              <w:spacing w:after="0"/>
              <w:rPr>
                <w:sz w:val="19"/>
                <w:szCs w:val="19"/>
                <w:color w:val="auto"/>
              </w:rPr>
            </w:pPr>
          </w:p>
        </w:tc>
        <w:tc>
          <w:tcPr>
            <w:tcW w:w="860" w:type="dxa"/>
            <w:vAlign w:val="bottom"/>
          </w:tcPr>
          <w:p>
            <w:pPr>
              <w:jc w:val="right"/>
              <w:ind w:right="232"/>
              <w:spacing w:after="0"/>
              <w:rPr>
                <w:sz w:val="20"/>
                <w:szCs w:val="20"/>
                <w:color w:val="auto"/>
              </w:rPr>
            </w:pPr>
            <w:r>
              <w:rPr>
                <w:rFonts w:ascii="Arial" w:cs="Arial" w:eastAsia="Arial" w:hAnsi="Arial"/>
                <w:sz w:val="18"/>
                <w:szCs w:val="18"/>
                <w:color w:val="auto"/>
              </w:rPr>
              <w:t>6</w:t>
            </w:r>
          </w:p>
        </w:tc>
        <w:tc>
          <w:tcPr>
            <w:tcW w:w="580" w:type="dxa"/>
            <w:vAlign w:val="bottom"/>
          </w:tcPr>
          <w:p>
            <w:pPr>
              <w:spacing w:after="0"/>
              <w:rPr>
                <w:sz w:val="19"/>
                <w:szCs w:val="19"/>
                <w:color w:val="auto"/>
              </w:rPr>
            </w:pPr>
          </w:p>
        </w:tc>
        <w:tc>
          <w:tcPr>
            <w:tcW w:w="880" w:type="dxa"/>
            <w:vAlign w:val="bottom"/>
          </w:tcPr>
          <w:p>
            <w:pPr>
              <w:jc w:val="right"/>
              <w:ind w:right="292"/>
              <w:spacing w:after="0"/>
              <w:rPr>
                <w:sz w:val="20"/>
                <w:szCs w:val="20"/>
                <w:color w:val="auto"/>
              </w:rPr>
            </w:pPr>
            <w:r>
              <w:rPr>
                <w:rFonts w:ascii="Arial" w:cs="Arial" w:eastAsia="Arial" w:hAnsi="Arial"/>
                <w:sz w:val="18"/>
                <w:szCs w:val="18"/>
                <w:color w:val="auto"/>
              </w:rPr>
              <w:t>40</w:t>
            </w:r>
          </w:p>
        </w:tc>
        <w:tc>
          <w:tcPr>
            <w:tcW w:w="540" w:type="dxa"/>
            <w:vAlign w:val="bottom"/>
          </w:tcPr>
          <w:p>
            <w:pPr>
              <w:spacing w:after="0"/>
              <w:rPr>
                <w:sz w:val="19"/>
                <w:szCs w:val="19"/>
                <w:color w:val="auto"/>
              </w:rPr>
            </w:pPr>
          </w:p>
        </w:tc>
        <w:tc>
          <w:tcPr>
            <w:tcW w:w="1020" w:type="dxa"/>
            <w:vAlign w:val="bottom"/>
          </w:tcPr>
          <w:p>
            <w:pPr>
              <w:jc w:val="right"/>
              <w:ind w:right="29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220" w:type="dxa"/>
            <w:vAlign w:val="bottom"/>
          </w:tcPr>
          <w:p>
            <w:pPr>
              <w:spacing w:after="0"/>
              <w:rPr>
                <w:sz w:val="6"/>
                <w:szCs w:val="6"/>
                <w:color w:val="auto"/>
              </w:rPr>
            </w:pPr>
          </w:p>
        </w:tc>
        <w:tc>
          <w:tcPr>
            <w:tcW w:w="920" w:type="dxa"/>
            <w:vAlign w:val="bottom"/>
          </w:tcPr>
          <w:p>
            <w:pPr>
              <w:spacing w:after="0"/>
              <w:rPr>
                <w:sz w:val="6"/>
                <w:szCs w:val="6"/>
                <w:color w:val="auto"/>
              </w:rPr>
            </w:pPr>
          </w:p>
        </w:tc>
        <w:tc>
          <w:tcPr>
            <w:tcW w:w="8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Three months ended June 30, 2007</w:t>
            </w:r>
          </w:p>
        </w:tc>
        <w:tc>
          <w:tcPr>
            <w:tcW w:w="92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102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Revenue(g)</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3"/>
              <w:spacing w:after="0"/>
              <w:rPr>
                <w:sz w:val="20"/>
                <w:szCs w:val="20"/>
                <w:color w:val="auto"/>
              </w:rPr>
            </w:pPr>
            <w:r>
              <w:rPr>
                <w:rFonts w:ascii="Arial" w:cs="Arial" w:eastAsia="Arial" w:hAnsi="Arial"/>
                <w:sz w:val="18"/>
                <w:szCs w:val="18"/>
                <w:color w:val="auto"/>
              </w:rPr>
              <w:t>7,330</w:t>
            </w:r>
          </w:p>
        </w:tc>
        <w:tc>
          <w:tcPr>
            <w:tcW w:w="600" w:type="dxa"/>
            <w:vAlign w:val="bottom"/>
          </w:tcPr>
          <w:p>
            <w:pPr>
              <w:ind w:left="2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32"/>
              <w:spacing w:after="0"/>
              <w:rPr>
                <w:sz w:val="20"/>
                <w:szCs w:val="20"/>
                <w:color w:val="auto"/>
              </w:rPr>
            </w:pPr>
            <w:r>
              <w:rPr>
                <w:rFonts w:ascii="Arial" w:cs="Arial" w:eastAsia="Arial" w:hAnsi="Arial"/>
                <w:sz w:val="18"/>
                <w:szCs w:val="18"/>
                <w:color w:val="auto"/>
              </w:rPr>
              <w:t>334</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92"/>
              <w:spacing w:after="0"/>
              <w:rPr>
                <w:sz w:val="20"/>
                <w:szCs w:val="20"/>
                <w:color w:val="auto"/>
              </w:rPr>
            </w:pPr>
            <w:r>
              <w:rPr>
                <w:rFonts w:ascii="Arial" w:cs="Arial" w:eastAsia="Arial" w:hAnsi="Arial"/>
                <w:sz w:val="18"/>
                <w:szCs w:val="18"/>
                <w:color w:val="auto"/>
              </w:rPr>
              <w:t>103</w:t>
            </w:r>
          </w:p>
        </w:tc>
        <w:tc>
          <w:tcPr>
            <w:tcW w:w="540" w:type="dxa"/>
            <w:vAlign w:val="bottom"/>
          </w:tcPr>
          <w:p>
            <w:pPr>
              <w:ind w:left="3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3"/>
              <w:spacing w:after="0"/>
              <w:rPr>
                <w:sz w:val="20"/>
                <w:szCs w:val="20"/>
                <w:color w:val="auto"/>
              </w:rPr>
            </w:pPr>
            <w:r>
              <w:rPr>
                <w:rFonts w:ascii="Arial" w:cs="Arial" w:eastAsia="Arial" w:hAnsi="Arial"/>
                <w:sz w:val="18"/>
                <w:szCs w:val="18"/>
                <w:color w:val="auto"/>
              </w:rPr>
              <w:t>(55)</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7,712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2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 before depreciation and</w:t>
            </w:r>
          </w:p>
        </w:tc>
        <w:tc>
          <w:tcPr>
            <w:tcW w:w="92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102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amortization(h)</w:t>
            </w:r>
          </w:p>
        </w:tc>
        <w:tc>
          <w:tcPr>
            <w:tcW w:w="920" w:type="dxa"/>
            <w:vAlign w:val="bottom"/>
            <w:shd w:val="clear" w:color="auto" w:fill="E5E5E5"/>
          </w:tcPr>
          <w:p>
            <w:pPr>
              <w:spacing w:after="0"/>
              <w:rPr>
                <w:sz w:val="19"/>
                <w:szCs w:val="19"/>
                <w:color w:val="auto"/>
              </w:rPr>
            </w:pPr>
          </w:p>
        </w:tc>
        <w:tc>
          <w:tcPr>
            <w:tcW w:w="880" w:type="dxa"/>
            <w:vAlign w:val="bottom"/>
            <w:shd w:val="clear" w:color="auto" w:fill="E5E5E5"/>
          </w:tcPr>
          <w:p>
            <w:pPr>
              <w:jc w:val="right"/>
              <w:ind w:right="313"/>
              <w:spacing w:after="0"/>
              <w:rPr>
                <w:sz w:val="20"/>
                <w:szCs w:val="20"/>
                <w:color w:val="auto"/>
              </w:rPr>
            </w:pPr>
            <w:r>
              <w:rPr>
                <w:rFonts w:ascii="Arial" w:cs="Arial" w:eastAsia="Arial" w:hAnsi="Arial"/>
                <w:sz w:val="18"/>
                <w:szCs w:val="18"/>
                <w:color w:val="auto"/>
              </w:rPr>
              <w:t>3,031</w:t>
            </w:r>
          </w:p>
        </w:tc>
        <w:tc>
          <w:tcPr>
            <w:tcW w:w="600" w:type="dxa"/>
            <w:vAlign w:val="bottom"/>
            <w:shd w:val="clear" w:color="auto" w:fill="E5E5E5"/>
          </w:tcPr>
          <w:p>
            <w:pPr>
              <w:spacing w:after="0"/>
              <w:rPr>
                <w:sz w:val="19"/>
                <w:szCs w:val="19"/>
                <w:color w:val="auto"/>
              </w:rPr>
            </w:pPr>
          </w:p>
        </w:tc>
        <w:tc>
          <w:tcPr>
            <w:tcW w:w="860" w:type="dxa"/>
            <w:vAlign w:val="bottom"/>
            <w:shd w:val="clear" w:color="auto" w:fill="E5E5E5"/>
          </w:tcPr>
          <w:p>
            <w:pPr>
              <w:jc w:val="right"/>
              <w:ind w:right="232"/>
              <w:spacing w:after="0"/>
              <w:rPr>
                <w:sz w:val="20"/>
                <w:szCs w:val="20"/>
                <w:color w:val="auto"/>
              </w:rPr>
            </w:pPr>
            <w:r>
              <w:rPr>
                <w:rFonts w:ascii="Arial" w:cs="Arial" w:eastAsia="Arial" w:hAnsi="Arial"/>
                <w:sz w:val="18"/>
                <w:szCs w:val="18"/>
                <w:color w:val="auto"/>
              </w:rPr>
              <w:t>75</w:t>
            </w:r>
          </w:p>
        </w:tc>
        <w:tc>
          <w:tcPr>
            <w:tcW w:w="580" w:type="dxa"/>
            <w:vAlign w:val="bottom"/>
            <w:shd w:val="clear" w:color="auto" w:fill="E5E5E5"/>
          </w:tcPr>
          <w:p>
            <w:pPr>
              <w:spacing w:after="0"/>
              <w:rPr>
                <w:sz w:val="19"/>
                <w:szCs w:val="19"/>
                <w:color w:val="auto"/>
              </w:rPr>
            </w:pPr>
          </w:p>
        </w:tc>
        <w:tc>
          <w:tcPr>
            <w:tcW w:w="880" w:type="dxa"/>
            <w:vAlign w:val="bottom"/>
            <w:shd w:val="clear" w:color="auto" w:fill="E5E5E5"/>
          </w:tcPr>
          <w:p>
            <w:pPr>
              <w:jc w:val="right"/>
              <w:ind w:right="232"/>
              <w:spacing w:after="0"/>
              <w:rPr>
                <w:sz w:val="20"/>
                <w:szCs w:val="20"/>
                <w:color w:val="auto"/>
              </w:rPr>
            </w:pPr>
            <w:r>
              <w:rPr>
                <w:rFonts w:ascii="Arial" w:cs="Arial" w:eastAsia="Arial" w:hAnsi="Arial"/>
                <w:sz w:val="18"/>
                <w:szCs w:val="18"/>
                <w:color w:val="auto"/>
              </w:rPr>
              <w:t>(92)</w:t>
            </w:r>
          </w:p>
        </w:tc>
        <w:tc>
          <w:tcPr>
            <w:tcW w:w="540" w:type="dxa"/>
            <w:vAlign w:val="bottom"/>
            <w:shd w:val="clear" w:color="auto" w:fill="E5E5E5"/>
          </w:tcPr>
          <w:p>
            <w:pPr>
              <w:spacing w:after="0"/>
              <w:rPr>
                <w:sz w:val="19"/>
                <w:szCs w:val="19"/>
                <w:color w:val="auto"/>
              </w:rPr>
            </w:pPr>
          </w:p>
        </w:tc>
        <w:tc>
          <w:tcPr>
            <w:tcW w:w="102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(2)</w:t>
            </w:r>
          </w:p>
        </w:tc>
        <w:tc>
          <w:tcPr>
            <w:tcW w:w="420" w:type="dxa"/>
            <w:vAlign w:val="bottom"/>
            <w:shd w:val="clear" w:color="auto" w:fill="E5E5E5"/>
          </w:tcPr>
          <w:p>
            <w:pPr>
              <w:spacing w:after="0"/>
              <w:rPr>
                <w:sz w:val="19"/>
                <w:szCs w:val="19"/>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18"/>
                <w:szCs w:val="18"/>
                <w:color w:val="auto"/>
              </w:rPr>
            </w:pPr>
          </w:p>
        </w:tc>
        <w:tc>
          <w:tcPr>
            <w:tcW w:w="880" w:type="dxa"/>
            <w:vAlign w:val="bottom"/>
          </w:tcPr>
          <w:p>
            <w:pPr>
              <w:jc w:val="right"/>
              <w:ind w:right="313"/>
              <w:spacing w:after="0"/>
              <w:rPr>
                <w:sz w:val="20"/>
                <w:szCs w:val="20"/>
                <w:color w:val="auto"/>
              </w:rPr>
            </w:pPr>
            <w:r>
              <w:rPr>
                <w:rFonts w:ascii="Arial" w:cs="Arial" w:eastAsia="Arial" w:hAnsi="Arial"/>
                <w:sz w:val="18"/>
                <w:szCs w:val="18"/>
                <w:color w:val="auto"/>
              </w:rPr>
              <w:t>1,471</w:t>
            </w:r>
          </w:p>
        </w:tc>
        <w:tc>
          <w:tcPr>
            <w:tcW w:w="600" w:type="dxa"/>
            <w:vAlign w:val="bottom"/>
          </w:tcPr>
          <w:p>
            <w:pPr>
              <w:spacing w:after="0"/>
              <w:rPr>
                <w:sz w:val="18"/>
                <w:szCs w:val="18"/>
                <w:color w:val="auto"/>
              </w:rPr>
            </w:pPr>
          </w:p>
        </w:tc>
        <w:tc>
          <w:tcPr>
            <w:tcW w:w="860" w:type="dxa"/>
            <w:vAlign w:val="bottom"/>
          </w:tcPr>
          <w:p>
            <w:pPr>
              <w:jc w:val="right"/>
              <w:ind w:right="232"/>
              <w:spacing w:after="0"/>
              <w:rPr>
                <w:sz w:val="20"/>
                <w:szCs w:val="20"/>
                <w:color w:val="auto"/>
              </w:rPr>
            </w:pPr>
            <w:r>
              <w:rPr>
                <w:rFonts w:ascii="Arial" w:cs="Arial" w:eastAsia="Arial" w:hAnsi="Arial"/>
                <w:sz w:val="18"/>
                <w:szCs w:val="18"/>
                <w:color w:val="auto"/>
              </w:rPr>
              <w:t>46</w:t>
            </w:r>
          </w:p>
        </w:tc>
        <w:tc>
          <w:tcPr>
            <w:tcW w:w="580" w:type="dxa"/>
            <w:vAlign w:val="bottom"/>
          </w:tcPr>
          <w:p>
            <w:pPr>
              <w:spacing w:after="0"/>
              <w:rPr>
                <w:sz w:val="18"/>
                <w:szCs w:val="18"/>
                <w:color w:val="auto"/>
              </w:rPr>
            </w:pPr>
          </w:p>
        </w:tc>
        <w:tc>
          <w:tcPr>
            <w:tcW w:w="880" w:type="dxa"/>
            <w:vAlign w:val="bottom"/>
          </w:tcPr>
          <w:p>
            <w:pPr>
              <w:jc w:val="right"/>
              <w:ind w:right="292"/>
              <w:spacing w:after="0"/>
              <w:rPr>
                <w:sz w:val="20"/>
                <w:szCs w:val="20"/>
                <w:color w:val="auto"/>
              </w:rPr>
            </w:pPr>
            <w:r>
              <w:rPr>
                <w:rFonts w:ascii="Arial" w:cs="Arial" w:eastAsia="Arial" w:hAnsi="Arial"/>
                <w:sz w:val="18"/>
                <w:szCs w:val="18"/>
                <w:color w:val="auto"/>
              </w:rPr>
              <w:t>32</w:t>
            </w:r>
          </w:p>
        </w:tc>
        <w:tc>
          <w:tcPr>
            <w:tcW w:w="540" w:type="dxa"/>
            <w:vAlign w:val="bottom"/>
          </w:tcPr>
          <w:p>
            <w:pPr>
              <w:spacing w:after="0"/>
              <w:rPr>
                <w:sz w:val="18"/>
                <w:szCs w:val="18"/>
                <w:color w:val="auto"/>
              </w:rPr>
            </w:pPr>
          </w:p>
        </w:tc>
        <w:tc>
          <w:tcPr>
            <w:tcW w:w="1020" w:type="dxa"/>
            <w:vAlign w:val="bottom"/>
          </w:tcPr>
          <w:p>
            <w:pPr>
              <w:jc w:val="right"/>
              <w:ind w:right="233"/>
              <w:spacing w:after="0"/>
              <w:rPr>
                <w:sz w:val="20"/>
                <w:szCs w:val="20"/>
                <w:color w:val="auto"/>
              </w:rPr>
            </w:pPr>
            <w:r>
              <w:rPr>
                <w:rFonts w:ascii="Arial" w:cs="Arial" w:eastAsia="Arial" w:hAnsi="Arial"/>
                <w:sz w:val="18"/>
                <w:szCs w:val="18"/>
                <w:color w:val="auto"/>
              </w:rPr>
              <w:t>(5)</w:t>
            </w:r>
          </w:p>
        </w:tc>
        <w:tc>
          <w:tcPr>
            <w:tcW w:w="4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w:t>
            </w:r>
          </w:p>
        </w:tc>
        <w:tc>
          <w:tcPr>
            <w:tcW w:w="92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313"/>
              <w:spacing w:after="0"/>
              <w:rPr>
                <w:sz w:val="20"/>
                <w:szCs w:val="20"/>
                <w:color w:val="auto"/>
              </w:rPr>
            </w:pPr>
            <w:r>
              <w:rPr>
                <w:rFonts w:ascii="Arial" w:cs="Arial" w:eastAsia="Arial" w:hAnsi="Arial"/>
                <w:sz w:val="18"/>
                <w:szCs w:val="18"/>
                <w:color w:val="auto"/>
              </w:rPr>
              <w:t>1,560</w:t>
            </w:r>
          </w:p>
        </w:tc>
        <w:tc>
          <w:tcPr>
            <w:tcW w:w="60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232"/>
              <w:spacing w:after="0"/>
              <w:rPr>
                <w:sz w:val="20"/>
                <w:szCs w:val="20"/>
                <w:color w:val="auto"/>
              </w:rPr>
            </w:pPr>
            <w:r>
              <w:rPr>
                <w:rFonts w:ascii="Arial" w:cs="Arial" w:eastAsia="Arial" w:hAnsi="Arial"/>
                <w:sz w:val="18"/>
                <w:szCs w:val="18"/>
                <w:color w:val="auto"/>
              </w:rPr>
              <w:t>29</w:t>
            </w:r>
          </w:p>
        </w:tc>
        <w:tc>
          <w:tcPr>
            <w:tcW w:w="58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232"/>
              <w:spacing w:after="0"/>
              <w:rPr>
                <w:sz w:val="20"/>
                <w:szCs w:val="20"/>
                <w:color w:val="auto"/>
              </w:rPr>
            </w:pPr>
            <w:r>
              <w:rPr>
                <w:rFonts w:ascii="Arial" w:cs="Arial" w:eastAsia="Arial" w:hAnsi="Arial"/>
                <w:sz w:val="18"/>
                <w:szCs w:val="18"/>
                <w:color w:val="auto"/>
              </w:rPr>
              <w:t>(124)</w:t>
            </w:r>
          </w:p>
        </w:tc>
        <w:tc>
          <w:tcPr>
            <w:tcW w:w="54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293"/>
              <w:spacing w:after="0"/>
              <w:rPr>
                <w:sz w:val="20"/>
                <w:szCs w:val="20"/>
                <w:color w:val="auto"/>
              </w:rPr>
            </w:pPr>
            <w:r>
              <w:rPr>
                <w:rFonts w:ascii="Arial" w:cs="Arial" w:eastAsia="Arial" w:hAnsi="Arial"/>
                <w:sz w:val="18"/>
                <w:szCs w:val="18"/>
                <w:color w:val="auto"/>
              </w:rPr>
              <w:t>3</w:t>
            </w:r>
          </w:p>
        </w:tc>
        <w:tc>
          <w:tcPr>
            <w:tcW w:w="4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1,468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Capital expenditures</w:t>
            </w:r>
          </w:p>
        </w:tc>
        <w:tc>
          <w:tcPr>
            <w:tcW w:w="920" w:type="dxa"/>
            <w:vAlign w:val="bottom"/>
          </w:tcPr>
          <w:p>
            <w:pPr>
              <w:spacing w:after="0"/>
              <w:rPr>
                <w:sz w:val="19"/>
                <w:szCs w:val="19"/>
                <w:color w:val="auto"/>
              </w:rPr>
            </w:pPr>
          </w:p>
        </w:tc>
        <w:tc>
          <w:tcPr>
            <w:tcW w:w="880" w:type="dxa"/>
            <w:vAlign w:val="bottom"/>
          </w:tcPr>
          <w:p>
            <w:pPr>
              <w:jc w:val="right"/>
              <w:ind w:right="313"/>
              <w:spacing w:after="0"/>
              <w:rPr>
                <w:sz w:val="20"/>
                <w:szCs w:val="20"/>
                <w:color w:val="auto"/>
              </w:rPr>
            </w:pPr>
            <w:r>
              <w:rPr>
                <w:rFonts w:ascii="Arial" w:cs="Arial" w:eastAsia="Arial" w:hAnsi="Arial"/>
                <w:sz w:val="18"/>
                <w:szCs w:val="18"/>
                <w:color w:val="auto"/>
              </w:rPr>
              <w:t>1,586</w:t>
            </w:r>
          </w:p>
        </w:tc>
        <w:tc>
          <w:tcPr>
            <w:tcW w:w="600" w:type="dxa"/>
            <w:vAlign w:val="bottom"/>
          </w:tcPr>
          <w:p>
            <w:pPr>
              <w:spacing w:after="0"/>
              <w:rPr>
                <w:sz w:val="19"/>
                <w:szCs w:val="19"/>
                <w:color w:val="auto"/>
              </w:rPr>
            </w:pPr>
          </w:p>
        </w:tc>
        <w:tc>
          <w:tcPr>
            <w:tcW w:w="860" w:type="dxa"/>
            <w:vAlign w:val="bottom"/>
          </w:tcPr>
          <w:p>
            <w:pPr>
              <w:jc w:val="right"/>
              <w:ind w:right="232"/>
              <w:spacing w:after="0"/>
              <w:rPr>
                <w:sz w:val="20"/>
                <w:szCs w:val="20"/>
                <w:color w:val="auto"/>
              </w:rPr>
            </w:pPr>
            <w:r>
              <w:rPr>
                <w:rFonts w:ascii="Arial" w:cs="Arial" w:eastAsia="Arial" w:hAnsi="Arial"/>
                <w:sz w:val="18"/>
                <w:szCs w:val="18"/>
                <w:color w:val="auto"/>
              </w:rPr>
              <w:t>10</w:t>
            </w:r>
          </w:p>
        </w:tc>
        <w:tc>
          <w:tcPr>
            <w:tcW w:w="580" w:type="dxa"/>
            <w:vAlign w:val="bottom"/>
          </w:tcPr>
          <w:p>
            <w:pPr>
              <w:spacing w:after="0"/>
              <w:rPr>
                <w:sz w:val="19"/>
                <w:szCs w:val="19"/>
                <w:color w:val="auto"/>
              </w:rPr>
            </w:pPr>
          </w:p>
        </w:tc>
        <w:tc>
          <w:tcPr>
            <w:tcW w:w="880" w:type="dxa"/>
            <w:vAlign w:val="bottom"/>
          </w:tcPr>
          <w:p>
            <w:pPr>
              <w:jc w:val="right"/>
              <w:ind w:right="292"/>
              <w:spacing w:after="0"/>
              <w:rPr>
                <w:sz w:val="20"/>
                <w:szCs w:val="20"/>
                <w:color w:val="auto"/>
              </w:rPr>
            </w:pPr>
            <w:r>
              <w:rPr>
                <w:rFonts w:ascii="Arial" w:cs="Arial" w:eastAsia="Arial" w:hAnsi="Arial"/>
                <w:sz w:val="18"/>
                <w:szCs w:val="18"/>
                <w:color w:val="auto"/>
              </w:rPr>
              <w:t>8</w:t>
            </w:r>
          </w:p>
        </w:tc>
        <w:tc>
          <w:tcPr>
            <w:tcW w:w="540" w:type="dxa"/>
            <w:vAlign w:val="bottom"/>
          </w:tcPr>
          <w:p>
            <w:pPr>
              <w:spacing w:after="0"/>
              <w:rPr>
                <w:sz w:val="19"/>
                <w:szCs w:val="19"/>
                <w:color w:val="auto"/>
              </w:rPr>
            </w:pPr>
          </w:p>
        </w:tc>
        <w:tc>
          <w:tcPr>
            <w:tcW w:w="1020" w:type="dxa"/>
            <w:vAlign w:val="bottom"/>
          </w:tcPr>
          <w:p>
            <w:pPr>
              <w:jc w:val="right"/>
              <w:ind w:right="29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1,604</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220" w:type="dxa"/>
            <w:vAlign w:val="bottom"/>
          </w:tcPr>
          <w:p>
            <w:pPr>
              <w:spacing w:after="0"/>
              <w:rPr>
                <w:sz w:val="6"/>
                <w:szCs w:val="6"/>
                <w:color w:val="auto"/>
              </w:rPr>
            </w:pPr>
          </w:p>
        </w:tc>
        <w:tc>
          <w:tcPr>
            <w:tcW w:w="920" w:type="dxa"/>
            <w:vAlign w:val="bottom"/>
          </w:tcPr>
          <w:p>
            <w:pPr>
              <w:spacing w:after="0"/>
              <w:rPr>
                <w:sz w:val="6"/>
                <w:szCs w:val="6"/>
                <w:color w:val="auto"/>
              </w:rPr>
            </w:pPr>
          </w:p>
        </w:tc>
        <w:tc>
          <w:tcPr>
            <w:tcW w:w="8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Six months ended June 30, 2008</w:t>
            </w:r>
          </w:p>
        </w:tc>
        <w:tc>
          <w:tcPr>
            <w:tcW w:w="92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102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Revenue(g)</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3"/>
              <w:spacing w:after="0"/>
              <w:rPr>
                <w:sz w:val="20"/>
                <w:szCs w:val="20"/>
                <w:color w:val="auto"/>
              </w:rPr>
            </w:pPr>
            <w:r>
              <w:rPr>
                <w:rFonts w:ascii="Arial" w:cs="Arial" w:eastAsia="Arial" w:hAnsi="Arial"/>
                <w:sz w:val="18"/>
                <w:szCs w:val="18"/>
                <w:color w:val="auto"/>
                <w:w w:val="83"/>
              </w:rPr>
              <w:t>16,016</w:t>
            </w:r>
          </w:p>
        </w:tc>
        <w:tc>
          <w:tcPr>
            <w:tcW w:w="600" w:type="dxa"/>
            <w:vAlign w:val="bottom"/>
          </w:tcPr>
          <w:p>
            <w:pPr>
              <w:ind w:left="2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32"/>
              <w:spacing w:after="0"/>
              <w:rPr>
                <w:sz w:val="20"/>
                <w:szCs w:val="20"/>
                <w:color w:val="auto"/>
              </w:rPr>
            </w:pPr>
            <w:r>
              <w:rPr>
                <w:rFonts w:ascii="Arial" w:cs="Arial" w:eastAsia="Arial" w:hAnsi="Arial"/>
                <w:sz w:val="18"/>
                <w:szCs w:val="18"/>
                <w:color w:val="auto"/>
              </w:rPr>
              <w:t>729</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92"/>
              <w:spacing w:after="0"/>
              <w:rPr>
                <w:sz w:val="20"/>
                <w:szCs w:val="20"/>
                <w:color w:val="auto"/>
              </w:rPr>
            </w:pPr>
            <w:r>
              <w:rPr>
                <w:rFonts w:ascii="Arial" w:cs="Arial" w:eastAsia="Arial" w:hAnsi="Arial"/>
                <w:sz w:val="18"/>
                <w:szCs w:val="18"/>
                <w:color w:val="auto"/>
              </w:rPr>
              <w:t>325</w:t>
            </w:r>
          </w:p>
        </w:tc>
        <w:tc>
          <w:tcPr>
            <w:tcW w:w="540" w:type="dxa"/>
            <w:vAlign w:val="bottom"/>
          </w:tcPr>
          <w:p>
            <w:pPr>
              <w:ind w:left="3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3"/>
              <w:spacing w:after="0"/>
              <w:rPr>
                <w:sz w:val="20"/>
                <w:szCs w:val="20"/>
                <w:color w:val="auto"/>
              </w:rPr>
            </w:pPr>
            <w:r>
              <w:rPr>
                <w:rFonts w:ascii="Arial" w:cs="Arial" w:eastAsia="Arial" w:hAnsi="Arial"/>
                <w:sz w:val="18"/>
                <w:szCs w:val="18"/>
                <w:color w:val="auto"/>
              </w:rPr>
              <w:t>(128)</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16,942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2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 before depreciation and</w:t>
            </w:r>
          </w:p>
        </w:tc>
        <w:tc>
          <w:tcPr>
            <w:tcW w:w="92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102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amortization(h)</w:t>
            </w:r>
          </w:p>
        </w:tc>
        <w:tc>
          <w:tcPr>
            <w:tcW w:w="920" w:type="dxa"/>
            <w:vAlign w:val="bottom"/>
            <w:shd w:val="clear" w:color="auto" w:fill="E5E5E5"/>
          </w:tcPr>
          <w:p>
            <w:pPr>
              <w:spacing w:after="0"/>
              <w:rPr>
                <w:sz w:val="19"/>
                <w:szCs w:val="19"/>
                <w:color w:val="auto"/>
              </w:rPr>
            </w:pPr>
          </w:p>
        </w:tc>
        <w:tc>
          <w:tcPr>
            <w:tcW w:w="880" w:type="dxa"/>
            <w:vAlign w:val="bottom"/>
            <w:shd w:val="clear" w:color="auto" w:fill="E5E5E5"/>
          </w:tcPr>
          <w:p>
            <w:pPr>
              <w:jc w:val="right"/>
              <w:ind w:right="313"/>
              <w:spacing w:after="0"/>
              <w:rPr>
                <w:sz w:val="20"/>
                <w:szCs w:val="20"/>
                <w:color w:val="auto"/>
              </w:rPr>
            </w:pPr>
            <w:r>
              <w:rPr>
                <w:rFonts w:ascii="Arial" w:cs="Arial" w:eastAsia="Arial" w:hAnsi="Arial"/>
                <w:sz w:val="18"/>
                <w:szCs w:val="18"/>
                <w:color w:val="auto"/>
              </w:rPr>
              <w:t>6,504</w:t>
            </w:r>
          </w:p>
        </w:tc>
        <w:tc>
          <w:tcPr>
            <w:tcW w:w="600" w:type="dxa"/>
            <w:vAlign w:val="bottom"/>
            <w:shd w:val="clear" w:color="auto" w:fill="E5E5E5"/>
          </w:tcPr>
          <w:p>
            <w:pPr>
              <w:spacing w:after="0"/>
              <w:rPr>
                <w:sz w:val="19"/>
                <w:szCs w:val="19"/>
                <w:color w:val="auto"/>
              </w:rPr>
            </w:pPr>
          </w:p>
        </w:tc>
        <w:tc>
          <w:tcPr>
            <w:tcW w:w="860" w:type="dxa"/>
            <w:vAlign w:val="bottom"/>
            <w:shd w:val="clear" w:color="auto" w:fill="E5E5E5"/>
          </w:tcPr>
          <w:p>
            <w:pPr>
              <w:jc w:val="right"/>
              <w:ind w:right="232"/>
              <w:spacing w:after="0"/>
              <w:rPr>
                <w:sz w:val="20"/>
                <w:szCs w:val="20"/>
                <w:color w:val="auto"/>
              </w:rPr>
            </w:pPr>
            <w:r>
              <w:rPr>
                <w:rFonts w:ascii="Arial" w:cs="Arial" w:eastAsia="Arial" w:hAnsi="Arial"/>
                <w:sz w:val="18"/>
                <w:szCs w:val="18"/>
                <w:color w:val="auto"/>
              </w:rPr>
              <w:t>202</w:t>
            </w:r>
          </w:p>
        </w:tc>
        <w:tc>
          <w:tcPr>
            <w:tcW w:w="580" w:type="dxa"/>
            <w:vAlign w:val="bottom"/>
            <w:shd w:val="clear" w:color="auto" w:fill="E5E5E5"/>
          </w:tcPr>
          <w:p>
            <w:pPr>
              <w:spacing w:after="0"/>
              <w:rPr>
                <w:sz w:val="19"/>
                <w:szCs w:val="19"/>
                <w:color w:val="auto"/>
              </w:rPr>
            </w:pPr>
          </w:p>
        </w:tc>
        <w:tc>
          <w:tcPr>
            <w:tcW w:w="880" w:type="dxa"/>
            <w:vAlign w:val="bottom"/>
            <w:shd w:val="clear" w:color="auto" w:fill="E5E5E5"/>
          </w:tcPr>
          <w:p>
            <w:pPr>
              <w:jc w:val="right"/>
              <w:ind w:right="232"/>
              <w:spacing w:after="0"/>
              <w:rPr>
                <w:sz w:val="20"/>
                <w:szCs w:val="20"/>
                <w:color w:val="auto"/>
              </w:rPr>
            </w:pPr>
            <w:r>
              <w:rPr>
                <w:rFonts w:ascii="Arial" w:cs="Arial" w:eastAsia="Arial" w:hAnsi="Arial"/>
                <w:sz w:val="18"/>
                <w:szCs w:val="18"/>
                <w:color w:val="auto"/>
              </w:rPr>
              <w:t>(180)</w:t>
            </w:r>
          </w:p>
        </w:tc>
        <w:tc>
          <w:tcPr>
            <w:tcW w:w="540" w:type="dxa"/>
            <w:vAlign w:val="bottom"/>
            <w:shd w:val="clear" w:color="auto" w:fill="E5E5E5"/>
          </w:tcPr>
          <w:p>
            <w:pPr>
              <w:spacing w:after="0"/>
              <w:rPr>
                <w:sz w:val="19"/>
                <w:szCs w:val="19"/>
                <w:color w:val="auto"/>
              </w:rPr>
            </w:pPr>
          </w:p>
        </w:tc>
        <w:tc>
          <w:tcPr>
            <w:tcW w:w="102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(1)</w:t>
            </w:r>
          </w:p>
        </w:tc>
        <w:tc>
          <w:tcPr>
            <w:tcW w:w="420" w:type="dxa"/>
            <w:vAlign w:val="bottom"/>
            <w:shd w:val="clear" w:color="auto" w:fill="E5E5E5"/>
          </w:tcPr>
          <w:p>
            <w:pPr>
              <w:spacing w:after="0"/>
              <w:rPr>
                <w:sz w:val="19"/>
                <w:szCs w:val="19"/>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18"/>
                <w:szCs w:val="18"/>
                <w:color w:val="auto"/>
              </w:rPr>
            </w:pPr>
          </w:p>
        </w:tc>
        <w:tc>
          <w:tcPr>
            <w:tcW w:w="880" w:type="dxa"/>
            <w:vAlign w:val="bottom"/>
          </w:tcPr>
          <w:p>
            <w:pPr>
              <w:jc w:val="right"/>
              <w:ind w:right="313"/>
              <w:spacing w:after="0"/>
              <w:rPr>
                <w:sz w:val="20"/>
                <w:szCs w:val="20"/>
                <w:color w:val="auto"/>
              </w:rPr>
            </w:pPr>
            <w:r>
              <w:rPr>
                <w:rFonts w:ascii="Arial" w:cs="Arial" w:eastAsia="Arial" w:hAnsi="Arial"/>
                <w:sz w:val="18"/>
                <w:szCs w:val="18"/>
                <w:color w:val="auto"/>
              </w:rPr>
              <w:t>3,085</w:t>
            </w:r>
          </w:p>
        </w:tc>
        <w:tc>
          <w:tcPr>
            <w:tcW w:w="600" w:type="dxa"/>
            <w:vAlign w:val="bottom"/>
          </w:tcPr>
          <w:p>
            <w:pPr>
              <w:spacing w:after="0"/>
              <w:rPr>
                <w:sz w:val="18"/>
                <w:szCs w:val="18"/>
                <w:color w:val="auto"/>
              </w:rPr>
            </w:pPr>
          </w:p>
        </w:tc>
        <w:tc>
          <w:tcPr>
            <w:tcW w:w="860" w:type="dxa"/>
            <w:vAlign w:val="bottom"/>
          </w:tcPr>
          <w:p>
            <w:pPr>
              <w:jc w:val="right"/>
              <w:ind w:right="232"/>
              <w:spacing w:after="0"/>
              <w:rPr>
                <w:sz w:val="20"/>
                <w:szCs w:val="20"/>
                <w:color w:val="auto"/>
              </w:rPr>
            </w:pPr>
            <w:r>
              <w:rPr>
                <w:rFonts w:ascii="Arial" w:cs="Arial" w:eastAsia="Arial" w:hAnsi="Arial"/>
                <w:sz w:val="18"/>
                <w:szCs w:val="18"/>
                <w:color w:val="auto"/>
              </w:rPr>
              <w:t>99</w:t>
            </w:r>
          </w:p>
        </w:tc>
        <w:tc>
          <w:tcPr>
            <w:tcW w:w="580" w:type="dxa"/>
            <w:vAlign w:val="bottom"/>
          </w:tcPr>
          <w:p>
            <w:pPr>
              <w:spacing w:after="0"/>
              <w:rPr>
                <w:sz w:val="18"/>
                <w:szCs w:val="18"/>
                <w:color w:val="auto"/>
              </w:rPr>
            </w:pPr>
          </w:p>
        </w:tc>
        <w:tc>
          <w:tcPr>
            <w:tcW w:w="880" w:type="dxa"/>
            <w:vAlign w:val="bottom"/>
          </w:tcPr>
          <w:p>
            <w:pPr>
              <w:jc w:val="right"/>
              <w:ind w:right="292"/>
              <w:spacing w:after="0"/>
              <w:rPr>
                <w:sz w:val="20"/>
                <w:szCs w:val="20"/>
                <w:color w:val="auto"/>
              </w:rPr>
            </w:pPr>
            <w:r>
              <w:rPr>
                <w:rFonts w:ascii="Arial" w:cs="Arial" w:eastAsia="Arial" w:hAnsi="Arial"/>
                <w:sz w:val="18"/>
                <w:szCs w:val="18"/>
                <w:color w:val="auto"/>
              </w:rPr>
              <w:t>51</w:t>
            </w:r>
          </w:p>
        </w:tc>
        <w:tc>
          <w:tcPr>
            <w:tcW w:w="540" w:type="dxa"/>
            <w:vAlign w:val="bottom"/>
          </w:tcPr>
          <w:p>
            <w:pPr>
              <w:spacing w:after="0"/>
              <w:rPr>
                <w:sz w:val="18"/>
                <w:szCs w:val="18"/>
                <w:color w:val="auto"/>
              </w:rPr>
            </w:pPr>
          </w:p>
        </w:tc>
        <w:tc>
          <w:tcPr>
            <w:tcW w:w="1020" w:type="dxa"/>
            <w:vAlign w:val="bottom"/>
          </w:tcPr>
          <w:p>
            <w:pPr>
              <w:jc w:val="right"/>
              <w:ind w:right="233"/>
              <w:spacing w:after="0"/>
              <w:rPr>
                <w:sz w:val="20"/>
                <w:szCs w:val="20"/>
                <w:color w:val="auto"/>
              </w:rPr>
            </w:pPr>
            <w:r>
              <w:rPr>
                <w:rFonts w:ascii="Arial" w:cs="Arial" w:eastAsia="Arial" w:hAnsi="Arial"/>
                <w:sz w:val="18"/>
                <w:szCs w:val="18"/>
                <w:color w:val="auto"/>
              </w:rPr>
              <w:t>(15)</w:t>
            </w:r>
          </w:p>
        </w:tc>
        <w:tc>
          <w:tcPr>
            <w:tcW w:w="4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w:t>
            </w:r>
          </w:p>
        </w:tc>
        <w:tc>
          <w:tcPr>
            <w:tcW w:w="92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313"/>
              <w:spacing w:after="0"/>
              <w:rPr>
                <w:sz w:val="20"/>
                <w:szCs w:val="20"/>
                <w:color w:val="auto"/>
              </w:rPr>
            </w:pPr>
            <w:r>
              <w:rPr>
                <w:rFonts w:ascii="Arial" w:cs="Arial" w:eastAsia="Arial" w:hAnsi="Arial"/>
                <w:sz w:val="18"/>
                <w:szCs w:val="18"/>
                <w:color w:val="auto"/>
              </w:rPr>
              <w:t>3,419</w:t>
            </w:r>
          </w:p>
        </w:tc>
        <w:tc>
          <w:tcPr>
            <w:tcW w:w="60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232"/>
              <w:spacing w:after="0"/>
              <w:rPr>
                <w:sz w:val="20"/>
                <w:szCs w:val="20"/>
                <w:color w:val="auto"/>
              </w:rPr>
            </w:pPr>
            <w:r>
              <w:rPr>
                <w:rFonts w:ascii="Arial" w:cs="Arial" w:eastAsia="Arial" w:hAnsi="Arial"/>
                <w:sz w:val="18"/>
                <w:szCs w:val="18"/>
                <w:color w:val="auto"/>
              </w:rPr>
              <w:t>103</w:t>
            </w:r>
          </w:p>
        </w:tc>
        <w:tc>
          <w:tcPr>
            <w:tcW w:w="58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232"/>
              <w:spacing w:after="0"/>
              <w:rPr>
                <w:sz w:val="20"/>
                <w:szCs w:val="20"/>
                <w:color w:val="auto"/>
              </w:rPr>
            </w:pPr>
            <w:r>
              <w:rPr>
                <w:rFonts w:ascii="Arial" w:cs="Arial" w:eastAsia="Arial" w:hAnsi="Arial"/>
                <w:sz w:val="18"/>
                <w:szCs w:val="18"/>
                <w:color w:val="auto"/>
              </w:rPr>
              <w:t>(231)</w:t>
            </w:r>
          </w:p>
        </w:tc>
        <w:tc>
          <w:tcPr>
            <w:tcW w:w="54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293"/>
              <w:spacing w:after="0"/>
              <w:rPr>
                <w:sz w:val="20"/>
                <w:szCs w:val="20"/>
                <w:color w:val="auto"/>
              </w:rPr>
            </w:pPr>
            <w:r>
              <w:rPr>
                <w:rFonts w:ascii="Arial" w:cs="Arial" w:eastAsia="Arial" w:hAnsi="Arial"/>
                <w:sz w:val="18"/>
                <w:szCs w:val="18"/>
                <w:color w:val="auto"/>
              </w:rPr>
              <w:t>14</w:t>
            </w:r>
          </w:p>
        </w:tc>
        <w:tc>
          <w:tcPr>
            <w:tcW w:w="4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3,305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Capital expenditures</w:t>
            </w:r>
          </w:p>
        </w:tc>
        <w:tc>
          <w:tcPr>
            <w:tcW w:w="920" w:type="dxa"/>
            <w:vAlign w:val="bottom"/>
          </w:tcPr>
          <w:p>
            <w:pPr>
              <w:spacing w:after="0"/>
              <w:rPr>
                <w:sz w:val="19"/>
                <w:szCs w:val="19"/>
                <w:color w:val="auto"/>
              </w:rPr>
            </w:pPr>
          </w:p>
        </w:tc>
        <w:tc>
          <w:tcPr>
            <w:tcW w:w="880" w:type="dxa"/>
            <w:vAlign w:val="bottom"/>
          </w:tcPr>
          <w:p>
            <w:pPr>
              <w:jc w:val="right"/>
              <w:ind w:right="313"/>
              <w:spacing w:after="0"/>
              <w:rPr>
                <w:sz w:val="20"/>
                <w:szCs w:val="20"/>
                <w:color w:val="auto"/>
              </w:rPr>
            </w:pPr>
            <w:r>
              <w:rPr>
                <w:rFonts w:ascii="Arial" w:cs="Arial" w:eastAsia="Arial" w:hAnsi="Arial"/>
                <w:sz w:val="18"/>
                <w:szCs w:val="18"/>
                <w:color w:val="auto"/>
              </w:rPr>
              <w:t>2,609</w:t>
            </w:r>
          </w:p>
        </w:tc>
        <w:tc>
          <w:tcPr>
            <w:tcW w:w="600" w:type="dxa"/>
            <w:vAlign w:val="bottom"/>
          </w:tcPr>
          <w:p>
            <w:pPr>
              <w:spacing w:after="0"/>
              <w:rPr>
                <w:sz w:val="19"/>
                <w:szCs w:val="19"/>
                <w:color w:val="auto"/>
              </w:rPr>
            </w:pPr>
          </w:p>
        </w:tc>
        <w:tc>
          <w:tcPr>
            <w:tcW w:w="860" w:type="dxa"/>
            <w:vAlign w:val="bottom"/>
          </w:tcPr>
          <w:p>
            <w:pPr>
              <w:jc w:val="right"/>
              <w:ind w:right="232"/>
              <w:spacing w:after="0"/>
              <w:rPr>
                <w:sz w:val="20"/>
                <w:szCs w:val="20"/>
                <w:color w:val="auto"/>
              </w:rPr>
            </w:pPr>
            <w:r>
              <w:rPr>
                <w:rFonts w:ascii="Arial" w:cs="Arial" w:eastAsia="Arial" w:hAnsi="Arial"/>
                <w:sz w:val="18"/>
                <w:szCs w:val="18"/>
                <w:color w:val="auto"/>
              </w:rPr>
              <w:t>10</w:t>
            </w:r>
          </w:p>
        </w:tc>
        <w:tc>
          <w:tcPr>
            <w:tcW w:w="580" w:type="dxa"/>
            <w:vAlign w:val="bottom"/>
          </w:tcPr>
          <w:p>
            <w:pPr>
              <w:spacing w:after="0"/>
              <w:rPr>
                <w:sz w:val="19"/>
                <w:szCs w:val="19"/>
                <w:color w:val="auto"/>
              </w:rPr>
            </w:pPr>
          </w:p>
        </w:tc>
        <w:tc>
          <w:tcPr>
            <w:tcW w:w="880" w:type="dxa"/>
            <w:vAlign w:val="bottom"/>
          </w:tcPr>
          <w:p>
            <w:pPr>
              <w:jc w:val="right"/>
              <w:ind w:right="292"/>
              <w:spacing w:after="0"/>
              <w:rPr>
                <w:sz w:val="20"/>
                <w:szCs w:val="20"/>
                <w:color w:val="auto"/>
              </w:rPr>
            </w:pPr>
            <w:r>
              <w:rPr>
                <w:rFonts w:ascii="Arial" w:cs="Arial" w:eastAsia="Arial" w:hAnsi="Arial"/>
                <w:sz w:val="18"/>
                <w:szCs w:val="18"/>
                <w:color w:val="auto"/>
              </w:rPr>
              <w:t>112</w:t>
            </w:r>
          </w:p>
        </w:tc>
        <w:tc>
          <w:tcPr>
            <w:tcW w:w="540" w:type="dxa"/>
            <w:vAlign w:val="bottom"/>
          </w:tcPr>
          <w:p>
            <w:pPr>
              <w:spacing w:after="0"/>
              <w:rPr>
                <w:sz w:val="19"/>
                <w:szCs w:val="19"/>
                <w:color w:val="auto"/>
              </w:rPr>
            </w:pPr>
          </w:p>
        </w:tc>
        <w:tc>
          <w:tcPr>
            <w:tcW w:w="1020" w:type="dxa"/>
            <w:vAlign w:val="bottom"/>
          </w:tcPr>
          <w:p>
            <w:pPr>
              <w:jc w:val="right"/>
              <w:ind w:right="29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2,731</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220" w:type="dxa"/>
            <w:vAlign w:val="bottom"/>
          </w:tcPr>
          <w:p>
            <w:pPr>
              <w:spacing w:after="0"/>
              <w:rPr>
                <w:sz w:val="6"/>
                <w:szCs w:val="6"/>
                <w:color w:val="auto"/>
              </w:rPr>
            </w:pPr>
          </w:p>
        </w:tc>
        <w:tc>
          <w:tcPr>
            <w:tcW w:w="920" w:type="dxa"/>
            <w:vAlign w:val="bottom"/>
          </w:tcPr>
          <w:p>
            <w:pPr>
              <w:spacing w:after="0"/>
              <w:rPr>
                <w:sz w:val="6"/>
                <w:szCs w:val="6"/>
                <w:color w:val="auto"/>
              </w:rPr>
            </w:pPr>
          </w:p>
        </w:tc>
        <w:tc>
          <w:tcPr>
            <w:tcW w:w="8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Six months ended June 30, 2007</w:t>
            </w:r>
          </w:p>
        </w:tc>
        <w:tc>
          <w:tcPr>
            <w:tcW w:w="92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102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Revenue(g)</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3"/>
              <w:spacing w:after="0"/>
              <w:rPr>
                <w:sz w:val="20"/>
                <w:szCs w:val="20"/>
                <w:color w:val="auto"/>
              </w:rPr>
            </w:pPr>
            <w:r>
              <w:rPr>
                <w:rFonts w:ascii="Arial" w:cs="Arial" w:eastAsia="Arial" w:hAnsi="Arial"/>
                <w:sz w:val="18"/>
                <w:szCs w:val="18"/>
                <w:color w:val="auto"/>
                <w:w w:val="83"/>
              </w:rPr>
              <w:t>14,328</w:t>
            </w:r>
          </w:p>
        </w:tc>
        <w:tc>
          <w:tcPr>
            <w:tcW w:w="600" w:type="dxa"/>
            <w:vAlign w:val="bottom"/>
          </w:tcPr>
          <w:p>
            <w:pPr>
              <w:ind w:left="2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32"/>
              <w:spacing w:after="0"/>
              <w:rPr>
                <w:sz w:val="20"/>
                <w:szCs w:val="20"/>
                <w:color w:val="auto"/>
              </w:rPr>
            </w:pPr>
            <w:r>
              <w:rPr>
                <w:rFonts w:ascii="Arial" w:cs="Arial" w:eastAsia="Arial" w:hAnsi="Arial"/>
                <w:sz w:val="18"/>
                <w:szCs w:val="18"/>
                <w:color w:val="auto"/>
              </w:rPr>
              <w:t>636</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92"/>
              <w:spacing w:after="0"/>
              <w:rPr>
                <w:sz w:val="20"/>
                <w:szCs w:val="20"/>
                <w:color w:val="auto"/>
              </w:rPr>
            </w:pPr>
            <w:r>
              <w:rPr>
                <w:rFonts w:ascii="Arial" w:cs="Arial" w:eastAsia="Arial" w:hAnsi="Arial"/>
                <w:sz w:val="18"/>
                <w:szCs w:val="18"/>
                <w:color w:val="auto"/>
              </w:rPr>
              <w:t>258</w:t>
            </w:r>
          </w:p>
        </w:tc>
        <w:tc>
          <w:tcPr>
            <w:tcW w:w="540" w:type="dxa"/>
            <w:vAlign w:val="bottom"/>
          </w:tcPr>
          <w:p>
            <w:pPr>
              <w:ind w:left="3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3"/>
              <w:spacing w:after="0"/>
              <w:rPr>
                <w:sz w:val="20"/>
                <w:szCs w:val="20"/>
                <w:color w:val="auto"/>
              </w:rPr>
            </w:pPr>
            <w:r>
              <w:rPr>
                <w:rFonts w:ascii="Arial" w:cs="Arial" w:eastAsia="Arial" w:hAnsi="Arial"/>
                <w:sz w:val="18"/>
                <w:szCs w:val="18"/>
                <w:color w:val="auto"/>
              </w:rPr>
              <w:t>(122)</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15,100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2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 before depreciation and</w:t>
            </w:r>
          </w:p>
        </w:tc>
        <w:tc>
          <w:tcPr>
            <w:tcW w:w="92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102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amortization(h)</w:t>
            </w:r>
          </w:p>
        </w:tc>
        <w:tc>
          <w:tcPr>
            <w:tcW w:w="920" w:type="dxa"/>
            <w:vAlign w:val="bottom"/>
            <w:shd w:val="clear" w:color="auto" w:fill="E5E5E5"/>
          </w:tcPr>
          <w:p>
            <w:pPr>
              <w:spacing w:after="0"/>
              <w:rPr>
                <w:sz w:val="19"/>
                <w:szCs w:val="19"/>
                <w:color w:val="auto"/>
              </w:rPr>
            </w:pPr>
          </w:p>
        </w:tc>
        <w:tc>
          <w:tcPr>
            <w:tcW w:w="880" w:type="dxa"/>
            <w:vAlign w:val="bottom"/>
            <w:shd w:val="clear" w:color="auto" w:fill="E5E5E5"/>
          </w:tcPr>
          <w:p>
            <w:pPr>
              <w:jc w:val="right"/>
              <w:ind w:right="313"/>
              <w:spacing w:after="0"/>
              <w:rPr>
                <w:sz w:val="20"/>
                <w:szCs w:val="20"/>
                <w:color w:val="auto"/>
              </w:rPr>
            </w:pPr>
            <w:r>
              <w:rPr>
                <w:rFonts w:ascii="Arial" w:cs="Arial" w:eastAsia="Arial" w:hAnsi="Arial"/>
                <w:sz w:val="18"/>
                <w:szCs w:val="18"/>
                <w:color w:val="auto"/>
              </w:rPr>
              <w:t>5,824</w:t>
            </w:r>
          </w:p>
        </w:tc>
        <w:tc>
          <w:tcPr>
            <w:tcW w:w="600" w:type="dxa"/>
            <w:vAlign w:val="bottom"/>
            <w:shd w:val="clear" w:color="auto" w:fill="E5E5E5"/>
          </w:tcPr>
          <w:p>
            <w:pPr>
              <w:spacing w:after="0"/>
              <w:rPr>
                <w:sz w:val="19"/>
                <w:szCs w:val="19"/>
                <w:color w:val="auto"/>
              </w:rPr>
            </w:pPr>
          </w:p>
        </w:tc>
        <w:tc>
          <w:tcPr>
            <w:tcW w:w="860" w:type="dxa"/>
            <w:vAlign w:val="bottom"/>
            <w:shd w:val="clear" w:color="auto" w:fill="E5E5E5"/>
          </w:tcPr>
          <w:p>
            <w:pPr>
              <w:jc w:val="right"/>
              <w:ind w:right="232"/>
              <w:spacing w:after="0"/>
              <w:rPr>
                <w:sz w:val="20"/>
                <w:szCs w:val="20"/>
                <w:color w:val="auto"/>
              </w:rPr>
            </w:pPr>
            <w:r>
              <w:rPr>
                <w:rFonts w:ascii="Arial" w:cs="Arial" w:eastAsia="Arial" w:hAnsi="Arial"/>
                <w:sz w:val="18"/>
                <w:szCs w:val="18"/>
                <w:color w:val="auto"/>
              </w:rPr>
              <w:t>140</w:t>
            </w:r>
          </w:p>
        </w:tc>
        <w:tc>
          <w:tcPr>
            <w:tcW w:w="580" w:type="dxa"/>
            <w:vAlign w:val="bottom"/>
            <w:shd w:val="clear" w:color="auto" w:fill="E5E5E5"/>
          </w:tcPr>
          <w:p>
            <w:pPr>
              <w:spacing w:after="0"/>
              <w:rPr>
                <w:sz w:val="19"/>
                <w:szCs w:val="19"/>
                <w:color w:val="auto"/>
              </w:rPr>
            </w:pPr>
          </w:p>
        </w:tc>
        <w:tc>
          <w:tcPr>
            <w:tcW w:w="880" w:type="dxa"/>
            <w:vAlign w:val="bottom"/>
            <w:shd w:val="clear" w:color="auto" w:fill="E5E5E5"/>
          </w:tcPr>
          <w:p>
            <w:pPr>
              <w:jc w:val="right"/>
              <w:ind w:right="232"/>
              <w:spacing w:after="0"/>
              <w:rPr>
                <w:sz w:val="20"/>
                <w:szCs w:val="20"/>
                <w:color w:val="auto"/>
              </w:rPr>
            </w:pPr>
            <w:r>
              <w:rPr>
                <w:rFonts w:ascii="Arial" w:cs="Arial" w:eastAsia="Arial" w:hAnsi="Arial"/>
                <w:sz w:val="18"/>
                <w:szCs w:val="18"/>
                <w:color w:val="auto"/>
              </w:rPr>
              <w:t>(187)</w:t>
            </w:r>
          </w:p>
        </w:tc>
        <w:tc>
          <w:tcPr>
            <w:tcW w:w="540" w:type="dxa"/>
            <w:vAlign w:val="bottom"/>
            <w:shd w:val="clear" w:color="auto" w:fill="E5E5E5"/>
          </w:tcPr>
          <w:p>
            <w:pPr>
              <w:spacing w:after="0"/>
              <w:rPr>
                <w:sz w:val="19"/>
                <w:szCs w:val="19"/>
                <w:color w:val="auto"/>
              </w:rPr>
            </w:pPr>
          </w:p>
        </w:tc>
        <w:tc>
          <w:tcPr>
            <w:tcW w:w="102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(2)</w:t>
            </w:r>
          </w:p>
        </w:tc>
        <w:tc>
          <w:tcPr>
            <w:tcW w:w="420" w:type="dxa"/>
            <w:vAlign w:val="bottom"/>
            <w:shd w:val="clear" w:color="auto" w:fill="E5E5E5"/>
          </w:tcPr>
          <w:p>
            <w:pPr>
              <w:spacing w:after="0"/>
              <w:rPr>
                <w:sz w:val="19"/>
                <w:szCs w:val="19"/>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18"/>
                <w:szCs w:val="18"/>
                <w:color w:val="auto"/>
              </w:rPr>
            </w:pPr>
          </w:p>
        </w:tc>
        <w:tc>
          <w:tcPr>
            <w:tcW w:w="880" w:type="dxa"/>
            <w:vAlign w:val="bottom"/>
          </w:tcPr>
          <w:p>
            <w:pPr>
              <w:jc w:val="right"/>
              <w:ind w:right="313"/>
              <w:spacing w:after="0"/>
              <w:rPr>
                <w:sz w:val="20"/>
                <w:szCs w:val="20"/>
                <w:color w:val="auto"/>
              </w:rPr>
            </w:pPr>
            <w:r>
              <w:rPr>
                <w:rFonts w:ascii="Arial" w:cs="Arial" w:eastAsia="Arial" w:hAnsi="Arial"/>
                <w:sz w:val="18"/>
                <w:szCs w:val="18"/>
                <w:color w:val="auto"/>
              </w:rPr>
              <w:t>2,911</w:t>
            </w:r>
          </w:p>
        </w:tc>
        <w:tc>
          <w:tcPr>
            <w:tcW w:w="600" w:type="dxa"/>
            <w:vAlign w:val="bottom"/>
          </w:tcPr>
          <w:p>
            <w:pPr>
              <w:spacing w:after="0"/>
              <w:rPr>
                <w:sz w:val="18"/>
                <w:szCs w:val="18"/>
                <w:color w:val="auto"/>
              </w:rPr>
            </w:pPr>
          </w:p>
        </w:tc>
        <w:tc>
          <w:tcPr>
            <w:tcW w:w="860" w:type="dxa"/>
            <w:vAlign w:val="bottom"/>
          </w:tcPr>
          <w:p>
            <w:pPr>
              <w:jc w:val="right"/>
              <w:ind w:right="232"/>
              <w:spacing w:after="0"/>
              <w:rPr>
                <w:sz w:val="20"/>
                <w:szCs w:val="20"/>
                <w:color w:val="auto"/>
              </w:rPr>
            </w:pPr>
            <w:r>
              <w:rPr>
                <w:rFonts w:ascii="Arial" w:cs="Arial" w:eastAsia="Arial" w:hAnsi="Arial"/>
                <w:sz w:val="18"/>
                <w:szCs w:val="18"/>
                <w:color w:val="auto"/>
              </w:rPr>
              <w:t>93</w:t>
            </w:r>
          </w:p>
        </w:tc>
        <w:tc>
          <w:tcPr>
            <w:tcW w:w="580" w:type="dxa"/>
            <w:vAlign w:val="bottom"/>
          </w:tcPr>
          <w:p>
            <w:pPr>
              <w:spacing w:after="0"/>
              <w:rPr>
                <w:sz w:val="18"/>
                <w:szCs w:val="18"/>
                <w:color w:val="auto"/>
              </w:rPr>
            </w:pPr>
          </w:p>
        </w:tc>
        <w:tc>
          <w:tcPr>
            <w:tcW w:w="880" w:type="dxa"/>
            <w:vAlign w:val="bottom"/>
          </w:tcPr>
          <w:p>
            <w:pPr>
              <w:jc w:val="right"/>
              <w:ind w:right="292"/>
              <w:spacing w:after="0"/>
              <w:rPr>
                <w:sz w:val="20"/>
                <w:szCs w:val="20"/>
                <w:color w:val="auto"/>
              </w:rPr>
            </w:pPr>
            <w:r>
              <w:rPr>
                <w:rFonts w:ascii="Arial" w:cs="Arial" w:eastAsia="Arial" w:hAnsi="Arial"/>
                <w:sz w:val="18"/>
                <w:szCs w:val="18"/>
                <w:color w:val="auto"/>
              </w:rPr>
              <w:t>52</w:t>
            </w:r>
          </w:p>
        </w:tc>
        <w:tc>
          <w:tcPr>
            <w:tcW w:w="540" w:type="dxa"/>
            <w:vAlign w:val="bottom"/>
          </w:tcPr>
          <w:p>
            <w:pPr>
              <w:spacing w:after="0"/>
              <w:rPr>
                <w:sz w:val="18"/>
                <w:szCs w:val="18"/>
                <w:color w:val="auto"/>
              </w:rPr>
            </w:pPr>
          </w:p>
        </w:tc>
        <w:tc>
          <w:tcPr>
            <w:tcW w:w="1020" w:type="dxa"/>
            <w:vAlign w:val="bottom"/>
          </w:tcPr>
          <w:p>
            <w:pPr>
              <w:jc w:val="right"/>
              <w:ind w:right="233"/>
              <w:spacing w:after="0"/>
              <w:rPr>
                <w:sz w:val="20"/>
                <w:szCs w:val="20"/>
                <w:color w:val="auto"/>
              </w:rPr>
            </w:pPr>
            <w:r>
              <w:rPr>
                <w:rFonts w:ascii="Arial" w:cs="Arial" w:eastAsia="Arial" w:hAnsi="Arial"/>
                <w:sz w:val="18"/>
                <w:szCs w:val="18"/>
                <w:color w:val="auto"/>
              </w:rPr>
              <w:t>(10)</w:t>
            </w:r>
          </w:p>
        </w:tc>
        <w:tc>
          <w:tcPr>
            <w:tcW w:w="4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w:t>
            </w:r>
          </w:p>
        </w:tc>
        <w:tc>
          <w:tcPr>
            <w:tcW w:w="92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313"/>
              <w:spacing w:after="0"/>
              <w:rPr>
                <w:sz w:val="20"/>
                <w:szCs w:val="20"/>
                <w:color w:val="auto"/>
              </w:rPr>
            </w:pPr>
            <w:r>
              <w:rPr>
                <w:rFonts w:ascii="Arial" w:cs="Arial" w:eastAsia="Arial" w:hAnsi="Arial"/>
                <w:sz w:val="18"/>
                <w:szCs w:val="18"/>
                <w:color w:val="auto"/>
              </w:rPr>
              <w:t>2,913</w:t>
            </w:r>
          </w:p>
        </w:tc>
        <w:tc>
          <w:tcPr>
            <w:tcW w:w="60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232"/>
              <w:spacing w:after="0"/>
              <w:rPr>
                <w:sz w:val="20"/>
                <w:szCs w:val="20"/>
                <w:color w:val="auto"/>
              </w:rPr>
            </w:pPr>
            <w:r>
              <w:rPr>
                <w:rFonts w:ascii="Arial" w:cs="Arial" w:eastAsia="Arial" w:hAnsi="Arial"/>
                <w:sz w:val="18"/>
                <w:szCs w:val="18"/>
                <w:color w:val="auto"/>
              </w:rPr>
              <w:t>47</w:t>
            </w:r>
          </w:p>
        </w:tc>
        <w:tc>
          <w:tcPr>
            <w:tcW w:w="58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232"/>
              <w:spacing w:after="0"/>
              <w:rPr>
                <w:sz w:val="20"/>
                <w:szCs w:val="20"/>
                <w:color w:val="auto"/>
              </w:rPr>
            </w:pPr>
            <w:r>
              <w:rPr>
                <w:rFonts w:ascii="Arial" w:cs="Arial" w:eastAsia="Arial" w:hAnsi="Arial"/>
                <w:sz w:val="18"/>
                <w:szCs w:val="18"/>
                <w:color w:val="auto"/>
              </w:rPr>
              <w:t>(239)</w:t>
            </w:r>
          </w:p>
        </w:tc>
        <w:tc>
          <w:tcPr>
            <w:tcW w:w="54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293"/>
              <w:spacing w:after="0"/>
              <w:rPr>
                <w:sz w:val="20"/>
                <w:szCs w:val="20"/>
                <w:color w:val="auto"/>
              </w:rPr>
            </w:pPr>
            <w:r>
              <w:rPr>
                <w:rFonts w:ascii="Arial" w:cs="Arial" w:eastAsia="Arial" w:hAnsi="Arial"/>
                <w:sz w:val="18"/>
                <w:szCs w:val="18"/>
                <w:color w:val="auto"/>
              </w:rPr>
              <w:t>8</w:t>
            </w:r>
          </w:p>
        </w:tc>
        <w:tc>
          <w:tcPr>
            <w:tcW w:w="4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Capital expenditures</w:t>
            </w:r>
          </w:p>
        </w:tc>
        <w:tc>
          <w:tcPr>
            <w:tcW w:w="9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3"/>
              <w:spacing w:after="0"/>
              <w:rPr>
                <w:sz w:val="20"/>
                <w:szCs w:val="20"/>
                <w:color w:val="auto"/>
              </w:rPr>
            </w:pPr>
            <w:r>
              <w:rPr>
                <w:rFonts w:ascii="Arial" w:cs="Arial" w:eastAsia="Arial" w:hAnsi="Arial"/>
                <w:sz w:val="18"/>
                <w:szCs w:val="18"/>
                <w:color w:val="auto"/>
              </w:rPr>
              <w:t>3,029</w:t>
            </w:r>
          </w:p>
        </w:tc>
        <w:tc>
          <w:tcPr>
            <w:tcW w:w="6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14</w:t>
            </w:r>
          </w:p>
        </w:tc>
        <w:tc>
          <w:tcPr>
            <w:tcW w:w="5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15</w:t>
            </w: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3,058</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13</w:t>
            </w: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For the three and six months ended June 30, 2008 and 2007, Cable segment revenue was derived from the following services:</w:t>
      </w:r>
    </w:p>
    <w:p>
      <w:pPr>
        <w:spacing w:after="0" w:line="43"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2440" w:type="dxa"/>
            <w:vAlign w:val="bottom"/>
            <w:gridSpan w:val="2"/>
          </w:tcPr>
          <w:p>
            <w:pPr>
              <w:jc w:val="right"/>
              <w:ind w:right="532"/>
              <w:spacing w:after="0"/>
              <w:rPr>
                <w:sz w:val="20"/>
                <w:szCs w:val="20"/>
                <w:color w:val="auto"/>
              </w:rPr>
            </w:pPr>
            <w:r>
              <w:rPr>
                <w:rFonts w:ascii="Arial" w:cs="Arial" w:eastAsia="Arial" w:hAnsi="Arial"/>
                <w:sz w:val="14"/>
                <w:szCs w:val="14"/>
                <w:color w:val="auto"/>
              </w:rPr>
              <w:t>Three Months Ended</w:t>
            </w:r>
          </w:p>
        </w:tc>
        <w:tc>
          <w:tcPr>
            <w:tcW w:w="1800" w:type="dxa"/>
            <w:vAlign w:val="bottom"/>
            <w:gridSpan w:val="3"/>
          </w:tcPr>
          <w:p>
            <w:pPr>
              <w:ind w:left="420"/>
              <w:spacing w:after="0"/>
              <w:rPr>
                <w:sz w:val="20"/>
                <w:szCs w:val="20"/>
                <w:color w:val="auto"/>
              </w:rPr>
            </w:pPr>
            <w:r>
              <w:rPr>
                <w:rFonts w:ascii="Arial" w:cs="Arial" w:eastAsia="Arial" w:hAnsi="Arial"/>
                <w:sz w:val="14"/>
                <w:szCs w:val="14"/>
                <w:color w:val="auto"/>
              </w:rPr>
              <w:t>Six Months Ended</w:t>
            </w:r>
          </w:p>
        </w:tc>
      </w:tr>
      <w:tr>
        <w:trPr>
          <w:trHeight w:val="173"/>
        </w:trPr>
        <w:tc>
          <w:tcPr>
            <w:tcW w:w="684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892"/>
              <w:spacing w:after="0"/>
              <w:rPr>
                <w:sz w:val="20"/>
                <w:szCs w:val="20"/>
                <w:color w:val="auto"/>
              </w:rPr>
            </w:pPr>
            <w:r>
              <w:rPr>
                <w:rFonts w:ascii="Arial" w:cs="Arial" w:eastAsia="Arial" w:hAnsi="Arial"/>
                <w:sz w:val="14"/>
                <w:szCs w:val="14"/>
                <w:color w:val="auto"/>
                <w:w w:val="80"/>
              </w:rPr>
              <w:t>June 30</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June 30</w:t>
            </w:r>
          </w:p>
        </w:tc>
        <w:tc>
          <w:tcPr>
            <w:tcW w:w="5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68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2008</w:t>
            </w:r>
          </w:p>
        </w:tc>
        <w:tc>
          <w:tcPr>
            <w:tcW w:w="13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color w:val="auto"/>
              </w:rPr>
              <w:t>2007</w:t>
            </w:r>
          </w:p>
        </w:tc>
        <w:tc>
          <w:tcPr>
            <w:tcW w:w="122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color w:val="auto"/>
              </w:rPr>
              <w:t>2008</w:t>
            </w:r>
          </w:p>
        </w:tc>
        <w:tc>
          <w:tcPr>
            <w:tcW w:w="5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2007</w:t>
            </w:r>
          </w:p>
        </w:tc>
        <w:tc>
          <w:tcPr>
            <w:tcW w:w="20" w:type="dxa"/>
            <w:vAlign w:val="bottom"/>
          </w:tcPr>
          <w:p>
            <w:pPr>
              <w:spacing w:after="0"/>
              <w:rPr>
                <w:sz w:val="20"/>
                <w:szCs w:val="20"/>
                <w:color w:val="auto"/>
              </w:rPr>
            </w:pPr>
          </w:p>
        </w:tc>
      </w:tr>
      <w:tr>
        <w:trPr>
          <w:trHeight w:val="142"/>
        </w:trPr>
        <w:tc>
          <w:tcPr>
            <w:tcW w:w="6840" w:type="dxa"/>
            <w:vAlign w:val="bottom"/>
            <w:shd w:val="clear" w:color="auto" w:fill="E5E5E5"/>
          </w:tcPr>
          <w:p>
            <w:pPr>
              <w:spacing w:after="0" w:line="142" w:lineRule="exact"/>
              <w:rPr>
                <w:sz w:val="20"/>
                <w:szCs w:val="20"/>
                <w:color w:val="auto"/>
              </w:rPr>
            </w:pPr>
            <w:r>
              <w:rPr>
                <w:rFonts w:ascii="Arial" w:cs="Arial" w:eastAsia="Arial" w:hAnsi="Arial"/>
                <w:sz w:val="14"/>
                <w:szCs w:val="14"/>
                <w:color w:val="auto"/>
              </w:rPr>
              <w:t>Video</w:t>
            </w:r>
          </w:p>
        </w:tc>
        <w:tc>
          <w:tcPr>
            <w:tcW w:w="1060" w:type="dxa"/>
            <w:vAlign w:val="bottom"/>
            <w:shd w:val="clear" w:color="auto" w:fill="E5E5E5"/>
          </w:tcPr>
          <w:p>
            <w:pPr>
              <w:jc w:val="right"/>
              <w:spacing w:after="0" w:line="142" w:lineRule="exact"/>
              <w:rPr>
                <w:sz w:val="20"/>
                <w:szCs w:val="20"/>
                <w:color w:val="auto"/>
              </w:rPr>
            </w:pPr>
            <w:r>
              <w:rPr>
                <w:rFonts w:ascii="Arial" w:cs="Arial" w:eastAsia="Arial" w:hAnsi="Arial"/>
                <w:sz w:val="14"/>
                <w:szCs w:val="14"/>
                <w:color w:val="auto"/>
              </w:rPr>
              <w:t>58.4%</w:t>
            </w:r>
          </w:p>
        </w:tc>
        <w:tc>
          <w:tcPr>
            <w:tcW w:w="1380" w:type="dxa"/>
            <w:vAlign w:val="bottom"/>
            <w:shd w:val="clear" w:color="auto" w:fill="E5E5E5"/>
          </w:tcPr>
          <w:p>
            <w:pPr>
              <w:jc w:val="right"/>
              <w:ind w:right="212"/>
              <w:spacing w:after="0" w:line="142" w:lineRule="exact"/>
              <w:rPr>
                <w:sz w:val="20"/>
                <w:szCs w:val="20"/>
                <w:color w:val="auto"/>
              </w:rPr>
            </w:pPr>
            <w:r>
              <w:rPr>
                <w:rFonts w:ascii="Arial" w:cs="Arial" w:eastAsia="Arial" w:hAnsi="Arial"/>
                <w:sz w:val="14"/>
                <w:szCs w:val="14"/>
                <w:color w:val="auto"/>
              </w:rPr>
              <w:t>60.9%</w:t>
            </w:r>
          </w:p>
        </w:tc>
        <w:tc>
          <w:tcPr>
            <w:tcW w:w="1220" w:type="dxa"/>
            <w:vAlign w:val="bottom"/>
            <w:shd w:val="clear" w:color="auto" w:fill="E5E5E5"/>
          </w:tcPr>
          <w:p>
            <w:pPr>
              <w:jc w:val="right"/>
              <w:ind w:right="452"/>
              <w:spacing w:after="0" w:line="142" w:lineRule="exact"/>
              <w:rPr>
                <w:sz w:val="20"/>
                <w:szCs w:val="20"/>
                <w:color w:val="auto"/>
              </w:rPr>
            </w:pPr>
            <w:r>
              <w:rPr>
                <w:rFonts w:ascii="Arial" w:cs="Arial" w:eastAsia="Arial" w:hAnsi="Arial"/>
                <w:sz w:val="14"/>
                <w:szCs w:val="14"/>
                <w:color w:val="auto"/>
              </w:rPr>
              <w:t>58.9%</w:t>
            </w:r>
          </w:p>
        </w:tc>
        <w:tc>
          <w:tcPr>
            <w:tcW w:w="560" w:type="dxa"/>
            <w:vAlign w:val="bottom"/>
            <w:shd w:val="clear" w:color="auto" w:fill="E5E5E5"/>
          </w:tcPr>
          <w:p>
            <w:pPr>
              <w:jc w:val="right"/>
              <w:spacing w:after="0" w:line="142" w:lineRule="exact"/>
              <w:rPr>
                <w:sz w:val="20"/>
                <w:szCs w:val="20"/>
                <w:color w:val="auto"/>
              </w:rPr>
            </w:pPr>
            <w:r>
              <w:rPr>
                <w:rFonts w:ascii="Arial" w:cs="Arial" w:eastAsia="Arial" w:hAnsi="Arial"/>
                <w:sz w:val="14"/>
                <w:szCs w:val="14"/>
                <w:color w:val="auto"/>
              </w:rPr>
              <w:t>61.6%</w:t>
            </w:r>
          </w:p>
        </w:tc>
        <w:tc>
          <w:tcPr>
            <w:tcW w:w="20" w:type="dxa"/>
            <w:vAlign w:val="bottom"/>
          </w:tcPr>
          <w:p>
            <w:pPr>
              <w:spacing w:after="0"/>
              <w:rPr>
                <w:sz w:val="12"/>
                <w:szCs w:val="12"/>
                <w:color w:val="auto"/>
              </w:rPr>
            </w:pPr>
          </w:p>
        </w:tc>
      </w:tr>
      <w:tr>
        <w:trPr>
          <w:trHeight w:val="149"/>
        </w:trPr>
        <w:tc>
          <w:tcPr>
            <w:tcW w:w="6840" w:type="dxa"/>
            <w:vAlign w:val="bottom"/>
          </w:tcPr>
          <w:p>
            <w:pPr>
              <w:spacing w:after="0" w:line="149" w:lineRule="exact"/>
              <w:rPr>
                <w:sz w:val="20"/>
                <w:szCs w:val="20"/>
                <w:color w:val="auto"/>
              </w:rPr>
            </w:pPr>
            <w:r>
              <w:rPr>
                <w:rFonts w:ascii="Arial" w:cs="Arial" w:eastAsia="Arial" w:hAnsi="Arial"/>
                <w:sz w:val="14"/>
                <w:szCs w:val="14"/>
                <w:color w:val="auto"/>
              </w:rPr>
              <w:t>High-speed Internet</w:t>
            </w:r>
          </w:p>
        </w:tc>
        <w:tc>
          <w:tcPr>
            <w:tcW w:w="10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22.1</w:t>
            </w:r>
          </w:p>
        </w:tc>
        <w:tc>
          <w:tcPr>
            <w:tcW w:w="138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21.7</w:t>
            </w:r>
          </w:p>
        </w:tc>
        <w:tc>
          <w:tcPr>
            <w:tcW w:w="1220" w:type="dxa"/>
            <w:vAlign w:val="bottom"/>
          </w:tcPr>
          <w:p>
            <w:pPr>
              <w:jc w:val="right"/>
              <w:ind w:right="552"/>
              <w:spacing w:after="0" w:line="149" w:lineRule="exact"/>
              <w:rPr>
                <w:sz w:val="20"/>
                <w:szCs w:val="20"/>
                <w:color w:val="auto"/>
              </w:rPr>
            </w:pPr>
            <w:r>
              <w:rPr>
                <w:rFonts w:ascii="Arial" w:cs="Arial" w:eastAsia="Arial" w:hAnsi="Arial"/>
                <w:sz w:val="14"/>
                <w:szCs w:val="14"/>
                <w:color w:val="auto"/>
              </w:rPr>
              <w:t>22.1</w:t>
            </w:r>
          </w:p>
        </w:tc>
        <w:tc>
          <w:tcPr>
            <w:tcW w:w="5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21.7</w:t>
            </w:r>
          </w:p>
        </w:tc>
        <w:tc>
          <w:tcPr>
            <w:tcW w:w="20" w:type="dxa"/>
            <w:vAlign w:val="bottom"/>
          </w:tcPr>
          <w:p>
            <w:pPr>
              <w:spacing w:after="0"/>
              <w:rPr>
                <w:sz w:val="12"/>
                <w:szCs w:val="12"/>
                <w:color w:val="auto"/>
              </w:rPr>
            </w:pPr>
          </w:p>
        </w:tc>
      </w:tr>
      <w:tr>
        <w:trPr>
          <w:trHeight w:val="149"/>
        </w:trPr>
        <w:tc>
          <w:tcPr>
            <w:tcW w:w="684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Phone</w:t>
            </w:r>
          </w:p>
        </w:tc>
        <w:tc>
          <w:tcPr>
            <w:tcW w:w="106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7.9</w:t>
            </w:r>
          </w:p>
        </w:tc>
        <w:tc>
          <w:tcPr>
            <w:tcW w:w="1380" w:type="dxa"/>
            <w:vAlign w:val="bottom"/>
            <w:shd w:val="clear" w:color="auto" w:fill="E5E5E5"/>
          </w:tcPr>
          <w:p>
            <w:pPr>
              <w:jc w:val="right"/>
              <w:ind w:right="332"/>
              <w:spacing w:after="0" w:line="149" w:lineRule="exact"/>
              <w:rPr>
                <w:sz w:val="20"/>
                <w:szCs w:val="20"/>
                <w:color w:val="auto"/>
              </w:rPr>
            </w:pPr>
            <w:r>
              <w:rPr>
                <w:rFonts w:ascii="Arial" w:cs="Arial" w:eastAsia="Arial" w:hAnsi="Arial"/>
                <w:sz w:val="14"/>
                <w:szCs w:val="14"/>
                <w:color w:val="auto"/>
              </w:rPr>
              <w:t>5.7</w:t>
            </w:r>
          </w:p>
        </w:tc>
        <w:tc>
          <w:tcPr>
            <w:tcW w:w="1220" w:type="dxa"/>
            <w:vAlign w:val="bottom"/>
            <w:shd w:val="clear" w:color="auto" w:fill="E5E5E5"/>
          </w:tcPr>
          <w:p>
            <w:pPr>
              <w:jc w:val="right"/>
              <w:ind w:right="552"/>
              <w:spacing w:after="0" w:line="149" w:lineRule="exact"/>
              <w:rPr>
                <w:sz w:val="20"/>
                <w:szCs w:val="20"/>
                <w:color w:val="auto"/>
              </w:rPr>
            </w:pPr>
            <w:r>
              <w:rPr>
                <w:rFonts w:ascii="Arial" w:cs="Arial" w:eastAsia="Arial" w:hAnsi="Arial"/>
                <w:sz w:val="14"/>
                <w:szCs w:val="14"/>
                <w:color w:val="auto"/>
              </w:rPr>
              <w:t>7.7</w:t>
            </w:r>
          </w:p>
        </w:tc>
        <w:tc>
          <w:tcPr>
            <w:tcW w:w="56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5.4</w:t>
            </w:r>
          </w:p>
        </w:tc>
        <w:tc>
          <w:tcPr>
            <w:tcW w:w="20" w:type="dxa"/>
            <w:vAlign w:val="bottom"/>
          </w:tcPr>
          <w:p>
            <w:pPr>
              <w:spacing w:after="0"/>
              <w:rPr>
                <w:sz w:val="12"/>
                <w:szCs w:val="12"/>
                <w:color w:val="auto"/>
              </w:rPr>
            </w:pPr>
          </w:p>
        </w:tc>
      </w:tr>
      <w:tr>
        <w:trPr>
          <w:trHeight w:val="149"/>
        </w:trPr>
        <w:tc>
          <w:tcPr>
            <w:tcW w:w="6840" w:type="dxa"/>
            <w:vAlign w:val="bottom"/>
          </w:tcPr>
          <w:p>
            <w:pPr>
              <w:spacing w:after="0" w:line="149" w:lineRule="exact"/>
              <w:rPr>
                <w:sz w:val="20"/>
                <w:szCs w:val="20"/>
                <w:color w:val="auto"/>
              </w:rPr>
            </w:pPr>
            <w:r>
              <w:rPr>
                <w:rFonts w:ascii="Arial" w:cs="Arial" w:eastAsia="Arial" w:hAnsi="Arial"/>
                <w:sz w:val="14"/>
                <w:szCs w:val="14"/>
                <w:color w:val="auto"/>
              </w:rPr>
              <w:t>Advertising</w:t>
            </w:r>
          </w:p>
        </w:tc>
        <w:tc>
          <w:tcPr>
            <w:tcW w:w="10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4.9</w:t>
            </w:r>
          </w:p>
        </w:tc>
        <w:tc>
          <w:tcPr>
            <w:tcW w:w="138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5.4</w:t>
            </w:r>
          </w:p>
        </w:tc>
        <w:tc>
          <w:tcPr>
            <w:tcW w:w="1220" w:type="dxa"/>
            <w:vAlign w:val="bottom"/>
          </w:tcPr>
          <w:p>
            <w:pPr>
              <w:jc w:val="right"/>
              <w:ind w:right="552"/>
              <w:spacing w:after="0" w:line="149" w:lineRule="exact"/>
              <w:rPr>
                <w:sz w:val="20"/>
                <w:szCs w:val="20"/>
                <w:color w:val="auto"/>
              </w:rPr>
            </w:pPr>
            <w:r>
              <w:rPr>
                <w:rFonts w:ascii="Arial" w:cs="Arial" w:eastAsia="Arial" w:hAnsi="Arial"/>
                <w:sz w:val="14"/>
                <w:szCs w:val="14"/>
                <w:color w:val="auto"/>
              </w:rPr>
              <w:t>4.6</w:t>
            </w:r>
          </w:p>
        </w:tc>
        <w:tc>
          <w:tcPr>
            <w:tcW w:w="5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5.0</w:t>
            </w:r>
          </w:p>
        </w:tc>
        <w:tc>
          <w:tcPr>
            <w:tcW w:w="20" w:type="dxa"/>
            <w:vAlign w:val="bottom"/>
          </w:tcPr>
          <w:p>
            <w:pPr>
              <w:spacing w:after="0"/>
              <w:rPr>
                <w:sz w:val="12"/>
                <w:szCs w:val="12"/>
                <w:color w:val="auto"/>
              </w:rPr>
            </w:pPr>
          </w:p>
        </w:tc>
      </w:tr>
      <w:tr>
        <w:trPr>
          <w:trHeight w:val="149"/>
        </w:trPr>
        <w:tc>
          <w:tcPr>
            <w:tcW w:w="684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Franchise fees</w:t>
            </w:r>
          </w:p>
        </w:tc>
        <w:tc>
          <w:tcPr>
            <w:tcW w:w="106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2.8</w:t>
            </w:r>
          </w:p>
        </w:tc>
        <w:tc>
          <w:tcPr>
            <w:tcW w:w="1380" w:type="dxa"/>
            <w:vAlign w:val="bottom"/>
            <w:shd w:val="clear" w:color="auto" w:fill="E5E5E5"/>
          </w:tcPr>
          <w:p>
            <w:pPr>
              <w:jc w:val="right"/>
              <w:ind w:right="332"/>
              <w:spacing w:after="0" w:line="149" w:lineRule="exact"/>
              <w:rPr>
                <w:sz w:val="20"/>
                <w:szCs w:val="20"/>
                <w:color w:val="auto"/>
              </w:rPr>
            </w:pPr>
            <w:r>
              <w:rPr>
                <w:rFonts w:ascii="Arial" w:cs="Arial" w:eastAsia="Arial" w:hAnsi="Arial"/>
                <w:sz w:val="14"/>
                <w:szCs w:val="14"/>
                <w:color w:val="auto"/>
              </w:rPr>
              <w:t>2.9</w:t>
            </w:r>
          </w:p>
        </w:tc>
        <w:tc>
          <w:tcPr>
            <w:tcW w:w="1220" w:type="dxa"/>
            <w:vAlign w:val="bottom"/>
            <w:shd w:val="clear" w:color="auto" w:fill="E5E5E5"/>
          </w:tcPr>
          <w:p>
            <w:pPr>
              <w:jc w:val="right"/>
              <w:ind w:right="552"/>
              <w:spacing w:after="0" w:line="149" w:lineRule="exact"/>
              <w:rPr>
                <w:sz w:val="20"/>
                <w:szCs w:val="20"/>
                <w:color w:val="auto"/>
              </w:rPr>
            </w:pPr>
            <w:r>
              <w:rPr>
                <w:rFonts w:ascii="Arial" w:cs="Arial" w:eastAsia="Arial" w:hAnsi="Arial"/>
                <w:sz w:val="14"/>
                <w:szCs w:val="14"/>
                <w:color w:val="auto"/>
              </w:rPr>
              <w:t>2.8</w:t>
            </w:r>
          </w:p>
        </w:tc>
        <w:tc>
          <w:tcPr>
            <w:tcW w:w="56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2.9</w:t>
            </w:r>
          </w:p>
        </w:tc>
        <w:tc>
          <w:tcPr>
            <w:tcW w:w="20" w:type="dxa"/>
            <w:vAlign w:val="bottom"/>
          </w:tcPr>
          <w:p>
            <w:pPr>
              <w:spacing w:after="0"/>
              <w:rPr>
                <w:sz w:val="12"/>
                <w:szCs w:val="12"/>
                <w:color w:val="auto"/>
              </w:rPr>
            </w:pPr>
          </w:p>
        </w:tc>
      </w:tr>
      <w:tr>
        <w:trPr>
          <w:trHeight w:val="149"/>
        </w:trPr>
        <w:tc>
          <w:tcPr>
            <w:tcW w:w="68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Other</w:t>
            </w:r>
          </w:p>
        </w:tc>
        <w:tc>
          <w:tcPr>
            <w:tcW w:w="106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3.9</w:t>
            </w:r>
          </w:p>
        </w:tc>
        <w:tc>
          <w:tcPr>
            <w:tcW w:w="1380" w:type="dxa"/>
            <w:vAlign w:val="bottom"/>
            <w:tcBorders>
              <w:bottom w:val="single" w:sz="8" w:color="auto"/>
            </w:tcBorders>
          </w:tcPr>
          <w:p>
            <w:pPr>
              <w:jc w:val="right"/>
              <w:ind w:right="332"/>
              <w:spacing w:after="0" w:line="149" w:lineRule="exact"/>
              <w:rPr>
                <w:sz w:val="20"/>
                <w:szCs w:val="20"/>
                <w:color w:val="auto"/>
              </w:rPr>
            </w:pPr>
            <w:r>
              <w:rPr>
                <w:rFonts w:ascii="Arial" w:cs="Arial" w:eastAsia="Arial" w:hAnsi="Arial"/>
                <w:sz w:val="14"/>
                <w:szCs w:val="14"/>
                <w:color w:val="auto"/>
              </w:rPr>
              <w:t>3.4</w:t>
            </w:r>
          </w:p>
        </w:tc>
        <w:tc>
          <w:tcPr>
            <w:tcW w:w="1220" w:type="dxa"/>
            <w:vAlign w:val="bottom"/>
            <w:tcBorders>
              <w:bottom w:val="single" w:sz="8" w:color="auto"/>
            </w:tcBorders>
          </w:tcPr>
          <w:p>
            <w:pPr>
              <w:jc w:val="right"/>
              <w:ind w:right="552"/>
              <w:spacing w:after="0" w:line="149" w:lineRule="exact"/>
              <w:rPr>
                <w:sz w:val="20"/>
                <w:szCs w:val="20"/>
                <w:color w:val="auto"/>
              </w:rPr>
            </w:pPr>
            <w:r>
              <w:rPr>
                <w:rFonts w:ascii="Arial" w:cs="Arial" w:eastAsia="Arial" w:hAnsi="Arial"/>
                <w:sz w:val="14"/>
                <w:szCs w:val="14"/>
                <w:color w:val="auto"/>
              </w:rPr>
              <w:t>3.9</w:t>
            </w:r>
          </w:p>
        </w:tc>
        <w:tc>
          <w:tcPr>
            <w:tcW w:w="56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3.4</w:t>
            </w:r>
          </w:p>
        </w:tc>
        <w:tc>
          <w:tcPr>
            <w:tcW w:w="20" w:type="dxa"/>
            <w:vAlign w:val="bottom"/>
          </w:tcPr>
          <w:p>
            <w:pPr>
              <w:spacing w:after="0"/>
              <w:rPr>
                <w:sz w:val="12"/>
                <w:szCs w:val="12"/>
                <w:color w:val="auto"/>
              </w:rPr>
            </w:pPr>
          </w:p>
        </w:tc>
      </w:tr>
      <w:tr>
        <w:trPr>
          <w:trHeight w:val="149"/>
        </w:trPr>
        <w:tc>
          <w:tcPr>
            <w:tcW w:w="6840" w:type="dxa"/>
            <w:vAlign w:val="bottom"/>
            <w:tcBorders>
              <w:bottom w:val="single" w:sz="8" w:color="auto"/>
            </w:tcBorders>
            <w:shd w:val="clear" w:color="auto" w:fill="E5E5E5"/>
          </w:tcPr>
          <w:p>
            <w:pPr>
              <w:spacing w:after="0" w:line="142" w:lineRule="exact"/>
              <w:rPr>
                <w:sz w:val="20"/>
                <w:szCs w:val="20"/>
                <w:color w:val="auto"/>
              </w:rPr>
            </w:pPr>
            <w:r>
              <w:rPr>
                <w:rFonts w:ascii="Arial" w:cs="Arial" w:eastAsia="Arial" w:hAnsi="Arial"/>
                <w:sz w:val="14"/>
                <w:szCs w:val="14"/>
                <w:b w:val="1"/>
                <w:bCs w:val="1"/>
                <w:color w:val="auto"/>
              </w:rPr>
              <w:t>Total</w:t>
            </w:r>
          </w:p>
        </w:tc>
        <w:tc>
          <w:tcPr>
            <w:tcW w:w="106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b w:val="1"/>
                <w:bCs w:val="1"/>
                <w:color w:val="auto"/>
              </w:rPr>
              <w:t>100%</w:t>
            </w:r>
          </w:p>
        </w:tc>
        <w:tc>
          <w:tcPr>
            <w:tcW w:w="1380" w:type="dxa"/>
            <w:vAlign w:val="bottom"/>
            <w:tcBorders>
              <w:bottom w:val="single" w:sz="8" w:color="auto"/>
            </w:tcBorders>
            <w:shd w:val="clear" w:color="auto" w:fill="E5E5E5"/>
          </w:tcPr>
          <w:p>
            <w:pPr>
              <w:jc w:val="right"/>
              <w:ind w:right="192"/>
              <w:spacing w:after="0" w:line="142" w:lineRule="exact"/>
              <w:rPr>
                <w:sz w:val="20"/>
                <w:szCs w:val="20"/>
                <w:color w:val="auto"/>
              </w:rPr>
            </w:pPr>
            <w:r>
              <w:rPr>
                <w:rFonts w:ascii="Arial" w:cs="Arial" w:eastAsia="Arial" w:hAnsi="Arial"/>
                <w:sz w:val="14"/>
                <w:szCs w:val="14"/>
                <w:b w:val="1"/>
                <w:bCs w:val="1"/>
                <w:color w:val="auto"/>
              </w:rPr>
              <w:t>100%</w:t>
            </w:r>
          </w:p>
        </w:tc>
        <w:tc>
          <w:tcPr>
            <w:tcW w:w="1220" w:type="dxa"/>
            <w:vAlign w:val="bottom"/>
            <w:tcBorders>
              <w:bottom w:val="single" w:sz="8" w:color="auto"/>
            </w:tcBorders>
            <w:shd w:val="clear" w:color="auto" w:fill="E5E5E5"/>
          </w:tcPr>
          <w:p>
            <w:pPr>
              <w:jc w:val="right"/>
              <w:ind w:right="432"/>
              <w:spacing w:after="0" w:line="142" w:lineRule="exact"/>
              <w:rPr>
                <w:sz w:val="20"/>
                <w:szCs w:val="20"/>
                <w:color w:val="auto"/>
              </w:rPr>
            </w:pPr>
            <w:r>
              <w:rPr>
                <w:rFonts w:ascii="Arial" w:cs="Arial" w:eastAsia="Arial" w:hAnsi="Arial"/>
                <w:sz w:val="14"/>
                <w:szCs w:val="14"/>
                <w:b w:val="1"/>
                <w:bCs w:val="1"/>
                <w:color w:val="auto"/>
              </w:rPr>
              <w:t>100%</w:t>
            </w:r>
          </w:p>
        </w:tc>
        <w:tc>
          <w:tcPr>
            <w:tcW w:w="56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b w:val="1"/>
                <w:bCs w:val="1"/>
                <w:color w:val="auto"/>
              </w:rPr>
              <w:t>100%</w:t>
            </w:r>
          </w:p>
        </w:tc>
        <w:tc>
          <w:tcPr>
            <w:tcW w:w="20" w:type="dxa"/>
            <w:vAlign w:val="bottom"/>
          </w:tcPr>
          <w:p>
            <w:pPr>
              <w:spacing w:after="0"/>
              <w:rPr>
                <w:sz w:val="12"/>
                <w:szCs w:val="12"/>
                <w:color w:val="auto"/>
              </w:rPr>
            </w:pPr>
          </w:p>
        </w:tc>
      </w:tr>
    </w:tbl>
    <w:p>
      <w:pPr>
        <w:spacing w:after="0" w:line="57" w:lineRule="exact"/>
        <w:rPr>
          <w:sz w:val="20"/>
          <w:szCs w:val="20"/>
          <w:color w:val="auto"/>
        </w:rPr>
      </w:pPr>
    </w:p>
    <w:p>
      <w:pPr>
        <w:jc w:val="both"/>
        <w:ind w:left="360"/>
        <w:spacing w:after="0" w:line="239" w:lineRule="auto"/>
        <w:rPr>
          <w:sz w:val="20"/>
          <w:szCs w:val="20"/>
          <w:color w:val="auto"/>
        </w:rPr>
      </w:pPr>
      <w:r>
        <w:rPr>
          <w:rFonts w:ascii="Arial" w:cs="Arial" w:eastAsia="Arial" w:hAnsi="Arial"/>
          <w:sz w:val="14"/>
          <w:szCs w:val="14"/>
          <w:color w:val="auto"/>
        </w:rPr>
        <w:t>Subscription revenue received from subscribers who purchase bundled services at a discounted rate is allocated proportionately to each service based on the individual service’s price on a stand-alone basis.</w:t>
      </w:r>
    </w:p>
    <w:p>
      <w:pPr>
        <w:spacing w:after="0" w:line="44"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Cable segment includes our regional sports and news networks.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Programming consists primarily of our consolidated national programming networks, including E!, The Golf Channel, VERSUS, G4 and Style.</w:t>
      </w:r>
    </w:p>
    <w:p>
      <w:pPr>
        <w:spacing w:after="0" w:line="55" w:lineRule="exact"/>
        <w:rPr>
          <w:rFonts w:ascii="Arial" w:cs="Arial" w:eastAsia="Arial" w:hAnsi="Arial"/>
          <w:sz w:val="14"/>
          <w:szCs w:val="14"/>
          <w:color w:val="auto"/>
        </w:rPr>
      </w:pPr>
    </w:p>
    <w:p>
      <w:pPr>
        <w:ind w:left="340" w:right="20" w:hanging="332"/>
        <w:spacing w:after="0" w:line="239"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Corporate and Other includes Comcast Spectacor, Comcast Interactive Media, a portion of the operating results of our less than wholly owned technology development ventures (see “(e)” below), corporate activities and all other businesses not presented in our Cable or Programming segments.</w:t>
      </w:r>
    </w:p>
    <w:p>
      <w:pPr>
        <w:spacing w:after="0" w:line="43" w:lineRule="exact"/>
        <w:rPr>
          <w:rFonts w:ascii="Arial" w:cs="Arial" w:eastAsia="Arial" w:hAnsi="Arial"/>
          <w:sz w:val="14"/>
          <w:szCs w:val="14"/>
          <w:color w:val="auto"/>
        </w:rPr>
      </w:pPr>
    </w:p>
    <w:p>
      <w:pPr>
        <w:jc w:val="both"/>
        <w:ind w:left="340" w:hanging="332"/>
        <w:spacing w:after="0" w:line="230"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We consolidate our less than wholly owned technology development ventures, which we control or of which we are considered the primary beneficiary. These ventures are with various corporate partners, such as Motorola and Gemstar. The ventures have been created to share the costs of development of new technologies for set-top boxes and other devices. The results of these entities are included within Corporate and Other. Cost allocations are made to the Cable segment based on our percentage ownership in each entity. The remaining net costs related to the minority corporate partners are included in Corporate and Other.</w:t>
      </w:r>
    </w:p>
    <w:p>
      <w:pPr>
        <w:spacing w:after="0" w:line="44" w:lineRule="exact"/>
        <w:rPr>
          <w:rFonts w:ascii="Arial" w:cs="Arial" w:eastAsia="Arial" w:hAnsi="Arial"/>
          <w:sz w:val="14"/>
          <w:szCs w:val="14"/>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Included in the Eliminations column are transactions that our segments enter into with one another. The most common types of transactions are the following:</w:t>
      </w:r>
    </w:p>
    <w:p>
      <w:pPr>
        <w:spacing w:after="0" w:line="55" w:lineRule="exact"/>
        <w:rPr>
          <w:rFonts w:ascii="Arial" w:cs="Arial" w:eastAsia="Arial" w:hAnsi="Arial"/>
          <w:sz w:val="14"/>
          <w:szCs w:val="14"/>
          <w:color w:val="auto"/>
        </w:rPr>
      </w:pPr>
    </w:p>
    <w:p>
      <w:pPr>
        <w:ind w:left="1020" w:right="1260" w:hanging="215"/>
        <w:spacing w:after="0" w:line="239" w:lineRule="auto"/>
        <w:tabs>
          <w:tab w:leader="none" w:pos="1020" w:val="left"/>
        </w:tabs>
        <w:numPr>
          <w:ilvl w:val="1"/>
          <w:numId w:val="6"/>
        </w:numPr>
        <w:rPr>
          <w:rFonts w:ascii="Arial" w:cs="Arial" w:eastAsia="Arial" w:hAnsi="Arial"/>
          <w:sz w:val="14"/>
          <w:szCs w:val="14"/>
          <w:color w:val="auto"/>
        </w:rPr>
      </w:pPr>
      <w:r>
        <w:rPr>
          <w:rFonts w:ascii="Arial" w:cs="Arial" w:eastAsia="Arial" w:hAnsi="Arial"/>
          <w:sz w:val="14"/>
          <w:szCs w:val="14"/>
          <w:color w:val="auto"/>
        </w:rPr>
        <w:t>our Programming segment generates revenue by selling cable network programming to our Cable segment, which represents a substantial majority of the revenue elimination amount</w:t>
      </w:r>
    </w:p>
    <w:p>
      <w:pPr>
        <w:spacing w:after="0" w:line="57" w:lineRule="exact"/>
        <w:rPr>
          <w:rFonts w:ascii="Arial" w:cs="Arial" w:eastAsia="Arial" w:hAnsi="Arial"/>
          <w:sz w:val="14"/>
          <w:szCs w:val="14"/>
          <w:color w:val="auto"/>
        </w:rPr>
      </w:pPr>
    </w:p>
    <w:p>
      <w:pPr>
        <w:ind w:left="1020" w:right="1260" w:hanging="215"/>
        <w:spacing w:after="0" w:line="239" w:lineRule="auto"/>
        <w:tabs>
          <w:tab w:leader="none" w:pos="1020" w:val="left"/>
        </w:tabs>
        <w:numPr>
          <w:ilvl w:val="1"/>
          <w:numId w:val="6"/>
        </w:numPr>
        <w:rPr>
          <w:rFonts w:ascii="Arial" w:cs="Arial" w:eastAsia="Arial" w:hAnsi="Arial"/>
          <w:sz w:val="14"/>
          <w:szCs w:val="14"/>
          <w:color w:val="auto"/>
        </w:rPr>
      </w:pPr>
      <w:r>
        <w:rPr>
          <w:rFonts w:ascii="Arial" w:cs="Arial" w:eastAsia="Arial" w:hAnsi="Arial"/>
          <w:sz w:val="14"/>
          <w:szCs w:val="14"/>
          <w:color w:val="auto"/>
        </w:rPr>
        <w:t>our Cable segment receives incentives offered by our Programming segment when negotiating programming contracts that are recorded as a reduction to programming expenses</w:t>
      </w:r>
    </w:p>
    <w:p>
      <w:pPr>
        <w:spacing w:after="0" w:line="43" w:lineRule="exact"/>
        <w:rPr>
          <w:rFonts w:ascii="Arial" w:cs="Arial" w:eastAsia="Arial" w:hAnsi="Arial"/>
          <w:sz w:val="14"/>
          <w:szCs w:val="14"/>
          <w:color w:val="auto"/>
        </w:rPr>
      </w:pPr>
    </w:p>
    <w:p>
      <w:pPr>
        <w:ind w:left="1020" w:hanging="215"/>
        <w:spacing w:after="0"/>
        <w:tabs>
          <w:tab w:leader="none" w:pos="1020" w:val="left"/>
        </w:tabs>
        <w:numPr>
          <w:ilvl w:val="1"/>
          <w:numId w:val="6"/>
        </w:numPr>
        <w:rPr>
          <w:rFonts w:ascii="Arial" w:cs="Arial" w:eastAsia="Arial" w:hAnsi="Arial"/>
          <w:sz w:val="14"/>
          <w:szCs w:val="14"/>
          <w:color w:val="auto"/>
        </w:rPr>
      </w:pPr>
      <w:r>
        <w:rPr>
          <w:rFonts w:ascii="Arial" w:cs="Arial" w:eastAsia="Arial" w:hAnsi="Arial"/>
          <w:sz w:val="14"/>
          <w:szCs w:val="14"/>
          <w:color w:val="auto"/>
        </w:rPr>
        <w:t>our Cable segment generates revenue by selling the use of satellite feeds to our Programming segment</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Non-U.S. revenue was not significant in any period. No single customer accounted for a significant amount of our revenue in any period.</w:t>
      </w:r>
    </w:p>
    <w:p>
      <w:pPr>
        <w:spacing w:after="0" w:line="55" w:lineRule="exact"/>
        <w:rPr>
          <w:rFonts w:ascii="Arial" w:cs="Arial" w:eastAsia="Arial" w:hAnsi="Arial"/>
          <w:sz w:val="14"/>
          <w:szCs w:val="14"/>
          <w:color w:val="auto"/>
        </w:rPr>
      </w:pPr>
    </w:p>
    <w:p>
      <w:pPr>
        <w:jc w:val="both"/>
        <w:ind w:left="340" w:hanging="332"/>
        <w:spacing w:after="0" w:line="268" w:lineRule="auto"/>
        <w:tabs>
          <w:tab w:leader="none" w:pos="340" w:val="left"/>
        </w:tabs>
        <w:numPr>
          <w:ilvl w:val="0"/>
          <w:numId w:val="6"/>
        </w:numPr>
        <w:rPr>
          <w:rFonts w:ascii="Arial" w:cs="Arial" w:eastAsia="Arial" w:hAnsi="Arial"/>
          <w:sz w:val="12"/>
          <w:szCs w:val="12"/>
          <w:color w:val="auto"/>
        </w:rPr>
      </w:pPr>
      <w:r>
        <w:rPr>
          <w:rFonts w:ascii="Arial" w:cs="Arial" w:eastAsia="Arial" w:hAnsi="Arial"/>
          <w:sz w:val="12"/>
          <w:szCs w:val="12"/>
          <w:color w:val="auto"/>
        </w:rPr>
        <w:t>To measure the performance of our operating segments, we use operating income (loss) before depreciation and amortization, excluding impairment charges related to fixed and intangible assets, and gains or losses from the sale of assets, if any. This measure eliminates the significant level of noncash depreciation and amortization expense that results from the capital-intensive nature of our businesses and from intangible assets recognized in business combinations. Additionally, it is unaffected by our capital structure or investment activities. We use this measure to evaluate our consolidated operating performance, the operating performance of our operating segments and to allocate resources and capital to our business segments. It is also a significant performance measure in our annual incentive compensation programs. We believe that this measure is useful to investors because it is one of the bases for comparing our operating performance with that of other companies in our industries, although our measure may not be directly comparable to similar measures used by other companies. This measure should not be considered a substitute for operating income (loss), net income (loss), net cash provided by operating activities, or other measures of performance or liquidity we have reported in accordance with GAAP.</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13: Condensed Consolidating Financial Information</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Comcast Corporation and five of our cable holding company subsidiaries, Comcast Cable Communications, LLC (“CCCL”), Comcast Cable Communications Holdings, Inc. (“CCCH”), Comcast MO Group, Inc. (“Comcast MO Group”), Comcast Cable Holdings, LLC (“CCH”) and Comcast MO of Delaware, LLC (“Comcast MO of Delaware”), fully and unconditionally guarantee each other’s debt securities. Comcast MO Group, CCH and Comcast MO of Delaware are collectively referred to as the “Combined CCHMO Parents.”</w:t>
      </w:r>
    </w:p>
    <w:p>
      <w:pPr>
        <w:spacing w:after="0" w:line="76"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 xml:space="preserve">Comcast Corporation unconditionally guarantees Comcast Holdings’ ZONES due October 2029 and its 10 </w:t>
      </w:r>
      <w:r>
        <w:rPr>
          <w:rFonts w:ascii="Arial" w:cs="Arial" w:eastAsia="Arial" w:hAnsi="Arial"/>
          <w:sz w:val="22"/>
          <w:szCs w:val="22"/>
          <w:color w:val="auto"/>
          <w:vertAlign w:val="superscript"/>
        </w:rPr>
        <w:t>5</w:t>
      </w:r>
      <w:r>
        <w:rPr>
          <w:rFonts w:ascii="Arial" w:cs="Arial" w:eastAsia="Arial" w:hAnsi="Arial"/>
          <w:sz w:val="18"/>
          <w:szCs w:val="18"/>
          <w:color w:val="auto"/>
        </w:rPr>
        <w:t>/8% senior subordinated debentures due 2012, both of which were issued by Comcast Holdings. Accordingly, we have included Comcast Holdings’ condensed consolidated financial information for all periods presented. Our condensed consolidating financial information is presented below.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Consolidating Balance Sheet</w:t>
      </w:r>
    </w:p>
    <w:p>
      <w:pPr>
        <w:jc w:val="center"/>
        <w:spacing w:after="0"/>
        <w:rPr>
          <w:sz w:val="20"/>
          <w:szCs w:val="20"/>
          <w:color w:val="auto"/>
        </w:rPr>
      </w:pPr>
      <w:r>
        <w:rPr>
          <w:rFonts w:ascii="Arial" w:cs="Arial" w:eastAsia="Arial" w:hAnsi="Arial"/>
          <w:sz w:val="22"/>
          <w:szCs w:val="22"/>
          <w:b w:val="1"/>
          <w:bCs w:val="1"/>
          <w:color w:val="auto"/>
        </w:rPr>
        <w:t>June 30, 2008</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Combined</w:t>
            </w: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ind w:right="213"/>
              <w:spacing w:after="0" w:line="149" w:lineRule="exact"/>
              <w:rPr>
                <w:sz w:val="20"/>
                <w:szCs w:val="20"/>
                <w:color w:val="auto"/>
              </w:rPr>
            </w:pPr>
            <w:r>
              <w:rPr>
                <w:rFonts w:ascii="Arial" w:cs="Arial" w:eastAsia="Arial" w:hAnsi="Arial"/>
                <w:sz w:val="14"/>
                <w:szCs w:val="14"/>
                <w:color w:val="auto"/>
              </w:rPr>
              <w:t>Non-</w:t>
            </w:r>
          </w:p>
        </w:tc>
        <w:tc>
          <w:tcPr>
            <w:tcW w:w="220" w:type="dxa"/>
            <w:vAlign w:val="bottom"/>
          </w:tcPr>
          <w:p>
            <w:pPr>
              <w:spacing w:after="0"/>
              <w:rPr>
                <w:sz w:val="12"/>
                <w:szCs w:val="12"/>
                <w:color w:val="auto"/>
              </w:rPr>
            </w:pPr>
          </w:p>
        </w:tc>
        <w:tc>
          <w:tcPr>
            <w:tcW w:w="840" w:type="dxa"/>
            <w:vAlign w:val="bottom"/>
          </w:tcPr>
          <w:p>
            <w:pPr>
              <w:jc w:val="center"/>
              <w:ind w:right="193"/>
              <w:spacing w:after="0" w:line="149" w:lineRule="exact"/>
              <w:rPr>
                <w:sz w:val="20"/>
                <w:szCs w:val="20"/>
                <w:color w:val="auto"/>
              </w:rPr>
            </w:pPr>
            <w:r>
              <w:rPr>
                <w:rFonts w:ascii="Arial" w:cs="Arial" w:eastAsia="Arial" w:hAnsi="Arial"/>
                <w:sz w:val="14"/>
                <w:szCs w:val="14"/>
                <w:color w:val="auto"/>
                <w:w w:val="85"/>
              </w:rPr>
              <w:t>and</w:t>
            </w:r>
          </w:p>
        </w:tc>
        <w:tc>
          <w:tcPr>
            <w:tcW w:w="84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88"/>
              </w:rPr>
              <w:t>Consolidated</w:t>
            </w:r>
          </w:p>
        </w:tc>
      </w:tr>
      <w:tr>
        <w:trPr>
          <w:trHeight w:val="149"/>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920" w:type="dxa"/>
            <w:vAlign w:val="bottom"/>
            <w:gridSpan w:val="2"/>
          </w:tcPr>
          <w:p>
            <w:pPr>
              <w:jc w:val="right"/>
              <w:ind w:right="73"/>
              <w:spacing w:after="0" w:line="149" w:lineRule="exact"/>
              <w:rPr>
                <w:sz w:val="20"/>
                <w:szCs w:val="20"/>
                <w:color w:val="auto"/>
              </w:rPr>
            </w:pPr>
            <w:r>
              <w:rPr>
                <w:rFonts w:ascii="Arial" w:cs="Arial" w:eastAsia="Arial" w:hAnsi="Arial"/>
                <w:sz w:val="14"/>
                <w:szCs w:val="14"/>
                <w:color w:val="auto"/>
              </w:rPr>
              <w:t>Comcast</w:t>
            </w:r>
          </w:p>
        </w:tc>
        <w:tc>
          <w:tcPr>
            <w:tcW w:w="200" w:type="dxa"/>
            <w:vAlign w:val="bottom"/>
          </w:tcPr>
          <w:p>
            <w:pPr>
              <w:spacing w:after="0"/>
              <w:rPr>
                <w:sz w:val="12"/>
                <w:szCs w:val="12"/>
                <w:color w:val="auto"/>
              </w:rPr>
            </w:pPr>
          </w:p>
        </w:tc>
        <w:tc>
          <w:tcPr>
            <w:tcW w:w="600" w:type="dxa"/>
            <w:vAlign w:val="bottom"/>
          </w:tcPr>
          <w:p>
            <w:pPr>
              <w:jc w:val="right"/>
              <w:ind w:right="134"/>
              <w:spacing w:after="0" w:line="149" w:lineRule="exact"/>
              <w:rPr>
                <w:sz w:val="20"/>
                <w:szCs w:val="20"/>
                <w:color w:val="auto"/>
              </w:rPr>
            </w:pPr>
            <w:r>
              <w:rPr>
                <w:rFonts w:ascii="Arial" w:cs="Arial" w:eastAsia="Arial" w:hAnsi="Arial"/>
                <w:sz w:val="14"/>
                <w:szCs w:val="14"/>
                <w:color w:val="auto"/>
                <w:w w:val="94"/>
              </w:rPr>
              <w:t>CCCL</w:t>
            </w:r>
          </w:p>
        </w:tc>
        <w:tc>
          <w:tcPr>
            <w:tcW w:w="200" w:type="dxa"/>
            <w:vAlign w:val="bottom"/>
          </w:tcPr>
          <w:p>
            <w:pPr>
              <w:spacing w:after="0"/>
              <w:rPr>
                <w:sz w:val="12"/>
                <w:szCs w:val="12"/>
                <w:color w:val="auto"/>
              </w:rPr>
            </w:pPr>
          </w:p>
        </w:tc>
        <w:tc>
          <w:tcPr>
            <w:tcW w:w="600" w:type="dxa"/>
            <w:vAlign w:val="bottom"/>
          </w:tcPr>
          <w:p>
            <w:pPr>
              <w:jc w:val="right"/>
              <w:ind w:right="134"/>
              <w:spacing w:after="0" w:line="149" w:lineRule="exact"/>
              <w:rPr>
                <w:sz w:val="20"/>
                <w:szCs w:val="20"/>
                <w:color w:val="auto"/>
              </w:rPr>
            </w:pPr>
            <w:r>
              <w:rPr>
                <w:rFonts w:ascii="Arial" w:cs="Arial" w:eastAsia="Arial" w:hAnsi="Arial"/>
                <w:sz w:val="14"/>
                <w:szCs w:val="14"/>
                <w:color w:val="auto"/>
                <w:w w:val="88"/>
              </w:rPr>
              <w:t>CCCH</w:t>
            </w:r>
          </w:p>
        </w:tc>
        <w:tc>
          <w:tcPr>
            <w:tcW w:w="780" w:type="dxa"/>
            <w:vAlign w:val="bottom"/>
            <w:gridSpan w:val="2"/>
          </w:tcPr>
          <w:p>
            <w:pPr>
              <w:jc w:val="right"/>
              <w:ind w:right="53"/>
              <w:spacing w:after="0" w:line="149" w:lineRule="exact"/>
              <w:rPr>
                <w:sz w:val="20"/>
                <w:szCs w:val="20"/>
                <w:color w:val="auto"/>
              </w:rPr>
            </w:pPr>
            <w:r>
              <w:rPr>
                <w:rFonts w:ascii="Arial" w:cs="Arial" w:eastAsia="Arial" w:hAnsi="Arial"/>
                <w:sz w:val="14"/>
                <w:szCs w:val="14"/>
                <w:color w:val="auto"/>
              </w:rPr>
              <w:t>CCHMO</w:t>
            </w:r>
          </w:p>
        </w:tc>
        <w:tc>
          <w:tcPr>
            <w:tcW w:w="80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Comcast</w:t>
            </w:r>
          </w:p>
        </w:tc>
        <w:tc>
          <w:tcPr>
            <w:tcW w:w="880" w:type="dxa"/>
            <w:vAlign w:val="bottom"/>
            <w:gridSpan w:val="2"/>
          </w:tcPr>
          <w:p>
            <w:pPr>
              <w:jc w:val="right"/>
              <w:ind w:right="73"/>
              <w:spacing w:after="0" w:line="149" w:lineRule="exact"/>
              <w:rPr>
                <w:sz w:val="20"/>
                <w:szCs w:val="20"/>
                <w:color w:val="auto"/>
              </w:rPr>
            </w:pPr>
            <w:r>
              <w:rPr>
                <w:rFonts w:ascii="Arial" w:cs="Arial" w:eastAsia="Arial" w:hAnsi="Arial"/>
                <w:sz w:val="14"/>
                <w:szCs w:val="14"/>
                <w:color w:val="auto"/>
              </w:rPr>
              <w:t>Guarantor</w:t>
            </w:r>
          </w:p>
        </w:tc>
        <w:tc>
          <w:tcPr>
            <w:tcW w:w="10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Consolidation</w:t>
            </w:r>
          </w:p>
        </w:tc>
        <w:tc>
          <w:tcPr>
            <w:tcW w:w="20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6"/>
              </w:rPr>
              <w:t>Comcast</w:t>
            </w:r>
          </w:p>
        </w:tc>
      </w:tr>
      <w:tr>
        <w:trPr>
          <w:trHeight w:val="173"/>
        </w:trPr>
        <w:tc>
          <w:tcPr>
            <w:tcW w:w="45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320" w:type="dxa"/>
            <w:vAlign w:val="bottom"/>
          </w:tcPr>
          <w:p>
            <w:pPr>
              <w:spacing w:after="0"/>
              <w:rPr>
                <w:sz w:val="15"/>
                <w:szCs w:val="15"/>
                <w:color w:val="auto"/>
              </w:rPr>
            </w:pPr>
          </w:p>
        </w:tc>
        <w:tc>
          <w:tcPr>
            <w:tcW w:w="600" w:type="dxa"/>
            <w:vAlign w:val="bottom"/>
          </w:tcPr>
          <w:p>
            <w:pPr>
              <w:jc w:val="right"/>
              <w:ind w:right="133"/>
              <w:spacing w:after="0"/>
              <w:rPr>
                <w:sz w:val="20"/>
                <w:szCs w:val="20"/>
                <w:color w:val="auto"/>
              </w:rPr>
            </w:pPr>
            <w:r>
              <w:rPr>
                <w:rFonts w:ascii="Arial" w:cs="Arial" w:eastAsia="Arial" w:hAnsi="Arial"/>
                <w:sz w:val="14"/>
                <w:szCs w:val="14"/>
                <w:color w:val="auto"/>
                <w:w w:val="87"/>
              </w:rPr>
              <w:t>Parent</w:t>
            </w:r>
          </w:p>
        </w:tc>
        <w:tc>
          <w:tcPr>
            <w:tcW w:w="200" w:type="dxa"/>
            <w:vAlign w:val="bottom"/>
          </w:tcPr>
          <w:p>
            <w:pPr>
              <w:spacing w:after="0"/>
              <w:rPr>
                <w:sz w:val="15"/>
                <w:szCs w:val="15"/>
                <w:color w:val="auto"/>
              </w:rPr>
            </w:pPr>
          </w:p>
        </w:tc>
        <w:tc>
          <w:tcPr>
            <w:tcW w:w="600" w:type="dxa"/>
            <w:vAlign w:val="bottom"/>
          </w:tcPr>
          <w:p>
            <w:pPr>
              <w:jc w:val="right"/>
              <w:ind w:right="154"/>
              <w:spacing w:after="0"/>
              <w:rPr>
                <w:sz w:val="20"/>
                <w:szCs w:val="20"/>
                <w:color w:val="auto"/>
              </w:rPr>
            </w:pPr>
            <w:r>
              <w:rPr>
                <w:rFonts w:ascii="Arial" w:cs="Arial" w:eastAsia="Arial" w:hAnsi="Arial"/>
                <w:sz w:val="14"/>
                <w:szCs w:val="14"/>
                <w:color w:val="auto"/>
                <w:w w:val="82"/>
              </w:rPr>
              <w:t>Parent</w:t>
            </w:r>
          </w:p>
        </w:tc>
        <w:tc>
          <w:tcPr>
            <w:tcW w:w="200" w:type="dxa"/>
            <w:vAlign w:val="bottom"/>
          </w:tcPr>
          <w:p>
            <w:pPr>
              <w:spacing w:after="0"/>
              <w:rPr>
                <w:sz w:val="15"/>
                <w:szCs w:val="15"/>
                <w:color w:val="auto"/>
              </w:rPr>
            </w:pPr>
          </w:p>
        </w:tc>
        <w:tc>
          <w:tcPr>
            <w:tcW w:w="600" w:type="dxa"/>
            <w:vAlign w:val="bottom"/>
          </w:tcPr>
          <w:p>
            <w:pPr>
              <w:jc w:val="right"/>
              <w:ind w:right="154"/>
              <w:spacing w:after="0"/>
              <w:rPr>
                <w:sz w:val="20"/>
                <w:szCs w:val="20"/>
                <w:color w:val="auto"/>
              </w:rPr>
            </w:pPr>
            <w:r>
              <w:rPr>
                <w:rFonts w:ascii="Arial" w:cs="Arial" w:eastAsia="Arial" w:hAnsi="Arial"/>
                <w:sz w:val="14"/>
                <w:szCs w:val="14"/>
                <w:color w:val="auto"/>
                <w:w w:val="82"/>
              </w:rPr>
              <w:t>Parent</w:t>
            </w:r>
          </w:p>
        </w:tc>
        <w:tc>
          <w:tcPr>
            <w:tcW w:w="180" w:type="dxa"/>
            <w:vAlign w:val="bottom"/>
          </w:tcPr>
          <w:p>
            <w:pPr>
              <w:spacing w:after="0"/>
              <w:rPr>
                <w:sz w:val="15"/>
                <w:szCs w:val="15"/>
                <w:color w:val="auto"/>
              </w:rPr>
            </w:pPr>
          </w:p>
        </w:tc>
        <w:tc>
          <w:tcPr>
            <w:tcW w:w="600" w:type="dxa"/>
            <w:vAlign w:val="bottom"/>
          </w:tcPr>
          <w:p>
            <w:pPr>
              <w:jc w:val="right"/>
              <w:ind w:right="113"/>
              <w:spacing w:after="0"/>
              <w:rPr>
                <w:sz w:val="20"/>
                <w:szCs w:val="20"/>
                <w:color w:val="auto"/>
              </w:rPr>
            </w:pPr>
            <w:r>
              <w:rPr>
                <w:rFonts w:ascii="Arial" w:cs="Arial" w:eastAsia="Arial" w:hAnsi="Arial"/>
                <w:sz w:val="14"/>
                <w:szCs w:val="14"/>
                <w:color w:val="auto"/>
                <w:w w:val="78"/>
              </w:rPr>
              <w:t>Parents</w:t>
            </w:r>
          </w:p>
        </w:tc>
        <w:tc>
          <w:tcPr>
            <w:tcW w:w="800" w:type="dxa"/>
            <w:vAlign w:val="bottom"/>
            <w:gridSpan w:val="2"/>
          </w:tcPr>
          <w:p>
            <w:pPr>
              <w:jc w:val="right"/>
              <w:ind w:right="52"/>
              <w:spacing w:after="0"/>
              <w:rPr>
                <w:sz w:val="20"/>
                <w:szCs w:val="20"/>
                <w:color w:val="auto"/>
              </w:rPr>
            </w:pPr>
            <w:r>
              <w:rPr>
                <w:rFonts w:ascii="Arial" w:cs="Arial" w:eastAsia="Arial" w:hAnsi="Arial"/>
                <w:sz w:val="14"/>
                <w:szCs w:val="14"/>
                <w:color w:val="auto"/>
              </w:rPr>
              <w:t>Holdings</w:t>
            </w:r>
          </w:p>
        </w:tc>
        <w:tc>
          <w:tcPr>
            <w:tcW w:w="880" w:type="dxa"/>
            <w:vAlign w:val="bottom"/>
            <w:gridSpan w:val="2"/>
          </w:tcPr>
          <w:p>
            <w:pPr>
              <w:ind w:left="120"/>
              <w:spacing w:after="0"/>
              <w:rPr>
                <w:sz w:val="20"/>
                <w:szCs w:val="20"/>
                <w:color w:val="auto"/>
              </w:rPr>
            </w:pPr>
            <w:r>
              <w:rPr>
                <w:rFonts w:ascii="Arial" w:cs="Arial" w:eastAsia="Arial" w:hAnsi="Arial"/>
                <w:sz w:val="14"/>
                <w:szCs w:val="14"/>
                <w:color w:val="auto"/>
                <w:w w:val="96"/>
              </w:rPr>
              <w:t>Subsidiaries</w:t>
            </w:r>
          </w:p>
        </w:tc>
        <w:tc>
          <w:tcPr>
            <w:tcW w:w="106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840" w:type="dxa"/>
            <w:vAlign w:val="bottom"/>
            <w:gridSpan w:val="3"/>
          </w:tcPr>
          <w:p>
            <w:pPr>
              <w:ind w:left="140"/>
              <w:spacing w:after="0"/>
              <w:rPr>
                <w:sz w:val="20"/>
                <w:szCs w:val="20"/>
                <w:color w:val="auto"/>
              </w:rPr>
            </w:pPr>
            <w:r>
              <w:rPr>
                <w:rFonts w:ascii="Arial" w:cs="Arial" w:eastAsia="Arial" w:hAnsi="Arial"/>
                <w:sz w:val="14"/>
                <w:szCs w:val="14"/>
                <w:color w:val="auto"/>
                <w:w w:val="92"/>
              </w:rPr>
              <w:t>Corporation</w:t>
            </w:r>
          </w:p>
        </w:tc>
      </w:tr>
      <w:tr>
        <w:trPr>
          <w:trHeight w:val="210"/>
        </w:trPr>
        <w:tc>
          <w:tcPr>
            <w:tcW w:w="20" w:type="dxa"/>
            <w:vAlign w:val="bottom"/>
          </w:tcPr>
          <w:p>
            <w:pPr>
              <w:spacing w:after="0"/>
              <w:rPr>
                <w:sz w:val="18"/>
                <w:szCs w:val="18"/>
                <w:color w:val="auto"/>
              </w:rPr>
            </w:pPr>
          </w:p>
        </w:tc>
        <w:tc>
          <w:tcPr>
            <w:tcW w:w="45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18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84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Pr>
          <w:p>
            <w:pPr>
              <w:ind w:left="10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ind w:left="120"/>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1,767</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1,767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Investments</w:t>
            </w: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295</w:t>
            </w:r>
          </w:p>
        </w:tc>
        <w:tc>
          <w:tcPr>
            <w:tcW w:w="2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295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320" w:type="dxa"/>
            <w:vAlign w:val="bottom"/>
          </w:tcPr>
          <w:p>
            <w:pPr>
              <w:spacing w:after="0"/>
              <w:rPr>
                <w:sz w:val="18"/>
                <w:szCs w:val="18"/>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1,665</w:t>
            </w:r>
          </w:p>
        </w:tc>
        <w:tc>
          <w:tcPr>
            <w:tcW w:w="22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1,665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 current assets</w:t>
            </w:r>
          </w:p>
        </w:tc>
        <w:tc>
          <w:tcPr>
            <w:tcW w:w="3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174</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741</w:t>
            </w:r>
          </w:p>
        </w:tc>
        <w:tc>
          <w:tcPr>
            <w:tcW w:w="2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920</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Total current assets</w:t>
            </w:r>
          </w:p>
        </w:tc>
        <w:tc>
          <w:tcPr>
            <w:tcW w:w="320" w:type="dxa"/>
            <w:vAlign w:val="bottom"/>
          </w:tcPr>
          <w:p>
            <w:pPr>
              <w:spacing w:after="0"/>
              <w:rPr>
                <w:sz w:val="18"/>
                <w:szCs w:val="18"/>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174</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4,468</w:t>
            </w:r>
          </w:p>
        </w:tc>
        <w:tc>
          <w:tcPr>
            <w:tcW w:w="22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4,647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E5E5E5"/>
          </w:tcPr>
          <w:p>
            <w:pPr>
              <w:spacing w:after="0"/>
              <w:rPr>
                <w:sz w:val="20"/>
                <w:szCs w:val="20"/>
                <w:color w:val="auto"/>
              </w:rPr>
            </w:pPr>
            <w:r>
              <w:rPr>
                <w:rFonts w:ascii="Arial" w:cs="Arial" w:eastAsia="Arial" w:hAnsi="Arial"/>
                <w:sz w:val="18"/>
                <w:szCs w:val="18"/>
                <w:color w:val="auto"/>
              </w:rPr>
              <w:t>Investments</w:t>
            </w: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5,366</w:t>
            </w:r>
          </w:p>
        </w:tc>
        <w:tc>
          <w:tcPr>
            <w:tcW w:w="2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5,366</w:t>
            </w:r>
          </w:p>
        </w:tc>
        <w:tc>
          <w:tcPr>
            <w:tcW w:w="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w w:val="92"/>
              </w:rPr>
              <w:t>Investments in and amounts due from subsidiaries eliminated</w:t>
            </w: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upon consolidation</w:t>
            </w:r>
          </w:p>
        </w:tc>
        <w:tc>
          <w:tcPr>
            <w:tcW w:w="320" w:type="dxa"/>
            <w:vAlign w:val="bottom"/>
          </w:tcPr>
          <w:p>
            <w:pPr>
              <w:spacing w:after="0"/>
              <w:rPr>
                <w:sz w:val="19"/>
                <w:szCs w:val="19"/>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w w:val="83"/>
              </w:rPr>
              <w:t>69,967</w:t>
            </w:r>
          </w:p>
        </w:tc>
        <w:tc>
          <w:tcPr>
            <w:tcW w:w="200" w:type="dxa"/>
            <w:vAlign w:val="bottom"/>
          </w:tcPr>
          <w:p>
            <w:pPr>
              <w:spacing w:after="0"/>
              <w:rPr>
                <w:sz w:val="19"/>
                <w:szCs w:val="19"/>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w w:val="83"/>
              </w:rPr>
              <w:t>33,908</w:t>
            </w:r>
          </w:p>
        </w:tc>
        <w:tc>
          <w:tcPr>
            <w:tcW w:w="200" w:type="dxa"/>
            <w:vAlign w:val="bottom"/>
          </w:tcPr>
          <w:p>
            <w:pPr>
              <w:spacing w:after="0"/>
              <w:rPr>
                <w:sz w:val="19"/>
                <w:szCs w:val="19"/>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w w:val="83"/>
              </w:rPr>
              <w:t>41,342</w:t>
            </w:r>
          </w:p>
        </w:tc>
        <w:tc>
          <w:tcPr>
            <w:tcW w:w="180" w:type="dxa"/>
            <w:vAlign w:val="bottom"/>
          </w:tcPr>
          <w:p>
            <w:pPr>
              <w:spacing w:after="0"/>
              <w:rPr>
                <w:sz w:val="19"/>
                <w:szCs w:val="19"/>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w w:val="87"/>
              </w:rPr>
              <w:t>44,443</w:t>
            </w:r>
          </w:p>
        </w:tc>
        <w:tc>
          <w:tcPr>
            <w:tcW w:w="200" w:type="dxa"/>
            <w:vAlign w:val="bottom"/>
          </w:tcPr>
          <w:p>
            <w:pPr>
              <w:spacing w:after="0"/>
              <w:rPr>
                <w:sz w:val="19"/>
                <w:szCs w:val="19"/>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w w:val="87"/>
              </w:rPr>
              <w:t>26,096</w:t>
            </w:r>
          </w:p>
        </w:tc>
        <w:tc>
          <w:tcPr>
            <w:tcW w:w="200" w:type="dxa"/>
            <w:vAlign w:val="bottom"/>
          </w:tcPr>
          <w:p>
            <w:pPr>
              <w:spacing w:after="0"/>
              <w:rPr>
                <w:sz w:val="19"/>
                <w:szCs w:val="19"/>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3,457</w:t>
            </w:r>
          </w:p>
        </w:tc>
        <w:tc>
          <w:tcPr>
            <w:tcW w:w="220" w:type="dxa"/>
            <w:vAlign w:val="bottom"/>
          </w:tcPr>
          <w:p>
            <w:pPr>
              <w:spacing w:after="0"/>
              <w:rPr>
                <w:sz w:val="19"/>
                <w:szCs w:val="19"/>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w w:val="90"/>
              </w:rPr>
              <w:t>(219,213)</w:t>
            </w:r>
          </w:p>
        </w:tc>
        <w:tc>
          <w:tcPr>
            <w:tcW w:w="20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8"/>
        </w:trPr>
        <w:tc>
          <w:tcPr>
            <w:tcW w:w="20" w:type="dxa"/>
            <w:vAlign w:val="bottom"/>
          </w:tcPr>
          <w:p>
            <w:pPr>
              <w:spacing w:after="0"/>
              <w:rPr>
                <w:sz w:val="18"/>
                <w:szCs w:val="18"/>
                <w:color w:val="auto"/>
              </w:rPr>
            </w:pPr>
          </w:p>
        </w:tc>
        <w:tc>
          <w:tcPr>
            <w:tcW w:w="4540" w:type="dxa"/>
            <w:vAlign w:val="bottom"/>
            <w:shd w:val="clear" w:color="auto" w:fill="E5E5E5"/>
          </w:tcPr>
          <w:p>
            <w:pPr>
              <w:spacing w:after="0"/>
              <w:rPr>
                <w:sz w:val="20"/>
                <w:szCs w:val="20"/>
                <w:color w:val="auto"/>
              </w:rPr>
            </w:pPr>
            <w:r>
              <w:rPr>
                <w:rFonts w:ascii="Arial" w:cs="Arial" w:eastAsia="Arial" w:hAnsi="Arial"/>
                <w:sz w:val="18"/>
                <w:szCs w:val="18"/>
                <w:color w:val="auto"/>
              </w:rPr>
              <w:t>Property and equipment, net</w:t>
            </w: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292</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23,541</w:t>
            </w:r>
          </w:p>
        </w:tc>
        <w:tc>
          <w:tcPr>
            <w:tcW w:w="2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23,833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Franchise rights</w:t>
            </w:r>
          </w:p>
        </w:tc>
        <w:tc>
          <w:tcPr>
            <w:tcW w:w="320" w:type="dxa"/>
            <w:vAlign w:val="bottom"/>
          </w:tcPr>
          <w:p>
            <w:pPr>
              <w:spacing w:after="0"/>
              <w:rPr>
                <w:sz w:val="18"/>
                <w:szCs w:val="18"/>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59,449</w:t>
            </w:r>
          </w:p>
        </w:tc>
        <w:tc>
          <w:tcPr>
            <w:tcW w:w="22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59,449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E5E5E5"/>
          </w:tcPr>
          <w:p>
            <w:pPr>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15,074</w:t>
            </w:r>
          </w:p>
        </w:tc>
        <w:tc>
          <w:tcPr>
            <w:tcW w:w="2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15,074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320" w:type="dxa"/>
            <w:vAlign w:val="bottom"/>
          </w:tcPr>
          <w:p>
            <w:pPr>
              <w:spacing w:after="0"/>
              <w:rPr>
                <w:sz w:val="18"/>
                <w:szCs w:val="18"/>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4,614</w:t>
            </w:r>
          </w:p>
        </w:tc>
        <w:tc>
          <w:tcPr>
            <w:tcW w:w="22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4,614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noncurrent assets, net</w:t>
            </w:r>
          </w:p>
        </w:tc>
        <w:tc>
          <w:tcPr>
            <w:tcW w:w="3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344</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rPr>
              <w:t>15</w:t>
            </w:r>
          </w:p>
        </w:tc>
        <w:tc>
          <w:tcPr>
            <w:tcW w:w="1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23</w:t>
            </w:r>
          </w:p>
        </w:tc>
        <w:tc>
          <w:tcPr>
            <w:tcW w:w="2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523</w:t>
            </w:r>
          </w:p>
        </w:tc>
        <w:tc>
          <w:tcPr>
            <w:tcW w:w="2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914</w:t>
            </w: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assets</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83"/>
              </w:rPr>
              <w:t>70,777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w w:val="83"/>
              </w:rPr>
              <w:t>33,922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w w:val="83"/>
              </w:rPr>
              <w:t>41,357</w:t>
            </w:r>
          </w:p>
        </w:tc>
        <w:tc>
          <w:tcPr>
            <w:tcW w:w="18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87"/>
              </w:rPr>
              <w:t>44,443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7"/>
              </w:rPr>
              <w:t>26,119</w:t>
            </w:r>
          </w:p>
        </w:tc>
        <w:tc>
          <w:tcPr>
            <w:tcW w:w="200" w:type="dxa"/>
            <w:vAlign w:val="bottom"/>
            <w:tcBorders>
              <w:bottom w:val="single" w:sz="8" w:color="auto"/>
            </w:tcBorders>
          </w:tcPr>
          <w:p>
            <w:pPr>
              <w:ind w:left="120"/>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86"/>
              </w:rPr>
              <w:t>116,492</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90"/>
              </w:rPr>
              <w:t>(219,213)</w:t>
            </w:r>
          </w:p>
        </w:tc>
        <w:tc>
          <w:tcPr>
            <w:tcW w:w="2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113,897</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4540" w:type="dxa"/>
            <w:vAlign w:val="bottom"/>
            <w:shd w:val="clear" w:color="auto" w:fill="E5E5E5"/>
          </w:tcPr>
          <w:p>
            <w:pPr>
              <w:spacing w:after="0" w:line="201" w:lineRule="exact"/>
              <w:rPr>
                <w:sz w:val="20"/>
                <w:szCs w:val="20"/>
                <w:color w:val="auto"/>
              </w:rPr>
            </w:pPr>
            <w:r>
              <w:rPr>
                <w:rFonts w:ascii="Arial" w:cs="Arial" w:eastAsia="Arial" w:hAnsi="Arial"/>
                <w:sz w:val="18"/>
                <w:szCs w:val="18"/>
                <w:b w:val="1"/>
                <w:bCs w:val="1"/>
                <w:color w:val="auto"/>
              </w:rPr>
              <w:t>LIABILITIES AND</w:t>
            </w:r>
          </w:p>
        </w:tc>
        <w:tc>
          <w:tcPr>
            <w:tcW w:w="320" w:type="dxa"/>
            <w:vAlign w:val="bottom"/>
            <w:shd w:val="clear" w:color="auto" w:fill="E5E5E5"/>
          </w:tcPr>
          <w:p>
            <w:pPr>
              <w:spacing w:after="0"/>
              <w:rPr>
                <w:sz w:val="17"/>
                <w:szCs w:val="17"/>
                <w:color w:val="auto"/>
              </w:rPr>
            </w:pPr>
          </w:p>
        </w:tc>
        <w:tc>
          <w:tcPr>
            <w:tcW w:w="60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60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60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60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60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68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84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540" w:type="dxa"/>
            <w:vAlign w:val="bottom"/>
            <w:shd w:val="clear" w:color="auto" w:fill="E5E5E5"/>
          </w:tcPr>
          <w:p>
            <w:pPr>
              <w:ind w:left="200"/>
              <w:spacing w:after="0"/>
              <w:rPr>
                <w:sz w:val="20"/>
                <w:szCs w:val="20"/>
                <w:color w:val="auto"/>
              </w:rPr>
            </w:pPr>
            <w:r>
              <w:rPr>
                <w:rFonts w:ascii="Arial" w:cs="Arial" w:eastAsia="Arial" w:hAnsi="Arial"/>
                <w:sz w:val="18"/>
                <w:szCs w:val="18"/>
                <w:b w:val="1"/>
                <w:bCs w:val="1"/>
                <w:color w:val="auto"/>
              </w:rPr>
              <w:t>STOCKHOLDERS’ EQUITY</w:t>
            </w:r>
          </w:p>
        </w:tc>
        <w:tc>
          <w:tcPr>
            <w:tcW w:w="320" w:type="dxa"/>
            <w:vAlign w:val="bottom"/>
            <w:shd w:val="clear" w:color="auto" w:fill="E5E5E5"/>
          </w:tcPr>
          <w:p>
            <w:pPr>
              <w:spacing w:after="0"/>
              <w:rPr>
                <w:sz w:val="20"/>
                <w:szCs w:val="20"/>
                <w:color w:val="auto"/>
              </w:rPr>
            </w:pPr>
          </w:p>
        </w:tc>
        <w:tc>
          <w:tcPr>
            <w:tcW w:w="600" w:type="dxa"/>
            <w:vAlign w:val="bottom"/>
            <w:shd w:val="clear" w:color="auto" w:fill="E5E5E5"/>
          </w:tcPr>
          <w:p>
            <w:pPr>
              <w:spacing w:after="0"/>
              <w:rPr>
                <w:sz w:val="20"/>
                <w:szCs w:val="20"/>
                <w:color w:val="auto"/>
              </w:rPr>
            </w:pPr>
          </w:p>
        </w:tc>
        <w:tc>
          <w:tcPr>
            <w:tcW w:w="200" w:type="dxa"/>
            <w:vAlign w:val="bottom"/>
            <w:shd w:val="clear" w:color="auto" w:fill="E5E5E5"/>
          </w:tcPr>
          <w:p>
            <w:pPr>
              <w:spacing w:after="0"/>
              <w:rPr>
                <w:sz w:val="20"/>
                <w:szCs w:val="20"/>
                <w:color w:val="auto"/>
              </w:rPr>
            </w:pPr>
          </w:p>
        </w:tc>
        <w:tc>
          <w:tcPr>
            <w:tcW w:w="600" w:type="dxa"/>
            <w:vAlign w:val="bottom"/>
            <w:shd w:val="clear" w:color="auto" w:fill="E5E5E5"/>
          </w:tcPr>
          <w:p>
            <w:pPr>
              <w:spacing w:after="0"/>
              <w:rPr>
                <w:sz w:val="20"/>
                <w:szCs w:val="20"/>
                <w:color w:val="auto"/>
              </w:rPr>
            </w:pPr>
          </w:p>
        </w:tc>
        <w:tc>
          <w:tcPr>
            <w:tcW w:w="200" w:type="dxa"/>
            <w:vAlign w:val="bottom"/>
            <w:shd w:val="clear" w:color="auto" w:fill="E5E5E5"/>
          </w:tcPr>
          <w:p>
            <w:pPr>
              <w:spacing w:after="0"/>
              <w:rPr>
                <w:sz w:val="20"/>
                <w:szCs w:val="20"/>
                <w:color w:val="auto"/>
              </w:rPr>
            </w:pPr>
          </w:p>
        </w:tc>
        <w:tc>
          <w:tcPr>
            <w:tcW w:w="600" w:type="dxa"/>
            <w:vAlign w:val="bottom"/>
            <w:shd w:val="clear" w:color="auto" w:fill="E5E5E5"/>
          </w:tcPr>
          <w:p>
            <w:pPr>
              <w:spacing w:after="0"/>
              <w:rPr>
                <w:sz w:val="20"/>
                <w:szCs w:val="20"/>
                <w:color w:val="auto"/>
              </w:rPr>
            </w:pPr>
          </w:p>
        </w:tc>
        <w:tc>
          <w:tcPr>
            <w:tcW w:w="180" w:type="dxa"/>
            <w:vAlign w:val="bottom"/>
            <w:shd w:val="clear" w:color="auto" w:fill="E5E5E5"/>
          </w:tcPr>
          <w:p>
            <w:pPr>
              <w:spacing w:after="0"/>
              <w:rPr>
                <w:sz w:val="20"/>
                <w:szCs w:val="20"/>
                <w:color w:val="auto"/>
              </w:rPr>
            </w:pPr>
          </w:p>
        </w:tc>
        <w:tc>
          <w:tcPr>
            <w:tcW w:w="600" w:type="dxa"/>
            <w:vAlign w:val="bottom"/>
            <w:shd w:val="clear" w:color="auto" w:fill="E5E5E5"/>
          </w:tcPr>
          <w:p>
            <w:pPr>
              <w:spacing w:after="0"/>
              <w:rPr>
                <w:sz w:val="20"/>
                <w:szCs w:val="20"/>
                <w:color w:val="auto"/>
              </w:rPr>
            </w:pPr>
          </w:p>
        </w:tc>
        <w:tc>
          <w:tcPr>
            <w:tcW w:w="200" w:type="dxa"/>
            <w:vAlign w:val="bottom"/>
            <w:shd w:val="clear" w:color="auto" w:fill="E5E5E5"/>
          </w:tcPr>
          <w:p>
            <w:pPr>
              <w:spacing w:after="0"/>
              <w:rPr>
                <w:sz w:val="20"/>
                <w:szCs w:val="20"/>
                <w:color w:val="auto"/>
              </w:rPr>
            </w:pPr>
          </w:p>
        </w:tc>
        <w:tc>
          <w:tcPr>
            <w:tcW w:w="600" w:type="dxa"/>
            <w:vAlign w:val="bottom"/>
            <w:shd w:val="clear" w:color="auto" w:fill="E5E5E5"/>
          </w:tcPr>
          <w:p>
            <w:pPr>
              <w:spacing w:after="0"/>
              <w:rPr>
                <w:sz w:val="20"/>
                <w:szCs w:val="20"/>
                <w:color w:val="auto"/>
              </w:rPr>
            </w:pPr>
          </w:p>
        </w:tc>
        <w:tc>
          <w:tcPr>
            <w:tcW w:w="200" w:type="dxa"/>
            <w:vAlign w:val="bottom"/>
            <w:shd w:val="clear" w:color="auto" w:fill="E5E5E5"/>
          </w:tcPr>
          <w:p>
            <w:pPr>
              <w:spacing w:after="0"/>
              <w:rPr>
                <w:sz w:val="20"/>
                <w:szCs w:val="20"/>
                <w:color w:val="auto"/>
              </w:rPr>
            </w:pPr>
          </w:p>
        </w:tc>
        <w:tc>
          <w:tcPr>
            <w:tcW w:w="68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840" w:type="dxa"/>
            <w:vAlign w:val="bottom"/>
            <w:shd w:val="clear" w:color="auto" w:fill="E5E5E5"/>
          </w:tcPr>
          <w:p>
            <w:pPr>
              <w:spacing w:after="0"/>
              <w:rPr>
                <w:sz w:val="20"/>
                <w:szCs w:val="20"/>
                <w:color w:val="auto"/>
              </w:rPr>
            </w:pPr>
          </w:p>
        </w:tc>
        <w:tc>
          <w:tcPr>
            <w:tcW w:w="200" w:type="dxa"/>
            <w:vAlign w:val="bottom"/>
            <w:shd w:val="clear" w:color="auto" w:fill="E5E5E5"/>
          </w:tcPr>
          <w:p>
            <w:pPr>
              <w:spacing w:after="0"/>
              <w:rPr>
                <w:sz w:val="20"/>
                <w:szCs w:val="20"/>
                <w:color w:val="auto"/>
              </w:rPr>
            </w:pPr>
          </w:p>
        </w:tc>
        <w:tc>
          <w:tcPr>
            <w:tcW w:w="620" w:type="dxa"/>
            <w:vAlign w:val="bottom"/>
            <w:shd w:val="clear" w:color="auto" w:fill="E5E5E5"/>
          </w:tcPr>
          <w:p>
            <w:pPr>
              <w:spacing w:after="0"/>
              <w:rPr>
                <w:sz w:val="20"/>
                <w:szCs w:val="20"/>
                <w:color w:val="auto"/>
              </w:rPr>
            </w:pPr>
          </w:p>
        </w:tc>
        <w:tc>
          <w:tcPr>
            <w:tcW w:w="20" w:type="dxa"/>
            <w:vAlign w:val="bottom"/>
          </w:tcPr>
          <w:p>
            <w:pPr>
              <w:spacing w:after="0"/>
              <w:rPr>
                <w:sz w:val="20"/>
                <w:szCs w:val="20"/>
                <w:color w:val="auto"/>
              </w:rPr>
            </w:pPr>
          </w:p>
        </w:tc>
      </w:tr>
      <w:tr>
        <w:trPr>
          <w:trHeight w:val="208"/>
        </w:trPr>
        <w:tc>
          <w:tcPr>
            <w:tcW w:w="2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Accounts payable and accrued expenses related</w:t>
            </w: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540" w:type="dxa"/>
            <w:vAlign w:val="bottom"/>
          </w:tcPr>
          <w:p>
            <w:pPr>
              <w:ind w:left="420"/>
              <w:spacing w:after="0"/>
              <w:rPr>
                <w:sz w:val="20"/>
                <w:szCs w:val="20"/>
                <w:color w:val="auto"/>
              </w:rPr>
            </w:pPr>
            <w:r>
              <w:rPr>
                <w:rFonts w:ascii="Arial" w:cs="Arial" w:eastAsia="Arial" w:hAnsi="Arial"/>
                <w:sz w:val="18"/>
                <w:szCs w:val="18"/>
                <w:color w:val="auto"/>
              </w:rPr>
              <w:t>to trade creditors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197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Pr>
          <w:p>
            <w:pPr>
              <w:ind w:left="10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ind w:left="120"/>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2,830</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3,027</w:t>
            </w:r>
          </w:p>
        </w:tc>
      </w:tr>
      <w:tr>
        <w:trPr>
          <w:trHeight w:val="218"/>
        </w:trPr>
        <w:tc>
          <w:tcPr>
            <w:tcW w:w="20" w:type="dxa"/>
            <w:vAlign w:val="bottom"/>
          </w:tcPr>
          <w:p>
            <w:pPr>
              <w:spacing w:after="0"/>
              <w:rPr>
                <w:sz w:val="18"/>
                <w:szCs w:val="18"/>
                <w:color w:val="auto"/>
              </w:rPr>
            </w:pPr>
          </w:p>
        </w:tc>
        <w:tc>
          <w:tcPr>
            <w:tcW w:w="45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781</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273</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75</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98</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153</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1,793</w:t>
            </w:r>
          </w:p>
        </w:tc>
        <w:tc>
          <w:tcPr>
            <w:tcW w:w="2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3,173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Current portion of long-term debt</w:t>
            </w: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1,553</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301</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35</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1,889</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540" w:type="dxa"/>
            <w:vAlign w:val="bottom"/>
            <w:shd w:val="clear" w:color="auto" w:fill="E5E5E5"/>
          </w:tcPr>
          <w:p>
            <w:pPr>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978</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1,826</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75</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399</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153</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4,658</w:t>
            </w:r>
          </w:p>
        </w:tc>
        <w:tc>
          <w:tcPr>
            <w:tcW w:w="2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8,089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320" w:type="dxa"/>
            <w:vAlign w:val="bottom"/>
          </w:tcPr>
          <w:p>
            <w:pPr>
              <w:spacing w:after="0"/>
              <w:rPr>
                <w:sz w:val="18"/>
                <w:szCs w:val="18"/>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w w:val="83"/>
              </w:rPr>
              <w:t>20,814</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2,543</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3,498</w:t>
            </w:r>
          </w:p>
        </w:tc>
        <w:tc>
          <w:tcPr>
            <w:tcW w:w="1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2,702</w:t>
            </w:r>
          </w:p>
        </w:tc>
        <w:tc>
          <w:tcPr>
            <w:tcW w:w="20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788</w:t>
            </w:r>
          </w:p>
        </w:tc>
        <w:tc>
          <w:tcPr>
            <w:tcW w:w="20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279</w:t>
            </w:r>
          </w:p>
        </w:tc>
        <w:tc>
          <w:tcPr>
            <w:tcW w:w="22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30,624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E5E5E5"/>
          </w:tcPr>
          <w:p>
            <w:pPr>
              <w:spacing w:after="0"/>
              <w:rPr>
                <w:sz w:val="20"/>
                <w:szCs w:val="20"/>
                <w:color w:val="auto"/>
              </w:rPr>
            </w:pPr>
            <w:r>
              <w:rPr>
                <w:rFonts w:ascii="Arial" w:cs="Arial" w:eastAsia="Arial" w:hAnsi="Arial"/>
                <w:sz w:val="18"/>
                <w:szCs w:val="18"/>
                <w:color w:val="auto"/>
              </w:rPr>
              <w:t>Deferred income taxes</w:t>
            </w: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7,197</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783</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19,312</w:t>
            </w:r>
          </w:p>
        </w:tc>
        <w:tc>
          <w:tcPr>
            <w:tcW w:w="2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27,292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320" w:type="dxa"/>
            <w:vAlign w:val="bottom"/>
          </w:tcPr>
          <w:p>
            <w:pPr>
              <w:spacing w:after="0"/>
              <w:rPr>
                <w:sz w:val="18"/>
                <w:szCs w:val="18"/>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1,451</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91</w:t>
            </w:r>
          </w:p>
        </w:tc>
        <w:tc>
          <w:tcPr>
            <w:tcW w:w="20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5,665</w:t>
            </w:r>
          </w:p>
        </w:tc>
        <w:tc>
          <w:tcPr>
            <w:tcW w:w="22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7,207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E5E5E5"/>
          </w:tcPr>
          <w:p>
            <w:pPr>
              <w:spacing w:after="0"/>
              <w:rPr>
                <w:sz w:val="20"/>
                <w:szCs w:val="20"/>
                <w:color w:val="auto"/>
              </w:rPr>
            </w:pPr>
            <w:r>
              <w:rPr>
                <w:rFonts w:ascii="Arial" w:cs="Arial" w:eastAsia="Arial" w:hAnsi="Arial"/>
                <w:sz w:val="18"/>
                <w:szCs w:val="18"/>
                <w:color w:val="auto"/>
              </w:rPr>
              <w:t>Minority interest</w:t>
            </w: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348</w:t>
            </w:r>
          </w:p>
        </w:tc>
        <w:tc>
          <w:tcPr>
            <w:tcW w:w="2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348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Stockholders’ Equity:</w:t>
            </w: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Common stock</w:t>
            </w: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33</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stockholders’ equity</w:t>
            </w: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83"/>
              </w:rPr>
              <w:t>40,304</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83"/>
              </w:rPr>
              <w:t>29,553</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83"/>
              </w:rPr>
              <w:t>37,784</w:t>
            </w: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87"/>
              </w:rPr>
              <w:t>41,342</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87"/>
              </w:rPr>
              <w:t>24,304</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86,230</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90"/>
              </w:rPr>
              <w:t>(219,213)</w:t>
            </w: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40,304</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5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w w:val="83"/>
              </w:rPr>
              <w:t>40,337</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w w:val="83"/>
              </w:rPr>
              <w:t>29,553</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w w:val="83"/>
              </w:rPr>
              <w:t>37,784</w:t>
            </w:r>
          </w:p>
        </w:tc>
        <w:tc>
          <w:tcPr>
            <w:tcW w:w="1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w w:val="87"/>
              </w:rPr>
              <w:t>41,342</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w w:val="87"/>
              </w:rPr>
              <w:t>24,304</w:t>
            </w:r>
          </w:p>
        </w:tc>
        <w:tc>
          <w:tcPr>
            <w:tcW w:w="2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86,230</w:t>
            </w:r>
          </w:p>
        </w:tc>
        <w:tc>
          <w:tcPr>
            <w:tcW w:w="2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w w:val="90"/>
              </w:rPr>
              <w:t>(219,213)</w:t>
            </w:r>
          </w:p>
        </w:tc>
        <w:tc>
          <w:tcPr>
            <w:tcW w:w="20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40,337</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83"/>
              </w:rPr>
              <w:t>70,777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w w:val="83"/>
              </w:rPr>
              <w:t>33,922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w w:val="83"/>
              </w:rPr>
              <w:t>41,357</w:t>
            </w:r>
          </w:p>
        </w:tc>
        <w:tc>
          <w:tcPr>
            <w:tcW w:w="18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87"/>
              </w:rPr>
              <w:t>44,443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7"/>
              </w:rPr>
              <w:t>26,119</w:t>
            </w:r>
          </w:p>
        </w:tc>
        <w:tc>
          <w:tcPr>
            <w:tcW w:w="200" w:type="dxa"/>
            <w:vAlign w:val="bottom"/>
            <w:tcBorders>
              <w:bottom w:val="single" w:sz="8" w:color="auto"/>
            </w:tcBorders>
          </w:tcPr>
          <w:p>
            <w:pPr>
              <w:ind w:left="120"/>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86"/>
              </w:rPr>
              <w:t>116,492</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90"/>
              </w:rPr>
              <w:t>(219,213)</w:t>
            </w:r>
          </w:p>
        </w:tc>
        <w:tc>
          <w:tcPr>
            <w:tcW w:w="2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113,897</w:t>
            </w:r>
          </w:p>
        </w:tc>
        <w:tc>
          <w:tcPr>
            <w:tcW w:w="20" w:type="dxa"/>
            <w:vAlign w:val="bottom"/>
            <w:tcBorders>
              <w:bottom w:val="single" w:sz="8" w:color="auto"/>
            </w:tcBorders>
          </w:tcPr>
          <w:p>
            <w:pPr>
              <w:spacing w:after="0"/>
              <w:rPr>
                <w:sz w:val="18"/>
                <w:szCs w:val="18"/>
                <w:color w:val="auto"/>
              </w:rPr>
            </w:pP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Consolidating Balance Sheet</w:t>
      </w:r>
    </w:p>
    <w:p>
      <w:pPr>
        <w:jc w:val="center"/>
        <w:spacing w:after="0"/>
        <w:rPr>
          <w:sz w:val="20"/>
          <w:szCs w:val="20"/>
          <w:color w:val="auto"/>
        </w:rPr>
      </w:pPr>
      <w:r>
        <w:rPr>
          <w:rFonts w:ascii="Arial" w:cs="Arial" w:eastAsia="Arial" w:hAnsi="Arial"/>
          <w:sz w:val="22"/>
          <w:szCs w:val="22"/>
          <w:b w:val="1"/>
          <w:bCs w:val="1"/>
          <w:color w:val="auto"/>
        </w:rPr>
        <w:t>December 31, 2007</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center"/>
              <w:ind w:right="194"/>
              <w:spacing w:after="0"/>
              <w:rPr>
                <w:sz w:val="20"/>
                <w:szCs w:val="20"/>
                <w:color w:val="auto"/>
              </w:rPr>
            </w:pPr>
            <w:r>
              <w:rPr>
                <w:rFonts w:ascii="Arial" w:cs="Arial" w:eastAsia="Arial" w:hAnsi="Arial"/>
                <w:sz w:val="14"/>
                <w:szCs w:val="14"/>
                <w:color w:val="auto"/>
                <w:w w:val="93"/>
              </w:rPr>
              <w:t>Elimination</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0"/>
              </w:rPr>
              <w:t>Combined</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center"/>
              <w:ind w:right="134"/>
              <w:spacing w:after="0" w:line="149" w:lineRule="exact"/>
              <w:rPr>
                <w:sz w:val="20"/>
                <w:szCs w:val="20"/>
                <w:color w:val="auto"/>
              </w:rPr>
            </w:pPr>
            <w:r>
              <w:rPr>
                <w:rFonts w:ascii="Arial" w:cs="Arial" w:eastAsia="Arial" w:hAnsi="Arial"/>
                <w:sz w:val="14"/>
                <w:szCs w:val="14"/>
                <w:color w:val="auto"/>
                <w:w w:val="92"/>
              </w:rPr>
              <w:t>Non-</w:t>
            </w:r>
          </w:p>
        </w:tc>
        <w:tc>
          <w:tcPr>
            <w:tcW w:w="200" w:type="dxa"/>
            <w:vAlign w:val="bottom"/>
          </w:tcPr>
          <w:p>
            <w:pPr>
              <w:spacing w:after="0"/>
              <w:rPr>
                <w:sz w:val="12"/>
                <w:szCs w:val="12"/>
                <w:color w:val="auto"/>
              </w:rPr>
            </w:pPr>
          </w:p>
        </w:tc>
        <w:tc>
          <w:tcPr>
            <w:tcW w:w="960" w:type="dxa"/>
            <w:vAlign w:val="bottom"/>
          </w:tcPr>
          <w:p>
            <w:pPr>
              <w:jc w:val="center"/>
              <w:ind w:right="194"/>
              <w:spacing w:after="0" w:line="149" w:lineRule="exact"/>
              <w:rPr>
                <w:sz w:val="20"/>
                <w:szCs w:val="20"/>
                <w:color w:val="auto"/>
              </w:rPr>
            </w:pPr>
            <w:r>
              <w:rPr>
                <w:rFonts w:ascii="Arial" w:cs="Arial" w:eastAsia="Arial" w:hAnsi="Arial"/>
                <w:sz w:val="14"/>
                <w:szCs w:val="14"/>
                <w:color w:val="auto"/>
                <w:w w:val="85"/>
              </w:rPr>
              <w:t>and</w:t>
            </w:r>
          </w:p>
        </w:tc>
        <w:tc>
          <w:tcPr>
            <w:tcW w:w="1000" w:type="dxa"/>
            <w:vAlign w:val="bottom"/>
            <w:gridSpan w:val="3"/>
          </w:tcPr>
          <w:p>
            <w:pPr>
              <w:jc w:val="center"/>
              <w:ind w:left="16"/>
              <w:spacing w:after="0" w:line="149" w:lineRule="exact"/>
              <w:rPr>
                <w:sz w:val="20"/>
                <w:szCs w:val="20"/>
                <w:color w:val="auto"/>
              </w:rPr>
            </w:pPr>
            <w:r>
              <w:rPr>
                <w:rFonts w:ascii="Arial" w:cs="Arial" w:eastAsia="Arial" w:hAnsi="Arial"/>
                <w:sz w:val="14"/>
                <w:szCs w:val="14"/>
                <w:color w:val="auto"/>
                <w:w w:val="85"/>
              </w:rPr>
              <w:t>Consolidated</w:t>
            </w: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jc w:val="right"/>
              <w:ind w:right="114"/>
              <w:spacing w:after="0" w:line="149" w:lineRule="exact"/>
              <w:rPr>
                <w:sz w:val="20"/>
                <w:szCs w:val="20"/>
                <w:color w:val="auto"/>
              </w:rPr>
            </w:pPr>
            <w:r>
              <w:rPr>
                <w:rFonts w:ascii="Arial" w:cs="Arial" w:eastAsia="Arial" w:hAnsi="Arial"/>
                <w:sz w:val="14"/>
                <w:szCs w:val="14"/>
                <w:color w:val="auto"/>
                <w:w w:val="83"/>
              </w:rPr>
              <w:t>Comcast</w:t>
            </w:r>
          </w:p>
        </w:tc>
        <w:tc>
          <w:tcPr>
            <w:tcW w:w="240" w:type="dxa"/>
            <w:vAlign w:val="bottom"/>
          </w:tcPr>
          <w:p>
            <w:pPr>
              <w:spacing w:after="0"/>
              <w:rPr>
                <w:sz w:val="12"/>
                <w:szCs w:val="12"/>
                <w:color w:val="auto"/>
              </w:rPr>
            </w:pPr>
          </w:p>
        </w:tc>
        <w:tc>
          <w:tcPr>
            <w:tcW w:w="580" w:type="dxa"/>
            <w:vAlign w:val="bottom"/>
          </w:tcPr>
          <w:p>
            <w:pPr>
              <w:jc w:val="right"/>
              <w:ind w:right="114"/>
              <w:spacing w:after="0" w:line="149" w:lineRule="exact"/>
              <w:rPr>
                <w:sz w:val="20"/>
                <w:szCs w:val="20"/>
                <w:color w:val="auto"/>
              </w:rPr>
            </w:pPr>
            <w:r>
              <w:rPr>
                <w:rFonts w:ascii="Arial" w:cs="Arial" w:eastAsia="Arial" w:hAnsi="Arial"/>
                <w:sz w:val="14"/>
                <w:szCs w:val="14"/>
                <w:color w:val="auto"/>
                <w:w w:val="94"/>
              </w:rPr>
              <w:t>CCCL</w:t>
            </w:r>
          </w:p>
        </w:tc>
        <w:tc>
          <w:tcPr>
            <w:tcW w:w="300" w:type="dxa"/>
            <w:vAlign w:val="bottom"/>
          </w:tcPr>
          <w:p>
            <w:pPr>
              <w:spacing w:after="0"/>
              <w:rPr>
                <w:sz w:val="12"/>
                <w:szCs w:val="12"/>
                <w:color w:val="auto"/>
              </w:rPr>
            </w:pPr>
          </w:p>
        </w:tc>
        <w:tc>
          <w:tcPr>
            <w:tcW w:w="640" w:type="dxa"/>
            <w:vAlign w:val="bottom"/>
          </w:tcPr>
          <w:p>
            <w:pPr>
              <w:jc w:val="right"/>
              <w:ind w:right="174"/>
              <w:spacing w:after="0" w:line="149" w:lineRule="exact"/>
              <w:rPr>
                <w:sz w:val="20"/>
                <w:szCs w:val="20"/>
                <w:color w:val="auto"/>
              </w:rPr>
            </w:pPr>
            <w:r>
              <w:rPr>
                <w:rFonts w:ascii="Arial" w:cs="Arial" w:eastAsia="Arial" w:hAnsi="Arial"/>
                <w:sz w:val="14"/>
                <w:szCs w:val="14"/>
                <w:color w:val="auto"/>
                <w:w w:val="88"/>
              </w:rPr>
              <w:t>CCCH</w:t>
            </w:r>
          </w:p>
        </w:tc>
        <w:tc>
          <w:tcPr>
            <w:tcW w:w="200" w:type="dxa"/>
            <w:vAlign w:val="bottom"/>
          </w:tcPr>
          <w:p>
            <w:pPr>
              <w:spacing w:after="0"/>
              <w:rPr>
                <w:sz w:val="12"/>
                <w:szCs w:val="12"/>
                <w:color w:val="auto"/>
              </w:rPr>
            </w:pPr>
          </w:p>
        </w:tc>
        <w:tc>
          <w:tcPr>
            <w:tcW w:w="700" w:type="dxa"/>
            <w:vAlign w:val="bottom"/>
          </w:tcPr>
          <w:p>
            <w:pPr>
              <w:jc w:val="center"/>
              <w:ind w:right="114"/>
              <w:spacing w:after="0" w:line="149" w:lineRule="exact"/>
              <w:rPr>
                <w:sz w:val="20"/>
                <w:szCs w:val="20"/>
                <w:color w:val="auto"/>
              </w:rPr>
            </w:pPr>
            <w:r>
              <w:rPr>
                <w:rFonts w:ascii="Arial" w:cs="Arial" w:eastAsia="Arial" w:hAnsi="Arial"/>
                <w:sz w:val="14"/>
                <w:szCs w:val="14"/>
                <w:color w:val="auto"/>
                <w:w w:val="94"/>
              </w:rPr>
              <w:t>CCHMO</w:t>
            </w:r>
          </w:p>
        </w:tc>
        <w:tc>
          <w:tcPr>
            <w:tcW w:w="200" w:type="dxa"/>
            <w:vAlign w:val="bottom"/>
          </w:tcPr>
          <w:p>
            <w:pPr>
              <w:spacing w:after="0"/>
              <w:rPr>
                <w:sz w:val="12"/>
                <w:szCs w:val="12"/>
                <w:color w:val="auto"/>
              </w:rPr>
            </w:pPr>
          </w:p>
        </w:tc>
        <w:tc>
          <w:tcPr>
            <w:tcW w:w="680" w:type="dxa"/>
            <w:vAlign w:val="bottom"/>
          </w:tcPr>
          <w:p>
            <w:pPr>
              <w:spacing w:after="0" w:line="149" w:lineRule="exact"/>
              <w:rPr>
                <w:sz w:val="20"/>
                <w:szCs w:val="20"/>
                <w:color w:val="auto"/>
              </w:rPr>
            </w:pPr>
            <w:r>
              <w:rPr>
                <w:rFonts w:ascii="Arial" w:cs="Arial" w:eastAsia="Arial" w:hAnsi="Arial"/>
                <w:sz w:val="14"/>
                <w:szCs w:val="14"/>
                <w:color w:val="auto"/>
              </w:rPr>
              <w:t>Comcast</w:t>
            </w:r>
          </w:p>
        </w:tc>
        <w:tc>
          <w:tcPr>
            <w:tcW w:w="220" w:type="dxa"/>
            <w:vAlign w:val="bottom"/>
          </w:tcPr>
          <w:p>
            <w:pPr>
              <w:spacing w:after="0"/>
              <w:rPr>
                <w:sz w:val="12"/>
                <w:szCs w:val="12"/>
                <w:color w:val="auto"/>
              </w:rPr>
            </w:pPr>
          </w:p>
        </w:tc>
        <w:tc>
          <w:tcPr>
            <w:tcW w:w="780" w:type="dxa"/>
            <w:vAlign w:val="bottom"/>
          </w:tcPr>
          <w:p>
            <w:pPr>
              <w:jc w:val="center"/>
              <w:ind w:right="134"/>
              <w:spacing w:after="0" w:line="149" w:lineRule="exact"/>
              <w:rPr>
                <w:sz w:val="20"/>
                <w:szCs w:val="20"/>
                <w:color w:val="auto"/>
              </w:rPr>
            </w:pPr>
            <w:r>
              <w:rPr>
                <w:rFonts w:ascii="Arial" w:cs="Arial" w:eastAsia="Arial" w:hAnsi="Arial"/>
                <w:sz w:val="14"/>
                <w:szCs w:val="14"/>
                <w:color w:val="auto"/>
                <w:w w:val="88"/>
              </w:rPr>
              <w:t>Guarantor</w:t>
            </w:r>
          </w:p>
        </w:tc>
        <w:tc>
          <w:tcPr>
            <w:tcW w:w="11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Consolidation</w:t>
            </w:r>
          </w:p>
        </w:tc>
        <w:tc>
          <w:tcPr>
            <w:tcW w:w="22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3"/>
              </w:rPr>
              <w:t>Comcast</w:t>
            </w:r>
          </w:p>
        </w:tc>
      </w:tr>
      <w:tr>
        <w:trPr>
          <w:trHeight w:val="159"/>
        </w:trPr>
        <w:tc>
          <w:tcPr>
            <w:tcW w:w="378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13"/>
                <w:szCs w:val="13"/>
                <w:color w:val="auto"/>
              </w:rPr>
            </w:pPr>
          </w:p>
        </w:tc>
        <w:tc>
          <w:tcPr>
            <w:tcW w:w="680" w:type="dxa"/>
            <w:vAlign w:val="bottom"/>
          </w:tcPr>
          <w:p>
            <w:pPr>
              <w:jc w:val="right"/>
              <w:ind w:right="174"/>
              <w:spacing w:after="0" w:line="159" w:lineRule="exact"/>
              <w:rPr>
                <w:sz w:val="20"/>
                <w:szCs w:val="20"/>
                <w:color w:val="auto"/>
              </w:rPr>
            </w:pPr>
            <w:r>
              <w:rPr>
                <w:rFonts w:ascii="Arial" w:cs="Arial" w:eastAsia="Arial" w:hAnsi="Arial"/>
                <w:sz w:val="14"/>
                <w:szCs w:val="14"/>
                <w:color w:val="auto"/>
                <w:w w:val="96"/>
              </w:rPr>
              <w:t>Parent</w:t>
            </w:r>
          </w:p>
        </w:tc>
        <w:tc>
          <w:tcPr>
            <w:tcW w:w="240" w:type="dxa"/>
            <w:vAlign w:val="bottom"/>
          </w:tcPr>
          <w:p>
            <w:pPr>
              <w:spacing w:after="0"/>
              <w:rPr>
                <w:sz w:val="13"/>
                <w:szCs w:val="13"/>
                <w:color w:val="auto"/>
              </w:rPr>
            </w:pPr>
          </w:p>
        </w:tc>
        <w:tc>
          <w:tcPr>
            <w:tcW w:w="580" w:type="dxa"/>
            <w:vAlign w:val="bottom"/>
          </w:tcPr>
          <w:p>
            <w:pPr>
              <w:jc w:val="right"/>
              <w:ind w:right="114"/>
              <w:spacing w:after="0" w:line="159" w:lineRule="exact"/>
              <w:rPr>
                <w:sz w:val="20"/>
                <w:szCs w:val="20"/>
                <w:color w:val="auto"/>
              </w:rPr>
            </w:pPr>
            <w:r>
              <w:rPr>
                <w:rFonts w:ascii="Arial" w:cs="Arial" w:eastAsia="Arial" w:hAnsi="Arial"/>
                <w:sz w:val="14"/>
                <w:szCs w:val="14"/>
                <w:color w:val="auto"/>
                <w:w w:val="87"/>
              </w:rPr>
              <w:t>Parent</w:t>
            </w:r>
          </w:p>
        </w:tc>
        <w:tc>
          <w:tcPr>
            <w:tcW w:w="300" w:type="dxa"/>
            <w:vAlign w:val="bottom"/>
          </w:tcPr>
          <w:p>
            <w:pPr>
              <w:spacing w:after="0"/>
              <w:rPr>
                <w:sz w:val="13"/>
                <w:szCs w:val="13"/>
                <w:color w:val="auto"/>
              </w:rPr>
            </w:pPr>
          </w:p>
        </w:tc>
        <w:tc>
          <w:tcPr>
            <w:tcW w:w="640" w:type="dxa"/>
            <w:vAlign w:val="bottom"/>
          </w:tcPr>
          <w:p>
            <w:pPr>
              <w:jc w:val="right"/>
              <w:ind w:right="174"/>
              <w:spacing w:after="0" w:line="159" w:lineRule="exact"/>
              <w:rPr>
                <w:sz w:val="20"/>
                <w:szCs w:val="20"/>
                <w:color w:val="auto"/>
              </w:rPr>
            </w:pPr>
            <w:r>
              <w:rPr>
                <w:rFonts w:ascii="Arial" w:cs="Arial" w:eastAsia="Arial" w:hAnsi="Arial"/>
                <w:sz w:val="14"/>
                <w:szCs w:val="14"/>
                <w:color w:val="auto"/>
                <w:w w:val="87"/>
              </w:rPr>
              <w:t>Parent</w:t>
            </w:r>
          </w:p>
        </w:tc>
        <w:tc>
          <w:tcPr>
            <w:tcW w:w="200" w:type="dxa"/>
            <w:vAlign w:val="bottom"/>
          </w:tcPr>
          <w:p>
            <w:pPr>
              <w:spacing w:after="0"/>
              <w:rPr>
                <w:sz w:val="13"/>
                <w:szCs w:val="13"/>
                <w:color w:val="auto"/>
              </w:rPr>
            </w:pPr>
          </w:p>
        </w:tc>
        <w:tc>
          <w:tcPr>
            <w:tcW w:w="700" w:type="dxa"/>
            <w:vAlign w:val="bottom"/>
          </w:tcPr>
          <w:p>
            <w:pPr>
              <w:jc w:val="center"/>
              <w:ind w:right="114"/>
              <w:spacing w:after="0" w:line="159" w:lineRule="exact"/>
              <w:rPr>
                <w:sz w:val="20"/>
                <w:szCs w:val="20"/>
                <w:color w:val="auto"/>
              </w:rPr>
            </w:pPr>
            <w:r>
              <w:rPr>
                <w:rFonts w:ascii="Arial" w:cs="Arial" w:eastAsia="Arial" w:hAnsi="Arial"/>
                <w:sz w:val="14"/>
                <w:szCs w:val="14"/>
                <w:color w:val="auto"/>
                <w:w w:val="78"/>
              </w:rPr>
              <w:t>Parents</w:t>
            </w:r>
          </w:p>
        </w:tc>
        <w:tc>
          <w:tcPr>
            <w:tcW w:w="200" w:type="dxa"/>
            <w:vAlign w:val="bottom"/>
          </w:tcPr>
          <w:p>
            <w:pPr>
              <w:spacing w:after="0"/>
              <w:rPr>
                <w:sz w:val="13"/>
                <w:szCs w:val="13"/>
                <w:color w:val="auto"/>
              </w:rPr>
            </w:pPr>
          </w:p>
        </w:tc>
        <w:tc>
          <w:tcPr>
            <w:tcW w:w="680" w:type="dxa"/>
            <w:vAlign w:val="bottom"/>
          </w:tcPr>
          <w:p>
            <w:pPr>
              <w:spacing w:after="0" w:line="159" w:lineRule="exact"/>
              <w:rPr>
                <w:sz w:val="20"/>
                <w:szCs w:val="20"/>
                <w:color w:val="auto"/>
              </w:rPr>
            </w:pPr>
            <w:r>
              <w:rPr>
                <w:rFonts w:ascii="Arial" w:cs="Arial" w:eastAsia="Arial" w:hAnsi="Arial"/>
                <w:sz w:val="14"/>
                <w:szCs w:val="14"/>
                <w:color w:val="auto"/>
              </w:rPr>
              <w:t>Holdings</w:t>
            </w:r>
          </w:p>
        </w:tc>
        <w:tc>
          <w:tcPr>
            <w:tcW w:w="100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9"/>
              </w:rPr>
              <w:t>Subsidiaries</w:t>
            </w:r>
          </w:p>
        </w:tc>
        <w:tc>
          <w:tcPr>
            <w:tcW w:w="200" w:type="dxa"/>
            <w:vAlign w:val="bottom"/>
          </w:tcPr>
          <w:p>
            <w:pPr>
              <w:spacing w:after="0"/>
              <w:rPr>
                <w:sz w:val="13"/>
                <w:szCs w:val="13"/>
                <w:color w:val="auto"/>
              </w:rPr>
            </w:pPr>
          </w:p>
        </w:tc>
        <w:tc>
          <w:tcPr>
            <w:tcW w:w="960" w:type="dxa"/>
            <w:vAlign w:val="bottom"/>
          </w:tcPr>
          <w:p>
            <w:pPr>
              <w:jc w:val="center"/>
              <w:ind w:right="194"/>
              <w:spacing w:after="0" w:line="159" w:lineRule="exact"/>
              <w:rPr>
                <w:sz w:val="20"/>
                <w:szCs w:val="20"/>
                <w:color w:val="auto"/>
              </w:rPr>
            </w:pPr>
            <w:r>
              <w:rPr>
                <w:rFonts w:ascii="Arial" w:cs="Arial" w:eastAsia="Arial" w:hAnsi="Arial"/>
                <w:sz w:val="14"/>
                <w:szCs w:val="14"/>
                <w:color w:val="auto"/>
                <w:w w:val="88"/>
              </w:rPr>
              <w:t>Adjustments</w:t>
            </w:r>
          </w:p>
        </w:tc>
        <w:tc>
          <w:tcPr>
            <w:tcW w:w="220" w:type="dxa"/>
            <w:vAlign w:val="bottom"/>
          </w:tcPr>
          <w:p>
            <w:pPr>
              <w:spacing w:after="0"/>
              <w:rPr>
                <w:sz w:val="13"/>
                <w:szCs w:val="13"/>
                <w:color w:val="auto"/>
              </w:rPr>
            </w:pPr>
          </w:p>
        </w:tc>
        <w:tc>
          <w:tcPr>
            <w:tcW w:w="780" w:type="dxa"/>
            <w:vAlign w:val="bottom"/>
            <w:gridSpan w:val="2"/>
          </w:tcPr>
          <w:p>
            <w:pPr>
              <w:jc w:val="center"/>
              <w:ind w:right="120"/>
              <w:spacing w:after="0" w:line="159" w:lineRule="exact"/>
              <w:rPr>
                <w:sz w:val="20"/>
                <w:szCs w:val="20"/>
                <w:color w:val="auto"/>
              </w:rPr>
            </w:pPr>
            <w:r>
              <w:rPr>
                <w:rFonts w:ascii="Arial" w:cs="Arial" w:eastAsia="Arial" w:hAnsi="Arial"/>
                <w:sz w:val="14"/>
                <w:szCs w:val="14"/>
                <w:color w:val="auto"/>
                <w:w w:val="90"/>
              </w:rPr>
              <w:t>Corporation</w:t>
            </w:r>
          </w:p>
        </w:tc>
      </w:tr>
      <w:tr>
        <w:trPr>
          <w:trHeight w:val="210"/>
        </w:trPr>
        <w:tc>
          <w:tcPr>
            <w:tcW w:w="20" w:type="dxa"/>
            <w:vAlign w:val="bottom"/>
          </w:tcPr>
          <w:p>
            <w:pPr>
              <w:spacing w:after="0"/>
              <w:rPr>
                <w:sz w:val="18"/>
                <w:szCs w:val="18"/>
                <w:color w:val="auto"/>
              </w:rPr>
            </w:pPr>
          </w:p>
        </w:tc>
        <w:tc>
          <w:tcPr>
            <w:tcW w:w="37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spacing w:after="0"/>
              <w:rPr>
                <w:sz w:val="18"/>
                <w:szCs w:val="18"/>
                <w:color w:val="auto"/>
              </w:rPr>
            </w:pPr>
          </w:p>
        </w:tc>
        <w:tc>
          <w:tcPr>
            <w:tcW w:w="30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78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96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760" w:type="dxa"/>
            <w:vAlign w:val="bottom"/>
            <w:tcBorders>
              <w:top w:val="single" w:sz="8" w:color="auto"/>
            </w:tcBorders>
            <w:shd w:val="clear" w:color="auto" w:fill="E5E5E5"/>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963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963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Investments</w:t>
            </w: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98</w:t>
            </w:r>
          </w:p>
        </w:tc>
        <w:tc>
          <w:tcPr>
            <w:tcW w:w="20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28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1,645</w:t>
            </w:r>
          </w:p>
        </w:tc>
        <w:tc>
          <w:tcPr>
            <w:tcW w:w="200" w:type="dxa"/>
            <w:vAlign w:val="bottom"/>
          </w:tcPr>
          <w:p>
            <w:pPr>
              <w:spacing w:after="0"/>
              <w:rPr>
                <w:sz w:val="18"/>
                <w:szCs w:val="18"/>
                <w:color w:val="auto"/>
              </w:rPr>
            </w:pPr>
          </w:p>
        </w:tc>
        <w:tc>
          <w:tcPr>
            <w:tcW w:w="9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1,645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 current assets</w:t>
            </w:r>
          </w:p>
        </w:tc>
        <w:tc>
          <w:tcPr>
            <w:tcW w:w="2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100</w:t>
            </w:r>
          </w:p>
        </w:tc>
        <w:tc>
          <w:tcPr>
            <w:tcW w:w="24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rPr>
              <w:t>861</w:t>
            </w:r>
          </w:p>
        </w:tc>
        <w:tc>
          <w:tcPr>
            <w:tcW w:w="200" w:type="dxa"/>
            <w:vAlign w:val="bottom"/>
            <w:tcBorders>
              <w:bottom w:val="single" w:sz="8" w:color="auto"/>
            </w:tcBorders>
            <w:shd w:val="clear" w:color="auto" w:fill="E5E5E5"/>
          </w:tcPr>
          <w:p>
            <w:pPr>
              <w:spacing w:after="0"/>
              <w:rPr>
                <w:sz w:val="18"/>
                <w:szCs w:val="18"/>
                <w:color w:val="auto"/>
              </w:rPr>
            </w:pPr>
          </w:p>
        </w:tc>
        <w:tc>
          <w:tcPr>
            <w:tcW w:w="960" w:type="dxa"/>
            <w:vAlign w:val="bottom"/>
            <w:tcBorders>
              <w:bottom w:val="single" w:sz="8" w:color="auto"/>
            </w:tcBorders>
            <w:shd w:val="clear" w:color="auto" w:fill="E5E5E5"/>
          </w:tcPr>
          <w:p>
            <w:pPr>
              <w:jc w:val="right"/>
              <w:ind w:right="74"/>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961</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3,567</w:t>
            </w:r>
          </w:p>
        </w:tc>
        <w:tc>
          <w:tcPr>
            <w:tcW w:w="200" w:type="dxa"/>
            <w:vAlign w:val="bottom"/>
          </w:tcPr>
          <w:p>
            <w:pPr>
              <w:spacing w:after="0"/>
              <w:rPr>
                <w:sz w:val="18"/>
                <w:szCs w:val="18"/>
                <w:color w:val="auto"/>
              </w:rPr>
            </w:pPr>
          </w:p>
        </w:tc>
        <w:tc>
          <w:tcPr>
            <w:tcW w:w="9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3,667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E5E5E5"/>
          </w:tcPr>
          <w:p>
            <w:pPr>
              <w:spacing w:after="0"/>
              <w:rPr>
                <w:sz w:val="20"/>
                <w:szCs w:val="20"/>
                <w:color w:val="auto"/>
              </w:rPr>
            </w:pPr>
            <w:r>
              <w:rPr>
                <w:rFonts w:ascii="Arial" w:cs="Arial" w:eastAsia="Arial" w:hAnsi="Arial"/>
                <w:sz w:val="18"/>
                <w:szCs w:val="18"/>
                <w:color w:val="auto"/>
              </w:rPr>
              <w:t>Investments</w:t>
            </w: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7,963</w:t>
            </w:r>
          </w:p>
        </w:tc>
        <w:tc>
          <w:tcPr>
            <w:tcW w:w="20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7,963</w:t>
            </w:r>
          </w:p>
        </w:tc>
        <w:tc>
          <w:tcPr>
            <w:tcW w:w="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w w:val="93"/>
              </w:rPr>
              <w:t>Investments in and amounts due from subsidiaries</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760" w:type="dxa"/>
            <w:vAlign w:val="bottom"/>
          </w:tcPr>
          <w:p>
            <w:pPr>
              <w:ind w:left="200"/>
              <w:spacing w:after="0"/>
              <w:rPr>
                <w:sz w:val="20"/>
                <w:szCs w:val="20"/>
                <w:color w:val="auto"/>
              </w:rPr>
            </w:pPr>
            <w:r>
              <w:rPr>
                <w:rFonts w:ascii="Arial" w:cs="Arial" w:eastAsia="Arial" w:hAnsi="Arial"/>
                <w:sz w:val="18"/>
                <w:szCs w:val="18"/>
                <w:color w:val="auto"/>
              </w:rPr>
              <w:t>eliminated upon consolidation</w:t>
            </w:r>
          </w:p>
        </w:tc>
        <w:tc>
          <w:tcPr>
            <w:tcW w:w="280" w:type="dxa"/>
            <w:vAlign w:val="bottom"/>
          </w:tcPr>
          <w:p>
            <w:pPr>
              <w:spacing w:after="0"/>
              <w:rPr>
                <w:sz w:val="19"/>
                <w:szCs w:val="19"/>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67,903</w:t>
            </w: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32,760</w:t>
            </w:r>
          </w:p>
        </w:tc>
        <w:tc>
          <w:tcPr>
            <w:tcW w:w="300" w:type="dxa"/>
            <w:vAlign w:val="bottom"/>
          </w:tcPr>
          <w:p>
            <w:pPr>
              <w:spacing w:after="0"/>
              <w:rPr>
                <w:sz w:val="19"/>
                <w:szCs w:val="19"/>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w w:val="94"/>
              </w:rPr>
              <w:t>40,240</w:t>
            </w:r>
          </w:p>
        </w:tc>
        <w:tc>
          <w:tcPr>
            <w:tcW w:w="200" w:type="dxa"/>
            <w:vAlign w:val="bottom"/>
          </w:tcPr>
          <w:p>
            <w:pPr>
              <w:spacing w:after="0"/>
              <w:rPr>
                <w:sz w:val="19"/>
                <w:szCs w:val="19"/>
                <w:color w:val="auto"/>
              </w:rPr>
            </w:pP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43,356</w:t>
            </w:r>
          </w:p>
        </w:tc>
        <w:tc>
          <w:tcPr>
            <w:tcW w:w="200" w:type="dxa"/>
            <w:vAlign w:val="bottom"/>
          </w:tcPr>
          <w:p>
            <w:pPr>
              <w:spacing w:after="0"/>
              <w:rPr>
                <w:sz w:val="19"/>
                <w:szCs w:val="19"/>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25,815</w:t>
            </w:r>
          </w:p>
        </w:tc>
        <w:tc>
          <w:tcPr>
            <w:tcW w:w="220" w:type="dxa"/>
            <w:vAlign w:val="bottom"/>
          </w:tcPr>
          <w:p>
            <w:pPr>
              <w:spacing w:after="0"/>
              <w:rPr>
                <w:sz w:val="19"/>
                <w:szCs w:val="19"/>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2,244</w:t>
            </w:r>
          </w:p>
        </w:tc>
        <w:tc>
          <w:tcPr>
            <w:tcW w:w="200" w:type="dxa"/>
            <w:vAlign w:val="bottom"/>
          </w:tcPr>
          <w:p>
            <w:pPr>
              <w:spacing w:after="0"/>
              <w:rPr>
                <w:sz w:val="19"/>
                <w:szCs w:val="19"/>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(212,318)</w:t>
            </w:r>
          </w:p>
        </w:tc>
        <w:tc>
          <w:tcPr>
            <w:tcW w:w="22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8"/>
        </w:trPr>
        <w:tc>
          <w:tcPr>
            <w:tcW w:w="20" w:type="dxa"/>
            <w:vAlign w:val="bottom"/>
          </w:tcPr>
          <w:p>
            <w:pPr>
              <w:spacing w:after="0"/>
              <w:rPr>
                <w:sz w:val="18"/>
                <w:szCs w:val="18"/>
                <w:color w:val="auto"/>
              </w:rPr>
            </w:pPr>
          </w:p>
        </w:tc>
        <w:tc>
          <w:tcPr>
            <w:tcW w:w="3760" w:type="dxa"/>
            <w:vAlign w:val="bottom"/>
            <w:shd w:val="clear" w:color="auto" w:fill="E5E5E5"/>
          </w:tcPr>
          <w:p>
            <w:pPr>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208</w:t>
            </w:r>
          </w:p>
        </w:tc>
        <w:tc>
          <w:tcPr>
            <w:tcW w:w="24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23,416</w:t>
            </w:r>
          </w:p>
        </w:tc>
        <w:tc>
          <w:tcPr>
            <w:tcW w:w="20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23,624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Franchise rights</w:t>
            </w:r>
          </w:p>
        </w:tc>
        <w:tc>
          <w:tcPr>
            <w:tcW w:w="28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58,077</w:t>
            </w:r>
          </w:p>
        </w:tc>
        <w:tc>
          <w:tcPr>
            <w:tcW w:w="200" w:type="dxa"/>
            <w:vAlign w:val="bottom"/>
          </w:tcPr>
          <w:p>
            <w:pPr>
              <w:spacing w:after="0"/>
              <w:rPr>
                <w:sz w:val="18"/>
                <w:szCs w:val="18"/>
                <w:color w:val="auto"/>
              </w:rPr>
            </w:pPr>
          </w:p>
        </w:tc>
        <w:tc>
          <w:tcPr>
            <w:tcW w:w="9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58,077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E5E5E5"/>
          </w:tcPr>
          <w:p>
            <w:pPr>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14,705</w:t>
            </w:r>
          </w:p>
        </w:tc>
        <w:tc>
          <w:tcPr>
            <w:tcW w:w="20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14,705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28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4,739</w:t>
            </w:r>
          </w:p>
        </w:tc>
        <w:tc>
          <w:tcPr>
            <w:tcW w:w="200" w:type="dxa"/>
            <w:vAlign w:val="bottom"/>
          </w:tcPr>
          <w:p>
            <w:pPr>
              <w:spacing w:after="0"/>
              <w:rPr>
                <w:sz w:val="18"/>
                <w:szCs w:val="18"/>
                <w:color w:val="auto"/>
              </w:rPr>
            </w:pPr>
          </w:p>
        </w:tc>
        <w:tc>
          <w:tcPr>
            <w:tcW w:w="9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4,739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noncurrent assets, net</w:t>
            </w:r>
          </w:p>
        </w:tc>
        <w:tc>
          <w:tcPr>
            <w:tcW w:w="2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281</w:t>
            </w:r>
          </w:p>
        </w:tc>
        <w:tc>
          <w:tcPr>
            <w:tcW w:w="24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11</w:t>
            </w:r>
          </w:p>
        </w:tc>
        <w:tc>
          <w:tcPr>
            <w:tcW w:w="30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17</w:t>
            </w:r>
          </w:p>
        </w:tc>
        <w:tc>
          <w:tcPr>
            <w:tcW w:w="20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30</w:t>
            </w:r>
          </w:p>
        </w:tc>
        <w:tc>
          <w:tcPr>
            <w:tcW w:w="22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rPr>
              <w:t>303</w:t>
            </w:r>
          </w:p>
        </w:tc>
        <w:tc>
          <w:tcPr>
            <w:tcW w:w="200" w:type="dxa"/>
            <w:vAlign w:val="bottom"/>
            <w:tcBorders>
              <w:bottom w:val="single" w:sz="8" w:color="auto"/>
            </w:tcBorders>
            <w:shd w:val="clear" w:color="auto" w:fill="E5E5E5"/>
          </w:tcPr>
          <w:p>
            <w:pPr>
              <w:spacing w:after="0"/>
              <w:rPr>
                <w:sz w:val="18"/>
                <w:szCs w:val="18"/>
                <w:color w:val="auto"/>
              </w:rPr>
            </w:pPr>
          </w:p>
        </w:tc>
        <w:tc>
          <w:tcPr>
            <w:tcW w:w="960" w:type="dxa"/>
            <w:vAlign w:val="bottom"/>
            <w:tcBorders>
              <w:bottom w:val="single" w:sz="8" w:color="auto"/>
            </w:tcBorders>
            <w:shd w:val="clear" w:color="auto" w:fill="E5E5E5"/>
          </w:tcPr>
          <w:p>
            <w:pPr>
              <w:jc w:val="right"/>
              <w:ind w:right="74"/>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642</w:t>
            </w: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68,492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32,771</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w w:val="94"/>
              </w:rPr>
              <w:t>40,257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43,356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25,845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w w:val="98"/>
              </w:rPr>
              <w:t>115,014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(212,318)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113,417</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760" w:type="dxa"/>
            <w:vAlign w:val="bottom"/>
            <w:shd w:val="clear" w:color="auto" w:fill="E5E5E5"/>
          </w:tcPr>
          <w:p>
            <w:pPr>
              <w:spacing w:after="0" w:line="201" w:lineRule="exact"/>
              <w:rPr>
                <w:sz w:val="20"/>
                <w:szCs w:val="20"/>
                <w:color w:val="auto"/>
              </w:rPr>
            </w:pPr>
            <w:r>
              <w:rPr>
                <w:rFonts w:ascii="Arial" w:cs="Arial" w:eastAsia="Arial" w:hAnsi="Arial"/>
                <w:sz w:val="18"/>
                <w:szCs w:val="18"/>
                <w:b w:val="1"/>
                <w:bCs w:val="1"/>
                <w:color w:val="auto"/>
              </w:rPr>
              <w:t>LIABILITIES AND</w:t>
            </w:r>
          </w:p>
        </w:tc>
        <w:tc>
          <w:tcPr>
            <w:tcW w:w="280" w:type="dxa"/>
            <w:vAlign w:val="bottom"/>
            <w:shd w:val="clear" w:color="auto" w:fill="E5E5E5"/>
          </w:tcPr>
          <w:p>
            <w:pPr>
              <w:spacing w:after="0"/>
              <w:rPr>
                <w:sz w:val="17"/>
                <w:szCs w:val="17"/>
                <w:color w:val="auto"/>
              </w:rPr>
            </w:pPr>
          </w:p>
        </w:tc>
        <w:tc>
          <w:tcPr>
            <w:tcW w:w="68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64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68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78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96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760" w:type="dxa"/>
            <w:vAlign w:val="bottom"/>
            <w:shd w:val="clear" w:color="auto" w:fill="E5E5E5"/>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760" w:type="dxa"/>
            <w:vAlign w:val="bottom"/>
            <w:shd w:val="clear" w:color="auto" w:fill="E5E5E5"/>
          </w:tcPr>
          <w:p>
            <w:pPr>
              <w:ind w:left="200"/>
              <w:spacing w:after="0"/>
              <w:rPr>
                <w:sz w:val="20"/>
                <w:szCs w:val="20"/>
                <w:color w:val="auto"/>
              </w:rPr>
            </w:pPr>
            <w:r>
              <w:rPr>
                <w:rFonts w:ascii="Arial" w:cs="Arial" w:eastAsia="Arial" w:hAnsi="Arial"/>
                <w:sz w:val="18"/>
                <w:szCs w:val="18"/>
                <w:b w:val="1"/>
                <w:bCs w:val="1"/>
                <w:color w:val="auto"/>
              </w:rPr>
              <w:t>STOCKHOLDERS’ EQUITY</w:t>
            </w:r>
          </w:p>
        </w:tc>
        <w:tc>
          <w:tcPr>
            <w:tcW w:w="280" w:type="dxa"/>
            <w:vAlign w:val="bottom"/>
            <w:shd w:val="clear" w:color="auto" w:fill="E5E5E5"/>
          </w:tcPr>
          <w:p>
            <w:pPr>
              <w:spacing w:after="0"/>
              <w:rPr>
                <w:sz w:val="20"/>
                <w:szCs w:val="20"/>
                <w:color w:val="auto"/>
              </w:rPr>
            </w:pPr>
          </w:p>
        </w:tc>
        <w:tc>
          <w:tcPr>
            <w:tcW w:w="680" w:type="dxa"/>
            <w:vAlign w:val="bottom"/>
            <w:shd w:val="clear" w:color="auto" w:fill="E5E5E5"/>
          </w:tcPr>
          <w:p>
            <w:pPr>
              <w:spacing w:after="0"/>
              <w:rPr>
                <w:sz w:val="20"/>
                <w:szCs w:val="20"/>
                <w:color w:val="auto"/>
              </w:rPr>
            </w:pPr>
          </w:p>
        </w:tc>
        <w:tc>
          <w:tcPr>
            <w:tcW w:w="240" w:type="dxa"/>
            <w:vAlign w:val="bottom"/>
            <w:shd w:val="clear" w:color="auto" w:fill="E5E5E5"/>
          </w:tcPr>
          <w:p>
            <w:pPr>
              <w:spacing w:after="0"/>
              <w:rPr>
                <w:sz w:val="20"/>
                <w:szCs w:val="20"/>
                <w:color w:val="auto"/>
              </w:rPr>
            </w:pPr>
          </w:p>
        </w:tc>
        <w:tc>
          <w:tcPr>
            <w:tcW w:w="580" w:type="dxa"/>
            <w:vAlign w:val="bottom"/>
            <w:shd w:val="clear" w:color="auto" w:fill="E5E5E5"/>
          </w:tcPr>
          <w:p>
            <w:pPr>
              <w:spacing w:after="0"/>
              <w:rPr>
                <w:sz w:val="20"/>
                <w:szCs w:val="20"/>
                <w:color w:val="auto"/>
              </w:rPr>
            </w:pPr>
          </w:p>
        </w:tc>
        <w:tc>
          <w:tcPr>
            <w:tcW w:w="300" w:type="dxa"/>
            <w:vAlign w:val="bottom"/>
            <w:shd w:val="clear" w:color="auto" w:fill="E5E5E5"/>
          </w:tcPr>
          <w:p>
            <w:pPr>
              <w:spacing w:after="0"/>
              <w:rPr>
                <w:sz w:val="20"/>
                <w:szCs w:val="20"/>
                <w:color w:val="auto"/>
              </w:rPr>
            </w:pPr>
          </w:p>
        </w:tc>
        <w:tc>
          <w:tcPr>
            <w:tcW w:w="640" w:type="dxa"/>
            <w:vAlign w:val="bottom"/>
            <w:shd w:val="clear" w:color="auto" w:fill="E5E5E5"/>
          </w:tcPr>
          <w:p>
            <w:pPr>
              <w:spacing w:after="0"/>
              <w:rPr>
                <w:sz w:val="20"/>
                <w:szCs w:val="20"/>
                <w:color w:val="auto"/>
              </w:rPr>
            </w:pPr>
          </w:p>
        </w:tc>
        <w:tc>
          <w:tcPr>
            <w:tcW w:w="200" w:type="dxa"/>
            <w:vAlign w:val="bottom"/>
            <w:shd w:val="clear" w:color="auto" w:fill="E5E5E5"/>
          </w:tcPr>
          <w:p>
            <w:pPr>
              <w:spacing w:after="0"/>
              <w:rPr>
                <w:sz w:val="20"/>
                <w:szCs w:val="20"/>
                <w:color w:val="auto"/>
              </w:rPr>
            </w:pPr>
          </w:p>
        </w:tc>
        <w:tc>
          <w:tcPr>
            <w:tcW w:w="700" w:type="dxa"/>
            <w:vAlign w:val="bottom"/>
            <w:shd w:val="clear" w:color="auto" w:fill="E5E5E5"/>
          </w:tcPr>
          <w:p>
            <w:pPr>
              <w:spacing w:after="0"/>
              <w:rPr>
                <w:sz w:val="20"/>
                <w:szCs w:val="20"/>
                <w:color w:val="auto"/>
              </w:rPr>
            </w:pPr>
          </w:p>
        </w:tc>
        <w:tc>
          <w:tcPr>
            <w:tcW w:w="200" w:type="dxa"/>
            <w:vAlign w:val="bottom"/>
            <w:shd w:val="clear" w:color="auto" w:fill="E5E5E5"/>
          </w:tcPr>
          <w:p>
            <w:pPr>
              <w:spacing w:after="0"/>
              <w:rPr>
                <w:sz w:val="20"/>
                <w:szCs w:val="20"/>
                <w:color w:val="auto"/>
              </w:rPr>
            </w:pPr>
          </w:p>
        </w:tc>
        <w:tc>
          <w:tcPr>
            <w:tcW w:w="68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780" w:type="dxa"/>
            <w:vAlign w:val="bottom"/>
            <w:shd w:val="clear" w:color="auto" w:fill="E5E5E5"/>
          </w:tcPr>
          <w:p>
            <w:pPr>
              <w:spacing w:after="0"/>
              <w:rPr>
                <w:sz w:val="20"/>
                <w:szCs w:val="20"/>
                <w:color w:val="auto"/>
              </w:rPr>
            </w:pPr>
          </w:p>
        </w:tc>
        <w:tc>
          <w:tcPr>
            <w:tcW w:w="200" w:type="dxa"/>
            <w:vAlign w:val="bottom"/>
            <w:shd w:val="clear" w:color="auto" w:fill="E5E5E5"/>
          </w:tcPr>
          <w:p>
            <w:pPr>
              <w:spacing w:after="0"/>
              <w:rPr>
                <w:sz w:val="20"/>
                <w:szCs w:val="20"/>
                <w:color w:val="auto"/>
              </w:rPr>
            </w:pPr>
          </w:p>
        </w:tc>
        <w:tc>
          <w:tcPr>
            <w:tcW w:w="96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760" w:type="dxa"/>
            <w:vAlign w:val="bottom"/>
            <w:shd w:val="clear" w:color="auto" w:fill="E5E5E5"/>
          </w:tcPr>
          <w:p>
            <w:pPr>
              <w:spacing w:after="0"/>
              <w:rPr>
                <w:sz w:val="20"/>
                <w:szCs w:val="20"/>
                <w:color w:val="auto"/>
              </w:rPr>
            </w:pPr>
          </w:p>
        </w:tc>
        <w:tc>
          <w:tcPr>
            <w:tcW w:w="20" w:type="dxa"/>
            <w:vAlign w:val="bottom"/>
          </w:tcPr>
          <w:p>
            <w:pPr>
              <w:spacing w:after="0"/>
              <w:rPr>
                <w:sz w:val="20"/>
                <w:szCs w:val="20"/>
                <w:color w:val="auto"/>
              </w:rPr>
            </w:pPr>
          </w:p>
        </w:tc>
      </w:tr>
      <w:tr>
        <w:trPr>
          <w:trHeight w:val="208"/>
        </w:trPr>
        <w:tc>
          <w:tcPr>
            <w:tcW w:w="20" w:type="dxa"/>
            <w:vAlign w:val="bottom"/>
          </w:tcPr>
          <w:p>
            <w:pPr>
              <w:spacing w:after="0"/>
              <w:rPr>
                <w:sz w:val="18"/>
                <w:szCs w:val="18"/>
                <w:color w:val="auto"/>
              </w:rPr>
            </w:pPr>
          </w:p>
        </w:tc>
        <w:tc>
          <w:tcPr>
            <w:tcW w:w="3760" w:type="dxa"/>
            <w:vAlign w:val="bottom"/>
          </w:tcPr>
          <w:p>
            <w:pPr>
              <w:ind w:left="200"/>
              <w:spacing w:after="0"/>
              <w:rPr>
                <w:sz w:val="20"/>
                <w:szCs w:val="20"/>
                <w:color w:val="auto"/>
              </w:rPr>
            </w:pPr>
            <w:r>
              <w:rPr>
                <w:rFonts w:ascii="Arial" w:cs="Arial" w:eastAsia="Arial" w:hAnsi="Arial"/>
                <w:sz w:val="18"/>
                <w:szCs w:val="18"/>
                <w:color w:val="auto"/>
                <w:w w:val="91"/>
              </w:rPr>
              <w:t>Accounts payable and accrued expenses related</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760" w:type="dxa"/>
            <w:vAlign w:val="bottom"/>
          </w:tcPr>
          <w:p>
            <w:pPr>
              <w:ind w:left="420"/>
              <w:spacing w:after="0"/>
              <w:rPr>
                <w:sz w:val="20"/>
                <w:szCs w:val="20"/>
                <w:color w:val="auto"/>
              </w:rPr>
            </w:pPr>
            <w:r>
              <w:rPr>
                <w:rFonts w:ascii="Arial" w:cs="Arial" w:eastAsia="Arial" w:hAnsi="Arial"/>
                <w:sz w:val="18"/>
                <w:szCs w:val="18"/>
                <w:color w:val="auto"/>
              </w:rPr>
              <w:t>to trade creditors</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3,323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3,336</w:t>
            </w:r>
          </w:p>
        </w:tc>
      </w:tr>
      <w:tr>
        <w:trPr>
          <w:trHeight w:val="218"/>
        </w:trPr>
        <w:tc>
          <w:tcPr>
            <w:tcW w:w="20" w:type="dxa"/>
            <w:vAlign w:val="bottom"/>
          </w:tcPr>
          <w:p>
            <w:pPr>
              <w:spacing w:after="0"/>
              <w:rPr>
                <w:sz w:val="18"/>
                <w:szCs w:val="18"/>
                <w:color w:val="auto"/>
              </w:rPr>
            </w:pPr>
          </w:p>
        </w:tc>
        <w:tc>
          <w:tcPr>
            <w:tcW w:w="3760" w:type="dxa"/>
            <w:vAlign w:val="bottom"/>
            <w:shd w:val="clear" w:color="auto" w:fill="E5E5E5"/>
          </w:tcPr>
          <w:p>
            <w:pPr>
              <w:ind w:left="200"/>
              <w:spacing w:after="0"/>
              <w:rPr>
                <w:sz w:val="20"/>
                <w:szCs w:val="20"/>
                <w:color w:val="auto"/>
              </w:rPr>
            </w:pPr>
            <w:r>
              <w:rPr>
                <w:rFonts w:ascii="Arial" w:cs="Arial" w:eastAsia="Arial" w:hAnsi="Arial"/>
                <w:sz w:val="18"/>
                <w:szCs w:val="18"/>
                <w:color w:val="auto"/>
                <w:w w:val="97"/>
              </w:rPr>
              <w:t>Accrued expenses and other current liabilities</w:t>
            </w: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694</w:t>
            </w:r>
          </w:p>
        </w:tc>
        <w:tc>
          <w:tcPr>
            <w:tcW w:w="24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267</w:t>
            </w:r>
          </w:p>
        </w:tc>
        <w:tc>
          <w:tcPr>
            <w:tcW w:w="3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75</w:t>
            </w:r>
          </w:p>
        </w:tc>
        <w:tc>
          <w:tcPr>
            <w:tcW w:w="2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98</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74</w:t>
            </w:r>
          </w:p>
        </w:tc>
        <w:tc>
          <w:tcPr>
            <w:tcW w:w="2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1,913</w:t>
            </w:r>
          </w:p>
        </w:tc>
        <w:tc>
          <w:tcPr>
            <w:tcW w:w="20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3,121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Current portion of long-term debt</w:t>
            </w: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w:t>
            </w: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305</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48</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1,495</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760" w:type="dxa"/>
            <w:vAlign w:val="bottom"/>
            <w:shd w:val="clear" w:color="auto" w:fill="E5E5E5"/>
          </w:tcPr>
          <w:p>
            <w:pPr>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704</w:t>
            </w:r>
          </w:p>
        </w:tc>
        <w:tc>
          <w:tcPr>
            <w:tcW w:w="24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1,412</w:t>
            </w:r>
          </w:p>
        </w:tc>
        <w:tc>
          <w:tcPr>
            <w:tcW w:w="3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75</w:t>
            </w:r>
          </w:p>
        </w:tc>
        <w:tc>
          <w:tcPr>
            <w:tcW w:w="2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403</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74</w:t>
            </w:r>
          </w:p>
        </w:tc>
        <w:tc>
          <w:tcPr>
            <w:tcW w:w="2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5,284</w:t>
            </w:r>
          </w:p>
        </w:tc>
        <w:tc>
          <w:tcPr>
            <w:tcW w:w="20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7,952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28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19,133</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3,294</w:t>
            </w:r>
          </w:p>
        </w:tc>
        <w:tc>
          <w:tcPr>
            <w:tcW w:w="300" w:type="dxa"/>
            <w:vAlign w:val="bottom"/>
          </w:tcPr>
          <w:p>
            <w:pPr>
              <w:spacing w:after="0"/>
              <w:rPr>
                <w:sz w:val="18"/>
                <w:szCs w:val="18"/>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3,498</w:t>
            </w:r>
          </w:p>
        </w:tc>
        <w:tc>
          <w:tcPr>
            <w:tcW w:w="200" w:type="dxa"/>
            <w:vAlign w:val="bottom"/>
          </w:tcPr>
          <w:p>
            <w:pPr>
              <w:spacing w:after="0"/>
              <w:rPr>
                <w:sz w:val="18"/>
                <w:szCs w:val="18"/>
                <w:color w:val="auto"/>
              </w:rPr>
            </w:pP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2,713</w:t>
            </w:r>
          </w:p>
        </w:tc>
        <w:tc>
          <w:tcPr>
            <w:tcW w:w="20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908</w:t>
            </w:r>
          </w:p>
        </w:tc>
        <w:tc>
          <w:tcPr>
            <w:tcW w:w="220" w:type="dxa"/>
            <w:vAlign w:val="bottom"/>
          </w:tcPr>
          <w:p>
            <w:pPr>
              <w:spacing w:after="0"/>
              <w:rPr>
                <w:sz w:val="18"/>
                <w:szCs w:val="18"/>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282</w:t>
            </w:r>
          </w:p>
        </w:tc>
        <w:tc>
          <w:tcPr>
            <w:tcW w:w="200" w:type="dxa"/>
            <w:vAlign w:val="bottom"/>
          </w:tcPr>
          <w:p>
            <w:pPr>
              <w:spacing w:after="0"/>
              <w:rPr>
                <w:sz w:val="18"/>
                <w:szCs w:val="18"/>
                <w:color w:val="auto"/>
              </w:rPr>
            </w:pPr>
          </w:p>
        </w:tc>
        <w:tc>
          <w:tcPr>
            <w:tcW w:w="9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29,828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E5E5E5"/>
          </w:tcPr>
          <w:p>
            <w:pPr>
              <w:spacing w:after="0"/>
              <w:rPr>
                <w:sz w:val="20"/>
                <w:szCs w:val="20"/>
                <w:color w:val="auto"/>
              </w:rPr>
            </w:pPr>
            <w:r>
              <w:rPr>
                <w:rFonts w:ascii="Arial" w:cs="Arial" w:eastAsia="Arial" w:hAnsi="Arial"/>
                <w:sz w:val="18"/>
                <w:szCs w:val="18"/>
                <w:color w:val="auto"/>
              </w:rPr>
              <w:t>Deferred income taxes</w:t>
            </w: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6,256</w:t>
            </w:r>
          </w:p>
        </w:tc>
        <w:tc>
          <w:tcPr>
            <w:tcW w:w="24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1,015</w:t>
            </w:r>
          </w:p>
        </w:tc>
        <w:tc>
          <w:tcPr>
            <w:tcW w:w="2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19,609</w:t>
            </w:r>
          </w:p>
        </w:tc>
        <w:tc>
          <w:tcPr>
            <w:tcW w:w="20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26,880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8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1,059</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8"/>
                <w:szCs w:val="18"/>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116</w:t>
            </w:r>
          </w:p>
        </w:tc>
        <w:tc>
          <w:tcPr>
            <w:tcW w:w="220" w:type="dxa"/>
            <w:vAlign w:val="bottom"/>
          </w:tcPr>
          <w:p>
            <w:pPr>
              <w:spacing w:after="0"/>
              <w:rPr>
                <w:sz w:val="18"/>
                <w:szCs w:val="18"/>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5,986</w:t>
            </w:r>
          </w:p>
        </w:tc>
        <w:tc>
          <w:tcPr>
            <w:tcW w:w="200" w:type="dxa"/>
            <w:vAlign w:val="bottom"/>
          </w:tcPr>
          <w:p>
            <w:pPr>
              <w:spacing w:after="0"/>
              <w:rPr>
                <w:sz w:val="18"/>
                <w:szCs w:val="18"/>
                <w:color w:val="auto"/>
              </w:rPr>
            </w:pPr>
          </w:p>
        </w:tc>
        <w:tc>
          <w:tcPr>
            <w:tcW w:w="9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7,167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E5E5E5"/>
          </w:tcPr>
          <w:p>
            <w:pPr>
              <w:spacing w:after="0"/>
              <w:rPr>
                <w:sz w:val="20"/>
                <w:szCs w:val="20"/>
                <w:color w:val="auto"/>
              </w:rPr>
            </w:pPr>
            <w:r>
              <w:rPr>
                <w:rFonts w:ascii="Arial" w:cs="Arial" w:eastAsia="Arial" w:hAnsi="Arial"/>
                <w:sz w:val="18"/>
                <w:szCs w:val="18"/>
                <w:color w:val="auto"/>
              </w:rPr>
              <w:t>Minority interest</w:t>
            </w: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250</w:t>
            </w:r>
          </w:p>
        </w:tc>
        <w:tc>
          <w:tcPr>
            <w:tcW w:w="20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250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Common stock</w:t>
            </w: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34</w:t>
            </w:r>
          </w:p>
        </w:tc>
        <w:tc>
          <w:tcPr>
            <w:tcW w:w="24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stockholders’ equity</w:t>
            </w: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41,306</w:t>
            </w:r>
          </w:p>
        </w:tc>
        <w:tc>
          <w:tcPr>
            <w:tcW w:w="2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28,059</w:t>
            </w: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94"/>
              </w:rPr>
              <w:t>36,684</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40,240</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23,732</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83,603</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(212,318)</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41,306</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7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41,340</w:t>
            </w:r>
          </w:p>
        </w:tc>
        <w:tc>
          <w:tcPr>
            <w:tcW w:w="24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4"/>
              </w:rPr>
              <w:t>28,059</w:t>
            </w:r>
          </w:p>
        </w:tc>
        <w:tc>
          <w:tcPr>
            <w:tcW w:w="30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w w:val="94"/>
              </w:rPr>
              <w:t>36,684</w:t>
            </w:r>
          </w:p>
        </w:tc>
        <w:tc>
          <w:tcPr>
            <w:tcW w:w="20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rPr>
              <w:t>40,240</w:t>
            </w:r>
          </w:p>
        </w:tc>
        <w:tc>
          <w:tcPr>
            <w:tcW w:w="2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23,732</w:t>
            </w:r>
          </w:p>
        </w:tc>
        <w:tc>
          <w:tcPr>
            <w:tcW w:w="22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rPr>
              <w:t>83,603</w:t>
            </w:r>
          </w:p>
        </w:tc>
        <w:tc>
          <w:tcPr>
            <w:tcW w:w="200" w:type="dxa"/>
            <w:vAlign w:val="bottom"/>
            <w:tcBorders>
              <w:bottom w:val="single" w:sz="8" w:color="auto"/>
            </w:tcBorders>
            <w:shd w:val="clear" w:color="auto" w:fill="E5E5E5"/>
          </w:tcPr>
          <w:p>
            <w:pPr>
              <w:spacing w:after="0"/>
              <w:rPr>
                <w:sz w:val="18"/>
                <w:szCs w:val="18"/>
                <w:color w:val="auto"/>
              </w:rPr>
            </w:pPr>
          </w:p>
        </w:tc>
        <w:tc>
          <w:tcPr>
            <w:tcW w:w="96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(212,318)</w:t>
            </w:r>
          </w:p>
        </w:tc>
        <w:tc>
          <w:tcPr>
            <w:tcW w:w="2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41,340</w:t>
            </w: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68,492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32,771</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w w:val="94"/>
              </w:rPr>
              <w:t>40,257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43,356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25,845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w w:val="98"/>
              </w:rPr>
              <w:t>115,014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(212,318)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113,417</w:t>
            </w:r>
          </w:p>
        </w:tc>
        <w:tc>
          <w:tcPr>
            <w:tcW w:w="20" w:type="dxa"/>
            <w:vAlign w:val="bottom"/>
          </w:tcPr>
          <w:p>
            <w:pPr>
              <w:spacing w:after="0"/>
              <w:rPr>
                <w:sz w:val="18"/>
                <w:szCs w:val="18"/>
                <w:color w:val="auto"/>
              </w:rPr>
            </w:pPr>
          </w:p>
        </w:tc>
      </w:tr>
      <w:tr>
        <w:trPr>
          <w:trHeight w:val="363"/>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16</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Consolidating Statement of Operations</w:t>
      </w:r>
    </w:p>
    <w:p>
      <w:pPr>
        <w:jc w:val="center"/>
        <w:spacing w:after="0"/>
        <w:rPr>
          <w:sz w:val="20"/>
          <w:szCs w:val="20"/>
          <w:color w:val="auto"/>
        </w:rPr>
      </w:pPr>
      <w:r>
        <w:rPr>
          <w:rFonts w:ascii="Arial" w:cs="Arial" w:eastAsia="Arial" w:hAnsi="Arial"/>
          <w:sz w:val="22"/>
          <w:szCs w:val="22"/>
          <w:b w:val="1"/>
          <w:bCs w:val="1"/>
          <w:color w:val="auto"/>
        </w:rPr>
        <w:t>For the Three Months Ended June 30, 2008</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Combined</w:t>
            </w: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jc w:val="right"/>
              <w:ind w:right="333"/>
              <w:spacing w:after="0" w:line="149" w:lineRule="exact"/>
              <w:rPr>
                <w:sz w:val="20"/>
                <w:szCs w:val="20"/>
                <w:color w:val="auto"/>
              </w:rPr>
            </w:pPr>
            <w:r>
              <w:rPr>
                <w:rFonts w:ascii="Arial" w:cs="Arial" w:eastAsia="Arial" w:hAnsi="Arial"/>
                <w:sz w:val="14"/>
                <w:szCs w:val="14"/>
                <w:color w:val="auto"/>
              </w:rPr>
              <w:t>Non-</w:t>
            </w:r>
          </w:p>
        </w:tc>
        <w:tc>
          <w:tcPr>
            <w:tcW w:w="380" w:type="dxa"/>
            <w:vAlign w:val="bottom"/>
          </w:tcPr>
          <w:p>
            <w:pPr>
              <w:spacing w:after="0"/>
              <w:rPr>
                <w:sz w:val="12"/>
                <w:szCs w:val="12"/>
                <w:color w:val="auto"/>
              </w:rPr>
            </w:pPr>
          </w:p>
        </w:tc>
        <w:tc>
          <w:tcPr>
            <w:tcW w:w="820" w:type="dxa"/>
            <w:vAlign w:val="bottom"/>
          </w:tcPr>
          <w:p>
            <w:pPr>
              <w:jc w:val="center"/>
              <w:ind w:right="333"/>
              <w:spacing w:after="0" w:line="149" w:lineRule="exact"/>
              <w:rPr>
                <w:sz w:val="20"/>
                <w:szCs w:val="20"/>
                <w:color w:val="auto"/>
              </w:rPr>
            </w:pPr>
            <w:r>
              <w:rPr>
                <w:rFonts w:ascii="Arial" w:cs="Arial" w:eastAsia="Arial" w:hAnsi="Arial"/>
                <w:sz w:val="14"/>
                <w:szCs w:val="14"/>
                <w:color w:val="auto"/>
                <w:w w:val="85"/>
              </w:rPr>
              <w:t>and</w:t>
            </w:r>
          </w:p>
        </w:tc>
        <w:tc>
          <w:tcPr>
            <w:tcW w:w="960" w:type="dxa"/>
            <w:vAlign w:val="bottom"/>
            <w:gridSpan w:val="2"/>
          </w:tcPr>
          <w:p>
            <w:pPr>
              <w:ind w:left="180"/>
              <w:spacing w:after="0" w:line="149" w:lineRule="exact"/>
              <w:rPr>
                <w:sz w:val="20"/>
                <w:szCs w:val="20"/>
                <w:color w:val="auto"/>
              </w:rPr>
            </w:pPr>
            <w:r>
              <w:rPr>
                <w:rFonts w:ascii="Arial" w:cs="Arial" w:eastAsia="Arial" w:hAnsi="Arial"/>
                <w:sz w:val="14"/>
                <w:szCs w:val="14"/>
                <w:color w:val="auto"/>
                <w:w w:val="92"/>
              </w:rPr>
              <w:t>Consolidated</w:t>
            </w: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Comcast</w:t>
            </w:r>
          </w:p>
        </w:tc>
        <w:tc>
          <w:tcPr>
            <w:tcW w:w="7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CCCL</w:t>
            </w:r>
          </w:p>
        </w:tc>
        <w:tc>
          <w:tcPr>
            <w:tcW w:w="82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CCCH</w:t>
            </w:r>
          </w:p>
        </w:tc>
        <w:tc>
          <w:tcPr>
            <w:tcW w:w="98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CCHMO</w:t>
            </w:r>
          </w:p>
        </w:tc>
        <w:tc>
          <w:tcPr>
            <w:tcW w:w="9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Comcast</w:t>
            </w:r>
          </w:p>
        </w:tc>
        <w:tc>
          <w:tcPr>
            <w:tcW w:w="1080" w:type="dxa"/>
            <w:vAlign w:val="bottom"/>
            <w:gridSpan w:val="2"/>
          </w:tcPr>
          <w:p>
            <w:pPr>
              <w:jc w:val="right"/>
              <w:ind w:right="193"/>
              <w:spacing w:after="0" w:line="149" w:lineRule="exact"/>
              <w:rPr>
                <w:sz w:val="20"/>
                <w:szCs w:val="20"/>
                <w:color w:val="auto"/>
              </w:rPr>
            </w:pPr>
            <w:r>
              <w:rPr>
                <w:rFonts w:ascii="Arial" w:cs="Arial" w:eastAsia="Arial" w:hAnsi="Arial"/>
                <w:sz w:val="14"/>
                <w:szCs w:val="14"/>
                <w:color w:val="auto"/>
              </w:rPr>
              <w:t>Guarantor</w:t>
            </w:r>
          </w:p>
        </w:tc>
        <w:tc>
          <w:tcPr>
            <w:tcW w:w="12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Consolidation</w:t>
            </w:r>
          </w:p>
        </w:tc>
        <w:tc>
          <w:tcPr>
            <w:tcW w:w="280" w:type="dxa"/>
            <w:vAlign w:val="bottom"/>
          </w:tcPr>
          <w:p>
            <w:pPr>
              <w:spacing w:after="0"/>
              <w:rPr>
                <w:sz w:val="12"/>
                <w:szCs w:val="12"/>
                <w:color w:val="auto"/>
              </w:rPr>
            </w:pPr>
          </w:p>
        </w:tc>
        <w:tc>
          <w:tcPr>
            <w:tcW w:w="680" w:type="dxa"/>
            <w:vAlign w:val="bottom"/>
          </w:tcPr>
          <w:p>
            <w:pPr>
              <w:jc w:val="right"/>
              <w:ind w:right="93"/>
              <w:spacing w:after="0" w:line="149" w:lineRule="exact"/>
              <w:rPr>
                <w:sz w:val="20"/>
                <w:szCs w:val="20"/>
                <w:color w:val="auto"/>
              </w:rPr>
            </w:pPr>
            <w:r>
              <w:rPr>
                <w:rFonts w:ascii="Arial" w:cs="Arial" w:eastAsia="Arial" w:hAnsi="Arial"/>
                <w:sz w:val="14"/>
                <w:szCs w:val="14"/>
                <w:color w:val="auto"/>
                <w:w w:val="86"/>
              </w:rPr>
              <w:t>Comcast</w:t>
            </w:r>
          </w:p>
        </w:tc>
      </w:tr>
      <w:tr>
        <w:trPr>
          <w:trHeight w:val="173"/>
        </w:trPr>
        <w:tc>
          <w:tcPr>
            <w:tcW w:w="37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000" w:type="dxa"/>
            <w:vAlign w:val="bottom"/>
            <w:gridSpan w:val="2"/>
          </w:tcPr>
          <w:p>
            <w:pPr>
              <w:jc w:val="right"/>
              <w:ind w:right="212"/>
              <w:spacing w:after="0"/>
              <w:rPr>
                <w:sz w:val="20"/>
                <w:szCs w:val="20"/>
                <w:color w:val="auto"/>
              </w:rPr>
            </w:pPr>
            <w:r>
              <w:rPr>
                <w:rFonts w:ascii="Arial" w:cs="Arial" w:eastAsia="Arial" w:hAnsi="Arial"/>
                <w:sz w:val="14"/>
                <w:szCs w:val="14"/>
                <w:color w:val="auto"/>
              </w:rPr>
              <w:t>Parent</w:t>
            </w:r>
          </w:p>
        </w:tc>
        <w:tc>
          <w:tcPr>
            <w:tcW w:w="760" w:type="dxa"/>
            <w:vAlign w:val="bottom"/>
            <w:gridSpan w:val="2"/>
          </w:tcPr>
          <w:p>
            <w:pPr>
              <w:ind w:left="200"/>
              <w:spacing w:after="0"/>
              <w:rPr>
                <w:sz w:val="20"/>
                <w:szCs w:val="20"/>
                <w:color w:val="auto"/>
              </w:rPr>
            </w:pPr>
            <w:r>
              <w:rPr>
                <w:rFonts w:ascii="Arial" w:cs="Arial" w:eastAsia="Arial" w:hAnsi="Arial"/>
                <w:sz w:val="14"/>
                <w:szCs w:val="14"/>
                <w:color w:val="auto"/>
              </w:rPr>
              <w:t>Parent</w:t>
            </w:r>
          </w:p>
        </w:tc>
        <w:tc>
          <w:tcPr>
            <w:tcW w:w="820" w:type="dxa"/>
            <w:vAlign w:val="bottom"/>
            <w:gridSpan w:val="2"/>
          </w:tcPr>
          <w:p>
            <w:pPr>
              <w:jc w:val="right"/>
              <w:ind w:right="172"/>
              <w:spacing w:after="0"/>
              <w:rPr>
                <w:sz w:val="20"/>
                <w:szCs w:val="20"/>
                <w:color w:val="auto"/>
              </w:rPr>
            </w:pPr>
            <w:r>
              <w:rPr>
                <w:rFonts w:ascii="Arial" w:cs="Arial" w:eastAsia="Arial" w:hAnsi="Arial"/>
                <w:sz w:val="14"/>
                <w:szCs w:val="14"/>
                <w:color w:val="auto"/>
              </w:rPr>
              <w:t>Parent</w:t>
            </w:r>
          </w:p>
        </w:tc>
        <w:tc>
          <w:tcPr>
            <w:tcW w:w="980" w:type="dxa"/>
            <w:vAlign w:val="bottom"/>
            <w:gridSpan w:val="2"/>
          </w:tcPr>
          <w:p>
            <w:pPr>
              <w:jc w:val="right"/>
              <w:ind w:right="232"/>
              <w:spacing w:after="0"/>
              <w:rPr>
                <w:sz w:val="20"/>
                <w:szCs w:val="20"/>
                <w:color w:val="auto"/>
              </w:rPr>
            </w:pPr>
            <w:r>
              <w:rPr>
                <w:rFonts w:ascii="Arial" w:cs="Arial" w:eastAsia="Arial" w:hAnsi="Arial"/>
                <w:sz w:val="14"/>
                <w:szCs w:val="14"/>
                <w:color w:val="auto"/>
              </w:rPr>
              <w:t>Parents</w:t>
            </w:r>
          </w:p>
        </w:tc>
        <w:tc>
          <w:tcPr>
            <w:tcW w:w="920" w:type="dxa"/>
            <w:vAlign w:val="bottom"/>
            <w:gridSpan w:val="2"/>
          </w:tcPr>
          <w:p>
            <w:pPr>
              <w:ind w:left="200"/>
              <w:spacing w:after="0"/>
              <w:rPr>
                <w:sz w:val="20"/>
                <w:szCs w:val="20"/>
                <w:color w:val="auto"/>
              </w:rPr>
            </w:pPr>
            <w:r>
              <w:rPr>
                <w:rFonts w:ascii="Arial" w:cs="Arial" w:eastAsia="Arial" w:hAnsi="Arial"/>
                <w:sz w:val="14"/>
                <w:szCs w:val="14"/>
                <w:color w:val="auto"/>
              </w:rPr>
              <w:t>Holdings</w:t>
            </w:r>
          </w:p>
        </w:tc>
        <w:tc>
          <w:tcPr>
            <w:tcW w:w="1080" w:type="dxa"/>
            <w:vAlign w:val="bottom"/>
            <w:gridSpan w:val="2"/>
          </w:tcPr>
          <w:p>
            <w:pPr>
              <w:ind w:left="180"/>
              <w:spacing w:after="0"/>
              <w:rPr>
                <w:sz w:val="20"/>
                <w:szCs w:val="20"/>
                <w:color w:val="auto"/>
              </w:rPr>
            </w:pPr>
            <w:r>
              <w:rPr>
                <w:rFonts w:ascii="Arial" w:cs="Arial" w:eastAsia="Arial" w:hAnsi="Arial"/>
                <w:sz w:val="14"/>
                <w:szCs w:val="14"/>
                <w:color w:val="auto"/>
              </w:rPr>
              <w:t>Subsidiaries</w:t>
            </w:r>
          </w:p>
        </w:tc>
        <w:tc>
          <w:tcPr>
            <w:tcW w:w="120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960" w:type="dxa"/>
            <w:vAlign w:val="bottom"/>
            <w:gridSpan w:val="2"/>
          </w:tcPr>
          <w:p>
            <w:pPr>
              <w:jc w:val="right"/>
              <w:ind w:right="13"/>
              <w:spacing w:after="0"/>
              <w:rPr>
                <w:sz w:val="20"/>
                <w:szCs w:val="20"/>
                <w:color w:val="auto"/>
              </w:rPr>
            </w:pPr>
            <w:r>
              <w:rPr>
                <w:rFonts w:ascii="Arial" w:cs="Arial" w:eastAsia="Arial" w:hAnsi="Arial"/>
                <w:sz w:val="14"/>
                <w:szCs w:val="14"/>
                <w:color w:val="auto"/>
              </w:rPr>
              <w:t>Corporation</w:t>
            </w:r>
          </w:p>
        </w:tc>
      </w:tr>
      <w:tr>
        <w:trPr>
          <w:trHeight w:val="210"/>
        </w:trPr>
        <w:tc>
          <w:tcPr>
            <w:tcW w:w="20" w:type="dxa"/>
            <w:vAlign w:val="bottom"/>
          </w:tcPr>
          <w:p>
            <w:pPr>
              <w:spacing w:after="0"/>
              <w:rPr>
                <w:sz w:val="18"/>
                <w:szCs w:val="18"/>
                <w:color w:val="auto"/>
              </w:rPr>
            </w:pPr>
          </w:p>
        </w:tc>
        <w:tc>
          <w:tcPr>
            <w:tcW w:w="36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Revenue:</w:t>
            </w:r>
          </w:p>
        </w:tc>
        <w:tc>
          <w:tcPr>
            <w:tcW w:w="420" w:type="dxa"/>
            <w:vAlign w:val="bottom"/>
            <w:tcBorders>
              <w:top w:val="single" w:sz="8" w:color="auto"/>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480" w:type="dxa"/>
            <w:vAlign w:val="bottom"/>
            <w:tcBorders>
              <w:top w:val="single" w:sz="8" w:color="auto"/>
            </w:tcBorders>
            <w:shd w:val="clear" w:color="auto" w:fill="E5E5E5"/>
          </w:tcPr>
          <w:p>
            <w:pPr>
              <w:spacing w:after="0"/>
              <w:rPr>
                <w:sz w:val="18"/>
                <w:szCs w:val="18"/>
                <w:color w:val="auto"/>
              </w:rPr>
            </w:pPr>
          </w:p>
        </w:tc>
        <w:tc>
          <w:tcPr>
            <w:tcW w:w="300" w:type="dxa"/>
            <w:vAlign w:val="bottom"/>
            <w:tcBorders>
              <w:top w:val="single" w:sz="8" w:color="auto"/>
            </w:tcBorders>
            <w:shd w:val="clear" w:color="auto" w:fill="E5E5E5"/>
          </w:tcPr>
          <w:p>
            <w:pPr>
              <w:spacing w:after="0"/>
              <w:rPr>
                <w:sz w:val="18"/>
                <w:szCs w:val="18"/>
                <w:color w:val="auto"/>
              </w:rPr>
            </w:pPr>
          </w:p>
        </w:tc>
        <w:tc>
          <w:tcPr>
            <w:tcW w:w="520" w:type="dxa"/>
            <w:vAlign w:val="bottom"/>
            <w:tcBorders>
              <w:top w:val="single" w:sz="8" w:color="auto"/>
            </w:tcBorders>
            <w:shd w:val="clear" w:color="auto" w:fill="E5E5E5"/>
          </w:tcPr>
          <w:p>
            <w:pPr>
              <w:spacing w:after="0"/>
              <w:rPr>
                <w:sz w:val="18"/>
                <w:szCs w:val="18"/>
                <w:color w:val="auto"/>
              </w:rPr>
            </w:pPr>
          </w:p>
        </w:tc>
        <w:tc>
          <w:tcPr>
            <w:tcW w:w="38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56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760" w:type="dxa"/>
            <w:vAlign w:val="bottom"/>
            <w:tcBorders>
              <w:top w:val="single" w:sz="8" w:color="auto"/>
            </w:tcBorders>
            <w:shd w:val="clear" w:color="auto" w:fill="E5E5E5"/>
          </w:tcPr>
          <w:p>
            <w:pPr>
              <w:spacing w:after="0"/>
              <w:rPr>
                <w:sz w:val="18"/>
                <w:szCs w:val="18"/>
                <w:color w:val="auto"/>
              </w:rPr>
            </w:pPr>
          </w:p>
        </w:tc>
        <w:tc>
          <w:tcPr>
            <w:tcW w:w="380" w:type="dxa"/>
            <w:vAlign w:val="bottom"/>
            <w:tcBorders>
              <w:top w:val="single" w:sz="8" w:color="auto"/>
            </w:tcBorders>
            <w:shd w:val="clear" w:color="auto" w:fill="E5E5E5"/>
          </w:tcPr>
          <w:p>
            <w:pPr>
              <w:spacing w:after="0"/>
              <w:rPr>
                <w:sz w:val="18"/>
                <w:szCs w:val="18"/>
                <w:color w:val="auto"/>
              </w:rPr>
            </w:pPr>
          </w:p>
        </w:tc>
        <w:tc>
          <w:tcPr>
            <w:tcW w:w="82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200"/>
              <w:spacing w:after="0"/>
              <w:rPr>
                <w:sz w:val="20"/>
                <w:szCs w:val="20"/>
                <w:color w:val="auto"/>
              </w:rPr>
            </w:pPr>
            <w:r>
              <w:rPr>
                <w:rFonts w:ascii="Arial" w:cs="Arial" w:eastAsia="Arial" w:hAnsi="Arial"/>
                <w:sz w:val="18"/>
                <w:szCs w:val="18"/>
                <w:color w:val="auto"/>
              </w:rPr>
              <w:t>Service revenue</w:t>
            </w:r>
          </w:p>
        </w:tc>
        <w:tc>
          <w:tcPr>
            <w:tcW w:w="420" w:type="dxa"/>
            <w:vAlign w:val="bottom"/>
          </w:tcPr>
          <w:p>
            <w:pPr>
              <w:ind w:left="30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Pr>
          <w:p>
            <w:pPr>
              <w:ind w:left="18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tcPr>
          <w:p>
            <w:pPr>
              <w:jc w:val="center"/>
              <w:ind w:left="12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tcPr>
          <w:p>
            <w:pPr>
              <w:ind w:left="18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tcPr>
          <w:p>
            <w:pPr>
              <w:ind w:left="18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Pr>
          <w:p>
            <w:pPr>
              <w:ind w:left="18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53"/>
              <w:spacing w:after="0"/>
              <w:rPr>
                <w:sz w:val="20"/>
                <w:szCs w:val="20"/>
                <w:color w:val="auto"/>
              </w:rPr>
            </w:pPr>
            <w:r>
              <w:rPr>
                <w:rFonts w:ascii="Arial" w:cs="Arial" w:eastAsia="Arial" w:hAnsi="Arial"/>
                <w:sz w:val="18"/>
                <w:szCs w:val="18"/>
                <w:color w:val="auto"/>
              </w:rPr>
              <w:t>8,553</w:t>
            </w:r>
          </w:p>
        </w:tc>
        <w:tc>
          <w:tcPr>
            <w:tcW w:w="380" w:type="dxa"/>
            <w:vAlign w:val="bottom"/>
          </w:tcPr>
          <w:p>
            <w:pPr>
              <w:jc w:val="right"/>
              <w:ind w:right="24"/>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280" w:type="dxa"/>
            <w:vAlign w:val="bottom"/>
          </w:tcPr>
          <w:p>
            <w:pPr>
              <w:ind w:left="18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8,553</w:t>
            </w:r>
          </w:p>
        </w:tc>
      </w:tr>
      <w:tr>
        <w:trPr>
          <w:trHeight w:val="216"/>
        </w:trPr>
        <w:tc>
          <w:tcPr>
            <w:tcW w:w="20" w:type="dxa"/>
            <w:vAlign w:val="bottom"/>
          </w:tcPr>
          <w:p>
            <w:pPr>
              <w:spacing w:after="0"/>
              <w:rPr>
                <w:sz w:val="18"/>
                <w:szCs w:val="18"/>
                <w:color w:val="auto"/>
              </w:rPr>
            </w:pPr>
          </w:p>
        </w:tc>
        <w:tc>
          <w:tcPr>
            <w:tcW w:w="368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Management fee revenue</w:t>
            </w:r>
          </w:p>
        </w:tc>
        <w:tc>
          <w:tcPr>
            <w:tcW w:w="4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192</w:t>
            </w:r>
          </w:p>
        </w:tc>
        <w:tc>
          <w:tcPr>
            <w:tcW w:w="28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56</w:t>
            </w:r>
          </w:p>
        </w:tc>
        <w:tc>
          <w:tcPr>
            <w:tcW w:w="3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w w:val="86"/>
              </w:rPr>
              <w:t>103</w:t>
            </w:r>
          </w:p>
        </w:tc>
        <w:tc>
          <w:tcPr>
            <w:tcW w:w="3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103</w:t>
            </w:r>
          </w:p>
        </w:tc>
        <w:tc>
          <w:tcPr>
            <w:tcW w:w="36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(454)</w:t>
            </w:r>
          </w:p>
        </w:tc>
        <w:tc>
          <w:tcPr>
            <w:tcW w:w="2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36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192</w:t>
            </w:r>
          </w:p>
        </w:tc>
        <w:tc>
          <w:tcPr>
            <w:tcW w:w="2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56</w:t>
            </w:r>
          </w:p>
        </w:tc>
        <w:tc>
          <w:tcPr>
            <w:tcW w:w="3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86"/>
              </w:rPr>
              <w:t>103</w:t>
            </w:r>
          </w:p>
        </w:tc>
        <w:tc>
          <w:tcPr>
            <w:tcW w:w="3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103</w:t>
            </w:r>
          </w:p>
        </w:tc>
        <w:tc>
          <w:tcPr>
            <w:tcW w:w="3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8,553</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(454)</w:t>
            </w: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8,553</w:t>
            </w:r>
          </w:p>
        </w:tc>
      </w:tr>
      <w:tr>
        <w:trPr>
          <w:trHeight w:val="210"/>
        </w:trPr>
        <w:tc>
          <w:tcPr>
            <w:tcW w:w="20" w:type="dxa"/>
            <w:vAlign w:val="bottom"/>
          </w:tcPr>
          <w:p>
            <w:pPr>
              <w:spacing w:after="0"/>
              <w:rPr>
                <w:sz w:val="18"/>
                <w:szCs w:val="18"/>
                <w:color w:val="auto"/>
              </w:rPr>
            </w:pPr>
          </w:p>
        </w:tc>
        <w:tc>
          <w:tcPr>
            <w:tcW w:w="3680" w:type="dxa"/>
            <w:vAlign w:val="bottom"/>
            <w:shd w:val="clear" w:color="auto" w:fill="E5E5E5"/>
          </w:tcPr>
          <w:p>
            <w:pPr>
              <w:spacing w:after="0"/>
              <w:rPr>
                <w:sz w:val="20"/>
                <w:szCs w:val="20"/>
                <w:color w:val="auto"/>
              </w:rPr>
            </w:pPr>
            <w:r>
              <w:rPr>
                <w:rFonts w:ascii="Arial" w:cs="Arial" w:eastAsia="Arial" w:hAnsi="Arial"/>
                <w:sz w:val="18"/>
                <w:szCs w:val="18"/>
                <w:color w:val="auto"/>
              </w:rPr>
              <w:t>Costs and Expenses:</w:t>
            </w:r>
          </w:p>
        </w:tc>
        <w:tc>
          <w:tcPr>
            <w:tcW w:w="4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3680" w:type="dxa"/>
            <w:vAlign w:val="bottom"/>
          </w:tcPr>
          <w:p>
            <w:pPr>
              <w:ind w:left="200"/>
              <w:spacing w:after="0"/>
              <w:rPr>
                <w:sz w:val="20"/>
                <w:szCs w:val="20"/>
                <w:color w:val="auto"/>
              </w:rPr>
            </w:pPr>
            <w:r>
              <w:rPr>
                <w:rFonts w:ascii="Arial" w:cs="Arial" w:eastAsia="Arial" w:hAnsi="Arial"/>
                <w:sz w:val="18"/>
                <w:szCs w:val="18"/>
                <w:color w:val="auto"/>
              </w:rPr>
              <w:t>Operating (excluding depreciation and</w:t>
            </w: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680" w:type="dxa"/>
            <w:vAlign w:val="bottom"/>
          </w:tcPr>
          <w:p>
            <w:pPr>
              <w:ind w:left="420"/>
              <w:spacing w:after="0"/>
              <w:rPr>
                <w:sz w:val="20"/>
                <w:szCs w:val="20"/>
                <w:color w:val="auto"/>
              </w:rPr>
            </w:pPr>
            <w:r>
              <w:rPr>
                <w:rFonts w:ascii="Arial" w:cs="Arial" w:eastAsia="Arial" w:hAnsi="Arial"/>
                <w:sz w:val="18"/>
                <w:szCs w:val="18"/>
                <w:color w:val="auto"/>
              </w:rPr>
              <w:t>amortization)</w:t>
            </w:r>
          </w:p>
        </w:tc>
        <w:tc>
          <w:tcPr>
            <w:tcW w:w="420" w:type="dxa"/>
            <w:vAlign w:val="bottom"/>
          </w:tcPr>
          <w:p>
            <w:pPr>
              <w:spacing w:after="0"/>
              <w:rPr>
                <w:sz w:val="19"/>
                <w:szCs w:val="19"/>
                <w:color w:val="auto"/>
              </w:rPr>
            </w:pPr>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4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6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60" w:type="dxa"/>
            <w:vAlign w:val="bottom"/>
          </w:tcPr>
          <w:p>
            <w:pPr>
              <w:jc w:val="right"/>
              <w:ind w:right="153"/>
              <w:spacing w:after="0"/>
              <w:rPr>
                <w:sz w:val="20"/>
                <w:szCs w:val="20"/>
                <w:color w:val="auto"/>
              </w:rPr>
            </w:pPr>
            <w:r>
              <w:rPr>
                <w:rFonts w:ascii="Arial" w:cs="Arial" w:eastAsia="Arial" w:hAnsi="Arial"/>
                <w:sz w:val="18"/>
                <w:szCs w:val="18"/>
                <w:color w:val="auto"/>
              </w:rPr>
              <w:t>3,091</w:t>
            </w:r>
          </w:p>
        </w:tc>
        <w:tc>
          <w:tcPr>
            <w:tcW w:w="380" w:type="dxa"/>
            <w:vAlign w:val="bottom"/>
          </w:tcPr>
          <w:p>
            <w:pPr>
              <w:spacing w:after="0"/>
              <w:rPr>
                <w:sz w:val="19"/>
                <w:szCs w:val="19"/>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3,091</w:t>
            </w:r>
          </w:p>
        </w:tc>
      </w:tr>
      <w:tr>
        <w:trPr>
          <w:trHeight w:val="217"/>
        </w:trPr>
        <w:tc>
          <w:tcPr>
            <w:tcW w:w="20" w:type="dxa"/>
            <w:vAlign w:val="bottom"/>
          </w:tcPr>
          <w:p>
            <w:pPr>
              <w:spacing w:after="0"/>
              <w:rPr>
                <w:sz w:val="18"/>
                <w:szCs w:val="18"/>
                <w:color w:val="auto"/>
              </w:rPr>
            </w:pPr>
          </w:p>
        </w:tc>
        <w:tc>
          <w:tcPr>
            <w:tcW w:w="36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Selling, general and administrative</w:t>
            </w:r>
          </w:p>
        </w:tc>
        <w:tc>
          <w:tcPr>
            <w:tcW w:w="4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93</w:t>
            </w:r>
          </w:p>
        </w:tc>
        <w:tc>
          <w:tcPr>
            <w:tcW w:w="28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56</w:t>
            </w:r>
          </w:p>
        </w:tc>
        <w:tc>
          <w:tcPr>
            <w:tcW w:w="30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w w:val="86"/>
              </w:rPr>
              <w:t>103</w:t>
            </w:r>
          </w:p>
        </w:tc>
        <w:tc>
          <w:tcPr>
            <w:tcW w:w="3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103</w:t>
            </w:r>
          </w:p>
        </w:tc>
        <w:tc>
          <w:tcPr>
            <w:tcW w:w="36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22</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2,188</w:t>
            </w:r>
          </w:p>
        </w:tc>
        <w:tc>
          <w:tcPr>
            <w:tcW w:w="3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(454)</w:t>
            </w: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2,111</w:t>
            </w:r>
          </w:p>
        </w:tc>
      </w:tr>
      <w:tr>
        <w:trPr>
          <w:trHeight w:val="216"/>
        </w:trPr>
        <w:tc>
          <w:tcPr>
            <w:tcW w:w="20" w:type="dxa"/>
            <w:vAlign w:val="bottom"/>
          </w:tcPr>
          <w:p>
            <w:pPr>
              <w:spacing w:after="0"/>
              <w:rPr>
                <w:sz w:val="18"/>
                <w:szCs w:val="18"/>
                <w:color w:val="auto"/>
              </w:rPr>
            </w:pPr>
          </w:p>
        </w:tc>
        <w:tc>
          <w:tcPr>
            <w:tcW w:w="368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420" w:type="dxa"/>
            <w:vAlign w:val="bottom"/>
          </w:tcPr>
          <w:p>
            <w:pPr>
              <w:spacing w:after="0"/>
              <w:rPr>
                <w:sz w:val="18"/>
                <w:szCs w:val="18"/>
                <w:color w:val="auto"/>
              </w:rPr>
            </w:pPr>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4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6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60" w:type="dxa"/>
            <w:vAlign w:val="bottom"/>
          </w:tcPr>
          <w:p>
            <w:pPr>
              <w:jc w:val="right"/>
              <w:ind w:right="153"/>
              <w:spacing w:after="0"/>
              <w:rPr>
                <w:sz w:val="20"/>
                <w:szCs w:val="20"/>
                <w:color w:val="auto"/>
              </w:rPr>
            </w:pPr>
            <w:r>
              <w:rPr>
                <w:rFonts w:ascii="Arial" w:cs="Arial" w:eastAsia="Arial" w:hAnsi="Arial"/>
                <w:sz w:val="18"/>
                <w:szCs w:val="18"/>
                <w:color w:val="auto"/>
              </w:rPr>
              <w:t>1,366</w:t>
            </w:r>
          </w:p>
        </w:tc>
        <w:tc>
          <w:tcPr>
            <w:tcW w:w="380" w:type="dxa"/>
            <w:vAlign w:val="bottom"/>
          </w:tcPr>
          <w:p>
            <w:pPr>
              <w:spacing w:after="0"/>
              <w:rPr>
                <w:sz w:val="18"/>
                <w:szCs w:val="18"/>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1,371</w:t>
            </w:r>
          </w:p>
        </w:tc>
      </w:tr>
      <w:tr>
        <w:trPr>
          <w:trHeight w:val="216"/>
        </w:trPr>
        <w:tc>
          <w:tcPr>
            <w:tcW w:w="20" w:type="dxa"/>
            <w:vAlign w:val="bottom"/>
          </w:tcPr>
          <w:p>
            <w:pPr>
              <w:spacing w:after="0"/>
              <w:rPr>
                <w:sz w:val="18"/>
                <w:szCs w:val="18"/>
                <w:color w:val="auto"/>
              </w:rPr>
            </w:pPr>
          </w:p>
        </w:tc>
        <w:tc>
          <w:tcPr>
            <w:tcW w:w="368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Amortization</w:t>
            </w:r>
          </w:p>
        </w:tc>
        <w:tc>
          <w:tcPr>
            <w:tcW w:w="4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230</w:t>
            </w:r>
          </w:p>
        </w:tc>
        <w:tc>
          <w:tcPr>
            <w:tcW w:w="38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230</w:t>
            </w:r>
          </w:p>
        </w:tc>
      </w:tr>
      <w:tr>
        <w:trPr>
          <w:trHeight w:val="210"/>
        </w:trPr>
        <w:tc>
          <w:tcPr>
            <w:tcW w:w="20" w:type="dxa"/>
            <w:vAlign w:val="bottom"/>
          </w:tcPr>
          <w:p>
            <w:pPr>
              <w:spacing w:after="0"/>
              <w:rPr>
                <w:sz w:val="18"/>
                <w:szCs w:val="18"/>
                <w:color w:val="auto"/>
              </w:rPr>
            </w:pPr>
          </w:p>
        </w:tc>
        <w:tc>
          <w:tcPr>
            <w:tcW w:w="36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98</w:t>
            </w:r>
          </w:p>
        </w:tc>
        <w:tc>
          <w:tcPr>
            <w:tcW w:w="2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56</w:t>
            </w:r>
          </w:p>
        </w:tc>
        <w:tc>
          <w:tcPr>
            <w:tcW w:w="3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86"/>
              </w:rPr>
              <w:t>103</w:t>
            </w:r>
          </w:p>
        </w:tc>
        <w:tc>
          <w:tcPr>
            <w:tcW w:w="3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103</w:t>
            </w:r>
          </w:p>
        </w:tc>
        <w:tc>
          <w:tcPr>
            <w:tcW w:w="3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22</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6,875</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(454)</w:t>
            </w: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6,803</w:t>
            </w:r>
          </w:p>
        </w:tc>
      </w:tr>
      <w:tr>
        <w:trPr>
          <w:trHeight w:val="210"/>
        </w:trPr>
        <w:tc>
          <w:tcPr>
            <w:tcW w:w="20" w:type="dxa"/>
            <w:vAlign w:val="bottom"/>
          </w:tcPr>
          <w:p>
            <w:pPr>
              <w:spacing w:after="0"/>
              <w:rPr>
                <w:sz w:val="18"/>
                <w:szCs w:val="18"/>
                <w:color w:val="auto"/>
              </w:rPr>
            </w:pPr>
          </w:p>
        </w:tc>
        <w:tc>
          <w:tcPr>
            <w:tcW w:w="368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w:t>
            </w:r>
          </w:p>
        </w:tc>
        <w:tc>
          <w:tcPr>
            <w:tcW w:w="4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94</w:t>
            </w:r>
          </w:p>
        </w:tc>
        <w:tc>
          <w:tcPr>
            <w:tcW w:w="28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(22)</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1,678</w:t>
            </w:r>
          </w:p>
        </w:tc>
        <w:tc>
          <w:tcPr>
            <w:tcW w:w="3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1,750</w:t>
            </w: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Other Income (Expense):</w:t>
            </w: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Interest expense</w:t>
            </w:r>
          </w:p>
        </w:tc>
        <w:tc>
          <w:tcPr>
            <w:tcW w:w="4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90"/>
              </w:rPr>
              <w:t>(320)</w:t>
            </w:r>
          </w:p>
        </w:tc>
        <w:tc>
          <w:tcPr>
            <w:tcW w:w="28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w w:val="93"/>
              </w:rPr>
              <w:t>(77)</w:t>
            </w:r>
          </w:p>
        </w:tc>
        <w:tc>
          <w:tcPr>
            <w:tcW w:w="30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99"/>
              </w:rPr>
              <w:t>(82)</w:t>
            </w:r>
          </w:p>
        </w:tc>
        <w:tc>
          <w:tcPr>
            <w:tcW w:w="3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(54)</w:t>
            </w:r>
          </w:p>
        </w:tc>
        <w:tc>
          <w:tcPr>
            <w:tcW w:w="36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(52)</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(33)</w:t>
            </w:r>
          </w:p>
        </w:tc>
        <w:tc>
          <w:tcPr>
            <w:tcW w:w="3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(618)</w:t>
            </w:r>
          </w:p>
        </w:tc>
      </w:tr>
      <w:tr>
        <w:trPr>
          <w:trHeight w:val="216"/>
        </w:trPr>
        <w:tc>
          <w:tcPr>
            <w:tcW w:w="20" w:type="dxa"/>
            <w:vAlign w:val="bottom"/>
          </w:tcPr>
          <w:p>
            <w:pPr>
              <w:spacing w:after="0"/>
              <w:rPr>
                <w:sz w:val="18"/>
                <w:szCs w:val="18"/>
                <w:color w:val="auto"/>
              </w:rPr>
            </w:pPr>
          </w:p>
        </w:tc>
        <w:tc>
          <w:tcPr>
            <w:tcW w:w="3680" w:type="dxa"/>
            <w:vAlign w:val="bottom"/>
          </w:tcPr>
          <w:p>
            <w:pPr>
              <w:ind w:left="200"/>
              <w:spacing w:after="0"/>
              <w:rPr>
                <w:sz w:val="20"/>
                <w:szCs w:val="20"/>
                <w:color w:val="auto"/>
              </w:rPr>
            </w:pPr>
            <w:r>
              <w:rPr>
                <w:rFonts w:ascii="Arial" w:cs="Arial" w:eastAsia="Arial" w:hAnsi="Arial"/>
                <w:sz w:val="18"/>
                <w:szCs w:val="18"/>
                <w:color w:val="auto"/>
              </w:rPr>
              <w:t>Investment income (loss), net</w:t>
            </w:r>
          </w:p>
        </w:tc>
        <w:tc>
          <w:tcPr>
            <w:tcW w:w="4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4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6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60" w:type="dxa"/>
            <w:vAlign w:val="bottom"/>
          </w:tcPr>
          <w:p>
            <w:pPr>
              <w:jc w:val="right"/>
              <w:ind w:right="92"/>
              <w:spacing w:after="0"/>
              <w:rPr>
                <w:sz w:val="20"/>
                <w:szCs w:val="20"/>
                <w:color w:val="auto"/>
              </w:rPr>
            </w:pPr>
            <w:r>
              <w:rPr>
                <w:rFonts w:ascii="Arial" w:cs="Arial" w:eastAsia="Arial" w:hAnsi="Arial"/>
                <w:sz w:val="18"/>
                <w:szCs w:val="18"/>
                <w:color w:val="auto"/>
              </w:rPr>
              <w:t>(43)</w:t>
            </w:r>
          </w:p>
        </w:tc>
        <w:tc>
          <w:tcPr>
            <w:tcW w:w="32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(25)</w:t>
            </w:r>
          </w:p>
        </w:tc>
        <w:tc>
          <w:tcPr>
            <w:tcW w:w="380" w:type="dxa"/>
            <w:vAlign w:val="bottom"/>
          </w:tcPr>
          <w:p>
            <w:pPr>
              <w:spacing w:after="0"/>
              <w:rPr>
                <w:sz w:val="18"/>
                <w:szCs w:val="18"/>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20" w:type="dxa"/>
            <w:vAlign w:val="bottom"/>
          </w:tcPr>
          <w:p>
            <w:pPr>
              <w:spacing w:after="0"/>
              <w:rPr>
                <w:sz w:val="18"/>
                <w:szCs w:val="18"/>
                <w:color w:val="auto"/>
              </w:rPr>
            </w:pPr>
          </w:p>
        </w:tc>
        <w:tc>
          <w:tcPr>
            <w:tcW w:w="3680" w:type="dxa"/>
            <w:vAlign w:val="bottom"/>
            <w:shd w:val="clear" w:color="auto" w:fill="E5E5E5"/>
          </w:tcPr>
          <w:p>
            <w:pPr>
              <w:ind w:left="200"/>
              <w:spacing w:after="0"/>
              <w:rPr>
                <w:sz w:val="20"/>
                <w:szCs w:val="20"/>
                <w:color w:val="auto"/>
              </w:rPr>
            </w:pPr>
            <w:r>
              <w:rPr>
                <w:rFonts w:ascii="Arial" w:cs="Arial" w:eastAsia="Arial" w:hAnsi="Arial"/>
                <w:sz w:val="18"/>
                <w:szCs w:val="18"/>
                <w:color w:val="auto"/>
                <w:w w:val="97"/>
              </w:rPr>
              <w:t>Equity in net (losses) income of affiliates, net</w:t>
            </w:r>
          </w:p>
        </w:tc>
        <w:tc>
          <w:tcPr>
            <w:tcW w:w="4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781</w:t>
            </w:r>
          </w:p>
        </w:tc>
        <w:tc>
          <w:tcPr>
            <w:tcW w:w="28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79"/>
              </w:rPr>
              <w:t>370</w:t>
            </w:r>
          </w:p>
        </w:tc>
        <w:tc>
          <w:tcPr>
            <w:tcW w:w="30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w w:val="86"/>
              </w:rPr>
              <w:t>639</w:t>
            </w:r>
          </w:p>
        </w:tc>
        <w:tc>
          <w:tcPr>
            <w:tcW w:w="3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673</w:t>
            </w:r>
          </w:p>
        </w:tc>
        <w:tc>
          <w:tcPr>
            <w:tcW w:w="36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w w:val="99"/>
              </w:rPr>
              <w:t>296</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13</w:t>
            </w:r>
          </w:p>
        </w:tc>
        <w:tc>
          <w:tcPr>
            <w:tcW w:w="3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(2,785)</w:t>
            </w: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36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income (expense)</w:t>
            </w:r>
          </w:p>
        </w:tc>
        <w:tc>
          <w:tcPr>
            <w:tcW w:w="4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26</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10"/>
        </w:trPr>
        <w:tc>
          <w:tcPr>
            <w:tcW w:w="20" w:type="dxa"/>
            <w:vAlign w:val="bottom"/>
          </w:tcPr>
          <w:p>
            <w:pPr>
              <w:spacing w:after="0"/>
              <w:rPr>
                <w:sz w:val="18"/>
                <w:szCs w:val="18"/>
                <w:color w:val="auto"/>
              </w:rPr>
            </w:pPr>
          </w:p>
        </w:tc>
        <w:tc>
          <w:tcPr>
            <w:tcW w:w="368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458</w:t>
            </w:r>
          </w:p>
        </w:tc>
        <w:tc>
          <w:tcPr>
            <w:tcW w:w="28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w w:val="79"/>
              </w:rPr>
              <w:t>293</w:t>
            </w:r>
          </w:p>
        </w:tc>
        <w:tc>
          <w:tcPr>
            <w:tcW w:w="3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w w:val="86"/>
              </w:rPr>
              <w:t>557</w:t>
            </w:r>
          </w:p>
        </w:tc>
        <w:tc>
          <w:tcPr>
            <w:tcW w:w="3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619</w:t>
            </w:r>
          </w:p>
        </w:tc>
        <w:tc>
          <w:tcPr>
            <w:tcW w:w="36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w w:val="99"/>
              </w:rPr>
              <w:t>201</w:t>
            </w:r>
          </w:p>
        </w:tc>
        <w:tc>
          <w:tcPr>
            <w:tcW w:w="3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(19)</w:t>
            </w:r>
          </w:p>
        </w:tc>
        <w:tc>
          <w:tcPr>
            <w:tcW w:w="38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(2,785)</w:t>
            </w:r>
          </w:p>
        </w:tc>
        <w:tc>
          <w:tcPr>
            <w:tcW w:w="2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(676)</w:t>
            </w:r>
          </w:p>
        </w:tc>
      </w:tr>
      <w:tr>
        <w:trPr>
          <w:trHeight w:val="201"/>
        </w:trPr>
        <w:tc>
          <w:tcPr>
            <w:tcW w:w="20" w:type="dxa"/>
            <w:vAlign w:val="bottom"/>
          </w:tcPr>
          <w:p>
            <w:pPr>
              <w:spacing w:after="0"/>
              <w:rPr>
                <w:sz w:val="17"/>
                <w:szCs w:val="17"/>
                <w:color w:val="auto"/>
              </w:rPr>
            </w:pPr>
          </w:p>
        </w:tc>
        <w:tc>
          <w:tcPr>
            <w:tcW w:w="3680" w:type="dxa"/>
            <w:vAlign w:val="bottom"/>
          </w:tcPr>
          <w:p>
            <w:pPr>
              <w:spacing w:after="0" w:line="201" w:lineRule="exact"/>
              <w:rPr>
                <w:sz w:val="20"/>
                <w:szCs w:val="20"/>
                <w:color w:val="auto"/>
              </w:rPr>
            </w:pPr>
            <w:r>
              <w:rPr>
                <w:rFonts w:ascii="Arial" w:cs="Arial" w:eastAsia="Arial" w:hAnsi="Arial"/>
                <w:sz w:val="18"/>
                <w:szCs w:val="18"/>
                <w:color w:val="auto"/>
                <w:w w:val="96"/>
              </w:rPr>
              <w:t>Income (loss) before income taxes and minority</w:t>
            </w: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3680" w:type="dxa"/>
            <w:vAlign w:val="bottom"/>
          </w:tcPr>
          <w:p>
            <w:pPr>
              <w:ind w:left="200"/>
              <w:spacing w:after="0"/>
              <w:rPr>
                <w:sz w:val="20"/>
                <w:szCs w:val="20"/>
                <w:color w:val="auto"/>
              </w:rPr>
            </w:pPr>
            <w:r>
              <w:rPr>
                <w:rFonts w:ascii="Arial" w:cs="Arial" w:eastAsia="Arial" w:hAnsi="Arial"/>
                <w:sz w:val="18"/>
                <w:szCs w:val="18"/>
                <w:color w:val="auto"/>
              </w:rPr>
              <w:t>interest</w:t>
            </w:r>
          </w:p>
        </w:tc>
        <w:tc>
          <w:tcPr>
            <w:tcW w:w="420" w:type="dxa"/>
            <w:vAlign w:val="bottom"/>
          </w:tcPr>
          <w:p>
            <w:pPr>
              <w:spacing w:after="0"/>
              <w:rPr>
                <w:sz w:val="19"/>
                <w:szCs w:val="19"/>
                <w:color w:val="auto"/>
              </w:rPr>
            </w:pPr>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552</w:t>
            </w:r>
          </w:p>
        </w:tc>
        <w:tc>
          <w:tcPr>
            <w:tcW w:w="280" w:type="dxa"/>
            <w:vAlign w:val="bottom"/>
          </w:tcPr>
          <w:p>
            <w:pPr>
              <w:spacing w:after="0"/>
              <w:rPr>
                <w:sz w:val="19"/>
                <w:szCs w:val="19"/>
                <w:color w:val="auto"/>
              </w:rPr>
            </w:pPr>
          </w:p>
        </w:tc>
        <w:tc>
          <w:tcPr>
            <w:tcW w:w="480" w:type="dxa"/>
            <w:vAlign w:val="bottom"/>
          </w:tcPr>
          <w:p>
            <w:pPr>
              <w:jc w:val="right"/>
              <w:ind w:right="132"/>
              <w:spacing w:after="0"/>
              <w:rPr>
                <w:sz w:val="20"/>
                <w:szCs w:val="20"/>
                <w:color w:val="auto"/>
              </w:rPr>
            </w:pPr>
            <w:r>
              <w:rPr>
                <w:rFonts w:ascii="Arial" w:cs="Arial" w:eastAsia="Arial" w:hAnsi="Arial"/>
                <w:sz w:val="18"/>
                <w:szCs w:val="18"/>
                <w:color w:val="auto"/>
                <w:w w:val="79"/>
              </w:rPr>
              <w:t>293</w:t>
            </w:r>
          </w:p>
        </w:tc>
        <w:tc>
          <w:tcPr>
            <w:tcW w:w="300" w:type="dxa"/>
            <w:vAlign w:val="bottom"/>
          </w:tcPr>
          <w:p>
            <w:pPr>
              <w:spacing w:after="0"/>
              <w:rPr>
                <w:sz w:val="19"/>
                <w:szCs w:val="19"/>
                <w:color w:val="auto"/>
              </w:rPr>
            </w:pPr>
          </w:p>
        </w:tc>
        <w:tc>
          <w:tcPr>
            <w:tcW w:w="520" w:type="dxa"/>
            <w:vAlign w:val="bottom"/>
          </w:tcPr>
          <w:p>
            <w:pPr>
              <w:jc w:val="right"/>
              <w:ind w:right="152"/>
              <w:spacing w:after="0"/>
              <w:rPr>
                <w:sz w:val="20"/>
                <w:szCs w:val="20"/>
                <w:color w:val="auto"/>
              </w:rPr>
            </w:pPr>
            <w:r>
              <w:rPr>
                <w:rFonts w:ascii="Arial" w:cs="Arial" w:eastAsia="Arial" w:hAnsi="Arial"/>
                <w:sz w:val="18"/>
                <w:szCs w:val="18"/>
                <w:color w:val="auto"/>
                <w:w w:val="86"/>
              </w:rPr>
              <w:t>557</w:t>
            </w:r>
          </w:p>
        </w:tc>
        <w:tc>
          <w:tcPr>
            <w:tcW w:w="380" w:type="dxa"/>
            <w:vAlign w:val="bottom"/>
          </w:tcPr>
          <w:p>
            <w:pPr>
              <w:spacing w:after="0"/>
              <w:rPr>
                <w:sz w:val="19"/>
                <w:szCs w:val="19"/>
                <w:color w:val="auto"/>
              </w:rPr>
            </w:pPr>
          </w:p>
        </w:tc>
        <w:tc>
          <w:tcPr>
            <w:tcW w:w="600" w:type="dxa"/>
            <w:vAlign w:val="bottom"/>
          </w:tcPr>
          <w:p>
            <w:pPr>
              <w:jc w:val="right"/>
              <w:ind w:right="132"/>
              <w:spacing w:after="0"/>
              <w:rPr>
                <w:sz w:val="20"/>
                <w:szCs w:val="20"/>
                <w:color w:val="auto"/>
              </w:rPr>
            </w:pPr>
            <w:r>
              <w:rPr>
                <w:rFonts w:ascii="Arial" w:cs="Arial" w:eastAsia="Arial" w:hAnsi="Arial"/>
                <w:sz w:val="18"/>
                <w:szCs w:val="18"/>
                <w:color w:val="auto"/>
              </w:rPr>
              <w:t>619</w:t>
            </w:r>
          </w:p>
        </w:tc>
        <w:tc>
          <w:tcPr>
            <w:tcW w:w="360" w:type="dxa"/>
            <w:vAlign w:val="bottom"/>
          </w:tcPr>
          <w:p>
            <w:pPr>
              <w:spacing w:after="0"/>
              <w:rPr>
                <w:sz w:val="19"/>
                <w:szCs w:val="19"/>
                <w:color w:val="auto"/>
              </w:rPr>
            </w:pPr>
          </w:p>
        </w:tc>
        <w:tc>
          <w:tcPr>
            <w:tcW w:w="560" w:type="dxa"/>
            <w:vAlign w:val="bottom"/>
          </w:tcPr>
          <w:p>
            <w:pPr>
              <w:jc w:val="right"/>
              <w:ind w:right="152"/>
              <w:spacing w:after="0"/>
              <w:rPr>
                <w:sz w:val="20"/>
                <w:szCs w:val="20"/>
                <w:color w:val="auto"/>
              </w:rPr>
            </w:pPr>
            <w:r>
              <w:rPr>
                <w:rFonts w:ascii="Arial" w:cs="Arial" w:eastAsia="Arial" w:hAnsi="Arial"/>
                <w:sz w:val="18"/>
                <w:szCs w:val="18"/>
                <w:color w:val="auto"/>
                <w:w w:val="99"/>
              </w:rPr>
              <w:t>179</w:t>
            </w:r>
          </w:p>
        </w:tc>
        <w:tc>
          <w:tcPr>
            <w:tcW w:w="320" w:type="dxa"/>
            <w:vAlign w:val="bottom"/>
          </w:tcPr>
          <w:p>
            <w:pPr>
              <w:spacing w:after="0"/>
              <w:rPr>
                <w:sz w:val="19"/>
                <w:szCs w:val="19"/>
                <w:color w:val="auto"/>
              </w:rPr>
            </w:pPr>
          </w:p>
        </w:tc>
        <w:tc>
          <w:tcPr>
            <w:tcW w:w="760" w:type="dxa"/>
            <w:vAlign w:val="bottom"/>
          </w:tcPr>
          <w:p>
            <w:pPr>
              <w:jc w:val="right"/>
              <w:ind w:right="153"/>
              <w:spacing w:after="0"/>
              <w:rPr>
                <w:sz w:val="20"/>
                <w:szCs w:val="20"/>
                <w:color w:val="auto"/>
              </w:rPr>
            </w:pPr>
            <w:r>
              <w:rPr>
                <w:rFonts w:ascii="Arial" w:cs="Arial" w:eastAsia="Arial" w:hAnsi="Arial"/>
                <w:sz w:val="18"/>
                <w:szCs w:val="18"/>
                <w:color w:val="auto"/>
              </w:rPr>
              <w:t>1,659</w:t>
            </w:r>
          </w:p>
        </w:tc>
        <w:tc>
          <w:tcPr>
            <w:tcW w:w="380" w:type="dxa"/>
            <w:vAlign w:val="bottom"/>
          </w:tcPr>
          <w:p>
            <w:pPr>
              <w:spacing w:after="0"/>
              <w:rPr>
                <w:sz w:val="19"/>
                <w:szCs w:val="19"/>
                <w:color w:val="auto"/>
              </w:rPr>
            </w:pPr>
          </w:p>
        </w:tc>
        <w:tc>
          <w:tcPr>
            <w:tcW w:w="820" w:type="dxa"/>
            <w:vAlign w:val="bottom"/>
          </w:tcPr>
          <w:p>
            <w:pPr>
              <w:jc w:val="right"/>
              <w:ind w:right="93"/>
              <w:spacing w:after="0"/>
              <w:rPr>
                <w:sz w:val="20"/>
                <w:szCs w:val="20"/>
                <w:color w:val="auto"/>
              </w:rPr>
            </w:pPr>
            <w:r>
              <w:rPr>
                <w:rFonts w:ascii="Arial" w:cs="Arial" w:eastAsia="Arial" w:hAnsi="Arial"/>
                <w:sz w:val="18"/>
                <w:szCs w:val="18"/>
                <w:color w:val="auto"/>
              </w:rPr>
              <w:t>(2,785)</w:t>
            </w: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1,074</w:t>
            </w:r>
          </w:p>
        </w:tc>
      </w:tr>
      <w:tr>
        <w:trPr>
          <w:trHeight w:val="218"/>
        </w:trPr>
        <w:tc>
          <w:tcPr>
            <w:tcW w:w="20" w:type="dxa"/>
            <w:vAlign w:val="bottom"/>
          </w:tcPr>
          <w:p>
            <w:pPr>
              <w:spacing w:after="0"/>
              <w:rPr>
                <w:sz w:val="18"/>
                <w:szCs w:val="18"/>
                <w:color w:val="auto"/>
              </w:rPr>
            </w:pPr>
          </w:p>
        </w:tc>
        <w:tc>
          <w:tcPr>
            <w:tcW w:w="36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 benefit</w:t>
            </w:r>
          </w:p>
        </w:tc>
        <w:tc>
          <w:tcPr>
            <w:tcW w:w="4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80</w:t>
            </w:r>
          </w:p>
        </w:tc>
        <w:tc>
          <w:tcPr>
            <w:tcW w:w="28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29</w:t>
            </w:r>
          </w:p>
        </w:tc>
        <w:tc>
          <w:tcPr>
            <w:tcW w:w="3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29</w:t>
            </w:r>
          </w:p>
        </w:tc>
        <w:tc>
          <w:tcPr>
            <w:tcW w:w="3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20</w:t>
            </w:r>
          </w:p>
        </w:tc>
        <w:tc>
          <w:tcPr>
            <w:tcW w:w="36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41</w:t>
            </w:r>
          </w:p>
        </w:tc>
        <w:tc>
          <w:tcPr>
            <w:tcW w:w="3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(654)</w:t>
            </w:r>
          </w:p>
        </w:tc>
        <w:tc>
          <w:tcPr>
            <w:tcW w:w="38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(455)</w:t>
            </w:r>
          </w:p>
        </w:tc>
      </w:tr>
      <w:tr>
        <w:trPr>
          <w:trHeight w:val="210"/>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Income (loss) before minority interest</w:t>
            </w:r>
          </w:p>
        </w:tc>
        <w:tc>
          <w:tcPr>
            <w:tcW w:w="420" w:type="dxa"/>
            <w:vAlign w:val="bottom"/>
          </w:tcPr>
          <w:p>
            <w:pPr>
              <w:spacing w:after="0"/>
              <w:rPr>
                <w:sz w:val="18"/>
                <w:szCs w:val="18"/>
                <w:color w:val="auto"/>
              </w:rPr>
            </w:pPr>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632</w:t>
            </w:r>
          </w:p>
        </w:tc>
        <w:tc>
          <w:tcPr>
            <w:tcW w:w="280" w:type="dxa"/>
            <w:vAlign w:val="bottom"/>
          </w:tcPr>
          <w:p>
            <w:pPr>
              <w:spacing w:after="0"/>
              <w:rPr>
                <w:sz w:val="18"/>
                <w:szCs w:val="18"/>
                <w:color w:val="auto"/>
              </w:rPr>
            </w:pPr>
          </w:p>
        </w:tc>
        <w:tc>
          <w:tcPr>
            <w:tcW w:w="480" w:type="dxa"/>
            <w:vAlign w:val="bottom"/>
          </w:tcPr>
          <w:p>
            <w:pPr>
              <w:jc w:val="right"/>
              <w:ind w:right="132"/>
              <w:spacing w:after="0"/>
              <w:rPr>
                <w:sz w:val="20"/>
                <w:szCs w:val="20"/>
                <w:color w:val="auto"/>
              </w:rPr>
            </w:pPr>
            <w:r>
              <w:rPr>
                <w:rFonts w:ascii="Arial" w:cs="Arial" w:eastAsia="Arial" w:hAnsi="Arial"/>
                <w:sz w:val="18"/>
                <w:szCs w:val="18"/>
                <w:color w:val="auto"/>
                <w:w w:val="79"/>
              </w:rPr>
              <w:t>322</w:t>
            </w:r>
          </w:p>
        </w:tc>
        <w:tc>
          <w:tcPr>
            <w:tcW w:w="300" w:type="dxa"/>
            <w:vAlign w:val="bottom"/>
          </w:tcPr>
          <w:p>
            <w:pPr>
              <w:spacing w:after="0"/>
              <w:rPr>
                <w:sz w:val="18"/>
                <w:szCs w:val="18"/>
                <w:color w:val="auto"/>
              </w:rPr>
            </w:pPr>
          </w:p>
        </w:tc>
        <w:tc>
          <w:tcPr>
            <w:tcW w:w="520" w:type="dxa"/>
            <w:vAlign w:val="bottom"/>
          </w:tcPr>
          <w:p>
            <w:pPr>
              <w:jc w:val="right"/>
              <w:ind w:right="152"/>
              <w:spacing w:after="0"/>
              <w:rPr>
                <w:sz w:val="20"/>
                <w:szCs w:val="20"/>
                <w:color w:val="auto"/>
              </w:rPr>
            </w:pPr>
            <w:r>
              <w:rPr>
                <w:rFonts w:ascii="Arial" w:cs="Arial" w:eastAsia="Arial" w:hAnsi="Arial"/>
                <w:sz w:val="18"/>
                <w:szCs w:val="18"/>
                <w:color w:val="auto"/>
                <w:w w:val="86"/>
              </w:rPr>
              <w:t>586</w:t>
            </w:r>
          </w:p>
        </w:tc>
        <w:tc>
          <w:tcPr>
            <w:tcW w:w="380" w:type="dxa"/>
            <w:vAlign w:val="bottom"/>
          </w:tcPr>
          <w:p>
            <w:pPr>
              <w:spacing w:after="0"/>
              <w:rPr>
                <w:sz w:val="18"/>
                <w:szCs w:val="18"/>
                <w:color w:val="auto"/>
              </w:rPr>
            </w:pPr>
          </w:p>
        </w:tc>
        <w:tc>
          <w:tcPr>
            <w:tcW w:w="600" w:type="dxa"/>
            <w:vAlign w:val="bottom"/>
          </w:tcPr>
          <w:p>
            <w:pPr>
              <w:jc w:val="right"/>
              <w:ind w:right="132"/>
              <w:spacing w:after="0"/>
              <w:rPr>
                <w:sz w:val="20"/>
                <w:szCs w:val="20"/>
                <w:color w:val="auto"/>
              </w:rPr>
            </w:pPr>
            <w:r>
              <w:rPr>
                <w:rFonts w:ascii="Arial" w:cs="Arial" w:eastAsia="Arial" w:hAnsi="Arial"/>
                <w:sz w:val="18"/>
                <w:szCs w:val="18"/>
                <w:color w:val="auto"/>
              </w:rPr>
              <w:t>639</w:t>
            </w:r>
          </w:p>
        </w:tc>
        <w:tc>
          <w:tcPr>
            <w:tcW w:w="360" w:type="dxa"/>
            <w:vAlign w:val="bottom"/>
          </w:tcPr>
          <w:p>
            <w:pPr>
              <w:spacing w:after="0"/>
              <w:rPr>
                <w:sz w:val="18"/>
                <w:szCs w:val="18"/>
                <w:color w:val="auto"/>
              </w:rPr>
            </w:pPr>
          </w:p>
        </w:tc>
        <w:tc>
          <w:tcPr>
            <w:tcW w:w="560" w:type="dxa"/>
            <w:vAlign w:val="bottom"/>
          </w:tcPr>
          <w:p>
            <w:pPr>
              <w:jc w:val="right"/>
              <w:ind w:right="152"/>
              <w:spacing w:after="0"/>
              <w:rPr>
                <w:sz w:val="20"/>
                <w:szCs w:val="20"/>
                <w:color w:val="auto"/>
              </w:rPr>
            </w:pPr>
            <w:r>
              <w:rPr>
                <w:rFonts w:ascii="Arial" w:cs="Arial" w:eastAsia="Arial" w:hAnsi="Arial"/>
                <w:sz w:val="18"/>
                <w:szCs w:val="18"/>
                <w:color w:val="auto"/>
                <w:w w:val="99"/>
              </w:rPr>
              <w:t>220</w:t>
            </w:r>
          </w:p>
        </w:tc>
        <w:tc>
          <w:tcPr>
            <w:tcW w:w="320" w:type="dxa"/>
            <w:vAlign w:val="bottom"/>
          </w:tcPr>
          <w:p>
            <w:pPr>
              <w:spacing w:after="0"/>
              <w:rPr>
                <w:sz w:val="18"/>
                <w:szCs w:val="18"/>
                <w:color w:val="auto"/>
              </w:rPr>
            </w:pPr>
          </w:p>
        </w:tc>
        <w:tc>
          <w:tcPr>
            <w:tcW w:w="760" w:type="dxa"/>
            <w:vAlign w:val="bottom"/>
          </w:tcPr>
          <w:p>
            <w:pPr>
              <w:jc w:val="right"/>
              <w:ind w:right="153"/>
              <w:spacing w:after="0"/>
              <w:rPr>
                <w:sz w:val="20"/>
                <w:szCs w:val="20"/>
                <w:color w:val="auto"/>
              </w:rPr>
            </w:pPr>
            <w:r>
              <w:rPr>
                <w:rFonts w:ascii="Arial" w:cs="Arial" w:eastAsia="Arial" w:hAnsi="Arial"/>
                <w:sz w:val="18"/>
                <w:szCs w:val="18"/>
                <w:color w:val="auto"/>
              </w:rPr>
              <w:t>1,005</w:t>
            </w:r>
          </w:p>
        </w:tc>
        <w:tc>
          <w:tcPr>
            <w:tcW w:w="380" w:type="dxa"/>
            <w:vAlign w:val="bottom"/>
          </w:tcPr>
          <w:p>
            <w:pPr>
              <w:spacing w:after="0"/>
              <w:rPr>
                <w:sz w:val="18"/>
                <w:szCs w:val="18"/>
                <w:color w:val="auto"/>
              </w:rPr>
            </w:pPr>
          </w:p>
        </w:tc>
        <w:tc>
          <w:tcPr>
            <w:tcW w:w="820" w:type="dxa"/>
            <w:vAlign w:val="bottom"/>
          </w:tcPr>
          <w:p>
            <w:pPr>
              <w:jc w:val="right"/>
              <w:ind w:right="93"/>
              <w:spacing w:after="0"/>
              <w:rPr>
                <w:sz w:val="20"/>
                <w:szCs w:val="20"/>
                <w:color w:val="auto"/>
              </w:rPr>
            </w:pPr>
            <w:r>
              <w:rPr>
                <w:rFonts w:ascii="Arial" w:cs="Arial" w:eastAsia="Arial" w:hAnsi="Arial"/>
                <w:sz w:val="18"/>
                <w:szCs w:val="18"/>
                <w:color w:val="auto"/>
              </w:rPr>
              <w:t>(2,785)</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619</w:t>
            </w:r>
          </w:p>
        </w:tc>
      </w:tr>
      <w:tr>
        <w:trPr>
          <w:trHeight w:val="216"/>
        </w:trPr>
        <w:tc>
          <w:tcPr>
            <w:tcW w:w="20" w:type="dxa"/>
            <w:vAlign w:val="bottom"/>
          </w:tcPr>
          <w:p>
            <w:pPr>
              <w:spacing w:after="0"/>
              <w:rPr>
                <w:sz w:val="18"/>
                <w:szCs w:val="18"/>
                <w:color w:val="auto"/>
              </w:rPr>
            </w:pPr>
          </w:p>
        </w:tc>
        <w:tc>
          <w:tcPr>
            <w:tcW w:w="36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Minority interest</w:t>
            </w:r>
          </w:p>
        </w:tc>
        <w:tc>
          <w:tcPr>
            <w:tcW w:w="4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13</w:t>
            </w:r>
          </w:p>
        </w:tc>
        <w:tc>
          <w:tcPr>
            <w:tcW w:w="38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13</w:t>
            </w:r>
          </w:p>
        </w:tc>
      </w:tr>
      <w:tr>
        <w:trPr>
          <w:trHeight w:val="217"/>
        </w:trPr>
        <w:tc>
          <w:tcPr>
            <w:tcW w:w="20" w:type="dxa"/>
            <w:vAlign w:val="bottom"/>
          </w:tcPr>
          <w:p>
            <w:pPr>
              <w:spacing w:after="0"/>
              <w:rPr>
                <w:sz w:val="18"/>
                <w:szCs w:val="18"/>
                <w:color w:val="auto"/>
              </w:rPr>
            </w:pPr>
          </w:p>
        </w:tc>
        <w:tc>
          <w:tcPr>
            <w:tcW w:w="3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(loss)</w:t>
            </w:r>
          </w:p>
        </w:tc>
        <w:tc>
          <w:tcPr>
            <w:tcW w:w="42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632</w:t>
            </w:r>
          </w:p>
        </w:tc>
        <w:tc>
          <w:tcPr>
            <w:tcW w:w="2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79"/>
              </w:rPr>
              <w:t>322</w:t>
            </w:r>
          </w:p>
        </w:tc>
        <w:tc>
          <w:tcPr>
            <w:tcW w:w="300" w:type="dxa"/>
            <w:vAlign w:val="bottom"/>
            <w:tcBorders>
              <w:bottom w:val="single" w:sz="8" w:color="auto"/>
            </w:tcBorders>
          </w:tcPr>
          <w:p>
            <w:pPr>
              <w:jc w:val="center"/>
              <w:ind w:left="120"/>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86"/>
              </w:rPr>
              <w:t>586</w:t>
            </w:r>
          </w:p>
        </w:tc>
        <w:tc>
          <w:tcPr>
            <w:tcW w:w="3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639</w:t>
            </w:r>
          </w:p>
        </w:tc>
        <w:tc>
          <w:tcPr>
            <w:tcW w:w="3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99"/>
              </w:rPr>
              <w:t>220</w:t>
            </w:r>
          </w:p>
        </w:tc>
        <w:tc>
          <w:tcPr>
            <w:tcW w:w="3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b w:val="1"/>
                <w:bCs w:val="1"/>
                <w:color w:val="auto"/>
              </w:rPr>
              <w:t>1,018</w:t>
            </w:r>
          </w:p>
        </w:tc>
        <w:tc>
          <w:tcPr>
            <w:tcW w:w="38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(2,785)</w:t>
            </w:r>
          </w:p>
        </w:tc>
        <w:tc>
          <w:tcPr>
            <w:tcW w:w="2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632</w:t>
            </w:r>
          </w:p>
        </w:tc>
      </w:tr>
      <w:tr>
        <w:trPr>
          <w:trHeight w:val="363"/>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gridSpan w:val="2"/>
          </w:tcPr>
          <w:p>
            <w:pPr>
              <w:jc w:val="center"/>
              <w:ind w:right="212"/>
              <w:spacing w:after="0"/>
              <w:rPr>
                <w:sz w:val="20"/>
                <w:szCs w:val="20"/>
                <w:color w:val="auto"/>
              </w:rPr>
            </w:pPr>
            <w:r>
              <w:rPr>
                <w:rFonts w:ascii="Arial" w:cs="Arial" w:eastAsia="Arial" w:hAnsi="Arial"/>
                <w:sz w:val="18"/>
                <w:szCs w:val="18"/>
                <w:color w:val="auto"/>
                <w:w w:val="99"/>
              </w:rPr>
              <w:t>17</w:t>
            </w: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Consolidating Statement of Operations</w:t>
      </w:r>
    </w:p>
    <w:p>
      <w:pPr>
        <w:jc w:val="center"/>
        <w:spacing w:after="0"/>
        <w:rPr>
          <w:sz w:val="20"/>
          <w:szCs w:val="20"/>
          <w:color w:val="auto"/>
        </w:rPr>
      </w:pPr>
      <w:r>
        <w:rPr>
          <w:rFonts w:ascii="Arial" w:cs="Arial" w:eastAsia="Arial" w:hAnsi="Arial"/>
          <w:sz w:val="22"/>
          <w:szCs w:val="22"/>
          <w:b w:val="1"/>
          <w:bCs w:val="1"/>
          <w:color w:val="auto"/>
        </w:rPr>
        <w:t>For the Three Months Ended June 30, 2007</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Combined</w:t>
            </w: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jc w:val="right"/>
              <w:ind w:right="333"/>
              <w:spacing w:after="0" w:line="149" w:lineRule="exact"/>
              <w:rPr>
                <w:sz w:val="20"/>
                <w:szCs w:val="20"/>
                <w:color w:val="auto"/>
              </w:rPr>
            </w:pPr>
            <w:r>
              <w:rPr>
                <w:rFonts w:ascii="Arial" w:cs="Arial" w:eastAsia="Arial" w:hAnsi="Arial"/>
                <w:sz w:val="14"/>
                <w:szCs w:val="14"/>
                <w:color w:val="auto"/>
              </w:rPr>
              <w:t>Non-</w:t>
            </w:r>
          </w:p>
        </w:tc>
        <w:tc>
          <w:tcPr>
            <w:tcW w:w="360" w:type="dxa"/>
            <w:vAlign w:val="bottom"/>
          </w:tcPr>
          <w:p>
            <w:pPr>
              <w:spacing w:after="0"/>
              <w:rPr>
                <w:sz w:val="12"/>
                <w:szCs w:val="12"/>
                <w:color w:val="auto"/>
              </w:rPr>
            </w:pPr>
          </w:p>
        </w:tc>
        <w:tc>
          <w:tcPr>
            <w:tcW w:w="820" w:type="dxa"/>
            <w:vAlign w:val="bottom"/>
          </w:tcPr>
          <w:p>
            <w:pPr>
              <w:jc w:val="center"/>
              <w:ind w:right="333"/>
              <w:spacing w:after="0" w:line="149" w:lineRule="exact"/>
              <w:rPr>
                <w:sz w:val="20"/>
                <w:szCs w:val="20"/>
                <w:color w:val="auto"/>
              </w:rPr>
            </w:pPr>
            <w:r>
              <w:rPr>
                <w:rFonts w:ascii="Arial" w:cs="Arial" w:eastAsia="Arial" w:hAnsi="Arial"/>
                <w:sz w:val="14"/>
                <w:szCs w:val="14"/>
                <w:color w:val="auto"/>
                <w:w w:val="85"/>
              </w:rPr>
              <w:t>and</w:t>
            </w:r>
          </w:p>
        </w:tc>
        <w:tc>
          <w:tcPr>
            <w:tcW w:w="960" w:type="dxa"/>
            <w:vAlign w:val="bottom"/>
            <w:gridSpan w:val="2"/>
          </w:tcPr>
          <w:p>
            <w:pPr>
              <w:ind w:left="180"/>
              <w:spacing w:after="0" w:line="149" w:lineRule="exact"/>
              <w:rPr>
                <w:sz w:val="20"/>
                <w:szCs w:val="20"/>
                <w:color w:val="auto"/>
              </w:rPr>
            </w:pPr>
            <w:r>
              <w:rPr>
                <w:rFonts w:ascii="Arial" w:cs="Arial" w:eastAsia="Arial" w:hAnsi="Arial"/>
                <w:sz w:val="14"/>
                <w:szCs w:val="14"/>
                <w:color w:val="auto"/>
                <w:w w:val="92"/>
              </w:rPr>
              <w:t>Consolidated</w:t>
            </w: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0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Comcast</w:t>
            </w:r>
          </w:p>
        </w:tc>
        <w:tc>
          <w:tcPr>
            <w:tcW w:w="7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CCCL</w:t>
            </w:r>
          </w:p>
        </w:tc>
        <w:tc>
          <w:tcPr>
            <w:tcW w:w="84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CCCH</w:t>
            </w:r>
          </w:p>
        </w:tc>
        <w:tc>
          <w:tcPr>
            <w:tcW w:w="96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CCHMO</w:t>
            </w:r>
          </w:p>
        </w:tc>
        <w:tc>
          <w:tcPr>
            <w:tcW w:w="9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Comcast</w:t>
            </w:r>
          </w:p>
        </w:tc>
        <w:tc>
          <w:tcPr>
            <w:tcW w:w="1080" w:type="dxa"/>
            <w:vAlign w:val="bottom"/>
            <w:gridSpan w:val="2"/>
          </w:tcPr>
          <w:p>
            <w:pPr>
              <w:jc w:val="right"/>
              <w:ind w:right="213"/>
              <w:spacing w:after="0" w:line="149" w:lineRule="exact"/>
              <w:rPr>
                <w:sz w:val="20"/>
                <w:szCs w:val="20"/>
                <w:color w:val="auto"/>
              </w:rPr>
            </w:pPr>
            <w:r>
              <w:rPr>
                <w:rFonts w:ascii="Arial" w:cs="Arial" w:eastAsia="Arial" w:hAnsi="Arial"/>
                <w:sz w:val="14"/>
                <w:szCs w:val="14"/>
                <w:color w:val="auto"/>
              </w:rPr>
              <w:t>Guarantor</w:t>
            </w: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Consolidation</w:t>
            </w:r>
          </w:p>
        </w:tc>
        <w:tc>
          <w:tcPr>
            <w:tcW w:w="280" w:type="dxa"/>
            <w:vAlign w:val="bottom"/>
          </w:tcPr>
          <w:p>
            <w:pPr>
              <w:spacing w:after="0"/>
              <w:rPr>
                <w:sz w:val="12"/>
                <w:szCs w:val="12"/>
                <w:color w:val="auto"/>
              </w:rPr>
            </w:pPr>
          </w:p>
        </w:tc>
        <w:tc>
          <w:tcPr>
            <w:tcW w:w="680" w:type="dxa"/>
            <w:vAlign w:val="bottom"/>
          </w:tcPr>
          <w:p>
            <w:pPr>
              <w:jc w:val="right"/>
              <w:ind w:right="93"/>
              <w:spacing w:after="0" w:line="149" w:lineRule="exact"/>
              <w:rPr>
                <w:sz w:val="20"/>
                <w:szCs w:val="20"/>
                <w:color w:val="auto"/>
              </w:rPr>
            </w:pPr>
            <w:r>
              <w:rPr>
                <w:rFonts w:ascii="Arial" w:cs="Arial" w:eastAsia="Arial" w:hAnsi="Arial"/>
                <w:sz w:val="14"/>
                <w:szCs w:val="14"/>
                <w:color w:val="auto"/>
                <w:w w:val="86"/>
              </w:rPr>
              <w:t>Comcast</w:t>
            </w:r>
          </w:p>
        </w:tc>
      </w:tr>
      <w:tr>
        <w:trPr>
          <w:trHeight w:val="173"/>
        </w:trPr>
        <w:tc>
          <w:tcPr>
            <w:tcW w:w="37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040" w:type="dxa"/>
            <w:vAlign w:val="bottom"/>
            <w:gridSpan w:val="2"/>
          </w:tcPr>
          <w:p>
            <w:pPr>
              <w:jc w:val="right"/>
              <w:ind w:right="212"/>
              <w:spacing w:after="0"/>
              <w:rPr>
                <w:sz w:val="20"/>
                <w:szCs w:val="20"/>
                <w:color w:val="auto"/>
              </w:rPr>
            </w:pPr>
            <w:r>
              <w:rPr>
                <w:rFonts w:ascii="Arial" w:cs="Arial" w:eastAsia="Arial" w:hAnsi="Arial"/>
                <w:sz w:val="14"/>
                <w:szCs w:val="14"/>
                <w:color w:val="auto"/>
              </w:rPr>
              <w:t>Parent</w:t>
            </w:r>
          </w:p>
        </w:tc>
        <w:tc>
          <w:tcPr>
            <w:tcW w:w="720" w:type="dxa"/>
            <w:vAlign w:val="bottom"/>
            <w:gridSpan w:val="2"/>
          </w:tcPr>
          <w:p>
            <w:pPr>
              <w:ind w:left="180"/>
              <w:spacing w:after="0"/>
              <w:rPr>
                <w:sz w:val="20"/>
                <w:szCs w:val="20"/>
                <w:color w:val="auto"/>
              </w:rPr>
            </w:pPr>
            <w:r>
              <w:rPr>
                <w:rFonts w:ascii="Arial" w:cs="Arial" w:eastAsia="Arial" w:hAnsi="Arial"/>
                <w:sz w:val="14"/>
                <w:szCs w:val="14"/>
                <w:color w:val="auto"/>
              </w:rPr>
              <w:t>Parent</w:t>
            </w:r>
          </w:p>
        </w:tc>
        <w:tc>
          <w:tcPr>
            <w:tcW w:w="840" w:type="dxa"/>
            <w:vAlign w:val="bottom"/>
            <w:gridSpan w:val="2"/>
          </w:tcPr>
          <w:p>
            <w:pPr>
              <w:jc w:val="right"/>
              <w:ind w:right="172"/>
              <w:spacing w:after="0"/>
              <w:rPr>
                <w:sz w:val="20"/>
                <w:szCs w:val="20"/>
                <w:color w:val="auto"/>
              </w:rPr>
            </w:pPr>
            <w:r>
              <w:rPr>
                <w:rFonts w:ascii="Arial" w:cs="Arial" w:eastAsia="Arial" w:hAnsi="Arial"/>
                <w:sz w:val="14"/>
                <w:szCs w:val="14"/>
                <w:color w:val="auto"/>
              </w:rPr>
              <w:t>Parent</w:t>
            </w:r>
          </w:p>
        </w:tc>
        <w:tc>
          <w:tcPr>
            <w:tcW w:w="960" w:type="dxa"/>
            <w:vAlign w:val="bottom"/>
            <w:gridSpan w:val="2"/>
          </w:tcPr>
          <w:p>
            <w:pPr>
              <w:jc w:val="right"/>
              <w:ind w:right="232"/>
              <w:spacing w:after="0"/>
              <w:rPr>
                <w:sz w:val="20"/>
                <w:szCs w:val="20"/>
                <w:color w:val="auto"/>
              </w:rPr>
            </w:pPr>
            <w:r>
              <w:rPr>
                <w:rFonts w:ascii="Arial" w:cs="Arial" w:eastAsia="Arial" w:hAnsi="Arial"/>
                <w:sz w:val="14"/>
                <w:szCs w:val="14"/>
                <w:color w:val="auto"/>
              </w:rPr>
              <w:t>Parents</w:t>
            </w:r>
          </w:p>
        </w:tc>
        <w:tc>
          <w:tcPr>
            <w:tcW w:w="900" w:type="dxa"/>
            <w:vAlign w:val="bottom"/>
            <w:gridSpan w:val="2"/>
          </w:tcPr>
          <w:p>
            <w:pPr>
              <w:ind w:left="180"/>
              <w:spacing w:after="0"/>
              <w:rPr>
                <w:sz w:val="20"/>
                <w:szCs w:val="20"/>
                <w:color w:val="auto"/>
              </w:rPr>
            </w:pPr>
            <w:r>
              <w:rPr>
                <w:rFonts w:ascii="Arial" w:cs="Arial" w:eastAsia="Arial" w:hAnsi="Arial"/>
                <w:sz w:val="14"/>
                <w:szCs w:val="14"/>
                <w:color w:val="auto"/>
              </w:rPr>
              <w:t>Holdings</w:t>
            </w:r>
          </w:p>
        </w:tc>
        <w:tc>
          <w:tcPr>
            <w:tcW w:w="1080" w:type="dxa"/>
            <w:vAlign w:val="bottom"/>
            <w:gridSpan w:val="2"/>
          </w:tcPr>
          <w:p>
            <w:pPr>
              <w:ind w:left="180"/>
              <w:spacing w:after="0"/>
              <w:rPr>
                <w:sz w:val="20"/>
                <w:szCs w:val="20"/>
                <w:color w:val="auto"/>
              </w:rPr>
            </w:pPr>
            <w:r>
              <w:rPr>
                <w:rFonts w:ascii="Arial" w:cs="Arial" w:eastAsia="Arial" w:hAnsi="Arial"/>
                <w:sz w:val="14"/>
                <w:szCs w:val="14"/>
                <w:color w:val="auto"/>
              </w:rPr>
              <w:t>Subsidiaries</w:t>
            </w:r>
          </w:p>
        </w:tc>
        <w:tc>
          <w:tcPr>
            <w:tcW w:w="118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960" w:type="dxa"/>
            <w:vAlign w:val="bottom"/>
            <w:gridSpan w:val="2"/>
          </w:tcPr>
          <w:p>
            <w:pPr>
              <w:jc w:val="right"/>
              <w:ind w:right="13"/>
              <w:spacing w:after="0"/>
              <w:rPr>
                <w:sz w:val="20"/>
                <w:szCs w:val="20"/>
                <w:color w:val="auto"/>
              </w:rPr>
            </w:pPr>
            <w:r>
              <w:rPr>
                <w:rFonts w:ascii="Arial" w:cs="Arial" w:eastAsia="Arial" w:hAnsi="Arial"/>
                <w:sz w:val="14"/>
                <w:szCs w:val="14"/>
                <w:color w:val="auto"/>
              </w:rPr>
              <w:t>Corporation</w:t>
            </w:r>
          </w:p>
        </w:tc>
      </w:tr>
      <w:tr>
        <w:trPr>
          <w:trHeight w:val="210"/>
        </w:trPr>
        <w:tc>
          <w:tcPr>
            <w:tcW w:w="20" w:type="dxa"/>
            <w:vAlign w:val="bottom"/>
          </w:tcPr>
          <w:p>
            <w:pPr>
              <w:spacing w:after="0"/>
              <w:rPr>
                <w:sz w:val="18"/>
                <w:szCs w:val="18"/>
                <w:color w:val="auto"/>
              </w:rPr>
            </w:pPr>
          </w:p>
        </w:tc>
        <w:tc>
          <w:tcPr>
            <w:tcW w:w="37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Revenue:</w:t>
            </w:r>
          </w:p>
        </w:tc>
        <w:tc>
          <w:tcPr>
            <w:tcW w:w="460" w:type="dxa"/>
            <w:vAlign w:val="bottom"/>
            <w:tcBorders>
              <w:top w:val="single" w:sz="8" w:color="auto"/>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46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52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340" w:type="dxa"/>
            <w:vAlign w:val="bottom"/>
            <w:tcBorders>
              <w:top w:val="single" w:sz="8" w:color="auto"/>
            </w:tcBorders>
            <w:shd w:val="clear" w:color="auto" w:fill="E5E5E5"/>
          </w:tcPr>
          <w:p>
            <w:pPr>
              <w:spacing w:after="0"/>
              <w:rPr>
                <w:sz w:val="18"/>
                <w:szCs w:val="18"/>
                <w:color w:val="auto"/>
              </w:rPr>
            </w:pPr>
          </w:p>
        </w:tc>
        <w:tc>
          <w:tcPr>
            <w:tcW w:w="56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76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82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200"/>
              <w:spacing w:after="0"/>
              <w:rPr>
                <w:sz w:val="20"/>
                <w:szCs w:val="20"/>
                <w:color w:val="auto"/>
              </w:rPr>
            </w:pPr>
            <w:r>
              <w:rPr>
                <w:rFonts w:ascii="Arial" w:cs="Arial" w:eastAsia="Arial" w:hAnsi="Arial"/>
                <w:sz w:val="18"/>
                <w:szCs w:val="18"/>
                <w:color w:val="auto"/>
              </w:rPr>
              <w:t>Service revenue</w:t>
            </w:r>
          </w:p>
        </w:tc>
        <w:tc>
          <w:tcPr>
            <w:tcW w:w="460" w:type="dxa"/>
            <w:vAlign w:val="bottom"/>
          </w:tcPr>
          <w:p>
            <w:pPr>
              <w:ind w:left="34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60" w:type="dxa"/>
            <w:vAlign w:val="bottom"/>
          </w:tcPr>
          <w:p>
            <w:pPr>
              <w:ind w:left="180"/>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tcPr>
          <w:p>
            <w:pPr>
              <w:ind w:left="16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40" w:type="dxa"/>
            <w:vAlign w:val="bottom"/>
          </w:tcPr>
          <w:p>
            <w:pPr>
              <w:ind w:left="18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tcPr>
          <w:p>
            <w:pPr>
              <w:ind w:left="18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53"/>
              <w:spacing w:after="0"/>
              <w:rPr>
                <w:sz w:val="20"/>
                <w:szCs w:val="20"/>
                <w:color w:val="auto"/>
              </w:rPr>
            </w:pPr>
            <w:r>
              <w:rPr>
                <w:rFonts w:ascii="Arial" w:cs="Arial" w:eastAsia="Arial" w:hAnsi="Arial"/>
                <w:sz w:val="18"/>
                <w:szCs w:val="18"/>
                <w:color w:val="auto"/>
              </w:rPr>
              <w:t>7,712</w:t>
            </w:r>
          </w:p>
        </w:tc>
        <w:tc>
          <w:tcPr>
            <w:tcW w:w="360" w:type="dxa"/>
            <w:vAlign w:val="bottom"/>
          </w:tcPr>
          <w:p>
            <w:pPr>
              <w:jc w:val="right"/>
              <w:ind w:right="24"/>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280" w:type="dxa"/>
            <w:vAlign w:val="bottom"/>
          </w:tcPr>
          <w:p>
            <w:pPr>
              <w:ind w:left="18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7,712</w:t>
            </w:r>
          </w:p>
        </w:tc>
      </w:tr>
      <w:tr>
        <w:trPr>
          <w:trHeight w:val="216"/>
        </w:trPr>
        <w:tc>
          <w:tcPr>
            <w:tcW w:w="20" w:type="dxa"/>
            <w:vAlign w:val="bottom"/>
          </w:tcPr>
          <w:p>
            <w:pPr>
              <w:spacing w:after="0"/>
              <w:rPr>
                <w:sz w:val="18"/>
                <w:szCs w:val="18"/>
                <w:color w:val="auto"/>
              </w:rPr>
            </w:pPr>
          </w:p>
        </w:tc>
        <w:tc>
          <w:tcPr>
            <w:tcW w:w="372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Management fee revenue</w:t>
            </w:r>
          </w:p>
        </w:tc>
        <w:tc>
          <w:tcPr>
            <w:tcW w:w="4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159</w:t>
            </w:r>
          </w:p>
        </w:tc>
        <w:tc>
          <w:tcPr>
            <w:tcW w:w="26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54</w:t>
            </w:r>
          </w:p>
        </w:tc>
        <w:tc>
          <w:tcPr>
            <w:tcW w:w="3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84</w:t>
            </w:r>
          </w:p>
        </w:tc>
        <w:tc>
          <w:tcPr>
            <w:tcW w:w="3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84</w:t>
            </w:r>
          </w:p>
        </w:tc>
        <w:tc>
          <w:tcPr>
            <w:tcW w:w="34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(381)</w:t>
            </w:r>
          </w:p>
        </w:tc>
        <w:tc>
          <w:tcPr>
            <w:tcW w:w="2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37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159</w:t>
            </w:r>
          </w:p>
        </w:tc>
        <w:tc>
          <w:tcPr>
            <w:tcW w:w="2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54</w:t>
            </w:r>
          </w:p>
        </w:tc>
        <w:tc>
          <w:tcPr>
            <w:tcW w:w="3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84</w:t>
            </w:r>
          </w:p>
        </w:tc>
        <w:tc>
          <w:tcPr>
            <w:tcW w:w="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84</w:t>
            </w:r>
          </w:p>
        </w:tc>
        <w:tc>
          <w:tcPr>
            <w:tcW w:w="3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7,712</w:t>
            </w: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(381)</w:t>
            </w: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7,712</w:t>
            </w:r>
          </w:p>
        </w:tc>
      </w:tr>
      <w:tr>
        <w:trPr>
          <w:trHeight w:val="210"/>
        </w:trPr>
        <w:tc>
          <w:tcPr>
            <w:tcW w:w="20" w:type="dxa"/>
            <w:vAlign w:val="bottom"/>
          </w:tcPr>
          <w:p>
            <w:pPr>
              <w:spacing w:after="0"/>
              <w:rPr>
                <w:sz w:val="18"/>
                <w:szCs w:val="18"/>
                <w:color w:val="auto"/>
              </w:rPr>
            </w:pPr>
          </w:p>
        </w:tc>
        <w:tc>
          <w:tcPr>
            <w:tcW w:w="3720" w:type="dxa"/>
            <w:vAlign w:val="bottom"/>
            <w:shd w:val="clear" w:color="auto" w:fill="E5E5E5"/>
          </w:tcPr>
          <w:p>
            <w:pPr>
              <w:spacing w:after="0"/>
              <w:rPr>
                <w:sz w:val="20"/>
                <w:szCs w:val="20"/>
                <w:color w:val="auto"/>
              </w:rPr>
            </w:pPr>
            <w:r>
              <w:rPr>
                <w:rFonts w:ascii="Arial" w:cs="Arial" w:eastAsia="Arial" w:hAnsi="Arial"/>
                <w:sz w:val="18"/>
                <w:szCs w:val="18"/>
                <w:color w:val="auto"/>
              </w:rPr>
              <w:t>Costs and Expenses:</w:t>
            </w:r>
          </w:p>
        </w:tc>
        <w:tc>
          <w:tcPr>
            <w:tcW w:w="46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3720" w:type="dxa"/>
            <w:vAlign w:val="bottom"/>
          </w:tcPr>
          <w:p>
            <w:pPr>
              <w:ind w:left="200"/>
              <w:spacing w:after="0"/>
              <w:rPr>
                <w:sz w:val="20"/>
                <w:szCs w:val="20"/>
                <w:color w:val="auto"/>
              </w:rPr>
            </w:pPr>
            <w:r>
              <w:rPr>
                <w:rFonts w:ascii="Arial" w:cs="Arial" w:eastAsia="Arial" w:hAnsi="Arial"/>
                <w:sz w:val="18"/>
                <w:szCs w:val="18"/>
                <w:color w:val="auto"/>
              </w:rPr>
              <w:t>Operating (excluding depreciation and</w:t>
            </w: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720" w:type="dxa"/>
            <w:vAlign w:val="bottom"/>
          </w:tcPr>
          <w:p>
            <w:pPr>
              <w:ind w:left="420"/>
              <w:spacing w:after="0"/>
              <w:rPr>
                <w:sz w:val="20"/>
                <w:szCs w:val="20"/>
                <w:color w:val="auto"/>
              </w:rPr>
            </w:pPr>
            <w:r>
              <w:rPr>
                <w:rFonts w:ascii="Arial" w:cs="Arial" w:eastAsia="Arial" w:hAnsi="Arial"/>
                <w:sz w:val="18"/>
                <w:szCs w:val="18"/>
                <w:color w:val="auto"/>
              </w:rPr>
              <w:t>amortization)</w:t>
            </w:r>
          </w:p>
        </w:tc>
        <w:tc>
          <w:tcPr>
            <w:tcW w:w="460" w:type="dxa"/>
            <w:vAlign w:val="bottom"/>
          </w:tcPr>
          <w:p>
            <w:pPr>
              <w:spacing w:after="0"/>
              <w:rPr>
                <w:sz w:val="19"/>
                <w:szCs w:val="19"/>
                <w:color w:val="auto"/>
              </w:rPr>
            </w:pPr>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4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6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5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60" w:type="dxa"/>
            <w:vAlign w:val="bottom"/>
          </w:tcPr>
          <w:p>
            <w:pPr>
              <w:jc w:val="right"/>
              <w:ind w:right="153"/>
              <w:spacing w:after="0"/>
              <w:rPr>
                <w:sz w:val="20"/>
                <w:szCs w:val="20"/>
                <w:color w:val="auto"/>
              </w:rPr>
            </w:pPr>
            <w:r>
              <w:rPr>
                <w:rFonts w:ascii="Arial" w:cs="Arial" w:eastAsia="Arial" w:hAnsi="Arial"/>
                <w:sz w:val="18"/>
                <w:szCs w:val="18"/>
                <w:color w:val="auto"/>
              </w:rPr>
              <w:t>2,754</w:t>
            </w:r>
          </w:p>
        </w:tc>
        <w:tc>
          <w:tcPr>
            <w:tcW w:w="360" w:type="dxa"/>
            <w:vAlign w:val="bottom"/>
          </w:tcPr>
          <w:p>
            <w:pPr>
              <w:spacing w:after="0"/>
              <w:rPr>
                <w:sz w:val="19"/>
                <w:szCs w:val="19"/>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2,754</w:t>
            </w:r>
          </w:p>
        </w:tc>
      </w:tr>
      <w:tr>
        <w:trPr>
          <w:trHeight w:val="217"/>
        </w:trPr>
        <w:tc>
          <w:tcPr>
            <w:tcW w:w="20" w:type="dxa"/>
            <w:vAlign w:val="bottom"/>
          </w:tcPr>
          <w:p>
            <w:pPr>
              <w:spacing w:after="0"/>
              <w:rPr>
                <w:sz w:val="18"/>
                <w:szCs w:val="18"/>
                <w:color w:val="auto"/>
              </w:rPr>
            </w:pPr>
          </w:p>
        </w:tc>
        <w:tc>
          <w:tcPr>
            <w:tcW w:w="37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Selling, general and administrative</w:t>
            </w:r>
          </w:p>
        </w:tc>
        <w:tc>
          <w:tcPr>
            <w:tcW w:w="4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74</w:t>
            </w:r>
          </w:p>
        </w:tc>
        <w:tc>
          <w:tcPr>
            <w:tcW w:w="260" w:type="dxa"/>
            <w:vAlign w:val="bottom"/>
            <w:shd w:val="clear" w:color="auto" w:fill="E5E5E5"/>
          </w:tcPr>
          <w:p>
            <w:pPr>
              <w:spacing w:after="0"/>
              <w:rPr>
                <w:sz w:val="18"/>
                <w:szCs w:val="18"/>
                <w:color w:val="auto"/>
              </w:rPr>
            </w:pPr>
          </w:p>
        </w:tc>
        <w:tc>
          <w:tcPr>
            <w:tcW w:w="46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54</w:t>
            </w: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84</w:t>
            </w:r>
          </w:p>
        </w:tc>
        <w:tc>
          <w:tcPr>
            <w:tcW w:w="3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84</w:t>
            </w:r>
          </w:p>
        </w:tc>
        <w:tc>
          <w:tcPr>
            <w:tcW w:w="34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5</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2,026</w:t>
            </w:r>
          </w:p>
        </w:tc>
        <w:tc>
          <w:tcPr>
            <w:tcW w:w="36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(381)</w:t>
            </w: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1,946</w:t>
            </w:r>
          </w:p>
        </w:tc>
      </w:tr>
      <w:tr>
        <w:trPr>
          <w:trHeight w:val="216"/>
        </w:trPr>
        <w:tc>
          <w:tcPr>
            <w:tcW w:w="20" w:type="dxa"/>
            <w:vAlign w:val="bottom"/>
          </w:tcPr>
          <w:p>
            <w:pPr>
              <w:spacing w:after="0"/>
              <w:rPr>
                <w:sz w:val="18"/>
                <w:szCs w:val="18"/>
                <w:color w:val="auto"/>
              </w:rPr>
            </w:pPr>
          </w:p>
        </w:tc>
        <w:tc>
          <w:tcPr>
            <w:tcW w:w="372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460" w:type="dxa"/>
            <w:vAlign w:val="bottom"/>
          </w:tcPr>
          <w:p>
            <w:pPr>
              <w:spacing w:after="0"/>
              <w:rPr>
                <w:sz w:val="18"/>
                <w:szCs w:val="18"/>
                <w:color w:val="auto"/>
              </w:rPr>
            </w:pPr>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4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60" w:type="dxa"/>
            <w:vAlign w:val="bottom"/>
          </w:tcPr>
          <w:p>
            <w:pPr>
              <w:jc w:val="right"/>
              <w:ind w:right="153"/>
              <w:spacing w:after="0"/>
              <w:rPr>
                <w:sz w:val="20"/>
                <w:szCs w:val="20"/>
                <w:color w:val="auto"/>
              </w:rPr>
            </w:pPr>
            <w:r>
              <w:rPr>
                <w:rFonts w:ascii="Arial" w:cs="Arial" w:eastAsia="Arial" w:hAnsi="Arial"/>
                <w:sz w:val="18"/>
                <w:szCs w:val="18"/>
                <w:color w:val="auto"/>
              </w:rPr>
              <w:t>1,250</w:t>
            </w:r>
          </w:p>
        </w:tc>
        <w:tc>
          <w:tcPr>
            <w:tcW w:w="360" w:type="dxa"/>
            <w:vAlign w:val="bottom"/>
          </w:tcPr>
          <w:p>
            <w:pPr>
              <w:spacing w:after="0"/>
              <w:rPr>
                <w:sz w:val="18"/>
                <w:szCs w:val="18"/>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1,252</w:t>
            </w:r>
          </w:p>
        </w:tc>
      </w:tr>
      <w:tr>
        <w:trPr>
          <w:trHeight w:val="216"/>
        </w:trPr>
        <w:tc>
          <w:tcPr>
            <w:tcW w:w="20" w:type="dxa"/>
            <w:vAlign w:val="bottom"/>
          </w:tcPr>
          <w:p>
            <w:pPr>
              <w:spacing w:after="0"/>
              <w:rPr>
                <w:sz w:val="18"/>
                <w:szCs w:val="18"/>
                <w:color w:val="auto"/>
              </w:rPr>
            </w:pPr>
          </w:p>
        </w:tc>
        <w:tc>
          <w:tcPr>
            <w:tcW w:w="372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Amortization</w:t>
            </w:r>
          </w:p>
        </w:tc>
        <w:tc>
          <w:tcPr>
            <w:tcW w:w="4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292</w:t>
            </w:r>
          </w:p>
        </w:tc>
        <w:tc>
          <w:tcPr>
            <w:tcW w:w="36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292</w:t>
            </w:r>
          </w:p>
        </w:tc>
      </w:tr>
      <w:tr>
        <w:trPr>
          <w:trHeight w:val="210"/>
        </w:trPr>
        <w:tc>
          <w:tcPr>
            <w:tcW w:w="20" w:type="dxa"/>
            <w:vAlign w:val="bottom"/>
          </w:tcPr>
          <w:p>
            <w:pPr>
              <w:spacing w:after="0"/>
              <w:rPr>
                <w:sz w:val="18"/>
                <w:szCs w:val="18"/>
                <w:color w:val="auto"/>
              </w:rPr>
            </w:pPr>
          </w:p>
        </w:tc>
        <w:tc>
          <w:tcPr>
            <w:tcW w:w="37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76</w:t>
            </w:r>
          </w:p>
        </w:tc>
        <w:tc>
          <w:tcPr>
            <w:tcW w:w="2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54</w:t>
            </w:r>
          </w:p>
        </w:tc>
        <w:tc>
          <w:tcPr>
            <w:tcW w:w="3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84</w:t>
            </w:r>
          </w:p>
        </w:tc>
        <w:tc>
          <w:tcPr>
            <w:tcW w:w="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84</w:t>
            </w:r>
          </w:p>
        </w:tc>
        <w:tc>
          <w:tcPr>
            <w:tcW w:w="3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5</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6,322</w:t>
            </w: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(381)</w:t>
            </w: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6,244</w:t>
            </w:r>
          </w:p>
        </w:tc>
      </w:tr>
      <w:tr>
        <w:trPr>
          <w:trHeight w:val="210"/>
        </w:trPr>
        <w:tc>
          <w:tcPr>
            <w:tcW w:w="20" w:type="dxa"/>
            <w:vAlign w:val="bottom"/>
          </w:tcPr>
          <w:p>
            <w:pPr>
              <w:spacing w:after="0"/>
              <w:rPr>
                <w:sz w:val="18"/>
                <w:szCs w:val="18"/>
                <w:color w:val="auto"/>
              </w:rPr>
            </w:pPr>
          </w:p>
        </w:tc>
        <w:tc>
          <w:tcPr>
            <w:tcW w:w="372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w:t>
            </w:r>
          </w:p>
        </w:tc>
        <w:tc>
          <w:tcPr>
            <w:tcW w:w="4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83</w:t>
            </w:r>
          </w:p>
        </w:tc>
        <w:tc>
          <w:tcPr>
            <w:tcW w:w="260" w:type="dxa"/>
            <w:vAlign w:val="bottom"/>
            <w:shd w:val="clear" w:color="auto" w:fill="E5E5E5"/>
          </w:tcPr>
          <w:p>
            <w:pPr>
              <w:spacing w:after="0"/>
              <w:rPr>
                <w:sz w:val="18"/>
                <w:szCs w:val="18"/>
                <w:color w:val="auto"/>
              </w:rPr>
            </w:pPr>
          </w:p>
        </w:tc>
        <w:tc>
          <w:tcPr>
            <w:tcW w:w="46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(5)</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1,390</w:t>
            </w:r>
          </w:p>
        </w:tc>
        <w:tc>
          <w:tcPr>
            <w:tcW w:w="36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1,468</w:t>
            </w: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Other Income (Expense):</w:t>
            </w: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Interest expense</w:t>
            </w:r>
          </w:p>
        </w:tc>
        <w:tc>
          <w:tcPr>
            <w:tcW w:w="4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90"/>
              </w:rPr>
              <w:t>(260)</w:t>
            </w:r>
          </w:p>
        </w:tc>
        <w:tc>
          <w:tcPr>
            <w:tcW w:w="260" w:type="dxa"/>
            <w:vAlign w:val="bottom"/>
            <w:shd w:val="clear" w:color="auto" w:fill="E5E5E5"/>
          </w:tcPr>
          <w:p>
            <w:pPr>
              <w:spacing w:after="0"/>
              <w:rPr>
                <w:sz w:val="18"/>
                <w:szCs w:val="18"/>
                <w:color w:val="auto"/>
              </w:rPr>
            </w:pPr>
          </w:p>
        </w:tc>
        <w:tc>
          <w:tcPr>
            <w:tcW w:w="46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w w:val="99"/>
              </w:rPr>
              <w:t>(91)</w:t>
            </w: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99"/>
              </w:rPr>
              <w:t>(80)</w:t>
            </w:r>
          </w:p>
        </w:tc>
        <w:tc>
          <w:tcPr>
            <w:tcW w:w="3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(54)</w:t>
            </w:r>
          </w:p>
        </w:tc>
        <w:tc>
          <w:tcPr>
            <w:tcW w:w="34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(23)</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(42)</w:t>
            </w:r>
          </w:p>
        </w:tc>
        <w:tc>
          <w:tcPr>
            <w:tcW w:w="36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(550)</w:t>
            </w:r>
          </w:p>
        </w:tc>
      </w:tr>
      <w:tr>
        <w:trPr>
          <w:trHeight w:val="216"/>
        </w:trPr>
        <w:tc>
          <w:tcPr>
            <w:tcW w:w="20" w:type="dxa"/>
            <w:vAlign w:val="bottom"/>
          </w:tcPr>
          <w:p>
            <w:pPr>
              <w:spacing w:after="0"/>
              <w:rPr>
                <w:sz w:val="18"/>
                <w:szCs w:val="18"/>
                <w:color w:val="auto"/>
              </w:rPr>
            </w:pPr>
          </w:p>
        </w:tc>
        <w:tc>
          <w:tcPr>
            <w:tcW w:w="3720" w:type="dxa"/>
            <w:vAlign w:val="bottom"/>
          </w:tcPr>
          <w:p>
            <w:pPr>
              <w:ind w:left="200"/>
              <w:spacing w:after="0"/>
              <w:rPr>
                <w:sz w:val="20"/>
                <w:szCs w:val="20"/>
                <w:color w:val="auto"/>
              </w:rPr>
            </w:pPr>
            <w:r>
              <w:rPr>
                <w:rFonts w:ascii="Arial" w:cs="Arial" w:eastAsia="Arial" w:hAnsi="Arial"/>
                <w:sz w:val="18"/>
                <w:szCs w:val="18"/>
                <w:color w:val="auto"/>
              </w:rPr>
              <w:t>Investment income (loss), net</w:t>
            </w:r>
          </w:p>
        </w:tc>
        <w:tc>
          <w:tcPr>
            <w:tcW w:w="460" w:type="dxa"/>
            <w:vAlign w:val="bottom"/>
          </w:tcPr>
          <w:p>
            <w:pPr>
              <w:spacing w:after="0"/>
              <w:rPr>
                <w:sz w:val="18"/>
                <w:szCs w:val="18"/>
                <w:color w:val="auto"/>
              </w:rPr>
            </w:pPr>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4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18"/>
                <w:szCs w:val="18"/>
                <w:color w:val="auto"/>
              </w:rPr>
            </w:pPr>
          </w:p>
        </w:tc>
        <w:tc>
          <w:tcPr>
            <w:tcW w:w="6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(38)</w:t>
            </w:r>
          </w:p>
        </w:tc>
        <w:tc>
          <w:tcPr>
            <w:tcW w:w="320" w:type="dxa"/>
            <w:vAlign w:val="bottom"/>
          </w:tcPr>
          <w:p>
            <w:pPr>
              <w:spacing w:after="0"/>
              <w:rPr>
                <w:sz w:val="18"/>
                <w:szCs w:val="18"/>
                <w:color w:val="auto"/>
              </w:rPr>
            </w:pPr>
          </w:p>
        </w:tc>
        <w:tc>
          <w:tcPr>
            <w:tcW w:w="760" w:type="dxa"/>
            <w:vAlign w:val="bottom"/>
          </w:tcPr>
          <w:p>
            <w:pPr>
              <w:jc w:val="right"/>
              <w:ind w:right="153"/>
              <w:spacing w:after="0"/>
              <w:rPr>
                <w:sz w:val="20"/>
                <w:szCs w:val="20"/>
                <w:color w:val="auto"/>
              </w:rPr>
            </w:pPr>
            <w:r>
              <w:rPr>
                <w:rFonts w:ascii="Arial" w:cs="Arial" w:eastAsia="Arial" w:hAnsi="Arial"/>
                <w:sz w:val="18"/>
                <w:szCs w:val="18"/>
                <w:color w:val="auto"/>
              </w:rPr>
              <w:t>157</w:t>
            </w:r>
          </w:p>
        </w:tc>
        <w:tc>
          <w:tcPr>
            <w:tcW w:w="360" w:type="dxa"/>
            <w:vAlign w:val="bottom"/>
          </w:tcPr>
          <w:p>
            <w:pPr>
              <w:spacing w:after="0"/>
              <w:rPr>
                <w:sz w:val="18"/>
                <w:szCs w:val="18"/>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16"/>
        </w:trPr>
        <w:tc>
          <w:tcPr>
            <w:tcW w:w="20" w:type="dxa"/>
            <w:vAlign w:val="bottom"/>
          </w:tcPr>
          <w:p>
            <w:pPr>
              <w:spacing w:after="0"/>
              <w:rPr>
                <w:sz w:val="18"/>
                <w:szCs w:val="18"/>
                <w:color w:val="auto"/>
              </w:rPr>
            </w:pPr>
          </w:p>
        </w:tc>
        <w:tc>
          <w:tcPr>
            <w:tcW w:w="3720" w:type="dxa"/>
            <w:vAlign w:val="bottom"/>
            <w:shd w:val="clear" w:color="auto" w:fill="E5E5E5"/>
          </w:tcPr>
          <w:p>
            <w:pPr>
              <w:ind w:left="200"/>
              <w:spacing w:after="0"/>
              <w:rPr>
                <w:sz w:val="20"/>
                <w:szCs w:val="20"/>
                <w:color w:val="auto"/>
              </w:rPr>
            </w:pPr>
            <w:r>
              <w:rPr>
                <w:rFonts w:ascii="Arial" w:cs="Arial" w:eastAsia="Arial" w:hAnsi="Arial"/>
                <w:sz w:val="18"/>
                <w:szCs w:val="18"/>
                <w:color w:val="auto"/>
                <w:w w:val="98"/>
              </w:rPr>
              <w:t>Equity in net (losses) income of affiliates, net</w:t>
            </w:r>
          </w:p>
        </w:tc>
        <w:tc>
          <w:tcPr>
            <w:tcW w:w="4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702</w:t>
            </w:r>
          </w:p>
        </w:tc>
        <w:tc>
          <w:tcPr>
            <w:tcW w:w="260" w:type="dxa"/>
            <w:vAlign w:val="bottom"/>
            <w:shd w:val="clear" w:color="auto" w:fill="E5E5E5"/>
          </w:tcPr>
          <w:p>
            <w:pPr>
              <w:spacing w:after="0"/>
              <w:rPr>
                <w:sz w:val="18"/>
                <w:szCs w:val="18"/>
                <w:color w:val="auto"/>
              </w:rPr>
            </w:pPr>
          </w:p>
        </w:tc>
        <w:tc>
          <w:tcPr>
            <w:tcW w:w="46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6"/>
              </w:rPr>
              <w:t>474</w:t>
            </w: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w w:val="86"/>
              </w:rPr>
              <w:t>412</w:t>
            </w:r>
          </w:p>
        </w:tc>
        <w:tc>
          <w:tcPr>
            <w:tcW w:w="3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445</w:t>
            </w:r>
          </w:p>
        </w:tc>
        <w:tc>
          <w:tcPr>
            <w:tcW w:w="34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418</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(19)</w:t>
            </w:r>
          </w:p>
        </w:tc>
        <w:tc>
          <w:tcPr>
            <w:tcW w:w="36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(2,448)</w:t>
            </w: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20" w:type="dxa"/>
            <w:vAlign w:val="bottom"/>
          </w:tcPr>
          <w:p>
            <w:pPr>
              <w:spacing w:after="0"/>
              <w:rPr>
                <w:sz w:val="18"/>
                <w:szCs w:val="18"/>
                <w:color w:val="auto"/>
              </w:rPr>
            </w:pPr>
          </w:p>
        </w:tc>
        <w:tc>
          <w:tcPr>
            <w:tcW w:w="37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income (expense)</w:t>
            </w:r>
          </w:p>
        </w:tc>
        <w:tc>
          <w:tcPr>
            <w:tcW w:w="4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10"/>
        </w:trPr>
        <w:tc>
          <w:tcPr>
            <w:tcW w:w="20" w:type="dxa"/>
            <w:vAlign w:val="bottom"/>
          </w:tcPr>
          <w:p>
            <w:pPr>
              <w:spacing w:after="0"/>
              <w:rPr>
                <w:sz w:val="18"/>
                <w:szCs w:val="18"/>
                <w:color w:val="auto"/>
              </w:rPr>
            </w:pPr>
          </w:p>
        </w:tc>
        <w:tc>
          <w:tcPr>
            <w:tcW w:w="372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445</w:t>
            </w:r>
          </w:p>
        </w:tc>
        <w:tc>
          <w:tcPr>
            <w:tcW w:w="26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w w:val="86"/>
              </w:rPr>
              <w:t>383</w:t>
            </w:r>
          </w:p>
        </w:tc>
        <w:tc>
          <w:tcPr>
            <w:tcW w:w="3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w w:val="86"/>
              </w:rPr>
              <w:t>337</w:t>
            </w:r>
          </w:p>
        </w:tc>
        <w:tc>
          <w:tcPr>
            <w:tcW w:w="3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391</w:t>
            </w:r>
          </w:p>
        </w:tc>
        <w:tc>
          <w:tcPr>
            <w:tcW w:w="34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357</w:t>
            </w:r>
          </w:p>
        </w:tc>
        <w:tc>
          <w:tcPr>
            <w:tcW w:w="3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96</w:t>
            </w:r>
          </w:p>
        </w:tc>
        <w:tc>
          <w:tcPr>
            <w:tcW w:w="36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(2,448)</w:t>
            </w:r>
          </w:p>
        </w:tc>
        <w:tc>
          <w:tcPr>
            <w:tcW w:w="2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(439)</w:t>
            </w:r>
          </w:p>
        </w:tc>
      </w:tr>
      <w:tr>
        <w:trPr>
          <w:trHeight w:val="201"/>
        </w:trPr>
        <w:tc>
          <w:tcPr>
            <w:tcW w:w="20" w:type="dxa"/>
            <w:vAlign w:val="bottom"/>
          </w:tcPr>
          <w:p>
            <w:pPr>
              <w:spacing w:after="0"/>
              <w:rPr>
                <w:sz w:val="17"/>
                <w:szCs w:val="17"/>
                <w:color w:val="auto"/>
              </w:rPr>
            </w:pPr>
          </w:p>
        </w:tc>
        <w:tc>
          <w:tcPr>
            <w:tcW w:w="3720" w:type="dxa"/>
            <w:vAlign w:val="bottom"/>
          </w:tcPr>
          <w:p>
            <w:pPr>
              <w:spacing w:after="0" w:line="201" w:lineRule="exact"/>
              <w:rPr>
                <w:sz w:val="20"/>
                <w:szCs w:val="20"/>
                <w:color w:val="auto"/>
              </w:rPr>
            </w:pPr>
            <w:r>
              <w:rPr>
                <w:rFonts w:ascii="Arial" w:cs="Arial" w:eastAsia="Arial" w:hAnsi="Arial"/>
                <w:sz w:val="18"/>
                <w:szCs w:val="18"/>
                <w:color w:val="auto"/>
                <w:w w:val="97"/>
              </w:rPr>
              <w:t>Income (loss) before income taxes and minority</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3720" w:type="dxa"/>
            <w:vAlign w:val="bottom"/>
          </w:tcPr>
          <w:p>
            <w:pPr>
              <w:ind w:left="200"/>
              <w:spacing w:after="0"/>
              <w:rPr>
                <w:sz w:val="20"/>
                <w:szCs w:val="20"/>
                <w:color w:val="auto"/>
              </w:rPr>
            </w:pPr>
            <w:r>
              <w:rPr>
                <w:rFonts w:ascii="Arial" w:cs="Arial" w:eastAsia="Arial" w:hAnsi="Arial"/>
                <w:sz w:val="18"/>
                <w:szCs w:val="18"/>
                <w:color w:val="auto"/>
              </w:rPr>
              <w:t>interest</w:t>
            </w:r>
          </w:p>
        </w:tc>
        <w:tc>
          <w:tcPr>
            <w:tcW w:w="460" w:type="dxa"/>
            <w:vAlign w:val="bottom"/>
          </w:tcPr>
          <w:p>
            <w:pPr>
              <w:spacing w:after="0"/>
              <w:rPr>
                <w:sz w:val="19"/>
                <w:szCs w:val="19"/>
                <w:color w:val="auto"/>
              </w:rPr>
            </w:pPr>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528</w:t>
            </w:r>
          </w:p>
        </w:tc>
        <w:tc>
          <w:tcPr>
            <w:tcW w:w="260" w:type="dxa"/>
            <w:vAlign w:val="bottom"/>
          </w:tcPr>
          <w:p>
            <w:pPr>
              <w:spacing w:after="0"/>
              <w:rPr>
                <w:sz w:val="19"/>
                <w:szCs w:val="19"/>
                <w:color w:val="auto"/>
              </w:rPr>
            </w:pPr>
          </w:p>
        </w:tc>
        <w:tc>
          <w:tcPr>
            <w:tcW w:w="460" w:type="dxa"/>
            <w:vAlign w:val="bottom"/>
          </w:tcPr>
          <w:p>
            <w:pPr>
              <w:jc w:val="right"/>
              <w:ind w:right="92"/>
              <w:spacing w:after="0"/>
              <w:rPr>
                <w:sz w:val="20"/>
                <w:szCs w:val="20"/>
                <w:color w:val="auto"/>
              </w:rPr>
            </w:pPr>
            <w:r>
              <w:rPr>
                <w:rFonts w:ascii="Arial" w:cs="Arial" w:eastAsia="Arial" w:hAnsi="Arial"/>
                <w:sz w:val="18"/>
                <w:szCs w:val="18"/>
                <w:color w:val="auto"/>
                <w:w w:val="86"/>
              </w:rPr>
              <w:t>383</w:t>
            </w:r>
          </w:p>
        </w:tc>
        <w:tc>
          <w:tcPr>
            <w:tcW w:w="320" w:type="dxa"/>
            <w:vAlign w:val="bottom"/>
          </w:tcPr>
          <w:p>
            <w:pPr>
              <w:spacing w:after="0"/>
              <w:rPr>
                <w:sz w:val="19"/>
                <w:szCs w:val="19"/>
                <w:color w:val="auto"/>
              </w:rPr>
            </w:pPr>
          </w:p>
        </w:tc>
        <w:tc>
          <w:tcPr>
            <w:tcW w:w="520" w:type="dxa"/>
            <w:vAlign w:val="bottom"/>
          </w:tcPr>
          <w:p>
            <w:pPr>
              <w:jc w:val="right"/>
              <w:ind w:right="152"/>
              <w:spacing w:after="0"/>
              <w:rPr>
                <w:sz w:val="20"/>
                <w:szCs w:val="20"/>
                <w:color w:val="auto"/>
              </w:rPr>
            </w:pPr>
            <w:r>
              <w:rPr>
                <w:rFonts w:ascii="Arial" w:cs="Arial" w:eastAsia="Arial" w:hAnsi="Arial"/>
                <w:sz w:val="18"/>
                <w:szCs w:val="18"/>
                <w:color w:val="auto"/>
                <w:w w:val="86"/>
              </w:rPr>
              <w:t>337</w:t>
            </w:r>
          </w:p>
        </w:tc>
        <w:tc>
          <w:tcPr>
            <w:tcW w:w="360" w:type="dxa"/>
            <w:vAlign w:val="bottom"/>
          </w:tcPr>
          <w:p>
            <w:pPr>
              <w:spacing w:after="0"/>
              <w:rPr>
                <w:sz w:val="19"/>
                <w:szCs w:val="19"/>
                <w:color w:val="auto"/>
              </w:rPr>
            </w:pPr>
          </w:p>
        </w:tc>
        <w:tc>
          <w:tcPr>
            <w:tcW w:w="600" w:type="dxa"/>
            <w:vAlign w:val="bottom"/>
          </w:tcPr>
          <w:p>
            <w:pPr>
              <w:jc w:val="right"/>
              <w:ind w:right="132"/>
              <w:spacing w:after="0"/>
              <w:rPr>
                <w:sz w:val="20"/>
                <w:szCs w:val="20"/>
                <w:color w:val="auto"/>
              </w:rPr>
            </w:pPr>
            <w:r>
              <w:rPr>
                <w:rFonts w:ascii="Arial" w:cs="Arial" w:eastAsia="Arial" w:hAnsi="Arial"/>
                <w:sz w:val="18"/>
                <w:szCs w:val="18"/>
                <w:color w:val="auto"/>
              </w:rPr>
              <w:t>391</w:t>
            </w:r>
          </w:p>
        </w:tc>
        <w:tc>
          <w:tcPr>
            <w:tcW w:w="340" w:type="dxa"/>
            <w:vAlign w:val="bottom"/>
          </w:tcPr>
          <w:p>
            <w:pPr>
              <w:spacing w:after="0"/>
              <w:rPr>
                <w:sz w:val="19"/>
                <w:szCs w:val="19"/>
                <w:color w:val="auto"/>
              </w:rPr>
            </w:pPr>
          </w:p>
        </w:tc>
        <w:tc>
          <w:tcPr>
            <w:tcW w:w="560" w:type="dxa"/>
            <w:vAlign w:val="bottom"/>
          </w:tcPr>
          <w:p>
            <w:pPr>
              <w:jc w:val="right"/>
              <w:ind w:right="132"/>
              <w:spacing w:after="0"/>
              <w:rPr>
                <w:sz w:val="20"/>
                <w:szCs w:val="20"/>
                <w:color w:val="auto"/>
              </w:rPr>
            </w:pPr>
            <w:r>
              <w:rPr>
                <w:rFonts w:ascii="Arial" w:cs="Arial" w:eastAsia="Arial" w:hAnsi="Arial"/>
                <w:sz w:val="18"/>
                <w:szCs w:val="18"/>
                <w:color w:val="auto"/>
              </w:rPr>
              <w:t>352</w:t>
            </w:r>
          </w:p>
        </w:tc>
        <w:tc>
          <w:tcPr>
            <w:tcW w:w="320" w:type="dxa"/>
            <w:vAlign w:val="bottom"/>
          </w:tcPr>
          <w:p>
            <w:pPr>
              <w:spacing w:after="0"/>
              <w:rPr>
                <w:sz w:val="19"/>
                <w:szCs w:val="19"/>
                <w:color w:val="auto"/>
              </w:rPr>
            </w:pPr>
          </w:p>
        </w:tc>
        <w:tc>
          <w:tcPr>
            <w:tcW w:w="760" w:type="dxa"/>
            <w:vAlign w:val="bottom"/>
          </w:tcPr>
          <w:p>
            <w:pPr>
              <w:jc w:val="right"/>
              <w:ind w:right="153"/>
              <w:spacing w:after="0"/>
              <w:rPr>
                <w:sz w:val="20"/>
                <w:szCs w:val="20"/>
                <w:color w:val="auto"/>
              </w:rPr>
            </w:pPr>
            <w:r>
              <w:rPr>
                <w:rFonts w:ascii="Arial" w:cs="Arial" w:eastAsia="Arial" w:hAnsi="Arial"/>
                <w:sz w:val="18"/>
                <w:szCs w:val="18"/>
                <w:color w:val="auto"/>
              </w:rPr>
              <w:t>1,486</w:t>
            </w:r>
          </w:p>
        </w:tc>
        <w:tc>
          <w:tcPr>
            <w:tcW w:w="360" w:type="dxa"/>
            <w:vAlign w:val="bottom"/>
          </w:tcPr>
          <w:p>
            <w:pPr>
              <w:spacing w:after="0"/>
              <w:rPr>
                <w:sz w:val="19"/>
                <w:szCs w:val="19"/>
                <w:color w:val="auto"/>
              </w:rPr>
            </w:pPr>
          </w:p>
        </w:tc>
        <w:tc>
          <w:tcPr>
            <w:tcW w:w="820" w:type="dxa"/>
            <w:vAlign w:val="bottom"/>
          </w:tcPr>
          <w:p>
            <w:pPr>
              <w:jc w:val="right"/>
              <w:ind w:right="93"/>
              <w:spacing w:after="0"/>
              <w:rPr>
                <w:sz w:val="20"/>
                <w:szCs w:val="20"/>
                <w:color w:val="auto"/>
              </w:rPr>
            </w:pPr>
            <w:r>
              <w:rPr>
                <w:rFonts w:ascii="Arial" w:cs="Arial" w:eastAsia="Arial" w:hAnsi="Arial"/>
                <w:sz w:val="18"/>
                <w:szCs w:val="18"/>
                <w:color w:val="auto"/>
              </w:rPr>
              <w:t>(2,448)</w:t>
            </w: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1,029</w:t>
            </w:r>
          </w:p>
        </w:tc>
      </w:tr>
      <w:tr>
        <w:trPr>
          <w:trHeight w:val="218"/>
        </w:trPr>
        <w:tc>
          <w:tcPr>
            <w:tcW w:w="20" w:type="dxa"/>
            <w:vAlign w:val="bottom"/>
          </w:tcPr>
          <w:p>
            <w:pPr>
              <w:spacing w:after="0"/>
              <w:rPr>
                <w:sz w:val="18"/>
                <w:szCs w:val="18"/>
                <w:color w:val="auto"/>
              </w:rPr>
            </w:pPr>
          </w:p>
        </w:tc>
        <w:tc>
          <w:tcPr>
            <w:tcW w:w="37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 benefit</w:t>
            </w:r>
          </w:p>
        </w:tc>
        <w:tc>
          <w:tcPr>
            <w:tcW w:w="4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60</w:t>
            </w:r>
          </w:p>
        </w:tc>
        <w:tc>
          <w:tcPr>
            <w:tcW w:w="26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32</w:t>
            </w:r>
          </w:p>
        </w:tc>
        <w:tc>
          <w:tcPr>
            <w:tcW w:w="3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27</w:t>
            </w:r>
          </w:p>
        </w:tc>
        <w:tc>
          <w:tcPr>
            <w:tcW w:w="3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21</w:t>
            </w:r>
          </w:p>
        </w:tc>
        <w:tc>
          <w:tcPr>
            <w:tcW w:w="34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23</w:t>
            </w:r>
          </w:p>
        </w:tc>
        <w:tc>
          <w:tcPr>
            <w:tcW w:w="3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(616)</w:t>
            </w:r>
          </w:p>
        </w:tc>
        <w:tc>
          <w:tcPr>
            <w:tcW w:w="36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(453)</w:t>
            </w:r>
          </w:p>
        </w:tc>
      </w:tr>
      <w:tr>
        <w:trPr>
          <w:trHeight w:val="210"/>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Income (loss) before minority interest</w:t>
            </w:r>
          </w:p>
        </w:tc>
        <w:tc>
          <w:tcPr>
            <w:tcW w:w="460" w:type="dxa"/>
            <w:vAlign w:val="bottom"/>
          </w:tcPr>
          <w:p>
            <w:pPr>
              <w:spacing w:after="0"/>
              <w:rPr>
                <w:sz w:val="18"/>
                <w:szCs w:val="18"/>
                <w:color w:val="auto"/>
              </w:rPr>
            </w:pPr>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588</w:t>
            </w:r>
          </w:p>
        </w:tc>
        <w:tc>
          <w:tcPr>
            <w:tcW w:w="260" w:type="dxa"/>
            <w:vAlign w:val="bottom"/>
          </w:tcPr>
          <w:p>
            <w:pPr>
              <w:spacing w:after="0"/>
              <w:rPr>
                <w:sz w:val="18"/>
                <w:szCs w:val="18"/>
                <w:color w:val="auto"/>
              </w:rPr>
            </w:pPr>
          </w:p>
        </w:tc>
        <w:tc>
          <w:tcPr>
            <w:tcW w:w="460" w:type="dxa"/>
            <w:vAlign w:val="bottom"/>
          </w:tcPr>
          <w:p>
            <w:pPr>
              <w:jc w:val="right"/>
              <w:ind w:right="92"/>
              <w:spacing w:after="0"/>
              <w:rPr>
                <w:sz w:val="20"/>
                <w:szCs w:val="20"/>
                <w:color w:val="auto"/>
              </w:rPr>
            </w:pPr>
            <w:r>
              <w:rPr>
                <w:rFonts w:ascii="Arial" w:cs="Arial" w:eastAsia="Arial" w:hAnsi="Arial"/>
                <w:sz w:val="18"/>
                <w:szCs w:val="18"/>
                <w:color w:val="auto"/>
                <w:w w:val="86"/>
              </w:rPr>
              <w:t>415</w:t>
            </w:r>
          </w:p>
        </w:tc>
        <w:tc>
          <w:tcPr>
            <w:tcW w:w="320" w:type="dxa"/>
            <w:vAlign w:val="bottom"/>
          </w:tcPr>
          <w:p>
            <w:pPr>
              <w:spacing w:after="0"/>
              <w:rPr>
                <w:sz w:val="18"/>
                <w:szCs w:val="18"/>
                <w:color w:val="auto"/>
              </w:rPr>
            </w:pPr>
          </w:p>
        </w:tc>
        <w:tc>
          <w:tcPr>
            <w:tcW w:w="520" w:type="dxa"/>
            <w:vAlign w:val="bottom"/>
          </w:tcPr>
          <w:p>
            <w:pPr>
              <w:jc w:val="right"/>
              <w:ind w:right="152"/>
              <w:spacing w:after="0"/>
              <w:rPr>
                <w:sz w:val="20"/>
                <w:szCs w:val="20"/>
                <w:color w:val="auto"/>
              </w:rPr>
            </w:pPr>
            <w:r>
              <w:rPr>
                <w:rFonts w:ascii="Arial" w:cs="Arial" w:eastAsia="Arial" w:hAnsi="Arial"/>
                <w:sz w:val="18"/>
                <w:szCs w:val="18"/>
                <w:color w:val="auto"/>
                <w:w w:val="86"/>
              </w:rPr>
              <w:t>364</w:t>
            </w:r>
          </w:p>
        </w:tc>
        <w:tc>
          <w:tcPr>
            <w:tcW w:w="360" w:type="dxa"/>
            <w:vAlign w:val="bottom"/>
          </w:tcPr>
          <w:p>
            <w:pPr>
              <w:spacing w:after="0"/>
              <w:rPr>
                <w:sz w:val="18"/>
                <w:szCs w:val="18"/>
                <w:color w:val="auto"/>
              </w:rPr>
            </w:pPr>
          </w:p>
        </w:tc>
        <w:tc>
          <w:tcPr>
            <w:tcW w:w="600" w:type="dxa"/>
            <w:vAlign w:val="bottom"/>
          </w:tcPr>
          <w:p>
            <w:pPr>
              <w:jc w:val="right"/>
              <w:ind w:right="132"/>
              <w:spacing w:after="0"/>
              <w:rPr>
                <w:sz w:val="20"/>
                <w:szCs w:val="20"/>
                <w:color w:val="auto"/>
              </w:rPr>
            </w:pPr>
            <w:r>
              <w:rPr>
                <w:rFonts w:ascii="Arial" w:cs="Arial" w:eastAsia="Arial" w:hAnsi="Arial"/>
                <w:sz w:val="18"/>
                <w:szCs w:val="18"/>
                <w:color w:val="auto"/>
              </w:rPr>
              <w:t>412</w:t>
            </w:r>
          </w:p>
        </w:tc>
        <w:tc>
          <w:tcPr>
            <w:tcW w:w="340" w:type="dxa"/>
            <w:vAlign w:val="bottom"/>
          </w:tcPr>
          <w:p>
            <w:pPr>
              <w:spacing w:after="0"/>
              <w:rPr>
                <w:sz w:val="18"/>
                <w:szCs w:val="18"/>
                <w:color w:val="auto"/>
              </w:rPr>
            </w:pPr>
          </w:p>
        </w:tc>
        <w:tc>
          <w:tcPr>
            <w:tcW w:w="560" w:type="dxa"/>
            <w:vAlign w:val="bottom"/>
          </w:tcPr>
          <w:p>
            <w:pPr>
              <w:jc w:val="right"/>
              <w:ind w:right="132"/>
              <w:spacing w:after="0"/>
              <w:rPr>
                <w:sz w:val="20"/>
                <w:szCs w:val="20"/>
                <w:color w:val="auto"/>
              </w:rPr>
            </w:pPr>
            <w:r>
              <w:rPr>
                <w:rFonts w:ascii="Arial" w:cs="Arial" w:eastAsia="Arial" w:hAnsi="Arial"/>
                <w:sz w:val="18"/>
                <w:szCs w:val="18"/>
                <w:color w:val="auto"/>
              </w:rPr>
              <w:t>375</w:t>
            </w:r>
          </w:p>
        </w:tc>
        <w:tc>
          <w:tcPr>
            <w:tcW w:w="320" w:type="dxa"/>
            <w:vAlign w:val="bottom"/>
          </w:tcPr>
          <w:p>
            <w:pPr>
              <w:spacing w:after="0"/>
              <w:rPr>
                <w:sz w:val="18"/>
                <w:szCs w:val="18"/>
                <w:color w:val="auto"/>
              </w:rPr>
            </w:pPr>
          </w:p>
        </w:tc>
        <w:tc>
          <w:tcPr>
            <w:tcW w:w="760" w:type="dxa"/>
            <w:vAlign w:val="bottom"/>
          </w:tcPr>
          <w:p>
            <w:pPr>
              <w:jc w:val="right"/>
              <w:ind w:right="153"/>
              <w:spacing w:after="0"/>
              <w:rPr>
                <w:sz w:val="20"/>
                <w:szCs w:val="20"/>
                <w:color w:val="auto"/>
              </w:rPr>
            </w:pPr>
            <w:r>
              <w:rPr>
                <w:rFonts w:ascii="Arial" w:cs="Arial" w:eastAsia="Arial" w:hAnsi="Arial"/>
                <w:sz w:val="18"/>
                <w:szCs w:val="18"/>
                <w:color w:val="auto"/>
              </w:rPr>
              <w:t>870</w:t>
            </w:r>
          </w:p>
        </w:tc>
        <w:tc>
          <w:tcPr>
            <w:tcW w:w="360" w:type="dxa"/>
            <w:vAlign w:val="bottom"/>
          </w:tcPr>
          <w:p>
            <w:pPr>
              <w:spacing w:after="0"/>
              <w:rPr>
                <w:sz w:val="18"/>
                <w:szCs w:val="18"/>
                <w:color w:val="auto"/>
              </w:rPr>
            </w:pPr>
          </w:p>
        </w:tc>
        <w:tc>
          <w:tcPr>
            <w:tcW w:w="820" w:type="dxa"/>
            <w:vAlign w:val="bottom"/>
          </w:tcPr>
          <w:p>
            <w:pPr>
              <w:jc w:val="right"/>
              <w:ind w:right="93"/>
              <w:spacing w:after="0"/>
              <w:rPr>
                <w:sz w:val="20"/>
                <w:szCs w:val="20"/>
                <w:color w:val="auto"/>
              </w:rPr>
            </w:pPr>
            <w:r>
              <w:rPr>
                <w:rFonts w:ascii="Arial" w:cs="Arial" w:eastAsia="Arial" w:hAnsi="Arial"/>
                <w:sz w:val="18"/>
                <w:szCs w:val="18"/>
                <w:color w:val="auto"/>
              </w:rPr>
              <w:t>(2,448)</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576</w:t>
            </w:r>
          </w:p>
        </w:tc>
      </w:tr>
      <w:tr>
        <w:trPr>
          <w:trHeight w:val="216"/>
        </w:trPr>
        <w:tc>
          <w:tcPr>
            <w:tcW w:w="20" w:type="dxa"/>
            <w:vAlign w:val="bottom"/>
          </w:tcPr>
          <w:p>
            <w:pPr>
              <w:spacing w:after="0"/>
              <w:rPr>
                <w:sz w:val="18"/>
                <w:szCs w:val="18"/>
                <w:color w:val="auto"/>
              </w:rPr>
            </w:pPr>
          </w:p>
        </w:tc>
        <w:tc>
          <w:tcPr>
            <w:tcW w:w="37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Minority interest</w:t>
            </w:r>
          </w:p>
        </w:tc>
        <w:tc>
          <w:tcPr>
            <w:tcW w:w="4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12</w:t>
            </w:r>
          </w:p>
        </w:tc>
        <w:tc>
          <w:tcPr>
            <w:tcW w:w="36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12</w:t>
            </w:r>
          </w:p>
        </w:tc>
      </w:tr>
      <w:tr>
        <w:trPr>
          <w:trHeight w:val="217"/>
        </w:trPr>
        <w:tc>
          <w:tcPr>
            <w:tcW w:w="20" w:type="dxa"/>
            <w:vAlign w:val="bottom"/>
          </w:tcPr>
          <w:p>
            <w:pPr>
              <w:spacing w:after="0"/>
              <w:rPr>
                <w:sz w:val="18"/>
                <w:szCs w:val="18"/>
                <w:color w:val="auto"/>
              </w:rPr>
            </w:pPr>
          </w:p>
        </w:tc>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(loss)</w:t>
            </w:r>
          </w:p>
        </w:tc>
        <w:tc>
          <w:tcPr>
            <w:tcW w:w="46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588</w:t>
            </w:r>
          </w:p>
        </w:tc>
        <w:tc>
          <w:tcPr>
            <w:tcW w:w="260" w:type="dxa"/>
            <w:vAlign w:val="bottom"/>
            <w:tcBorders>
              <w:bottom w:val="single" w:sz="8" w:color="auto"/>
            </w:tcBorders>
          </w:tcPr>
          <w:p>
            <w:pPr>
              <w:ind w:left="180"/>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86"/>
              </w:rPr>
              <w:t>415</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86"/>
              </w:rPr>
              <w:t>364</w:t>
            </w:r>
          </w:p>
        </w:tc>
        <w:tc>
          <w:tcPr>
            <w:tcW w:w="3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412</w:t>
            </w:r>
          </w:p>
        </w:tc>
        <w:tc>
          <w:tcPr>
            <w:tcW w:w="34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375</w:t>
            </w:r>
          </w:p>
        </w:tc>
        <w:tc>
          <w:tcPr>
            <w:tcW w:w="3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b w:val="1"/>
                <w:bCs w:val="1"/>
                <w:color w:val="auto"/>
              </w:rPr>
              <w:t>882</w:t>
            </w:r>
          </w:p>
        </w:tc>
        <w:tc>
          <w:tcPr>
            <w:tcW w:w="36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(2,448)</w:t>
            </w:r>
          </w:p>
        </w:tc>
        <w:tc>
          <w:tcPr>
            <w:tcW w:w="2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588</w:t>
            </w:r>
          </w:p>
        </w:tc>
      </w:tr>
      <w:tr>
        <w:trPr>
          <w:trHeight w:val="363"/>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18</w:t>
            </w: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Consolidating Statement of Operations</w:t>
      </w:r>
    </w:p>
    <w:p>
      <w:pPr>
        <w:jc w:val="center"/>
        <w:spacing w:after="0"/>
        <w:rPr>
          <w:sz w:val="20"/>
          <w:szCs w:val="20"/>
          <w:color w:val="auto"/>
        </w:rPr>
      </w:pPr>
      <w:r>
        <w:rPr>
          <w:rFonts w:ascii="Arial" w:cs="Arial" w:eastAsia="Arial" w:hAnsi="Arial"/>
          <w:sz w:val="22"/>
          <w:szCs w:val="22"/>
          <w:b w:val="1"/>
          <w:bCs w:val="1"/>
          <w:color w:val="auto"/>
        </w:rPr>
        <w:t>For the Six Months Ended June 30, 2008</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Combined</w:t>
            </w: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jc w:val="right"/>
              <w:ind w:right="313"/>
              <w:spacing w:after="0" w:line="149" w:lineRule="exact"/>
              <w:rPr>
                <w:sz w:val="20"/>
                <w:szCs w:val="20"/>
                <w:color w:val="auto"/>
              </w:rPr>
            </w:pPr>
            <w:r>
              <w:rPr>
                <w:rFonts w:ascii="Arial" w:cs="Arial" w:eastAsia="Arial" w:hAnsi="Arial"/>
                <w:sz w:val="14"/>
                <w:szCs w:val="14"/>
                <w:color w:val="auto"/>
              </w:rPr>
              <w:t>Non-</w:t>
            </w:r>
          </w:p>
        </w:tc>
        <w:tc>
          <w:tcPr>
            <w:tcW w:w="340" w:type="dxa"/>
            <w:vAlign w:val="bottom"/>
          </w:tcPr>
          <w:p>
            <w:pPr>
              <w:spacing w:after="0"/>
              <w:rPr>
                <w:sz w:val="12"/>
                <w:szCs w:val="12"/>
                <w:color w:val="auto"/>
              </w:rPr>
            </w:pPr>
          </w:p>
        </w:tc>
        <w:tc>
          <w:tcPr>
            <w:tcW w:w="800" w:type="dxa"/>
            <w:vAlign w:val="bottom"/>
          </w:tcPr>
          <w:p>
            <w:pPr>
              <w:jc w:val="center"/>
              <w:ind w:right="313"/>
              <w:spacing w:after="0" w:line="149" w:lineRule="exact"/>
              <w:rPr>
                <w:sz w:val="20"/>
                <w:szCs w:val="20"/>
                <w:color w:val="auto"/>
              </w:rPr>
            </w:pPr>
            <w:r>
              <w:rPr>
                <w:rFonts w:ascii="Arial" w:cs="Arial" w:eastAsia="Arial" w:hAnsi="Arial"/>
                <w:sz w:val="14"/>
                <w:szCs w:val="14"/>
                <w:color w:val="auto"/>
                <w:w w:val="85"/>
              </w:rPr>
              <w:t>and</w:t>
            </w:r>
          </w:p>
        </w:tc>
        <w:tc>
          <w:tcPr>
            <w:tcW w:w="940" w:type="dxa"/>
            <w:vAlign w:val="bottom"/>
            <w:gridSpan w:val="2"/>
          </w:tcPr>
          <w:p>
            <w:pPr>
              <w:ind w:left="160"/>
              <w:spacing w:after="0" w:line="149" w:lineRule="exact"/>
              <w:rPr>
                <w:sz w:val="20"/>
                <w:szCs w:val="20"/>
                <w:color w:val="auto"/>
              </w:rPr>
            </w:pPr>
            <w:r>
              <w:rPr>
                <w:rFonts w:ascii="Arial" w:cs="Arial" w:eastAsia="Arial" w:hAnsi="Arial"/>
                <w:sz w:val="14"/>
                <w:szCs w:val="14"/>
                <w:color w:val="auto"/>
                <w:w w:val="92"/>
              </w:rPr>
              <w:t>Consolidated</w:t>
            </w: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08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Comcast</w:t>
            </w:r>
          </w:p>
        </w:tc>
        <w:tc>
          <w:tcPr>
            <w:tcW w:w="68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CCCL</w:t>
            </w:r>
          </w:p>
        </w:tc>
        <w:tc>
          <w:tcPr>
            <w:tcW w:w="96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CCCH</w:t>
            </w:r>
          </w:p>
        </w:tc>
        <w:tc>
          <w:tcPr>
            <w:tcW w:w="94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CCHMO</w:t>
            </w:r>
          </w:p>
        </w:tc>
        <w:tc>
          <w:tcPr>
            <w:tcW w:w="8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Comcast</w:t>
            </w:r>
          </w:p>
        </w:tc>
        <w:tc>
          <w:tcPr>
            <w:tcW w:w="1020" w:type="dxa"/>
            <w:vAlign w:val="bottom"/>
            <w:gridSpan w:val="2"/>
          </w:tcPr>
          <w:p>
            <w:pPr>
              <w:jc w:val="right"/>
              <w:ind w:right="173"/>
              <w:spacing w:after="0" w:line="149" w:lineRule="exact"/>
              <w:rPr>
                <w:sz w:val="20"/>
                <w:szCs w:val="20"/>
                <w:color w:val="auto"/>
              </w:rPr>
            </w:pPr>
            <w:r>
              <w:rPr>
                <w:rFonts w:ascii="Arial" w:cs="Arial" w:eastAsia="Arial" w:hAnsi="Arial"/>
                <w:sz w:val="14"/>
                <w:szCs w:val="14"/>
                <w:color w:val="auto"/>
              </w:rPr>
              <w:t>Guarantor</w:t>
            </w: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Consolidation</w:t>
            </w:r>
          </w:p>
        </w:tc>
        <w:tc>
          <w:tcPr>
            <w:tcW w:w="260" w:type="dxa"/>
            <w:vAlign w:val="bottom"/>
          </w:tcPr>
          <w:p>
            <w:pPr>
              <w:spacing w:after="0"/>
              <w:rPr>
                <w:sz w:val="12"/>
                <w:szCs w:val="12"/>
                <w:color w:val="auto"/>
              </w:rPr>
            </w:pPr>
          </w:p>
        </w:tc>
        <w:tc>
          <w:tcPr>
            <w:tcW w:w="680" w:type="dxa"/>
            <w:vAlign w:val="bottom"/>
          </w:tcPr>
          <w:p>
            <w:pPr>
              <w:jc w:val="right"/>
              <w:ind w:right="93"/>
              <w:spacing w:after="0" w:line="149" w:lineRule="exact"/>
              <w:rPr>
                <w:sz w:val="20"/>
                <w:szCs w:val="20"/>
                <w:color w:val="auto"/>
              </w:rPr>
            </w:pPr>
            <w:r>
              <w:rPr>
                <w:rFonts w:ascii="Arial" w:cs="Arial" w:eastAsia="Arial" w:hAnsi="Arial"/>
                <w:sz w:val="14"/>
                <w:szCs w:val="14"/>
                <w:color w:val="auto"/>
                <w:w w:val="86"/>
              </w:rPr>
              <w:t>Comcast</w:t>
            </w:r>
          </w:p>
        </w:tc>
      </w:tr>
      <w:tr>
        <w:trPr>
          <w:trHeight w:val="159"/>
        </w:trPr>
        <w:tc>
          <w:tcPr>
            <w:tcW w:w="380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1080" w:type="dxa"/>
            <w:vAlign w:val="bottom"/>
            <w:gridSpan w:val="2"/>
          </w:tcPr>
          <w:p>
            <w:pPr>
              <w:jc w:val="right"/>
              <w:ind w:right="192"/>
              <w:spacing w:after="0" w:line="159" w:lineRule="exact"/>
              <w:rPr>
                <w:sz w:val="20"/>
                <w:szCs w:val="20"/>
                <w:color w:val="auto"/>
              </w:rPr>
            </w:pPr>
            <w:r>
              <w:rPr>
                <w:rFonts w:ascii="Arial" w:cs="Arial" w:eastAsia="Arial" w:hAnsi="Arial"/>
                <w:sz w:val="14"/>
                <w:szCs w:val="14"/>
                <w:color w:val="auto"/>
              </w:rPr>
              <w:t>Parent</w:t>
            </w:r>
          </w:p>
        </w:tc>
        <w:tc>
          <w:tcPr>
            <w:tcW w:w="680" w:type="dxa"/>
            <w:vAlign w:val="bottom"/>
            <w:gridSpan w:val="2"/>
          </w:tcPr>
          <w:p>
            <w:pPr>
              <w:jc w:val="right"/>
              <w:ind w:right="52"/>
              <w:spacing w:after="0" w:line="159" w:lineRule="exact"/>
              <w:rPr>
                <w:sz w:val="20"/>
                <w:szCs w:val="20"/>
                <w:color w:val="auto"/>
              </w:rPr>
            </w:pPr>
            <w:r>
              <w:rPr>
                <w:rFonts w:ascii="Arial" w:cs="Arial" w:eastAsia="Arial" w:hAnsi="Arial"/>
                <w:sz w:val="14"/>
                <w:szCs w:val="14"/>
                <w:color w:val="auto"/>
              </w:rPr>
              <w:t>Parent</w:t>
            </w:r>
          </w:p>
        </w:tc>
        <w:tc>
          <w:tcPr>
            <w:tcW w:w="960" w:type="dxa"/>
            <w:vAlign w:val="bottom"/>
            <w:gridSpan w:val="2"/>
          </w:tcPr>
          <w:p>
            <w:pPr>
              <w:jc w:val="right"/>
              <w:ind w:right="192"/>
              <w:spacing w:after="0" w:line="159" w:lineRule="exact"/>
              <w:rPr>
                <w:sz w:val="20"/>
                <w:szCs w:val="20"/>
                <w:color w:val="auto"/>
              </w:rPr>
            </w:pPr>
            <w:r>
              <w:rPr>
                <w:rFonts w:ascii="Arial" w:cs="Arial" w:eastAsia="Arial" w:hAnsi="Arial"/>
                <w:sz w:val="14"/>
                <w:szCs w:val="14"/>
                <w:color w:val="auto"/>
              </w:rPr>
              <w:t>Parent</w:t>
            </w:r>
          </w:p>
        </w:tc>
        <w:tc>
          <w:tcPr>
            <w:tcW w:w="940" w:type="dxa"/>
            <w:vAlign w:val="bottom"/>
            <w:gridSpan w:val="2"/>
          </w:tcPr>
          <w:p>
            <w:pPr>
              <w:jc w:val="right"/>
              <w:ind w:right="212"/>
              <w:spacing w:after="0" w:line="159" w:lineRule="exact"/>
              <w:rPr>
                <w:sz w:val="20"/>
                <w:szCs w:val="20"/>
                <w:color w:val="auto"/>
              </w:rPr>
            </w:pPr>
            <w:r>
              <w:rPr>
                <w:rFonts w:ascii="Arial" w:cs="Arial" w:eastAsia="Arial" w:hAnsi="Arial"/>
                <w:sz w:val="14"/>
                <w:szCs w:val="14"/>
                <w:color w:val="auto"/>
              </w:rPr>
              <w:t>Parents</w:t>
            </w:r>
          </w:p>
        </w:tc>
        <w:tc>
          <w:tcPr>
            <w:tcW w:w="86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Holdings</w:t>
            </w:r>
          </w:p>
        </w:tc>
        <w:tc>
          <w:tcPr>
            <w:tcW w:w="102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Subsidiaries</w:t>
            </w:r>
          </w:p>
        </w:tc>
        <w:tc>
          <w:tcPr>
            <w:tcW w:w="114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8"/>
              </w:rPr>
              <w:t>Adjustments</w:t>
            </w:r>
          </w:p>
        </w:tc>
        <w:tc>
          <w:tcPr>
            <w:tcW w:w="940" w:type="dxa"/>
            <w:vAlign w:val="bottom"/>
            <w:gridSpan w:val="2"/>
          </w:tcPr>
          <w:p>
            <w:pPr>
              <w:jc w:val="right"/>
              <w:ind w:right="13"/>
              <w:spacing w:after="0" w:line="159" w:lineRule="exact"/>
              <w:rPr>
                <w:sz w:val="20"/>
                <w:szCs w:val="20"/>
                <w:color w:val="auto"/>
              </w:rPr>
            </w:pPr>
            <w:r>
              <w:rPr>
                <w:rFonts w:ascii="Arial" w:cs="Arial" w:eastAsia="Arial" w:hAnsi="Arial"/>
                <w:sz w:val="14"/>
                <w:szCs w:val="14"/>
                <w:color w:val="auto"/>
              </w:rPr>
              <w:t>Corporation</w:t>
            </w:r>
          </w:p>
        </w:tc>
      </w:tr>
      <w:tr>
        <w:trPr>
          <w:trHeight w:val="210"/>
        </w:trPr>
        <w:tc>
          <w:tcPr>
            <w:tcW w:w="20" w:type="dxa"/>
            <w:vAlign w:val="bottom"/>
          </w:tcPr>
          <w:p>
            <w:pPr>
              <w:spacing w:after="0"/>
              <w:rPr>
                <w:sz w:val="18"/>
                <w:szCs w:val="18"/>
                <w:color w:val="auto"/>
              </w:rPr>
            </w:pPr>
          </w:p>
        </w:tc>
        <w:tc>
          <w:tcPr>
            <w:tcW w:w="37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Revenue:</w:t>
            </w:r>
          </w:p>
        </w:tc>
        <w:tc>
          <w:tcPr>
            <w:tcW w:w="46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44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54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740" w:type="dxa"/>
            <w:vAlign w:val="bottom"/>
            <w:tcBorders>
              <w:top w:val="single" w:sz="8" w:color="auto"/>
            </w:tcBorders>
            <w:shd w:val="clear" w:color="auto" w:fill="E5E5E5"/>
          </w:tcPr>
          <w:p>
            <w:pPr>
              <w:spacing w:after="0"/>
              <w:rPr>
                <w:sz w:val="18"/>
                <w:szCs w:val="18"/>
                <w:color w:val="auto"/>
              </w:rPr>
            </w:pPr>
          </w:p>
        </w:tc>
        <w:tc>
          <w:tcPr>
            <w:tcW w:w="340" w:type="dxa"/>
            <w:vAlign w:val="bottom"/>
            <w:tcBorders>
              <w:top w:val="single" w:sz="8" w:color="auto"/>
            </w:tcBorders>
            <w:shd w:val="clear" w:color="auto" w:fill="E5E5E5"/>
          </w:tcPr>
          <w:p>
            <w:pPr>
              <w:spacing w:after="0"/>
              <w:rPr>
                <w:sz w:val="18"/>
                <w:szCs w:val="18"/>
                <w:color w:val="auto"/>
              </w:rPr>
            </w:pPr>
          </w:p>
        </w:tc>
        <w:tc>
          <w:tcPr>
            <w:tcW w:w="80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200"/>
              <w:spacing w:after="0"/>
              <w:rPr>
                <w:sz w:val="20"/>
                <w:szCs w:val="20"/>
                <w:color w:val="auto"/>
              </w:rPr>
            </w:pPr>
            <w:r>
              <w:rPr>
                <w:rFonts w:ascii="Arial" w:cs="Arial" w:eastAsia="Arial" w:hAnsi="Arial"/>
                <w:sz w:val="18"/>
                <w:szCs w:val="18"/>
                <w:color w:val="auto"/>
              </w:rPr>
              <w:t>Service revenue</w:t>
            </w:r>
          </w:p>
        </w:tc>
        <w:tc>
          <w:tcPr>
            <w:tcW w:w="460" w:type="dxa"/>
            <w:vAlign w:val="bottom"/>
          </w:tcPr>
          <w:p>
            <w:pPr>
              <w:ind w:left="36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ind w:left="16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tcPr>
          <w:p>
            <w:pPr>
              <w:ind w:left="16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ind w:left="16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13"/>
              <w:spacing w:after="0"/>
              <w:rPr>
                <w:sz w:val="20"/>
                <w:szCs w:val="20"/>
                <w:color w:val="auto"/>
              </w:rPr>
            </w:pPr>
            <w:r>
              <w:rPr>
                <w:rFonts w:ascii="Arial" w:cs="Arial" w:eastAsia="Arial" w:hAnsi="Arial"/>
                <w:sz w:val="18"/>
                <w:szCs w:val="18"/>
                <w:color w:val="auto"/>
                <w:w w:val="94"/>
              </w:rPr>
              <w:t>16,942</w:t>
            </w:r>
          </w:p>
        </w:tc>
        <w:tc>
          <w:tcPr>
            <w:tcW w:w="340" w:type="dxa"/>
            <w:vAlign w:val="bottom"/>
          </w:tcPr>
          <w:p>
            <w:pPr>
              <w:jc w:val="right"/>
              <w:ind w:right="4"/>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16,942</w:t>
            </w:r>
          </w:p>
        </w:tc>
      </w:tr>
      <w:tr>
        <w:trPr>
          <w:trHeight w:val="216"/>
        </w:trPr>
        <w:tc>
          <w:tcPr>
            <w:tcW w:w="20" w:type="dxa"/>
            <w:vAlign w:val="bottom"/>
          </w:tcPr>
          <w:p>
            <w:pPr>
              <w:spacing w:after="0"/>
              <w:rPr>
                <w:sz w:val="18"/>
                <w:szCs w:val="18"/>
                <w:color w:val="auto"/>
              </w:rPr>
            </w:pPr>
          </w:p>
        </w:tc>
        <w:tc>
          <w:tcPr>
            <w:tcW w:w="378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Management fee revenue</w:t>
            </w:r>
          </w:p>
        </w:tc>
        <w:tc>
          <w:tcPr>
            <w:tcW w:w="4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360</w:t>
            </w:r>
          </w:p>
        </w:tc>
        <w:tc>
          <w:tcPr>
            <w:tcW w:w="24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109</w:t>
            </w:r>
          </w:p>
        </w:tc>
        <w:tc>
          <w:tcPr>
            <w:tcW w:w="3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202</w:t>
            </w:r>
          </w:p>
        </w:tc>
        <w:tc>
          <w:tcPr>
            <w:tcW w:w="2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202</w:t>
            </w:r>
          </w:p>
        </w:tc>
        <w:tc>
          <w:tcPr>
            <w:tcW w:w="3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(873)</w:t>
            </w:r>
          </w:p>
        </w:tc>
        <w:tc>
          <w:tcPr>
            <w:tcW w:w="26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37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360</w:t>
            </w:r>
          </w:p>
        </w:tc>
        <w:tc>
          <w:tcPr>
            <w:tcW w:w="2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109</w:t>
            </w:r>
          </w:p>
        </w:tc>
        <w:tc>
          <w:tcPr>
            <w:tcW w:w="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202</w:t>
            </w: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202</w:t>
            </w:r>
          </w:p>
        </w:tc>
        <w:tc>
          <w:tcPr>
            <w:tcW w:w="3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w w:val="94"/>
              </w:rPr>
              <w:t>16,942</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(873)</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16,942</w:t>
            </w:r>
          </w:p>
        </w:tc>
      </w:tr>
      <w:tr>
        <w:trPr>
          <w:trHeight w:val="210"/>
        </w:trPr>
        <w:tc>
          <w:tcPr>
            <w:tcW w:w="20" w:type="dxa"/>
            <w:vAlign w:val="bottom"/>
          </w:tcPr>
          <w:p>
            <w:pPr>
              <w:spacing w:after="0"/>
              <w:rPr>
                <w:sz w:val="18"/>
                <w:szCs w:val="18"/>
                <w:color w:val="auto"/>
              </w:rPr>
            </w:pPr>
          </w:p>
        </w:tc>
        <w:tc>
          <w:tcPr>
            <w:tcW w:w="3780" w:type="dxa"/>
            <w:vAlign w:val="bottom"/>
            <w:shd w:val="clear" w:color="auto" w:fill="E5E5E5"/>
          </w:tcPr>
          <w:p>
            <w:pPr>
              <w:spacing w:after="0"/>
              <w:rPr>
                <w:sz w:val="20"/>
                <w:szCs w:val="20"/>
                <w:color w:val="auto"/>
              </w:rPr>
            </w:pPr>
            <w:r>
              <w:rPr>
                <w:rFonts w:ascii="Arial" w:cs="Arial" w:eastAsia="Arial" w:hAnsi="Arial"/>
                <w:sz w:val="18"/>
                <w:szCs w:val="18"/>
                <w:color w:val="auto"/>
              </w:rPr>
              <w:t>Costs and Expenses:</w:t>
            </w:r>
          </w:p>
        </w:tc>
        <w:tc>
          <w:tcPr>
            <w:tcW w:w="4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3780" w:type="dxa"/>
            <w:vAlign w:val="bottom"/>
          </w:tcPr>
          <w:p>
            <w:pPr>
              <w:ind w:left="200"/>
              <w:spacing w:after="0"/>
              <w:rPr>
                <w:sz w:val="20"/>
                <w:szCs w:val="20"/>
                <w:color w:val="auto"/>
              </w:rPr>
            </w:pPr>
            <w:r>
              <w:rPr>
                <w:rFonts w:ascii="Arial" w:cs="Arial" w:eastAsia="Arial" w:hAnsi="Arial"/>
                <w:sz w:val="18"/>
                <w:szCs w:val="18"/>
                <w:color w:val="auto"/>
              </w:rPr>
              <w:t>Operating (excluding depreciation and</w:t>
            </w: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780" w:type="dxa"/>
            <w:vAlign w:val="bottom"/>
          </w:tcPr>
          <w:p>
            <w:pPr>
              <w:ind w:left="420"/>
              <w:spacing w:after="0"/>
              <w:rPr>
                <w:sz w:val="20"/>
                <w:szCs w:val="20"/>
                <w:color w:val="auto"/>
              </w:rPr>
            </w:pPr>
            <w:r>
              <w:rPr>
                <w:rFonts w:ascii="Arial" w:cs="Arial" w:eastAsia="Arial" w:hAnsi="Arial"/>
                <w:sz w:val="18"/>
                <w:szCs w:val="18"/>
                <w:color w:val="auto"/>
              </w:rPr>
              <w:t>amortization)</w:t>
            </w:r>
          </w:p>
        </w:tc>
        <w:tc>
          <w:tcPr>
            <w:tcW w:w="460" w:type="dxa"/>
            <w:vAlign w:val="bottom"/>
          </w:tcPr>
          <w:p>
            <w:pPr>
              <w:spacing w:after="0"/>
              <w:rPr>
                <w:sz w:val="19"/>
                <w:szCs w:val="19"/>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6,198</w:t>
            </w:r>
          </w:p>
        </w:tc>
        <w:tc>
          <w:tcPr>
            <w:tcW w:w="340" w:type="dxa"/>
            <w:vAlign w:val="bottom"/>
          </w:tcPr>
          <w:p>
            <w:pPr>
              <w:spacing w:after="0"/>
              <w:rPr>
                <w:sz w:val="19"/>
                <w:szCs w:val="19"/>
                <w:color w:val="auto"/>
              </w:rPr>
            </w:pP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6,198</w:t>
            </w:r>
          </w:p>
        </w:tc>
      </w:tr>
      <w:tr>
        <w:trPr>
          <w:trHeight w:val="217"/>
        </w:trPr>
        <w:tc>
          <w:tcPr>
            <w:tcW w:w="20" w:type="dxa"/>
            <w:vAlign w:val="bottom"/>
          </w:tcPr>
          <w:p>
            <w:pPr>
              <w:spacing w:after="0"/>
              <w:rPr>
                <w:sz w:val="18"/>
                <w:szCs w:val="18"/>
                <w:color w:val="auto"/>
              </w:rPr>
            </w:pPr>
          </w:p>
        </w:tc>
        <w:tc>
          <w:tcPr>
            <w:tcW w:w="37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Selling, general and administrative</w:t>
            </w:r>
          </w:p>
        </w:tc>
        <w:tc>
          <w:tcPr>
            <w:tcW w:w="4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177</w:t>
            </w:r>
          </w:p>
        </w:tc>
        <w:tc>
          <w:tcPr>
            <w:tcW w:w="240" w:type="dxa"/>
            <w:vAlign w:val="bottom"/>
            <w:shd w:val="clear" w:color="auto" w:fill="E5E5E5"/>
          </w:tcPr>
          <w:p>
            <w:pPr>
              <w:spacing w:after="0"/>
              <w:rPr>
                <w:sz w:val="18"/>
                <w:szCs w:val="18"/>
                <w:color w:val="auto"/>
              </w:rPr>
            </w:pPr>
          </w:p>
        </w:tc>
        <w:tc>
          <w:tcPr>
            <w:tcW w:w="44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109</w:t>
            </w:r>
          </w:p>
        </w:tc>
        <w:tc>
          <w:tcPr>
            <w:tcW w:w="3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202</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202</w:t>
            </w:r>
          </w:p>
        </w:tc>
        <w:tc>
          <w:tcPr>
            <w:tcW w:w="3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26</w:t>
            </w:r>
          </w:p>
        </w:tc>
        <w:tc>
          <w:tcPr>
            <w:tcW w:w="2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4,376</w:t>
            </w:r>
          </w:p>
        </w:tc>
        <w:tc>
          <w:tcPr>
            <w:tcW w:w="34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(873)</w:t>
            </w:r>
          </w:p>
        </w:tc>
        <w:tc>
          <w:tcPr>
            <w:tcW w:w="26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4,219</w:t>
            </w:r>
          </w:p>
        </w:tc>
      </w:tr>
      <w:tr>
        <w:trPr>
          <w:trHeight w:val="216"/>
        </w:trPr>
        <w:tc>
          <w:tcPr>
            <w:tcW w:w="20" w:type="dxa"/>
            <w:vAlign w:val="bottom"/>
          </w:tcPr>
          <w:p>
            <w:pPr>
              <w:spacing w:after="0"/>
              <w:rPr>
                <w:sz w:val="18"/>
                <w:szCs w:val="18"/>
                <w:color w:val="auto"/>
              </w:rPr>
            </w:pPr>
          </w:p>
        </w:tc>
        <w:tc>
          <w:tcPr>
            <w:tcW w:w="378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46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2,751</w:t>
            </w:r>
          </w:p>
        </w:tc>
        <w:tc>
          <w:tcPr>
            <w:tcW w:w="340" w:type="dxa"/>
            <w:vAlign w:val="bottom"/>
          </w:tcPr>
          <w:p>
            <w:pPr>
              <w:spacing w:after="0"/>
              <w:rPr>
                <w:sz w:val="18"/>
                <w:szCs w:val="18"/>
                <w:color w:val="auto"/>
              </w:rPr>
            </w:pP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2,761</w:t>
            </w:r>
          </w:p>
        </w:tc>
      </w:tr>
      <w:tr>
        <w:trPr>
          <w:trHeight w:val="216"/>
        </w:trPr>
        <w:tc>
          <w:tcPr>
            <w:tcW w:w="20" w:type="dxa"/>
            <w:vAlign w:val="bottom"/>
          </w:tcPr>
          <w:p>
            <w:pPr>
              <w:spacing w:after="0"/>
              <w:rPr>
                <w:sz w:val="18"/>
                <w:szCs w:val="18"/>
                <w:color w:val="auto"/>
              </w:rPr>
            </w:pPr>
          </w:p>
        </w:tc>
        <w:tc>
          <w:tcPr>
            <w:tcW w:w="378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Amortization</w:t>
            </w:r>
          </w:p>
        </w:tc>
        <w:tc>
          <w:tcPr>
            <w:tcW w:w="4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459</w:t>
            </w:r>
          </w:p>
        </w:tc>
        <w:tc>
          <w:tcPr>
            <w:tcW w:w="34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459</w:t>
            </w:r>
          </w:p>
        </w:tc>
      </w:tr>
      <w:tr>
        <w:trPr>
          <w:trHeight w:val="210"/>
        </w:trPr>
        <w:tc>
          <w:tcPr>
            <w:tcW w:w="20" w:type="dxa"/>
            <w:vAlign w:val="bottom"/>
          </w:tcPr>
          <w:p>
            <w:pPr>
              <w:spacing w:after="0"/>
              <w:rPr>
                <w:sz w:val="18"/>
                <w:szCs w:val="18"/>
                <w:color w:val="auto"/>
              </w:rPr>
            </w:pPr>
          </w:p>
        </w:tc>
        <w:tc>
          <w:tcPr>
            <w:tcW w:w="37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187</w:t>
            </w:r>
          </w:p>
        </w:tc>
        <w:tc>
          <w:tcPr>
            <w:tcW w:w="2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109</w:t>
            </w:r>
          </w:p>
        </w:tc>
        <w:tc>
          <w:tcPr>
            <w:tcW w:w="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202</w:t>
            </w: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202</w:t>
            </w:r>
          </w:p>
        </w:tc>
        <w:tc>
          <w:tcPr>
            <w:tcW w:w="3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26</w:t>
            </w: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w w:val="94"/>
              </w:rPr>
              <w:t>13,784</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(873)</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13,637</w:t>
            </w:r>
          </w:p>
        </w:tc>
      </w:tr>
      <w:tr>
        <w:trPr>
          <w:trHeight w:val="210"/>
        </w:trPr>
        <w:tc>
          <w:tcPr>
            <w:tcW w:w="20" w:type="dxa"/>
            <w:vAlign w:val="bottom"/>
          </w:tcPr>
          <w:p>
            <w:pPr>
              <w:spacing w:after="0"/>
              <w:rPr>
                <w:sz w:val="18"/>
                <w:szCs w:val="18"/>
                <w:color w:val="auto"/>
              </w:rPr>
            </w:pPr>
          </w:p>
        </w:tc>
        <w:tc>
          <w:tcPr>
            <w:tcW w:w="378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w:t>
            </w:r>
          </w:p>
        </w:tc>
        <w:tc>
          <w:tcPr>
            <w:tcW w:w="4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173</w:t>
            </w:r>
          </w:p>
        </w:tc>
        <w:tc>
          <w:tcPr>
            <w:tcW w:w="240" w:type="dxa"/>
            <w:vAlign w:val="bottom"/>
            <w:shd w:val="clear" w:color="auto" w:fill="E5E5E5"/>
          </w:tcPr>
          <w:p>
            <w:pPr>
              <w:spacing w:after="0"/>
              <w:rPr>
                <w:sz w:val="18"/>
                <w:szCs w:val="18"/>
                <w:color w:val="auto"/>
              </w:rPr>
            </w:pPr>
          </w:p>
        </w:tc>
        <w:tc>
          <w:tcPr>
            <w:tcW w:w="44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(26)</w:t>
            </w:r>
          </w:p>
        </w:tc>
        <w:tc>
          <w:tcPr>
            <w:tcW w:w="2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3,158</w:t>
            </w:r>
          </w:p>
        </w:tc>
        <w:tc>
          <w:tcPr>
            <w:tcW w:w="34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3,305</w:t>
            </w: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Other Income (Expense):</w:t>
            </w: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Interest expense</w:t>
            </w:r>
          </w:p>
        </w:tc>
        <w:tc>
          <w:tcPr>
            <w:tcW w:w="4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(643)</w:t>
            </w:r>
          </w:p>
        </w:tc>
        <w:tc>
          <w:tcPr>
            <w:tcW w:w="240" w:type="dxa"/>
            <w:vAlign w:val="bottom"/>
            <w:shd w:val="clear" w:color="auto" w:fill="E5E5E5"/>
          </w:tcPr>
          <w:p>
            <w:pPr>
              <w:spacing w:after="0"/>
              <w:rPr>
                <w:sz w:val="18"/>
                <w:szCs w:val="18"/>
                <w:color w:val="auto"/>
              </w:rPr>
            </w:pPr>
          </w:p>
        </w:tc>
        <w:tc>
          <w:tcPr>
            <w:tcW w:w="44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5"/>
              </w:rPr>
              <w:t>(159)</w:t>
            </w:r>
          </w:p>
        </w:tc>
        <w:tc>
          <w:tcPr>
            <w:tcW w:w="3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(162)</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(110)</w:t>
            </w:r>
          </w:p>
        </w:tc>
        <w:tc>
          <w:tcPr>
            <w:tcW w:w="3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(95)</w:t>
            </w:r>
          </w:p>
        </w:tc>
        <w:tc>
          <w:tcPr>
            <w:tcW w:w="2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(70)</w:t>
            </w:r>
          </w:p>
        </w:tc>
        <w:tc>
          <w:tcPr>
            <w:tcW w:w="34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(1,239)</w:t>
            </w:r>
          </w:p>
        </w:tc>
      </w:tr>
      <w:tr>
        <w:trPr>
          <w:trHeight w:val="216"/>
        </w:trPr>
        <w:tc>
          <w:tcPr>
            <w:tcW w:w="20" w:type="dxa"/>
            <w:vAlign w:val="bottom"/>
          </w:tcPr>
          <w:p>
            <w:pPr>
              <w:spacing w:after="0"/>
              <w:rPr>
                <w:sz w:val="18"/>
                <w:szCs w:val="18"/>
                <w:color w:val="auto"/>
              </w:rPr>
            </w:pPr>
          </w:p>
        </w:tc>
        <w:tc>
          <w:tcPr>
            <w:tcW w:w="3780" w:type="dxa"/>
            <w:vAlign w:val="bottom"/>
          </w:tcPr>
          <w:p>
            <w:pPr>
              <w:ind w:left="200"/>
              <w:spacing w:after="0"/>
              <w:rPr>
                <w:sz w:val="20"/>
                <w:szCs w:val="20"/>
                <w:color w:val="auto"/>
              </w:rPr>
            </w:pPr>
            <w:r>
              <w:rPr>
                <w:rFonts w:ascii="Arial" w:cs="Arial" w:eastAsia="Arial" w:hAnsi="Arial"/>
                <w:sz w:val="18"/>
                <w:szCs w:val="18"/>
                <w:color w:val="auto"/>
              </w:rPr>
              <w:t>Investment income (loss), net</w:t>
            </w:r>
          </w:p>
        </w:tc>
        <w:tc>
          <w:tcPr>
            <w:tcW w:w="460" w:type="dxa"/>
            <w:vAlign w:val="bottom"/>
          </w:tcPr>
          <w:p>
            <w:pPr>
              <w:spacing w:after="0"/>
              <w:rPr>
                <w:sz w:val="18"/>
                <w:szCs w:val="18"/>
                <w:color w:val="auto"/>
              </w:rPr>
            </w:pPr>
          </w:p>
        </w:tc>
        <w:tc>
          <w:tcPr>
            <w:tcW w:w="620" w:type="dxa"/>
            <w:vAlign w:val="bottom"/>
          </w:tcPr>
          <w:p>
            <w:pPr>
              <w:jc w:val="right"/>
              <w:ind w:right="72"/>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8"/>
                <w:szCs w:val="18"/>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40" w:type="dxa"/>
            <w:vAlign w:val="bottom"/>
          </w:tcPr>
          <w:p>
            <w:pPr>
              <w:jc w:val="right"/>
              <w:ind w:right="72"/>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18"/>
                <w:szCs w:val="18"/>
                <w:color w:val="auto"/>
              </w:rPr>
            </w:pP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40</w:t>
            </w:r>
          </w:p>
        </w:tc>
        <w:tc>
          <w:tcPr>
            <w:tcW w:w="340" w:type="dxa"/>
            <w:vAlign w:val="bottom"/>
          </w:tcPr>
          <w:p>
            <w:pPr>
              <w:spacing w:after="0"/>
              <w:rPr>
                <w:sz w:val="18"/>
                <w:szCs w:val="18"/>
                <w:color w:val="auto"/>
              </w:rPr>
            </w:pP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20" w:type="dxa"/>
            <w:vAlign w:val="bottom"/>
          </w:tcPr>
          <w:p>
            <w:pPr>
              <w:spacing w:after="0"/>
              <w:rPr>
                <w:sz w:val="18"/>
                <w:szCs w:val="18"/>
                <w:color w:val="auto"/>
              </w:rPr>
            </w:pPr>
          </w:p>
        </w:tc>
        <w:tc>
          <w:tcPr>
            <w:tcW w:w="3780" w:type="dxa"/>
            <w:vAlign w:val="bottom"/>
            <w:shd w:val="clear" w:color="auto" w:fill="E5E5E5"/>
          </w:tcPr>
          <w:p>
            <w:pPr>
              <w:ind w:left="200"/>
              <w:spacing w:after="0"/>
              <w:rPr>
                <w:sz w:val="20"/>
                <w:szCs w:val="20"/>
                <w:color w:val="auto"/>
              </w:rPr>
            </w:pPr>
            <w:r>
              <w:rPr>
                <w:rFonts w:ascii="Arial" w:cs="Arial" w:eastAsia="Arial" w:hAnsi="Arial"/>
                <w:sz w:val="18"/>
                <w:szCs w:val="18"/>
                <w:color w:val="auto"/>
                <w:w w:val="99"/>
              </w:rPr>
              <w:t>Equity in net (losses) income of affiliates, net</w:t>
            </w:r>
          </w:p>
        </w:tc>
        <w:tc>
          <w:tcPr>
            <w:tcW w:w="4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84"/>
              </w:rPr>
              <w:t>1,676</w:t>
            </w:r>
          </w:p>
        </w:tc>
        <w:tc>
          <w:tcPr>
            <w:tcW w:w="240" w:type="dxa"/>
            <w:vAlign w:val="bottom"/>
            <w:shd w:val="clear" w:color="auto" w:fill="E5E5E5"/>
          </w:tcPr>
          <w:p>
            <w:pPr>
              <w:spacing w:after="0"/>
              <w:rPr>
                <w:sz w:val="18"/>
                <w:szCs w:val="18"/>
                <w:color w:val="auto"/>
              </w:rPr>
            </w:pPr>
          </w:p>
        </w:tc>
        <w:tc>
          <w:tcPr>
            <w:tcW w:w="44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777</w:t>
            </w:r>
          </w:p>
        </w:tc>
        <w:tc>
          <w:tcPr>
            <w:tcW w:w="3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w w:val="84"/>
              </w:rPr>
              <w:t>1,298</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93"/>
              </w:rPr>
              <w:t>1,369</w:t>
            </w:r>
          </w:p>
        </w:tc>
        <w:tc>
          <w:tcPr>
            <w:tcW w:w="3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690</w:t>
            </w:r>
          </w:p>
        </w:tc>
        <w:tc>
          <w:tcPr>
            <w:tcW w:w="2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(64)</w:t>
            </w:r>
          </w:p>
        </w:tc>
        <w:tc>
          <w:tcPr>
            <w:tcW w:w="34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(5,794)</w:t>
            </w:r>
          </w:p>
        </w:tc>
        <w:tc>
          <w:tcPr>
            <w:tcW w:w="26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20" w:type="dxa"/>
            <w:vAlign w:val="bottom"/>
          </w:tcPr>
          <w:p>
            <w:pPr>
              <w:spacing w:after="0"/>
              <w:rPr>
                <w:sz w:val="18"/>
                <w:szCs w:val="18"/>
                <w:color w:val="auto"/>
              </w:rPr>
            </w:pPr>
          </w:p>
        </w:tc>
        <w:tc>
          <w:tcPr>
            <w:tcW w:w="37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income (expense)</w:t>
            </w:r>
          </w:p>
        </w:tc>
        <w:tc>
          <w:tcPr>
            <w:tcW w:w="4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294</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r>
      <w:tr>
        <w:trPr>
          <w:trHeight w:val="210"/>
        </w:trPr>
        <w:tc>
          <w:tcPr>
            <w:tcW w:w="20" w:type="dxa"/>
            <w:vAlign w:val="bottom"/>
          </w:tcPr>
          <w:p>
            <w:pPr>
              <w:spacing w:after="0"/>
              <w:rPr>
                <w:sz w:val="18"/>
                <w:szCs w:val="18"/>
                <w:color w:val="auto"/>
              </w:rPr>
            </w:pPr>
          </w:p>
        </w:tc>
        <w:tc>
          <w:tcPr>
            <w:tcW w:w="378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w w:val="84"/>
              </w:rPr>
              <w:t>1,023</w:t>
            </w:r>
          </w:p>
        </w:tc>
        <w:tc>
          <w:tcPr>
            <w:tcW w:w="24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618</w:t>
            </w:r>
          </w:p>
        </w:tc>
        <w:tc>
          <w:tcPr>
            <w:tcW w:w="3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w w:val="84"/>
              </w:rPr>
              <w:t>1,136</w:t>
            </w:r>
          </w:p>
        </w:tc>
        <w:tc>
          <w:tcPr>
            <w:tcW w:w="2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w w:val="93"/>
              </w:rPr>
              <w:t>1,259</w:t>
            </w:r>
          </w:p>
        </w:tc>
        <w:tc>
          <w:tcPr>
            <w:tcW w:w="3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573</w:t>
            </w:r>
          </w:p>
        </w:tc>
        <w:tc>
          <w:tcPr>
            <w:tcW w:w="2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200</w:t>
            </w:r>
          </w:p>
        </w:tc>
        <w:tc>
          <w:tcPr>
            <w:tcW w:w="34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(5,794)</w:t>
            </w:r>
          </w:p>
        </w:tc>
        <w:tc>
          <w:tcPr>
            <w:tcW w:w="26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(985)</w:t>
            </w:r>
          </w:p>
        </w:tc>
      </w:tr>
      <w:tr>
        <w:trPr>
          <w:trHeight w:val="201"/>
        </w:trPr>
        <w:tc>
          <w:tcPr>
            <w:tcW w:w="20" w:type="dxa"/>
            <w:vAlign w:val="bottom"/>
          </w:tcPr>
          <w:p>
            <w:pPr>
              <w:spacing w:after="0"/>
              <w:rPr>
                <w:sz w:val="17"/>
                <w:szCs w:val="17"/>
                <w:color w:val="auto"/>
              </w:rPr>
            </w:pPr>
          </w:p>
        </w:tc>
        <w:tc>
          <w:tcPr>
            <w:tcW w:w="3780" w:type="dxa"/>
            <w:vAlign w:val="bottom"/>
          </w:tcPr>
          <w:p>
            <w:pPr>
              <w:spacing w:after="0" w:line="201" w:lineRule="exact"/>
              <w:rPr>
                <w:sz w:val="20"/>
                <w:szCs w:val="20"/>
                <w:color w:val="auto"/>
              </w:rPr>
            </w:pPr>
            <w:r>
              <w:rPr>
                <w:rFonts w:ascii="Arial" w:cs="Arial" w:eastAsia="Arial" w:hAnsi="Arial"/>
                <w:sz w:val="18"/>
                <w:szCs w:val="18"/>
                <w:color w:val="auto"/>
                <w:w w:val="99"/>
              </w:rPr>
              <w:t>Income (loss) before income taxes and minority</w:t>
            </w: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3780" w:type="dxa"/>
            <w:vAlign w:val="bottom"/>
          </w:tcPr>
          <w:p>
            <w:pPr>
              <w:ind w:left="200"/>
              <w:spacing w:after="0"/>
              <w:rPr>
                <w:sz w:val="20"/>
                <w:szCs w:val="20"/>
                <w:color w:val="auto"/>
              </w:rPr>
            </w:pPr>
            <w:r>
              <w:rPr>
                <w:rFonts w:ascii="Arial" w:cs="Arial" w:eastAsia="Arial" w:hAnsi="Arial"/>
                <w:sz w:val="18"/>
                <w:szCs w:val="18"/>
                <w:color w:val="auto"/>
              </w:rPr>
              <w:t>interest</w:t>
            </w:r>
          </w:p>
        </w:tc>
        <w:tc>
          <w:tcPr>
            <w:tcW w:w="460" w:type="dxa"/>
            <w:vAlign w:val="bottom"/>
          </w:tcPr>
          <w:p>
            <w:pPr>
              <w:spacing w:after="0"/>
              <w:rPr>
                <w:sz w:val="19"/>
                <w:szCs w:val="19"/>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w w:val="84"/>
              </w:rPr>
              <w:t>1,196</w:t>
            </w:r>
          </w:p>
        </w:tc>
        <w:tc>
          <w:tcPr>
            <w:tcW w:w="240" w:type="dxa"/>
            <w:vAlign w:val="bottom"/>
          </w:tcPr>
          <w:p>
            <w:pPr>
              <w:spacing w:after="0"/>
              <w:rPr>
                <w:sz w:val="19"/>
                <w:szCs w:val="19"/>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618</w:t>
            </w:r>
          </w:p>
        </w:tc>
        <w:tc>
          <w:tcPr>
            <w:tcW w:w="360" w:type="dxa"/>
            <w:vAlign w:val="bottom"/>
          </w:tcPr>
          <w:p>
            <w:pPr>
              <w:spacing w:after="0"/>
              <w:rPr>
                <w:sz w:val="19"/>
                <w:szCs w:val="19"/>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1,136</w:t>
            </w:r>
          </w:p>
        </w:tc>
        <w:tc>
          <w:tcPr>
            <w:tcW w:w="280" w:type="dxa"/>
            <w:vAlign w:val="bottom"/>
          </w:tcPr>
          <w:p>
            <w:pPr>
              <w:spacing w:after="0"/>
              <w:rPr>
                <w:sz w:val="19"/>
                <w:szCs w:val="19"/>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color w:val="auto"/>
                <w:w w:val="93"/>
              </w:rPr>
              <w:t>1,259</w:t>
            </w:r>
          </w:p>
        </w:tc>
        <w:tc>
          <w:tcPr>
            <w:tcW w:w="320" w:type="dxa"/>
            <w:vAlign w:val="bottom"/>
          </w:tcPr>
          <w:p>
            <w:pPr>
              <w:spacing w:after="0"/>
              <w:rPr>
                <w:sz w:val="19"/>
                <w:szCs w:val="19"/>
                <w:color w:val="auto"/>
              </w:rPr>
            </w:pP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547</w:t>
            </w:r>
          </w:p>
        </w:tc>
        <w:tc>
          <w:tcPr>
            <w:tcW w:w="280" w:type="dxa"/>
            <w:vAlign w:val="bottom"/>
          </w:tcPr>
          <w:p>
            <w:pPr>
              <w:spacing w:after="0"/>
              <w:rPr>
                <w:sz w:val="19"/>
                <w:szCs w:val="19"/>
                <w:color w:val="auto"/>
              </w:rPr>
            </w:pP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3,358</w:t>
            </w:r>
          </w:p>
        </w:tc>
        <w:tc>
          <w:tcPr>
            <w:tcW w:w="340" w:type="dxa"/>
            <w:vAlign w:val="bottom"/>
          </w:tcPr>
          <w:p>
            <w:pPr>
              <w:spacing w:after="0"/>
              <w:rPr>
                <w:sz w:val="19"/>
                <w:szCs w:val="19"/>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(5,794)</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2,320</w:t>
            </w:r>
          </w:p>
        </w:tc>
      </w:tr>
      <w:tr>
        <w:trPr>
          <w:trHeight w:val="218"/>
        </w:trPr>
        <w:tc>
          <w:tcPr>
            <w:tcW w:w="20" w:type="dxa"/>
            <w:vAlign w:val="bottom"/>
          </w:tcPr>
          <w:p>
            <w:pPr>
              <w:spacing w:after="0"/>
              <w:rPr>
                <w:sz w:val="18"/>
                <w:szCs w:val="18"/>
                <w:color w:val="auto"/>
              </w:rPr>
            </w:pPr>
          </w:p>
        </w:tc>
        <w:tc>
          <w:tcPr>
            <w:tcW w:w="37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 benefit</w:t>
            </w:r>
          </w:p>
        </w:tc>
        <w:tc>
          <w:tcPr>
            <w:tcW w:w="4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168</w:t>
            </w:r>
          </w:p>
        </w:tc>
        <w:tc>
          <w:tcPr>
            <w:tcW w:w="24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56</w:t>
            </w:r>
          </w:p>
        </w:tc>
        <w:tc>
          <w:tcPr>
            <w:tcW w:w="3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57</w:t>
            </w:r>
          </w:p>
        </w:tc>
        <w:tc>
          <w:tcPr>
            <w:tcW w:w="2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39</w:t>
            </w:r>
          </w:p>
        </w:tc>
        <w:tc>
          <w:tcPr>
            <w:tcW w:w="3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50</w:t>
            </w:r>
          </w:p>
        </w:tc>
        <w:tc>
          <w:tcPr>
            <w:tcW w:w="2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(1,333)</w:t>
            </w:r>
          </w:p>
        </w:tc>
        <w:tc>
          <w:tcPr>
            <w:tcW w:w="34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(963)</w:t>
            </w:r>
          </w:p>
        </w:tc>
      </w:tr>
      <w:tr>
        <w:trPr>
          <w:trHeight w:val="210"/>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Income (loss) before minority interest</w:t>
            </w:r>
          </w:p>
        </w:tc>
        <w:tc>
          <w:tcPr>
            <w:tcW w:w="46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w w:val="84"/>
              </w:rPr>
              <w:t>1,364</w:t>
            </w:r>
          </w:p>
        </w:tc>
        <w:tc>
          <w:tcPr>
            <w:tcW w:w="240" w:type="dxa"/>
            <w:vAlign w:val="bottom"/>
          </w:tcPr>
          <w:p>
            <w:pPr>
              <w:spacing w:after="0"/>
              <w:rPr>
                <w:sz w:val="18"/>
                <w:szCs w:val="18"/>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674</w:t>
            </w:r>
          </w:p>
        </w:tc>
        <w:tc>
          <w:tcPr>
            <w:tcW w:w="360" w:type="dxa"/>
            <w:vAlign w:val="bottom"/>
          </w:tcPr>
          <w:p>
            <w:pPr>
              <w:spacing w:after="0"/>
              <w:rPr>
                <w:sz w:val="18"/>
                <w:szCs w:val="18"/>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1,193</w:t>
            </w:r>
          </w:p>
        </w:tc>
        <w:tc>
          <w:tcPr>
            <w:tcW w:w="280" w:type="dxa"/>
            <w:vAlign w:val="bottom"/>
          </w:tcPr>
          <w:p>
            <w:pPr>
              <w:spacing w:after="0"/>
              <w:rPr>
                <w:sz w:val="18"/>
                <w:szCs w:val="18"/>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color w:val="auto"/>
                <w:w w:val="93"/>
              </w:rPr>
              <w:t>1,298</w:t>
            </w:r>
          </w:p>
        </w:tc>
        <w:tc>
          <w:tcPr>
            <w:tcW w:w="320" w:type="dxa"/>
            <w:vAlign w:val="bottom"/>
          </w:tcPr>
          <w:p>
            <w:pPr>
              <w:spacing w:after="0"/>
              <w:rPr>
                <w:sz w:val="18"/>
                <w:szCs w:val="18"/>
                <w:color w:val="auto"/>
              </w:rPr>
            </w:pP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597</w:t>
            </w:r>
          </w:p>
        </w:tc>
        <w:tc>
          <w:tcPr>
            <w:tcW w:w="280" w:type="dxa"/>
            <w:vAlign w:val="bottom"/>
          </w:tcPr>
          <w:p>
            <w:pPr>
              <w:spacing w:after="0"/>
              <w:rPr>
                <w:sz w:val="18"/>
                <w:szCs w:val="18"/>
                <w:color w:val="auto"/>
              </w:rPr>
            </w:pP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2,025</w:t>
            </w:r>
          </w:p>
        </w:tc>
        <w:tc>
          <w:tcPr>
            <w:tcW w:w="340" w:type="dxa"/>
            <w:vAlign w:val="bottom"/>
          </w:tcPr>
          <w:p>
            <w:pPr>
              <w:spacing w:after="0"/>
              <w:rPr>
                <w:sz w:val="18"/>
                <w:szCs w:val="18"/>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(5,794)</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1,357</w:t>
            </w:r>
          </w:p>
        </w:tc>
      </w:tr>
      <w:tr>
        <w:trPr>
          <w:trHeight w:val="216"/>
        </w:trPr>
        <w:tc>
          <w:tcPr>
            <w:tcW w:w="20" w:type="dxa"/>
            <w:vAlign w:val="bottom"/>
          </w:tcPr>
          <w:p>
            <w:pPr>
              <w:spacing w:after="0"/>
              <w:rPr>
                <w:sz w:val="18"/>
                <w:szCs w:val="18"/>
                <w:color w:val="auto"/>
              </w:rPr>
            </w:pPr>
          </w:p>
        </w:tc>
        <w:tc>
          <w:tcPr>
            <w:tcW w:w="37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Minority interest</w:t>
            </w:r>
          </w:p>
        </w:tc>
        <w:tc>
          <w:tcPr>
            <w:tcW w:w="4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7</w:t>
            </w:r>
          </w:p>
        </w:tc>
        <w:tc>
          <w:tcPr>
            <w:tcW w:w="34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w:t>
            </w:r>
          </w:p>
        </w:tc>
      </w:tr>
      <w:tr>
        <w:trPr>
          <w:trHeight w:val="217"/>
        </w:trPr>
        <w:tc>
          <w:tcPr>
            <w:tcW w:w="20" w:type="dxa"/>
            <w:vAlign w:val="bottom"/>
          </w:tcPr>
          <w:p>
            <w:pPr>
              <w:spacing w:after="0"/>
              <w:rPr>
                <w:sz w:val="18"/>
                <w:szCs w:val="18"/>
                <w:color w:val="auto"/>
              </w:rPr>
            </w:pP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(loss)</w:t>
            </w:r>
          </w:p>
        </w:tc>
        <w:tc>
          <w:tcPr>
            <w:tcW w:w="46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84"/>
              </w:rPr>
              <w:t>1,364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674</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84"/>
              </w:rPr>
              <w:t>1,193</w:t>
            </w:r>
          </w:p>
        </w:tc>
        <w:tc>
          <w:tcPr>
            <w:tcW w:w="2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3"/>
              </w:rPr>
              <w:t>1,298</w:t>
            </w:r>
          </w:p>
        </w:tc>
        <w:tc>
          <w:tcPr>
            <w:tcW w:w="3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597</w:t>
            </w:r>
          </w:p>
        </w:tc>
        <w:tc>
          <w:tcPr>
            <w:tcW w:w="2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b w:val="1"/>
                <w:bCs w:val="1"/>
                <w:color w:val="auto"/>
              </w:rPr>
              <w:t>2,032</w:t>
            </w:r>
          </w:p>
        </w:tc>
        <w:tc>
          <w:tcPr>
            <w:tcW w:w="340" w:type="dxa"/>
            <w:vAlign w:val="bottom"/>
            <w:tcBorders>
              <w:bottom w:val="single" w:sz="8" w:color="auto"/>
            </w:tcBorders>
          </w:tcPr>
          <w:p>
            <w:pPr>
              <w:jc w:val="right"/>
              <w:ind w:right="4"/>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(5,794)</w:t>
            </w:r>
          </w:p>
        </w:tc>
        <w:tc>
          <w:tcPr>
            <w:tcW w:w="2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1,364</w:t>
            </w:r>
          </w:p>
        </w:tc>
      </w:tr>
      <w:tr>
        <w:trPr>
          <w:trHeight w:val="363"/>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jc w:val="right"/>
              <w:ind w:right="20"/>
              <w:spacing w:after="0"/>
              <w:rPr>
                <w:sz w:val="20"/>
                <w:szCs w:val="20"/>
                <w:color w:val="auto"/>
              </w:rPr>
            </w:pPr>
            <w:r>
              <w:rPr>
                <w:rFonts w:ascii="Arial" w:cs="Arial" w:eastAsia="Arial" w:hAnsi="Arial"/>
                <w:sz w:val="18"/>
                <w:szCs w:val="18"/>
                <w:color w:val="auto"/>
              </w:rPr>
              <w:t>19</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Consolidating Statement of Operations</w:t>
      </w:r>
    </w:p>
    <w:p>
      <w:pPr>
        <w:jc w:val="center"/>
        <w:spacing w:after="0"/>
        <w:rPr>
          <w:sz w:val="20"/>
          <w:szCs w:val="20"/>
          <w:color w:val="auto"/>
        </w:rPr>
      </w:pPr>
      <w:r>
        <w:rPr>
          <w:rFonts w:ascii="Arial" w:cs="Arial" w:eastAsia="Arial" w:hAnsi="Arial"/>
          <w:sz w:val="22"/>
          <w:szCs w:val="22"/>
          <w:b w:val="1"/>
          <w:bCs w:val="1"/>
          <w:color w:val="auto"/>
        </w:rPr>
        <w:t>For the Six Months Ended June 30, 2007</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Combined</w:t>
            </w: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jc w:val="right"/>
              <w:ind w:right="313"/>
              <w:spacing w:after="0" w:line="149" w:lineRule="exact"/>
              <w:rPr>
                <w:sz w:val="20"/>
                <w:szCs w:val="20"/>
                <w:color w:val="auto"/>
              </w:rPr>
            </w:pPr>
            <w:r>
              <w:rPr>
                <w:rFonts w:ascii="Arial" w:cs="Arial" w:eastAsia="Arial" w:hAnsi="Arial"/>
                <w:sz w:val="14"/>
                <w:szCs w:val="14"/>
                <w:color w:val="auto"/>
              </w:rPr>
              <w:t>Non-</w:t>
            </w:r>
          </w:p>
        </w:tc>
        <w:tc>
          <w:tcPr>
            <w:tcW w:w="340" w:type="dxa"/>
            <w:vAlign w:val="bottom"/>
          </w:tcPr>
          <w:p>
            <w:pPr>
              <w:spacing w:after="0"/>
              <w:rPr>
                <w:sz w:val="12"/>
                <w:szCs w:val="12"/>
                <w:color w:val="auto"/>
              </w:rPr>
            </w:pPr>
          </w:p>
        </w:tc>
        <w:tc>
          <w:tcPr>
            <w:tcW w:w="800" w:type="dxa"/>
            <w:vAlign w:val="bottom"/>
          </w:tcPr>
          <w:p>
            <w:pPr>
              <w:jc w:val="center"/>
              <w:ind w:right="313"/>
              <w:spacing w:after="0" w:line="149" w:lineRule="exact"/>
              <w:rPr>
                <w:sz w:val="20"/>
                <w:szCs w:val="20"/>
                <w:color w:val="auto"/>
              </w:rPr>
            </w:pPr>
            <w:r>
              <w:rPr>
                <w:rFonts w:ascii="Arial" w:cs="Arial" w:eastAsia="Arial" w:hAnsi="Arial"/>
                <w:sz w:val="14"/>
                <w:szCs w:val="14"/>
                <w:color w:val="auto"/>
                <w:w w:val="85"/>
              </w:rPr>
              <w:t>and</w:t>
            </w:r>
          </w:p>
        </w:tc>
        <w:tc>
          <w:tcPr>
            <w:tcW w:w="940" w:type="dxa"/>
            <w:vAlign w:val="bottom"/>
            <w:gridSpan w:val="2"/>
          </w:tcPr>
          <w:p>
            <w:pPr>
              <w:ind w:left="160"/>
              <w:spacing w:after="0" w:line="149" w:lineRule="exact"/>
              <w:rPr>
                <w:sz w:val="20"/>
                <w:szCs w:val="20"/>
                <w:color w:val="auto"/>
              </w:rPr>
            </w:pPr>
            <w:r>
              <w:rPr>
                <w:rFonts w:ascii="Arial" w:cs="Arial" w:eastAsia="Arial" w:hAnsi="Arial"/>
                <w:sz w:val="14"/>
                <w:szCs w:val="14"/>
                <w:color w:val="auto"/>
                <w:w w:val="92"/>
              </w:rPr>
              <w:t>Consolidated</w:t>
            </w: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08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Comcast</w:t>
            </w:r>
          </w:p>
        </w:tc>
        <w:tc>
          <w:tcPr>
            <w:tcW w:w="68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CCCL</w:t>
            </w:r>
          </w:p>
        </w:tc>
        <w:tc>
          <w:tcPr>
            <w:tcW w:w="96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CCCH</w:t>
            </w:r>
          </w:p>
        </w:tc>
        <w:tc>
          <w:tcPr>
            <w:tcW w:w="94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CCHMO</w:t>
            </w:r>
          </w:p>
        </w:tc>
        <w:tc>
          <w:tcPr>
            <w:tcW w:w="8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Comcast</w:t>
            </w:r>
          </w:p>
        </w:tc>
        <w:tc>
          <w:tcPr>
            <w:tcW w:w="1020" w:type="dxa"/>
            <w:vAlign w:val="bottom"/>
            <w:gridSpan w:val="2"/>
          </w:tcPr>
          <w:p>
            <w:pPr>
              <w:jc w:val="right"/>
              <w:ind w:right="173"/>
              <w:spacing w:after="0" w:line="149" w:lineRule="exact"/>
              <w:rPr>
                <w:sz w:val="20"/>
                <w:szCs w:val="20"/>
                <w:color w:val="auto"/>
              </w:rPr>
            </w:pPr>
            <w:r>
              <w:rPr>
                <w:rFonts w:ascii="Arial" w:cs="Arial" w:eastAsia="Arial" w:hAnsi="Arial"/>
                <w:sz w:val="14"/>
                <w:szCs w:val="14"/>
                <w:color w:val="auto"/>
              </w:rPr>
              <w:t>Guarantor</w:t>
            </w: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Consolidation</w:t>
            </w:r>
          </w:p>
        </w:tc>
        <w:tc>
          <w:tcPr>
            <w:tcW w:w="260" w:type="dxa"/>
            <w:vAlign w:val="bottom"/>
          </w:tcPr>
          <w:p>
            <w:pPr>
              <w:spacing w:after="0"/>
              <w:rPr>
                <w:sz w:val="12"/>
                <w:szCs w:val="12"/>
                <w:color w:val="auto"/>
              </w:rPr>
            </w:pPr>
          </w:p>
        </w:tc>
        <w:tc>
          <w:tcPr>
            <w:tcW w:w="680" w:type="dxa"/>
            <w:vAlign w:val="bottom"/>
          </w:tcPr>
          <w:p>
            <w:pPr>
              <w:jc w:val="right"/>
              <w:ind w:right="93"/>
              <w:spacing w:after="0" w:line="149" w:lineRule="exact"/>
              <w:rPr>
                <w:sz w:val="20"/>
                <w:szCs w:val="20"/>
                <w:color w:val="auto"/>
              </w:rPr>
            </w:pPr>
            <w:r>
              <w:rPr>
                <w:rFonts w:ascii="Arial" w:cs="Arial" w:eastAsia="Arial" w:hAnsi="Arial"/>
                <w:sz w:val="14"/>
                <w:szCs w:val="14"/>
                <w:color w:val="auto"/>
                <w:w w:val="86"/>
              </w:rPr>
              <w:t>Comcast</w:t>
            </w:r>
          </w:p>
        </w:tc>
      </w:tr>
      <w:tr>
        <w:trPr>
          <w:trHeight w:val="159"/>
        </w:trPr>
        <w:tc>
          <w:tcPr>
            <w:tcW w:w="380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1080" w:type="dxa"/>
            <w:vAlign w:val="bottom"/>
            <w:gridSpan w:val="2"/>
          </w:tcPr>
          <w:p>
            <w:pPr>
              <w:jc w:val="right"/>
              <w:ind w:right="192"/>
              <w:spacing w:after="0" w:line="159" w:lineRule="exact"/>
              <w:rPr>
                <w:sz w:val="20"/>
                <w:szCs w:val="20"/>
                <w:color w:val="auto"/>
              </w:rPr>
            </w:pPr>
            <w:r>
              <w:rPr>
                <w:rFonts w:ascii="Arial" w:cs="Arial" w:eastAsia="Arial" w:hAnsi="Arial"/>
                <w:sz w:val="14"/>
                <w:szCs w:val="14"/>
                <w:color w:val="auto"/>
              </w:rPr>
              <w:t>Parent</w:t>
            </w:r>
          </w:p>
        </w:tc>
        <w:tc>
          <w:tcPr>
            <w:tcW w:w="680" w:type="dxa"/>
            <w:vAlign w:val="bottom"/>
            <w:gridSpan w:val="2"/>
          </w:tcPr>
          <w:p>
            <w:pPr>
              <w:jc w:val="right"/>
              <w:ind w:right="52"/>
              <w:spacing w:after="0" w:line="159" w:lineRule="exact"/>
              <w:rPr>
                <w:sz w:val="20"/>
                <w:szCs w:val="20"/>
                <w:color w:val="auto"/>
              </w:rPr>
            </w:pPr>
            <w:r>
              <w:rPr>
                <w:rFonts w:ascii="Arial" w:cs="Arial" w:eastAsia="Arial" w:hAnsi="Arial"/>
                <w:sz w:val="14"/>
                <w:szCs w:val="14"/>
                <w:color w:val="auto"/>
              </w:rPr>
              <w:t>Parent</w:t>
            </w:r>
          </w:p>
        </w:tc>
        <w:tc>
          <w:tcPr>
            <w:tcW w:w="960" w:type="dxa"/>
            <w:vAlign w:val="bottom"/>
            <w:gridSpan w:val="2"/>
          </w:tcPr>
          <w:p>
            <w:pPr>
              <w:jc w:val="right"/>
              <w:ind w:right="192"/>
              <w:spacing w:after="0" w:line="159" w:lineRule="exact"/>
              <w:rPr>
                <w:sz w:val="20"/>
                <w:szCs w:val="20"/>
                <w:color w:val="auto"/>
              </w:rPr>
            </w:pPr>
            <w:r>
              <w:rPr>
                <w:rFonts w:ascii="Arial" w:cs="Arial" w:eastAsia="Arial" w:hAnsi="Arial"/>
                <w:sz w:val="14"/>
                <w:szCs w:val="14"/>
                <w:color w:val="auto"/>
              </w:rPr>
              <w:t>Parent</w:t>
            </w:r>
          </w:p>
        </w:tc>
        <w:tc>
          <w:tcPr>
            <w:tcW w:w="940" w:type="dxa"/>
            <w:vAlign w:val="bottom"/>
            <w:gridSpan w:val="2"/>
          </w:tcPr>
          <w:p>
            <w:pPr>
              <w:jc w:val="right"/>
              <w:ind w:right="212"/>
              <w:spacing w:after="0" w:line="159" w:lineRule="exact"/>
              <w:rPr>
                <w:sz w:val="20"/>
                <w:szCs w:val="20"/>
                <w:color w:val="auto"/>
              </w:rPr>
            </w:pPr>
            <w:r>
              <w:rPr>
                <w:rFonts w:ascii="Arial" w:cs="Arial" w:eastAsia="Arial" w:hAnsi="Arial"/>
                <w:sz w:val="14"/>
                <w:szCs w:val="14"/>
                <w:color w:val="auto"/>
              </w:rPr>
              <w:t>Parents</w:t>
            </w:r>
          </w:p>
        </w:tc>
        <w:tc>
          <w:tcPr>
            <w:tcW w:w="86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Holdings</w:t>
            </w:r>
          </w:p>
        </w:tc>
        <w:tc>
          <w:tcPr>
            <w:tcW w:w="102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Subsidiaries</w:t>
            </w:r>
          </w:p>
        </w:tc>
        <w:tc>
          <w:tcPr>
            <w:tcW w:w="114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8"/>
              </w:rPr>
              <w:t>Adjustments</w:t>
            </w:r>
          </w:p>
        </w:tc>
        <w:tc>
          <w:tcPr>
            <w:tcW w:w="940" w:type="dxa"/>
            <w:vAlign w:val="bottom"/>
            <w:gridSpan w:val="2"/>
          </w:tcPr>
          <w:p>
            <w:pPr>
              <w:jc w:val="right"/>
              <w:ind w:right="13"/>
              <w:spacing w:after="0" w:line="159" w:lineRule="exact"/>
              <w:rPr>
                <w:sz w:val="20"/>
                <w:szCs w:val="20"/>
                <w:color w:val="auto"/>
              </w:rPr>
            </w:pPr>
            <w:r>
              <w:rPr>
                <w:rFonts w:ascii="Arial" w:cs="Arial" w:eastAsia="Arial" w:hAnsi="Arial"/>
                <w:sz w:val="14"/>
                <w:szCs w:val="14"/>
                <w:color w:val="auto"/>
              </w:rPr>
              <w:t>Corporation</w:t>
            </w:r>
          </w:p>
        </w:tc>
      </w:tr>
      <w:tr>
        <w:trPr>
          <w:trHeight w:val="210"/>
        </w:trPr>
        <w:tc>
          <w:tcPr>
            <w:tcW w:w="20" w:type="dxa"/>
            <w:vAlign w:val="bottom"/>
          </w:tcPr>
          <w:p>
            <w:pPr>
              <w:spacing w:after="0"/>
              <w:rPr>
                <w:sz w:val="18"/>
                <w:szCs w:val="18"/>
                <w:color w:val="auto"/>
              </w:rPr>
            </w:pPr>
          </w:p>
        </w:tc>
        <w:tc>
          <w:tcPr>
            <w:tcW w:w="37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Revenue:</w:t>
            </w:r>
          </w:p>
        </w:tc>
        <w:tc>
          <w:tcPr>
            <w:tcW w:w="46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44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54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740" w:type="dxa"/>
            <w:vAlign w:val="bottom"/>
            <w:tcBorders>
              <w:top w:val="single" w:sz="8" w:color="auto"/>
            </w:tcBorders>
            <w:shd w:val="clear" w:color="auto" w:fill="E5E5E5"/>
          </w:tcPr>
          <w:p>
            <w:pPr>
              <w:spacing w:after="0"/>
              <w:rPr>
                <w:sz w:val="18"/>
                <w:szCs w:val="18"/>
                <w:color w:val="auto"/>
              </w:rPr>
            </w:pPr>
          </w:p>
        </w:tc>
        <w:tc>
          <w:tcPr>
            <w:tcW w:w="340" w:type="dxa"/>
            <w:vAlign w:val="bottom"/>
            <w:tcBorders>
              <w:top w:val="single" w:sz="8" w:color="auto"/>
            </w:tcBorders>
            <w:shd w:val="clear" w:color="auto" w:fill="E5E5E5"/>
          </w:tcPr>
          <w:p>
            <w:pPr>
              <w:spacing w:after="0"/>
              <w:rPr>
                <w:sz w:val="18"/>
                <w:szCs w:val="18"/>
                <w:color w:val="auto"/>
              </w:rPr>
            </w:pPr>
          </w:p>
        </w:tc>
        <w:tc>
          <w:tcPr>
            <w:tcW w:w="80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200"/>
              <w:spacing w:after="0"/>
              <w:rPr>
                <w:sz w:val="20"/>
                <w:szCs w:val="20"/>
                <w:color w:val="auto"/>
              </w:rPr>
            </w:pPr>
            <w:r>
              <w:rPr>
                <w:rFonts w:ascii="Arial" w:cs="Arial" w:eastAsia="Arial" w:hAnsi="Arial"/>
                <w:sz w:val="18"/>
                <w:szCs w:val="18"/>
                <w:color w:val="auto"/>
              </w:rPr>
              <w:t>Service revenue</w:t>
            </w:r>
          </w:p>
        </w:tc>
        <w:tc>
          <w:tcPr>
            <w:tcW w:w="460" w:type="dxa"/>
            <w:vAlign w:val="bottom"/>
          </w:tcPr>
          <w:p>
            <w:pPr>
              <w:ind w:left="36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ind w:left="16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tcPr>
          <w:p>
            <w:pPr>
              <w:ind w:left="16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ind w:left="16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13"/>
              <w:spacing w:after="0"/>
              <w:rPr>
                <w:sz w:val="20"/>
                <w:szCs w:val="20"/>
                <w:color w:val="auto"/>
              </w:rPr>
            </w:pPr>
            <w:r>
              <w:rPr>
                <w:rFonts w:ascii="Arial" w:cs="Arial" w:eastAsia="Arial" w:hAnsi="Arial"/>
                <w:sz w:val="18"/>
                <w:szCs w:val="18"/>
                <w:color w:val="auto"/>
                <w:w w:val="94"/>
              </w:rPr>
              <w:t>15,100</w:t>
            </w:r>
          </w:p>
        </w:tc>
        <w:tc>
          <w:tcPr>
            <w:tcW w:w="340" w:type="dxa"/>
            <w:vAlign w:val="bottom"/>
          </w:tcPr>
          <w:p>
            <w:pPr>
              <w:jc w:val="right"/>
              <w:ind w:right="4"/>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15,100</w:t>
            </w:r>
          </w:p>
        </w:tc>
      </w:tr>
      <w:tr>
        <w:trPr>
          <w:trHeight w:val="216"/>
        </w:trPr>
        <w:tc>
          <w:tcPr>
            <w:tcW w:w="20" w:type="dxa"/>
            <w:vAlign w:val="bottom"/>
          </w:tcPr>
          <w:p>
            <w:pPr>
              <w:spacing w:after="0"/>
              <w:rPr>
                <w:sz w:val="18"/>
                <w:szCs w:val="18"/>
                <w:color w:val="auto"/>
              </w:rPr>
            </w:pPr>
          </w:p>
        </w:tc>
        <w:tc>
          <w:tcPr>
            <w:tcW w:w="378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Management fee revenue</w:t>
            </w:r>
          </w:p>
        </w:tc>
        <w:tc>
          <w:tcPr>
            <w:tcW w:w="4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308</w:t>
            </w:r>
          </w:p>
        </w:tc>
        <w:tc>
          <w:tcPr>
            <w:tcW w:w="24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105</w:t>
            </w:r>
          </w:p>
        </w:tc>
        <w:tc>
          <w:tcPr>
            <w:tcW w:w="3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163</w:t>
            </w:r>
          </w:p>
        </w:tc>
        <w:tc>
          <w:tcPr>
            <w:tcW w:w="2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163</w:t>
            </w:r>
          </w:p>
        </w:tc>
        <w:tc>
          <w:tcPr>
            <w:tcW w:w="3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(739)</w:t>
            </w:r>
          </w:p>
        </w:tc>
        <w:tc>
          <w:tcPr>
            <w:tcW w:w="26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37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308</w:t>
            </w:r>
          </w:p>
        </w:tc>
        <w:tc>
          <w:tcPr>
            <w:tcW w:w="2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105</w:t>
            </w:r>
          </w:p>
        </w:tc>
        <w:tc>
          <w:tcPr>
            <w:tcW w:w="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163</w:t>
            </w: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163</w:t>
            </w:r>
          </w:p>
        </w:tc>
        <w:tc>
          <w:tcPr>
            <w:tcW w:w="3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w w:val="94"/>
              </w:rPr>
              <w:t>15,100</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(739)</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15,100</w:t>
            </w:r>
          </w:p>
        </w:tc>
      </w:tr>
      <w:tr>
        <w:trPr>
          <w:trHeight w:val="210"/>
        </w:trPr>
        <w:tc>
          <w:tcPr>
            <w:tcW w:w="20" w:type="dxa"/>
            <w:vAlign w:val="bottom"/>
          </w:tcPr>
          <w:p>
            <w:pPr>
              <w:spacing w:after="0"/>
              <w:rPr>
                <w:sz w:val="18"/>
                <w:szCs w:val="18"/>
                <w:color w:val="auto"/>
              </w:rPr>
            </w:pPr>
          </w:p>
        </w:tc>
        <w:tc>
          <w:tcPr>
            <w:tcW w:w="3780" w:type="dxa"/>
            <w:vAlign w:val="bottom"/>
            <w:shd w:val="clear" w:color="auto" w:fill="E5E5E5"/>
          </w:tcPr>
          <w:p>
            <w:pPr>
              <w:spacing w:after="0"/>
              <w:rPr>
                <w:sz w:val="20"/>
                <w:szCs w:val="20"/>
                <w:color w:val="auto"/>
              </w:rPr>
            </w:pPr>
            <w:r>
              <w:rPr>
                <w:rFonts w:ascii="Arial" w:cs="Arial" w:eastAsia="Arial" w:hAnsi="Arial"/>
                <w:sz w:val="18"/>
                <w:szCs w:val="18"/>
                <w:color w:val="auto"/>
              </w:rPr>
              <w:t>Costs and Expenses:</w:t>
            </w:r>
          </w:p>
        </w:tc>
        <w:tc>
          <w:tcPr>
            <w:tcW w:w="4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3780" w:type="dxa"/>
            <w:vAlign w:val="bottom"/>
          </w:tcPr>
          <w:p>
            <w:pPr>
              <w:ind w:left="200"/>
              <w:spacing w:after="0"/>
              <w:rPr>
                <w:sz w:val="20"/>
                <w:szCs w:val="20"/>
                <w:color w:val="auto"/>
              </w:rPr>
            </w:pPr>
            <w:r>
              <w:rPr>
                <w:rFonts w:ascii="Arial" w:cs="Arial" w:eastAsia="Arial" w:hAnsi="Arial"/>
                <w:sz w:val="18"/>
                <w:szCs w:val="18"/>
                <w:color w:val="auto"/>
              </w:rPr>
              <w:t>Operating (excluding depreciation and</w:t>
            </w: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780" w:type="dxa"/>
            <w:vAlign w:val="bottom"/>
          </w:tcPr>
          <w:p>
            <w:pPr>
              <w:ind w:left="420"/>
              <w:spacing w:after="0"/>
              <w:rPr>
                <w:sz w:val="20"/>
                <w:szCs w:val="20"/>
                <w:color w:val="auto"/>
              </w:rPr>
            </w:pPr>
            <w:r>
              <w:rPr>
                <w:rFonts w:ascii="Arial" w:cs="Arial" w:eastAsia="Arial" w:hAnsi="Arial"/>
                <w:sz w:val="18"/>
                <w:szCs w:val="18"/>
                <w:color w:val="auto"/>
              </w:rPr>
              <w:t>amortization)</w:t>
            </w:r>
          </w:p>
        </w:tc>
        <w:tc>
          <w:tcPr>
            <w:tcW w:w="460" w:type="dxa"/>
            <w:vAlign w:val="bottom"/>
          </w:tcPr>
          <w:p>
            <w:pPr>
              <w:spacing w:after="0"/>
              <w:rPr>
                <w:sz w:val="19"/>
                <w:szCs w:val="19"/>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5,513</w:t>
            </w:r>
          </w:p>
        </w:tc>
        <w:tc>
          <w:tcPr>
            <w:tcW w:w="340" w:type="dxa"/>
            <w:vAlign w:val="bottom"/>
          </w:tcPr>
          <w:p>
            <w:pPr>
              <w:spacing w:after="0"/>
              <w:rPr>
                <w:sz w:val="19"/>
                <w:szCs w:val="19"/>
                <w:color w:val="auto"/>
              </w:rPr>
            </w:pP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5,513</w:t>
            </w:r>
          </w:p>
        </w:tc>
      </w:tr>
      <w:tr>
        <w:trPr>
          <w:trHeight w:val="217"/>
        </w:trPr>
        <w:tc>
          <w:tcPr>
            <w:tcW w:w="20" w:type="dxa"/>
            <w:vAlign w:val="bottom"/>
          </w:tcPr>
          <w:p>
            <w:pPr>
              <w:spacing w:after="0"/>
              <w:rPr>
                <w:sz w:val="18"/>
                <w:szCs w:val="18"/>
                <w:color w:val="auto"/>
              </w:rPr>
            </w:pPr>
          </w:p>
        </w:tc>
        <w:tc>
          <w:tcPr>
            <w:tcW w:w="37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Selling, general and administrative</w:t>
            </w:r>
          </w:p>
        </w:tc>
        <w:tc>
          <w:tcPr>
            <w:tcW w:w="4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145</w:t>
            </w:r>
          </w:p>
        </w:tc>
        <w:tc>
          <w:tcPr>
            <w:tcW w:w="240" w:type="dxa"/>
            <w:vAlign w:val="bottom"/>
            <w:shd w:val="clear" w:color="auto" w:fill="E5E5E5"/>
          </w:tcPr>
          <w:p>
            <w:pPr>
              <w:spacing w:after="0"/>
              <w:rPr>
                <w:sz w:val="18"/>
                <w:szCs w:val="18"/>
                <w:color w:val="auto"/>
              </w:rPr>
            </w:pPr>
          </w:p>
        </w:tc>
        <w:tc>
          <w:tcPr>
            <w:tcW w:w="44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105</w:t>
            </w:r>
          </w:p>
        </w:tc>
        <w:tc>
          <w:tcPr>
            <w:tcW w:w="3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163</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163</w:t>
            </w:r>
          </w:p>
        </w:tc>
        <w:tc>
          <w:tcPr>
            <w:tcW w:w="3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9</w:t>
            </w:r>
          </w:p>
        </w:tc>
        <w:tc>
          <w:tcPr>
            <w:tcW w:w="2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3,966</w:t>
            </w:r>
          </w:p>
        </w:tc>
        <w:tc>
          <w:tcPr>
            <w:tcW w:w="34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(739)</w:t>
            </w:r>
          </w:p>
        </w:tc>
        <w:tc>
          <w:tcPr>
            <w:tcW w:w="26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3,812</w:t>
            </w:r>
          </w:p>
        </w:tc>
      </w:tr>
      <w:tr>
        <w:trPr>
          <w:trHeight w:val="216"/>
        </w:trPr>
        <w:tc>
          <w:tcPr>
            <w:tcW w:w="20" w:type="dxa"/>
            <w:vAlign w:val="bottom"/>
          </w:tcPr>
          <w:p>
            <w:pPr>
              <w:spacing w:after="0"/>
              <w:rPr>
                <w:sz w:val="18"/>
                <w:szCs w:val="18"/>
                <w:color w:val="auto"/>
              </w:rPr>
            </w:pPr>
          </w:p>
        </w:tc>
        <w:tc>
          <w:tcPr>
            <w:tcW w:w="378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46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2,474</w:t>
            </w:r>
          </w:p>
        </w:tc>
        <w:tc>
          <w:tcPr>
            <w:tcW w:w="340" w:type="dxa"/>
            <w:vAlign w:val="bottom"/>
          </w:tcPr>
          <w:p>
            <w:pPr>
              <w:spacing w:after="0"/>
              <w:rPr>
                <w:sz w:val="18"/>
                <w:szCs w:val="18"/>
                <w:color w:val="auto"/>
              </w:rPr>
            </w:pP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2,477</w:t>
            </w:r>
          </w:p>
        </w:tc>
      </w:tr>
      <w:tr>
        <w:trPr>
          <w:trHeight w:val="216"/>
        </w:trPr>
        <w:tc>
          <w:tcPr>
            <w:tcW w:w="20" w:type="dxa"/>
            <w:vAlign w:val="bottom"/>
          </w:tcPr>
          <w:p>
            <w:pPr>
              <w:spacing w:after="0"/>
              <w:rPr>
                <w:sz w:val="18"/>
                <w:szCs w:val="18"/>
                <w:color w:val="auto"/>
              </w:rPr>
            </w:pPr>
          </w:p>
        </w:tc>
        <w:tc>
          <w:tcPr>
            <w:tcW w:w="378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Amortization</w:t>
            </w:r>
          </w:p>
        </w:tc>
        <w:tc>
          <w:tcPr>
            <w:tcW w:w="4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569</w:t>
            </w:r>
          </w:p>
        </w:tc>
        <w:tc>
          <w:tcPr>
            <w:tcW w:w="34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569</w:t>
            </w:r>
          </w:p>
        </w:tc>
      </w:tr>
      <w:tr>
        <w:trPr>
          <w:trHeight w:val="210"/>
        </w:trPr>
        <w:tc>
          <w:tcPr>
            <w:tcW w:w="20" w:type="dxa"/>
            <w:vAlign w:val="bottom"/>
          </w:tcPr>
          <w:p>
            <w:pPr>
              <w:spacing w:after="0"/>
              <w:rPr>
                <w:sz w:val="18"/>
                <w:szCs w:val="18"/>
                <w:color w:val="auto"/>
              </w:rPr>
            </w:pPr>
          </w:p>
        </w:tc>
        <w:tc>
          <w:tcPr>
            <w:tcW w:w="37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148</w:t>
            </w:r>
          </w:p>
        </w:tc>
        <w:tc>
          <w:tcPr>
            <w:tcW w:w="2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105</w:t>
            </w:r>
          </w:p>
        </w:tc>
        <w:tc>
          <w:tcPr>
            <w:tcW w:w="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163</w:t>
            </w: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163</w:t>
            </w:r>
          </w:p>
        </w:tc>
        <w:tc>
          <w:tcPr>
            <w:tcW w:w="3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9</w:t>
            </w: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w w:val="94"/>
              </w:rPr>
              <w:t>12,522</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(739)</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12,371</w:t>
            </w:r>
          </w:p>
        </w:tc>
      </w:tr>
      <w:tr>
        <w:trPr>
          <w:trHeight w:val="210"/>
        </w:trPr>
        <w:tc>
          <w:tcPr>
            <w:tcW w:w="20" w:type="dxa"/>
            <w:vAlign w:val="bottom"/>
          </w:tcPr>
          <w:p>
            <w:pPr>
              <w:spacing w:after="0"/>
              <w:rPr>
                <w:sz w:val="18"/>
                <w:szCs w:val="18"/>
                <w:color w:val="auto"/>
              </w:rPr>
            </w:pPr>
          </w:p>
        </w:tc>
        <w:tc>
          <w:tcPr>
            <w:tcW w:w="378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w:t>
            </w:r>
          </w:p>
        </w:tc>
        <w:tc>
          <w:tcPr>
            <w:tcW w:w="4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160</w:t>
            </w:r>
          </w:p>
        </w:tc>
        <w:tc>
          <w:tcPr>
            <w:tcW w:w="240" w:type="dxa"/>
            <w:vAlign w:val="bottom"/>
            <w:shd w:val="clear" w:color="auto" w:fill="E5E5E5"/>
          </w:tcPr>
          <w:p>
            <w:pPr>
              <w:spacing w:after="0"/>
              <w:rPr>
                <w:sz w:val="18"/>
                <w:szCs w:val="18"/>
                <w:color w:val="auto"/>
              </w:rPr>
            </w:pPr>
          </w:p>
        </w:tc>
        <w:tc>
          <w:tcPr>
            <w:tcW w:w="44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(9)</w:t>
            </w:r>
          </w:p>
        </w:tc>
        <w:tc>
          <w:tcPr>
            <w:tcW w:w="2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2,578</w:t>
            </w:r>
          </w:p>
        </w:tc>
        <w:tc>
          <w:tcPr>
            <w:tcW w:w="34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2,729</w:t>
            </w: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Other Income (Expense):</w:t>
            </w: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Interest expense</w:t>
            </w:r>
          </w:p>
        </w:tc>
        <w:tc>
          <w:tcPr>
            <w:tcW w:w="4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(511)</w:t>
            </w:r>
          </w:p>
        </w:tc>
        <w:tc>
          <w:tcPr>
            <w:tcW w:w="240" w:type="dxa"/>
            <w:vAlign w:val="bottom"/>
            <w:shd w:val="clear" w:color="auto" w:fill="E5E5E5"/>
          </w:tcPr>
          <w:p>
            <w:pPr>
              <w:spacing w:after="0"/>
              <w:rPr>
                <w:sz w:val="18"/>
                <w:szCs w:val="18"/>
                <w:color w:val="auto"/>
              </w:rPr>
            </w:pPr>
          </w:p>
        </w:tc>
        <w:tc>
          <w:tcPr>
            <w:tcW w:w="44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5"/>
              </w:rPr>
              <w:t>(189)</w:t>
            </w:r>
          </w:p>
        </w:tc>
        <w:tc>
          <w:tcPr>
            <w:tcW w:w="3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(161)</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(122)</w:t>
            </w:r>
          </w:p>
        </w:tc>
        <w:tc>
          <w:tcPr>
            <w:tcW w:w="3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(47)</w:t>
            </w:r>
          </w:p>
        </w:tc>
        <w:tc>
          <w:tcPr>
            <w:tcW w:w="2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(88)</w:t>
            </w:r>
          </w:p>
        </w:tc>
        <w:tc>
          <w:tcPr>
            <w:tcW w:w="34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(1,118)</w:t>
            </w:r>
          </w:p>
        </w:tc>
      </w:tr>
      <w:tr>
        <w:trPr>
          <w:trHeight w:val="216"/>
        </w:trPr>
        <w:tc>
          <w:tcPr>
            <w:tcW w:w="20" w:type="dxa"/>
            <w:vAlign w:val="bottom"/>
          </w:tcPr>
          <w:p>
            <w:pPr>
              <w:spacing w:after="0"/>
              <w:rPr>
                <w:sz w:val="18"/>
                <w:szCs w:val="18"/>
                <w:color w:val="auto"/>
              </w:rPr>
            </w:pPr>
          </w:p>
        </w:tc>
        <w:tc>
          <w:tcPr>
            <w:tcW w:w="3780" w:type="dxa"/>
            <w:vAlign w:val="bottom"/>
          </w:tcPr>
          <w:p>
            <w:pPr>
              <w:ind w:left="200"/>
              <w:spacing w:after="0"/>
              <w:rPr>
                <w:sz w:val="20"/>
                <w:szCs w:val="20"/>
                <w:color w:val="auto"/>
              </w:rPr>
            </w:pPr>
            <w:r>
              <w:rPr>
                <w:rFonts w:ascii="Arial" w:cs="Arial" w:eastAsia="Arial" w:hAnsi="Arial"/>
                <w:sz w:val="18"/>
                <w:szCs w:val="18"/>
                <w:color w:val="auto"/>
              </w:rPr>
              <w:t>Investment income (loss), net</w:t>
            </w:r>
          </w:p>
        </w:tc>
        <w:tc>
          <w:tcPr>
            <w:tcW w:w="46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40" w:type="dxa"/>
            <w:vAlign w:val="bottom"/>
          </w:tcPr>
          <w:p>
            <w:pPr>
              <w:jc w:val="right"/>
              <w:ind w:right="72"/>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18"/>
                <w:szCs w:val="18"/>
                <w:color w:val="auto"/>
              </w:rPr>
            </w:pP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340</w:t>
            </w:r>
          </w:p>
        </w:tc>
        <w:tc>
          <w:tcPr>
            <w:tcW w:w="340" w:type="dxa"/>
            <w:vAlign w:val="bottom"/>
          </w:tcPr>
          <w:p>
            <w:pPr>
              <w:spacing w:after="0"/>
              <w:rPr>
                <w:sz w:val="18"/>
                <w:szCs w:val="18"/>
                <w:color w:val="auto"/>
              </w:rPr>
            </w:pP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16"/>
        </w:trPr>
        <w:tc>
          <w:tcPr>
            <w:tcW w:w="20" w:type="dxa"/>
            <w:vAlign w:val="bottom"/>
          </w:tcPr>
          <w:p>
            <w:pPr>
              <w:spacing w:after="0"/>
              <w:rPr>
                <w:sz w:val="18"/>
                <w:szCs w:val="18"/>
                <w:color w:val="auto"/>
              </w:rPr>
            </w:pPr>
          </w:p>
        </w:tc>
        <w:tc>
          <w:tcPr>
            <w:tcW w:w="3780" w:type="dxa"/>
            <w:vAlign w:val="bottom"/>
            <w:shd w:val="clear" w:color="auto" w:fill="E5E5E5"/>
          </w:tcPr>
          <w:p>
            <w:pPr>
              <w:ind w:left="200"/>
              <w:spacing w:after="0"/>
              <w:rPr>
                <w:sz w:val="20"/>
                <w:szCs w:val="20"/>
                <w:color w:val="auto"/>
              </w:rPr>
            </w:pPr>
            <w:r>
              <w:rPr>
                <w:rFonts w:ascii="Arial" w:cs="Arial" w:eastAsia="Arial" w:hAnsi="Arial"/>
                <w:sz w:val="18"/>
                <w:szCs w:val="18"/>
                <w:color w:val="auto"/>
                <w:w w:val="99"/>
              </w:rPr>
              <w:t>Equity in net (losses) income of affiliates, net</w:t>
            </w:r>
          </w:p>
        </w:tc>
        <w:tc>
          <w:tcPr>
            <w:tcW w:w="4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84"/>
              </w:rPr>
              <w:t>1,651</w:t>
            </w:r>
          </w:p>
        </w:tc>
        <w:tc>
          <w:tcPr>
            <w:tcW w:w="240" w:type="dxa"/>
            <w:vAlign w:val="bottom"/>
            <w:shd w:val="clear" w:color="auto" w:fill="E5E5E5"/>
          </w:tcPr>
          <w:p>
            <w:pPr>
              <w:spacing w:after="0"/>
              <w:rPr>
                <w:sz w:val="18"/>
                <w:szCs w:val="18"/>
                <w:color w:val="auto"/>
              </w:rPr>
            </w:pPr>
          </w:p>
        </w:tc>
        <w:tc>
          <w:tcPr>
            <w:tcW w:w="44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855</w:t>
            </w:r>
          </w:p>
        </w:tc>
        <w:tc>
          <w:tcPr>
            <w:tcW w:w="3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w w:val="84"/>
              </w:rPr>
              <w:t>1,211</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93"/>
              </w:rPr>
              <w:t>1,291</w:t>
            </w:r>
          </w:p>
        </w:tc>
        <w:tc>
          <w:tcPr>
            <w:tcW w:w="3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749</w:t>
            </w:r>
          </w:p>
        </w:tc>
        <w:tc>
          <w:tcPr>
            <w:tcW w:w="2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(53)</w:t>
            </w:r>
          </w:p>
        </w:tc>
        <w:tc>
          <w:tcPr>
            <w:tcW w:w="34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(5,741)</w:t>
            </w:r>
          </w:p>
        </w:tc>
        <w:tc>
          <w:tcPr>
            <w:tcW w:w="26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20" w:type="dxa"/>
            <w:vAlign w:val="bottom"/>
          </w:tcPr>
          <w:p>
            <w:pPr>
              <w:spacing w:after="0"/>
              <w:rPr>
                <w:sz w:val="18"/>
                <w:szCs w:val="18"/>
                <w:color w:val="auto"/>
              </w:rPr>
            </w:pPr>
          </w:p>
        </w:tc>
        <w:tc>
          <w:tcPr>
            <w:tcW w:w="37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income (expense)</w:t>
            </w:r>
          </w:p>
        </w:tc>
        <w:tc>
          <w:tcPr>
            <w:tcW w:w="4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512</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w:t>
            </w:r>
          </w:p>
        </w:tc>
      </w:tr>
      <w:tr>
        <w:trPr>
          <w:trHeight w:val="210"/>
        </w:trPr>
        <w:tc>
          <w:tcPr>
            <w:tcW w:w="20" w:type="dxa"/>
            <w:vAlign w:val="bottom"/>
          </w:tcPr>
          <w:p>
            <w:pPr>
              <w:spacing w:after="0"/>
              <w:rPr>
                <w:sz w:val="18"/>
                <w:szCs w:val="18"/>
                <w:color w:val="auto"/>
              </w:rPr>
            </w:pPr>
          </w:p>
        </w:tc>
        <w:tc>
          <w:tcPr>
            <w:tcW w:w="378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w w:val="84"/>
              </w:rPr>
              <w:t>1,144</w:t>
            </w:r>
          </w:p>
        </w:tc>
        <w:tc>
          <w:tcPr>
            <w:tcW w:w="24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666</w:t>
            </w:r>
          </w:p>
        </w:tc>
        <w:tc>
          <w:tcPr>
            <w:tcW w:w="3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w w:val="84"/>
              </w:rPr>
              <w:t>1,055</w:t>
            </w:r>
          </w:p>
        </w:tc>
        <w:tc>
          <w:tcPr>
            <w:tcW w:w="2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w w:val="93"/>
              </w:rPr>
              <w:t>1,169</w:t>
            </w:r>
          </w:p>
        </w:tc>
        <w:tc>
          <w:tcPr>
            <w:tcW w:w="3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655</w:t>
            </w:r>
          </w:p>
        </w:tc>
        <w:tc>
          <w:tcPr>
            <w:tcW w:w="2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711</w:t>
            </w:r>
          </w:p>
        </w:tc>
        <w:tc>
          <w:tcPr>
            <w:tcW w:w="34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(5,741)</w:t>
            </w:r>
          </w:p>
        </w:tc>
        <w:tc>
          <w:tcPr>
            <w:tcW w:w="26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(341)</w:t>
            </w:r>
          </w:p>
        </w:tc>
      </w:tr>
      <w:tr>
        <w:trPr>
          <w:trHeight w:val="201"/>
        </w:trPr>
        <w:tc>
          <w:tcPr>
            <w:tcW w:w="20" w:type="dxa"/>
            <w:vAlign w:val="bottom"/>
          </w:tcPr>
          <w:p>
            <w:pPr>
              <w:spacing w:after="0"/>
              <w:rPr>
                <w:sz w:val="17"/>
                <w:szCs w:val="17"/>
                <w:color w:val="auto"/>
              </w:rPr>
            </w:pPr>
          </w:p>
        </w:tc>
        <w:tc>
          <w:tcPr>
            <w:tcW w:w="3780" w:type="dxa"/>
            <w:vAlign w:val="bottom"/>
          </w:tcPr>
          <w:p>
            <w:pPr>
              <w:spacing w:after="0" w:line="201" w:lineRule="exact"/>
              <w:rPr>
                <w:sz w:val="20"/>
                <w:szCs w:val="20"/>
                <w:color w:val="auto"/>
              </w:rPr>
            </w:pPr>
            <w:r>
              <w:rPr>
                <w:rFonts w:ascii="Arial" w:cs="Arial" w:eastAsia="Arial" w:hAnsi="Arial"/>
                <w:sz w:val="18"/>
                <w:szCs w:val="18"/>
                <w:color w:val="auto"/>
                <w:w w:val="99"/>
              </w:rPr>
              <w:t>Income (loss) before income taxes and minority</w:t>
            </w: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3780" w:type="dxa"/>
            <w:vAlign w:val="bottom"/>
          </w:tcPr>
          <w:p>
            <w:pPr>
              <w:ind w:left="200"/>
              <w:spacing w:after="0"/>
              <w:rPr>
                <w:sz w:val="20"/>
                <w:szCs w:val="20"/>
                <w:color w:val="auto"/>
              </w:rPr>
            </w:pPr>
            <w:r>
              <w:rPr>
                <w:rFonts w:ascii="Arial" w:cs="Arial" w:eastAsia="Arial" w:hAnsi="Arial"/>
                <w:sz w:val="18"/>
                <w:szCs w:val="18"/>
                <w:color w:val="auto"/>
              </w:rPr>
              <w:t>interest</w:t>
            </w:r>
          </w:p>
        </w:tc>
        <w:tc>
          <w:tcPr>
            <w:tcW w:w="460" w:type="dxa"/>
            <w:vAlign w:val="bottom"/>
          </w:tcPr>
          <w:p>
            <w:pPr>
              <w:spacing w:after="0"/>
              <w:rPr>
                <w:sz w:val="19"/>
                <w:szCs w:val="19"/>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w w:val="84"/>
              </w:rPr>
              <w:t>1,304</w:t>
            </w:r>
          </w:p>
        </w:tc>
        <w:tc>
          <w:tcPr>
            <w:tcW w:w="240" w:type="dxa"/>
            <w:vAlign w:val="bottom"/>
          </w:tcPr>
          <w:p>
            <w:pPr>
              <w:spacing w:after="0"/>
              <w:rPr>
                <w:sz w:val="19"/>
                <w:szCs w:val="19"/>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666</w:t>
            </w:r>
          </w:p>
        </w:tc>
        <w:tc>
          <w:tcPr>
            <w:tcW w:w="360" w:type="dxa"/>
            <w:vAlign w:val="bottom"/>
          </w:tcPr>
          <w:p>
            <w:pPr>
              <w:spacing w:after="0"/>
              <w:rPr>
                <w:sz w:val="19"/>
                <w:szCs w:val="19"/>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1,055</w:t>
            </w:r>
          </w:p>
        </w:tc>
        <w:tc>
          <w:tcPr>
            <w:tcW w:w="280" w:type="dxa"/>
            <w:vAlign w:val="bottom"/>
          </w:tcPr>
          <w:p>
            <w:pPr>
              <w:spacing w:after="0"/>
              <w:rPr>
                <w:sz w:val="19"/>
                <w:szCs w:val="19"/>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color w:val="auto"/>
                <w:w w:val="93"/>
              </w:rPr>
              <w:t>1,169</w:t>
            </w:r>
          </w:p>
        </w:tc>
        <w:tc>
          <w:tcPr>
            <w:tcW w:w="320" w:type="dxa"/>
            <w:vAlign w:val="bottom"/>
          </w:tcPr>
          <w:p>
            <w:pPr>
              <w:spacing w:after="0"/>
              <w:rPr>
                <w:sz w:val="19"/>
                <w:szCs w:val="19"/>
                <w:color w:val="auto"/>
              </w:rPr>
            </w:pP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646</w:t>
            </w:r>
          </w:p>
        </w:tc>
        <w:tc>
          <w:tcPr>
            <w:tcW w:w="280" w:type="dxa"/>
            <w:vAlign w:val="bottom"/>
          </w:tcPr>
          <w:p>
            <w:pPr>
              <w:spacing w:after="0"/>
              <w:rPr>
                <w:sz w:val="19"/>
                <w:szCs w:val="19"/>
                <w:color w:val="auto"/>
              </w:rPr>
            </w:pP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3,289</w:t>
            </w:r>
          </w:p>
        </w:tc>
        <w:tc>
          <w:tcPr>
            <w:tcW w:w="340" w:type="dxa"/>
            <w:vAlign w:val="bottom"/>
          </w:tcPr>
          <w:p>
            <w:pPr>
              <w:spacing w:after="0"/>
              <w:rPr>
                <w:sz w:val="19"/>
                <w:szCs w:val="19"/>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(5,741)</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2,388</w:t>
            </w:r>
          </w:p>
        </w:tc>
      </w:tr>
      <w:tr>
        <w:trPr>
          <w:trHeight w:val="218"/>
        </w:trPr>
        <w:tc>
          <w:tcPr>
            <w:tcW w:w="20" w:type="dxa"/>
            <w:vAlign w:val="bottom"/>
          </w:tcPr>
          <w:p>
            <w:pPr>
              <w:spacing w:after="0"/>
              <w:rPr>
                <w:sz w:val="18"/>
                <w:szCs w:val="18"/>
                <w:color w:val="auto"/>
              </w:rPr>
            </w:pPr>
          </w:p>
        </w:tc>
        <w:tc>
          <w:tcPr>
            <w:tcW w:w="37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 benefit</w:t>
            </w:r>
          </w:p>
        </w:tc>
        <w:tc>
          <w:tcPr>
            <w:tcW w:w="4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121</w:t>
            </w:r>
          </w:p>
        </w:tc>
        <w:tc>
          <w:tcPr>
            <w:tcW w:w="24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67</w:t>
            </w:r>
          </w:p>
        </w:tc>
        <w:tc>
          <w:tcPr>
            <w:tcW w:w="3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56</w:t>
            </w:r>
          </w:p>
        </w:tc>
        <w:tc>
          <w:tcPr>
            <w:tcW w:w="2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42</w:t>
            </w:r>
          </w:p>
        </w:tc>
        <w:tc>
          <w:tcPr>
            <w:tcW w:w="3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36</w:t>
            </w:r>
          </w:p>
        </w:tc>
        <w:tc>
          <w:tcPr>
            <w:tcW w:w="2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(1,301)</w:t>
            </w:r>
          </w:p>
        </w:tc>
        <w:tc>
          <w:tcPr>
            <w:tcW w:w="34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(979)</w:t>
            </w:r>
          </w:p>
        </w:tc>
      </w:tr>
      <w:tr>
        <w:trPr>
          <w:trHeight w:val="210"/>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Income (loss) before minority interest</w:t>
            </w:r>
          </w:p>
        </w:tc>
        <w:tc>
          <w:tcPr>
            <w:tcW w:w="46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w w:val="84"/>
              </w:rPr>
              <w:t>1,425</w:t>
            </w:r>
          </w:p>
        </w:tc>
        <w:tc>
          <w:tcPr>
            <w:tcW w:w="240" w:type="dxa"/>
            <w:vAlign w:val="bottom"/>
          </w:tcPr>
          <w:p>
            <w:pPr>
              <w:spacing w:after="0"/>
              <w:rPr>
                <w:sz w:val="18"/>
                <w:szCs w:val="18"/>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733</w:t>
            </w:r>
          </w:p>
        </w:tc>
        <w:tc>
          <w:tcPr>
            <w:tcW w:w="360" w:type="dxa"/>
            <w:vAlign w:val="bottom"/>
          </w:tcPr>
          <w:p>
            <w:pPr>
              <w:spacing w:after="0"/>
              <w:rPr>
                <w:sz w:val="18"/>
                <w:szCs w:val="18"/>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1,111</w:t>
            </w:r>
          </w:p>
        </w:tc>
        <w:tc>
          <w:tcPr>
            <w:tcW w:w="280" w:type="dxa"/>
            <w:vAlign w:val="bottom"/>
          </w:tcPr>
          <w:p>
            <w:pPr>
              <w:spacing w:after="0"/>
              <w:rPr>
                <w:sz w:val="18"/>
                <w:szCs w:val="18"/>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color w:val="auto"/>
                <w:w w:val="93"/>
              </w:rPr>
              <w:t>1,211</w:t>
            </w:r>
          </w:p>
        </w:tc>
        <w:tc>
          <w:tcPr>
            <w:tcW w:w="320" w:type="dxa"/>
            <w:vAlign w:val="bottom"/>
          </w:tcPr>
          <w:p>
            <w:pPr>
              <w:spacing w:after="0"/>
              <w:rPr>
                <w:sz w:val="18"/>
                <w:szCs w:val="18"/>
                <w:color w:val="auto"/>
              </w:rPr>
            </w:pP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682</w:t>
            </w:r>
          </w:p>
        </w:tc>
        <w:tc>
          <w:tcPr>
            <w:tcW w:w="280" w:type="dxa"/>
            <w:vAlign w:val="bottom"/>
          </w:tcPr>
          <w:p>
            <w:pPr>
              <w:spacing w:after="0"/>
              <w:rPr>
                <w:sz w:val="18"/>
                <w:szCs w:val="18"/>
                <w:color w:val="auto"/>
              </w:rPr>
            </w:pP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1,988</w:t>
            </w:r>
          </w:p>
        </w:tc>
        <w:tc>
          <w:tcPr>
            <w:tcW w:w="340" w:type="dxa"/>
            <w:vAlign w:val="bottom"/>
          </w:tcPr>
          <w:p>
            <w:pPr>
              <w:spacing w:after="0"/>
              <w:rPr>
                <w:sz w:val="18"/>
                <w:szCs w:val="18"/>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(5,741)</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1,409</w:t>
            </w:r>
          </w:p>
        </w:tc>
      </w:tr>
      <w:tr>
        <w:trPr>
          <w:trHeight w:val="216"/>
        </w:trPr>
        <w:tc>
          <w:tcPr>
            <w:tcW w:w="20" w:type="dxa"/>
            <w:vAlign w:val="bottom"/>
          </w:tcPr>
          <w:p>
            <w:pPr>
              <w:spacing w:after="0"/>
              <w:rPr>
                <w:sz w:val="18"/>
                <w:szCs w:val="18"/>
                <w:color w:val="auto"/>
              </w:rPr>
            </w:pPr>
          </w:p>
        </w:tc>
        <w:tc>
          <w:tcPr>
            <w:tcW w:w="37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Minority interest</w:t>
            </w:r>
          </w:p>
        </w:tc>
        <w:tc>
          <w:tcPr>
            <w:tcW w:w="4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16</w:t>
            </w:r>
          </w:p>
        </w:tc>
        <w:tc>
          <w:tcPr>
            <w:tcW w:w="34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16</w:t>
            </w:r>
          </w:p>
        </w:tc>
      </w:tr>
      <w:tr>
        <w:trPr>
          <w:trHeight w:val="217"/>
        </w:trPr>
        <w:tc>
          <w:tcPr>
            <w:tcW w:w="20" w:type="dxa"/>
            <w:vAlign w:val="bottom"/>
          </w:tcPr>
          <w:p>
            <w:pPr>
              <w:spacing w:after="0"/>
              <w:rPr>
                <w:sz w:val="18"/>
                <w:szCs w:val="18"/>
                <w:color w:val="auto"/>
              </w:rPr>
            </w:pP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(loss)</w:t>
            </w:r>
          </w:p>
        </w:tc>
        <w:tc>
          <w:tcPr>
            <w:tcW w:w="46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84"/>
              </w:rPr>
              <w:t>1,425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733</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84"/>
              </w:rPr>
              <w:t>1,111</w:t>
            </w:r>
          </w:p>
        </w:tc>
        <w:tc>
          <w:tcPr>
            <w:tcW w:w="2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3"/>
              </w:rPr>
              <w:t>1,211</w:t>
            </w:r>
          </w:p>
        </w:tc>
        <w:tc>
          <w:tcPr>
            <w:tcW w:w="3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682</w:t>
            </w:r>
          </w:p>
        </w:tc>
        <w:tc>
          <w:tcPr>
            <w:tcW w:w="2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b w:val="1"/>
                <w:bCs w:val="1"/>
                <w:color w:val="auto"/>
              </w:rPr>
              <w:t>2,004</w:t>
            </w:r>
          </w:p>
        </w:tc>
        <w:tc>
          <w:tcPr>
            <w:tcW w:w="340" w:type="dxa"/>
            <w:vAlign w:val="bottom"/>
            <w:tcBorders>
              <w:bottom w:val="single" w:sz="8" w:color="auto"/>
            </w:tcBorders>
          </w:tcPr>
          <w:p>
            <w:pPr>
              <w:jc w:val="right"/>
              <w:ind w:right="4"/>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(5,741)</w:t>
            </w:r>
          </w:p>
        </w:tc>
        <w:tc>
          <w:tcPr>
            <w:tcW w:w="2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1,425</w:t>
            </w:r>
          </w:p>
        </w:tc>
      </w:tr>
      <w:tr>
        <w:trPr>
          <w:trHeight w:val="363"/>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jc w:val="right"/>
              <w:ind w:right="20"/>
              <w:spacing w:after="0"/>
              <w:rPr>
                <w:sz w:val="20"/>
                <w:szCs w:val="20"/>
                <w:color w:val="auto"/>
              </w:rPr>
            </w:pPr>
            <w:r>
              <w:rPr>
                <w:rFonts w:ascii="Arial" w:cs="Arial" w:eastAsia="Arial" w:hAnsi="Arial"/>
                <w:sz w:val="18"/>
                <w:szCs w:val="18"/>
                <w:color w:val="auto"/>
              </w:rPr>
              <w:t>20</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Consolidating Statement of Cash Flows</w:t>
      </w:r>
    </w:p>
    <w:p>
      <w:pPr>
        <w:jc w:val="center"/>
        <w:spacing w:after="0"/>
        <w:rPr>
          <w:sz w:val="20"/>
          <w:szCs w:val="20"/>
          <w:color w:val="auto"/>
        </w:rPr>
      </w:pPr>
      <w:r>
        <w:rPr>
          <w:rFonts w:ascii="Arial" w:cs="Arial" w:eastAsia="Arial" w:hAnsi="Arial"/>
          <w:sz w:val="22"/>
          <w:szCs w:val="22"/>
          <w:b w:val="1"/>
          <w:bCs w:val="1"/>
          <w:color w:val="auto"/>
        </w:rPr>
        <w:t>For the Six Months Ended June 30, 2008</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2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Combined</w:t>
            </w: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jc w:val="right"/>
              <w:ind w:right="393"/>
              <w:spacing w:after="0" w:line="149" w:lineRule="exact"/>
              <w:rPr>
                <w:sz w:val="20"/>
                <w:szCs w:val="20"/>
                <w:color w:val="auto"/>
              </w:rPr>
            </w:pPr>
            <w:r>
              <w:rPr>
                <w:rFonts w:ascii="Arial" w:cs="Arial" w:eastAsia="Arial" w:hAnsi="Arial"/>
                <w:sz w:val="14"/>
                <w:szCs w:val="14"/>
                <w:color w:val="auto"/>
                <w:w w:val="98"/>
              </w:rPr>
              <w:t>Non-</w:t>
            </w:r>
          </w:p>
        </w:tc>
        <w:tc>
          <w:tcPr>
            <w:tcW w:w="400" w:type="dxa"/>
            <w:vAlign w:val="bottom"/>
          </w:tcPr>
          <w:p>
            <w:pPr>
              <w:spacing w:after="0"/>
              <w:rPr>
                <w:sz w:val="12"/>
                <w:szCs w:val="12"/>
                <w:color w:val="auto"/>
              </w:rPr>
            </w:pPr>
          </w:p>
        </w:tc>
        <w:tc>
          <w:tcPr>
            <w:tcW w:w="820" w:type="dxa"/>
            <w:vAlign w:val="bottom"/>
          </w:tcPr>
          <w:p>
            <w:pPr>
              <w:jc w:val="center"/>
              <w:ind w:right="333"/>
              <w:spacing w:after="0" w:line="149" w:lineRule="exact"/>
              <w:rPr>
                <w:sz w:val="20"/>
                <w:szCs w:val="20"/>
                <w:color w:val="auto"/>
              </w:rPr>
            </w:pPr>
            <w:r>
              <w:rPr>
                <w:rFonts w:ascii="Arial" w:cs="Arial" w:eastAsia="Arial" w:hAnsi="Arial"/>
                <w:sz w:val="14"/>
                <w:szCs w:val="14"/>
                <w:color w:val="auto"/>
                <w:w w:val="85"/>
              </w:rPr>
              <w:t>and</w:t>
            </w:r>
          </w:p>
        </w:tc>
        <w:tc>
          <w:tcPr>
            <w:tcW w:w="100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92"/>
              </w:rPr>
              <w:t>Consolidated</w:t>
            </w: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080" w:type="dxa"/>
            <w:vAlign w:val="bottom"/>
            <w:gridSpan w:val="2"/>
          </w:tcPr>
          <w:p>
            <w:pPr>
              <w:jc w:val="right"/>
              <w:ind w:right="233"/>
              <w:spacing w:after="0" w:line="149" w:lineRule="exact"/>
              <w:rPr>
                <w:sz w:val="20"/>
                <w:szCs w:val="20"/>
                <w:color w:val="auto"/>
              </w:rPr>
            </w:pPr>
            <w:r>
              <w:rPr>
                <w:rFonts w:ascii="Arial" w:cs="Arial" w:eastAsia="Arial" w:hAnsi="Arial"/>
                <w:sz w:val="14"/>
                <w:szCs w:val="14"/>
                <w:color w:val="auto"/>
              </w:rPr>
              <w:t>Comcast</w:t>
            </w:r>
          </w:p>
        </w:tc>
        <w:tc>
          <w:tcPr>
            <w:tcW w:w="920" w:type="dxa"/>
            <w:vAlign w:val="bottom"/>
            <w:gridSpan w:val="2"/>
          </w:tcPr>
          <w:p>
            <w:pPr>
              <w:jc w:val="right"/>
              <w:ind w:right="232"/>
              <w:spacing w:after="0" w:line="149" w:lineRule="exact"/>
              <w:rPr>
                <w:sz w:val="20"/>
                <w:szCs w:val="20"/>
                <w:color w:val="auto"/>
              </w:rPr>
            </w:pPr>
            <w:r>
              <w:rPr>
                <w:rFonts w:ascii="Arial" w:cs="Arial" w:eastAsia="Arial" w:hAnsi="Arial"/>
                <w:sz w:val="14"/>
                <w:szCs w:val="14"/>
                <w:color w:val="auto"/>
              </w:rPr>
              <w:t>CCCL</w:t>
            </w:r>
          </w:p>
        </w:tc>
        <w:tc>
          <w:tcPr>
            <w:tcW w:w="9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CCCH</w:t>
            </w:r>
          </w:p>
        </w:tc>
        <w:tc>
          <w:tcPr>
            <w:tcW w:w="1040" w:type="dxa"/>
            <w:vAlign w:val="bottom"/>
            <w:gridSpan w:val="2"/>
          </w:tcPr>
          <w:p>
            <w:pPr>
              <w:jc w:val="right"/>
              <w:ind w:right="232"/>
              <w:spacing w:after="0" w:line="149" w:lineRule="exact"/>
              <w:rPr>
                <w:sz w:val="20"/>
                <w:szCs w:val="20"/>
                <w:color w:val="auto"/>
              </w:rPr>
            </w:pPr>
            <w:r>
              <w:rPr>
                <w:rFonts w:ascii="Arial" w:cs="Arial" w:eastAsia="Arial" w:hAnsi="Arial"/>
                <w:sz w:val="14"/>
                <w:szCs w:val="14"/>
                <w:color w:val="auto"/>
              </w:rPr>
              <w:t>CCHMO</w:t>
            </w:r>
          </w:p>
        </w:tc>
        <w:tc>
          <w:tcPr>
            <w:tcW w:w="100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Comcast</w:t>
            </w:r>
          </w:p>
        </w:tc>
        <w:tc>
          <w:tcPr>
            <w:tcW w:w="1160" w:type="dxa"/>
            <w:vAlign w:val="bottom"/>
            <w:gridSpan w:val="2"/>
          </w:tcPr>
          <w:p>
            <w:pPr>
              <w:jc w:val="right"/>
              <w:ind w:right="253"/>
              <w:spacing w:after="0" w:line="149" w:lineRule="exact"/>
              <w:rPr>
                <w:sz w:val="20"/>
                <w:szCs w:val="20"/>
                <w:color w:val="auto"/>
              </w:rPr>
            </w:pPr>
            <w:r>
              <w:rPr>
                <w:rFonts w:ascii="Arial" w:cs="Arial" w:eastAsia="Arial" w:hAnsi="Arial"/>
                <w:sz w:val="14"/>
                <w:szCs w:val="14"/>
                <w:color w:val="auto"/>
              </w:rPr>
              <w:t>Guarantor</w:t>
            </w:r>
          </w:p>
        </w:tc>
        <w:tc>
          <w:tcPr>
            <w:tcW w:w="1220" w:type="dxa"/>
            <w:vAlign w:val="bottom"/>
            <w:gridSpan w:val="2"/>
          </w:tcPr>
          <w:p>
            <w:pPr>
              <w:jc w:val="right"/>
              <w:ind w:right="153"/>
              <w:spacing w:after="0" w:line="149" w:lineRule="exact"/>
              <w:rPr>
                <w:sz w:val="20"/>
                <w:szCs w:val="20"/>
                <w:color w:val="auto"/>
              </w:rPr>
            </w:pPr>
            <w:r>
              <w:rPr>
                <w:rFonts w:ascii="Arial" w:cs="Arial" w:eastAsia="Arial" w:hAnsi="Arial"/>
                <w:sz w:val="14"/>
                <w:szCs w:val="14"/>
                <w:color w:val="auto"/>
              </w:rPr>
              <w:t>Consolidation</w:t>
            </w:r>
          </w:p>
        </w:tc>
        <w:tc>
          <w:tcPr>
            <w:tcW w:w="320" w:type="dxa"/>
            <w:vAlign w:val="bottom"/>
          </w:tcPr>
          <w:p>
            <w:pPr>
              <w:spacing w:after="0"/>
              <w:rPr>
                <w:sz w:val="12"/>
                <w:szCs w:val="12"/>
                <w:color w:val="auto"/>
              </w:rPr>
            </w:pPr>
          </w:p>
        </w:tc>
        <w:tc>
          <w:tcPr>
            <w:tcW w:w="680" w:type="dxa"/>
            <w:vAlign w:val="bottom"/>
          </w:tcPr>
          <w:p>
            <w:pPr>
              <w:jc w:val="right"/>
              <w:ind w:right="93"/>
              <w:spacing w:after="0" w:line="149" w:lineRule="exact"/>
              <w:rPr>
                <w:sz w:val="20"/>
                <w:szCs w:val="20"/>
                <w:color w:val="auto"/>
              </w:rPr>
            </w:pPr>
            <w:r>
              <w:rPr>
                <w:rFonts w:ascii="Arial" w:cs="Arial" w:eastAsia="Arial" w:hAnsi="Arial"/>
                <w:sz w:val="14"/>
                <w:szCs w:val="14"/>
                <w:color w:val="auto"/>
                <w:w w:val="86"/>
              </w:rPr>
              <w:t>Comcast</w:t>
            </w:r>
          </w:p>
        </w:tc>
      </w:tr>
      <w:tr>
        <w:trPr>
          <w:trHeight w:val="159"/>
        </w:trPr>
        <w:tc>
          <w:tcPr>
            <w:tcW w:w="310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340" w:type="dxa"/>
            <w:vAlign w:val="bottom"/>
          </w:tcPr>
          <w:p>
            <w:pPr>
              <w:spacing w:after="0"/>
              <w:rPr>
                <w:sz w:val="13"/>
                <w:szCs w:val="13"/>
                <w:color w:val="auto"/>
              </w:rPr>
            </w:pPr>
          </w:p>
        </w:tc>
        <w:tc>
          <w:tcPr>
            <w:tcW w:w="740" w:type="dxa"/>
            <w:vAlign w:val="bottom"/>
          </w:tcPr>
          <w:p>
            <w:pPr>
              <w:jc w:val="right"/>
              <w:ind w:right="293"/>
              <w:spacing w:after="0" w:line="159" w:lineRule="exact"/>
              <w:rPr>
                <w:sz w:val="20"/>
                <w:szCs w:val="20"/>
                <w:color w:val="auto"/>
              </w:rPr>
            </w:pPr>
            <w:r>
              <w:rPr>
                <w:rFonts w:ascii="Arial" w:cs="Arial" w:eastAsia="Arial" w:hAnsi="Arial"/>
                <w:sz w:val="14"/>
                <w:szCs w:val="14"/>
                <w:color w:val="auto"/>
                <w:w w:val="82"/>
              </w:rPr>
              <w:t>Parent</w:t>
            </w:r>
          </w:p>
        </w:tc>
        <w:tc>
          <w:tcPr>
            <w:tcW w:w="920" w:type="dxa"/>
            <w:vAlign w:val="bottom"/>
            <w:gridSpan w:val="2"/>
          </w:tcPr>
          <w:p>
            <w:pPr>
              <w:jc w:val="right"/>
              <w:ind w:right="232"/>
              <w:spacing w:after="0" w:line="159" w:lineRule="exact"/>
              <w:rPr>
                <w:sz w:val="20"/>
                <w:szCs w:val="20"/>
                <w:color w:val="auto"/>
              </w:rPr>
            </w:pPr>
            <w:r>
              <w:rPr>
                <w:rFonts w:ascii="Arial" w:cs="Arial" w:eastAsia="Arial" w:hAnsi="Arial"/>
                <w:sz w:val="14"/>
                <w:szCs w:val="14"/>
                <w:color w:val="auto"/>
              </w:rPr>
              <w:t>Parent</w:t>
            </w:r>
          </w:p>
        </w:tc>
        <w:tc>
          <w:tcPr>
            <w:tcW w:w="900" w:type="dxa"/>
            <w:vAlign w:val="bottom"/>
            <w:gridSpan w:val="2"/>
          </w:tcPr>
          <w:p>
            <w:pPr>
              <w:ind w:left="240"/>
              <w:spacing w:after="0" w:line="159" w:lineRule="exact"/>
              <w:rPr>
                <w:sz w:val="20"/>
                <w:szCs w:val="20"/>
                <w:color w:val="auto"/>
              </w:rPr>
            </w:pPr>
            <w:r>
              <w:rPr>
                <w:rFonts w:ascii="Arial" w:cs="Arial" w:eastAsia="Arial" w:hAnsi="Arial"/>
                <w:sz w:val="14"/>
                <w:szCs w:val="14"/>
                <w:color w:val="auto"/>
              </w:rPr>
              <w:t>Parent</w:t>
            </w:r>
          </w:p>
        </w:tc>
        <w:tc>
          <w:tcPr>
            <w:tcW w:w="1040" w:type="dxa"/>
            <w:vAlign w:val="bottom"/>
            <w:gridSpan w:val="2"/>
          </w:tcPr>
          <w:p>
            <w:pPr>
              <w:jc w:val="right"/>
              <w:ind w:right="272"/>
              <w:spacing w:after="0" w:line="159" w:lineRule="exact"/>
              <w:rPr>
                <w:sz w:val="20"/>
                <w:szCs w:val="20"/>
                <w:color w:val="auto"/>
              </w:rPr>
            </w:pPr>
            <w:r>
              <w:rPr>
                <w:rFonts w:ascii="Arial" w:cs="Arial" w:eastAsia="Arial" w:hAnsi="Arial"/>
                <w:sz w:val="14"/>
                <w:szCs w:val="14"/>
                <w:color w:val="auto"/>
              </w:rPr>
              <w:t>Parents</w:t>
            </w:r>
          </w:p>
        </w:tc>
        <w:tc>
          <w:tcPr>
            <w:tcW w:w="100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Holdings</w:t>
            </w:r>
          </w:p>
        </w:tc>
        <w:tc>
          <w:tcPr>
            <w:tcW w:w="116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Subsidiaries</w:t>
            </w:r>
          </w:p>
        </w:tc>
        <w:tc>
          <w:tcPr>
            <w:tcW w:w="122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8"/>
              </w:rPr>
              <w:t>Adjustments</w:t>
            </w:r>
          </w:p>
        </w:tc>
        <w:tc>
          <w:tcPr>
            <w:tcW w:w="1000" w:type="dxa"/>
            <w:vAlign w:val="bottom"/>
            <w:gridSpan w:val="2"/>
          </w:tcPr>
          <w:p>
            <w:pPr>
              <w:jc w:val="right"/>
              <w:ind w:right="13"/>
              <w:spacing w:after="0" w:line="159" w:lineRule="exact"/>
              <w:rPr>
                <w:sz w:val="20"/>
                <w:szCs w:val="20"/>
                <w:color w:val="auto"/>
              </w:rPr>
            </w:pPr>
            <w:r>
              <w:rPr>
                <w:rFonts w:ascii="Arial" w:cs="Arial" w:eastAsia="Arial" w:hAnsi="Arial"/>
                <w:sz w:val="14"/>
                <w:szCs w:val="14"/>
                <w:color w:val="auto"/>
              </w:rPr>
              <w:t>Corporation</w:t>
            </w:r>
          </w:p>
        </w:tc>
      </w:tr>
      <w:tr>
        <w:trPr>
          <w:trHeight w:val="201"/>
        </w:trPr>
        <w:tc>
          <w:tcPr>
            <w:tcW w:w="20" w:type="dxa"/>
            <w:vAlign w:val="bottom"/>
          </w:tcPr>
          <w:p>
            <w:pPr>
              <w:spacing w:after="0"/>
              <w:rPr>
                <w:sz w:val="17"/>
                <w:szCs w:val="17"/>
                <w:color w:val="auto"/>
              </w:rPr>
            </w:pPr>
          </w:p>
        </w:tc>
        <w:tc>
          <w:tcPr>
            <w:tcW w:w="3080" w:type="dxa"/>
            <w:vAlign w:val="bottom"/>
            <w:tcBorders>
              <w:top w:val="single" w:sz="8" w:color="auto"/>
            </w:tcBorders>
            <w:shd w:val="clear" w:color="auto" w:fill="E5E5E5"/>
          </w:tcPr>
          <w:p>
            <w:pPr>
              <w:ind w:left="200"/>
              <w:spacing w:after="0" w:line="201" w:lineRule="exact"/>
              <w:rPr>
                <w:sz w:val="20"/>
                <w:szCs w:val="20"/>
                <w:color w:val="auto"/>
              </w:rPr>
            </w:pPr>
            <w:r>
              <w:rPr>
                <w:rFonts w:ascii="Arial" w:cs="Arial" w:eastAsia="Arial" w:hAnsi="Arial"/>
                <w:sz w:val="18"/>
                <w:szCs w:val="18"/>
                <w:color w:val="auto"/>
              </w:rPr>
              <w:t>Net cash provided by (used in)</w:t>
            </w:r>
          </w:p>
        </w:tc>
        <w:tc>
          <w:tcPr>
            <w:tcW w:w="340" w:type="dxa"/>
            <w:vAlign w:val="bottom"/>
            <w:tcBorders>
              <w:top w:val="single" w:sz="8" w:color="auto"/>
            </w:tcBorders>
            <w:shd w:val="clear" w:color="auto" w:fill="E5E5E5"/>
          </w:tcPr>
          <w:p>
            <w:pPr>
              <w:spacing w:after="0"/>
              <w:rPr>
                <w:sz w:val="17"/>
                <w:szCs w:val="17"/>
                <w:color w:val="auto"/>
              </w:rPr>
            </w:pPr>
          </w:p>
        </w:tc>
        <w:tc>
          <w:tcPr>
            <w:tcW w:w="740" w:type="dxa"/>
            <w:vAlign w:val="bottom"/>
            <w:tcBorders>
              <w:top w:val="single" w:sz="8" w:color="auto"/>
            </w:tcBorders>
            <w:shd w:val="clear" w:color="auto" w:fill="E5E5E5"/>
          </w:tcPr>
          <w:p>
            <w:pPr>
              <w:spacing w:after="0"/>
              <w:rPr>
                <w:sz w:val="17"/>
                <w:szCs w:val="17"/>
                <w:color w:val="auto"/>
              </w:rPr>
            </w:pPr>
          </w:p>
        </w:tc>
        <w:tc>
          <w:tcPr>
            <w:tcW w:w="300" w:type="dxa"/>
            <w:vAlign w:val="bottom"/>
            <w:tcBorders>
              <w:top w:val="single" w:sz="8" w:color="auto"/>
            </w:tcBorders>
            <w:shd w:val="clear" w:color="auto" w:fill="E5E5E5"/>
          </w:tcPr>
          <w:p>
            <w:pPr>
              <w:spacing w:after="0"/>
              <w:rPr>
                <w:sz w:val="17"/>
                <w:szCs w:val="17"/>
                <w:color w:val="auto"/>
              </w:rPr>
            </w:pPr>
          </w:p>
        </w:tc>
        <w:tc>
          <w:tcPr>
            <w:tcW w:w="620" w:type="dxa"/>
            <w:vAlign w:val="bottom"/>
            <w:tcBorders>
              <w:top w:val="single" w:sz="8" w:color="auto"/>
            </w:tcBorders>
            <w:shd w:val="clear" w:color="auto" w:fill="E5E5E5"/>
          </w:tcPr>
          <w:p>
            <w:pPr>
              <w:spacing w:after="0"/>
              <w:rPr>
                <w:sz w:val="17"/>
                <w:szCs w:val="17"/>
                <w:color w:val="auto"/>
              </w:rPr>
            </w:pPr>
          </w:p>
        </w:tc>
        <w:tc>
          <w:tcPr>
            <w:tcW w:w="340" w:type="dxa"/>
            <w:vAlign w:val="bottom"/>
            <w:tcBorders>
              <w:top w:val="single" w:sz="8" w:color="auto"/>
            </w:tcBorders>
            <w:shd w:val="clear" w:color="auto" w:fill="E5E5E5"/>
          </w:tcPr>
          <w:p>
            <w:pPr>
              <w:spacing w:after="0"/>
              <w:rPr>
                <w:sz w:val="17"/>
                <w:szCs w:val="17"/>
                <w:color w:val="auto"/>
              </w:rPr>
            </w:pPr>
          </w:p>
        </w:tc>
        <w:tc>
          <w:tcPr>
            <w:tcW w:w="560" w:type="dxa"/>
            <w:vAlign w:val="bottom"/>
            <w:tcBorders>
              <w:top w:val="single" w:sz="8" w:color="auto"/>
            </w:tcBorders>
            <w:shd w:val="clear" w:color="auto" w:fill="E5E5E5"/>
          </w:tcPr>
          <w:p>
            <w:pPr>
              <w:spacing w:after="0"/>
              <w:rPr>
                <w:sz w:val="17"/>
                <w:szCs w:val="17"/>
                <w:color w:val="auto"/>
              </w:rPr>
            </w:pPr>
          </w:p>
        </w:tc>
        <w:tc>
          <w:tcPr>
            <w:tcW w:w="400" w:type="dxa"/>
            <w:vAlign w:val="bottom"/>
            <w:tcBorders>
              <w:top w:val="single" w:sz="8" w:color="auto"/>
            </w:tcBorders>
            <w:shd w:val="clear" w:color="auto" w:fill="E5E5E5"/>
          </w:tcPr>
          <w:p>
            <w:pPr>
              <w:spacing w:after="0"/>
              <w:rPr>
                <w:sz w:val="17"/>
                <w:szCs w:val="17"/>
                <w:color w:val="auto"/>
              </w:rPr>
            </w:pPr>
          </w:p>
        </w:tc>
        <w:tc>
          <w:tcPr>
            <w:tcW w:w="640" w:type="dxa"/>
            <w:vAlign w:val="bottom"/>
            <w:tcBorders>
              <w:top w:val="single" w:sz="8" w:color="auto"/>
            </w:tcBorders>
            <w:shd w:val="clear" w:color="auto" w:fill="E5E5E5"/>
          </w:tcPr>
          <w:p>
            <w:pPr>
              <w:spacing w:after="0"/>
              <w:rPr>
                <w:sz w:val="17"/>
                <w:szCs w:val="17"/>
                <w:color w:val="auto"/>
              </w:rPr>
            </w:pPr>
          </w:p>
        </w:tc>
        <w:tc>
          <w:tcPr>
            <w:tcW w:w="360" w:type="dxa"/>
            <w:vAlign w:val="bottom"/>
            <w:tcBorders>
              <w:top w:val="single" w:sz="8" w:color="auto"/>
            </w:tcBorders>
            <w:shd w:val="clear" w:color="auto" w:fill="E5E5E5"/>
          </w:tcPr>
          <w:p>
            <w:pPr>
              <w:spacing w:after="0"/>
              <w:rPr>
                <w:sz w:val="17"/>
                <w:szCs w:val="17"/>
                <w:color w:val="auto"/>
              </w:rPr>
            </w:pPr>
          </w:p>
        </w:tc>
        <w:tc>
          <w:tcPr>
            <w:tcW w:w="640" w:type="dxa"/>
            <w:vAlign w:val="bottom"/>
            <w:tcBorders>
              <w:top w:val="single" w:sz="8" w:color="auto"/>
            </w:tcBorders>
            <w:shd w:val="clear" w:color="auto" w:fill="E5E5E5"/>
          </w:tcPr>
          <w:p>
            <w:pPr>
              <w:spacing w:after="0"/>
              <w:rPr>
                <w:sz w:val="17"/>
                <w:szCs w:val="17"/>
                <w:color w:val="auto"/>
              </w:rPr>
            </w:pPr>
          </w:p>
        </w:tc>
        <w:tc>
          <w:tcPr>
            <w:tcW w:w="360" w:type="dxa"/>
            <w:vAlign w:val="bottom"/>
            <w:tcBorders>
              <w:top w:val="single" w:sz="8" w:color="auto"/>
            </w:tcBorders>
            <w:shd w:val="clear" w:color="auto" w:fill="E5E5E5"/>
          </w:tcPr>
          <w:p>
            <w:pPr>
              <w:spacing w:after="0"/>
              <w:rPr>
                <w:sz w:val="17"/>
                <w:szCs w:val="17"/>
                <w:color w:val="auto"/>
              </w:rPr>
            </w:pPr>
          </w:p>
        </w:tc>
        <w:tc>
          <w:tcPr>
            <w:tcW w:w="800" w:type="dxa"/>
            <w:vAlign w:val="bottom"/>
            <w:tcBorders>
              <w:top w:val="single" w:sz="8" w:color="auto"/>
            </w:tcBorders>
            <w:shd w:val="clear" w:color="auto" w:fill="E5E5E5"/>
          </w:tcPr>
          <w:p>
            <w:pPr>
              <w:spacing w:after="0"/>
              <w:rPr>
                <w:sz w:val="17"/>
                <w:szCs w:val="17"/>
                <w:color w:val="auto"/>
              </w:rPr>
            </w:pPr>
          </w:p>
        </w:tc>
        <w:tc>
          <w:tcPr>
            <w:tcW w:w="400" w:type="dxa"/>
            <w:vAlign w:val="bottom"/>
            <w:tcBorders>
              <w:top w:val="single" w:sz="8" w:color="auto"/>
            </w:tcBorders>
            <w:shd w:val="clear" w:color="auto" w:fill="E5E5E5"/>
          </w:tcPr>
          <w:p>
            <w:pPr>
              <w:spacing w:after="0"/>
              <w:rPr>
                <w:sz w:val="17"/>
                <w:szCs w:val="17"/>
                <w:color w:val="auto"/>
              </w:rPr>
            </w:pPr>
          </w:p>
        </w:tc>
        <w:tc>
          <w:tcPr>
            <w:tcW w:w="820" w:type="dxa"/>
            <w:vAlign w:val="bottom"/>
            <w:tcBorders>
              <w:top w:val="single" w:sz="8" w:color="auto"/>
            </w:tcBorders>
            <w:shd w:val="clear" w:color="auto" w:fill="E5E5E5"/>
          </w:tcPr>
          <w:p>
            <w:pPr>
              <w:spacing w:after="0"/>
              <w:rPr>
                <w:sz w:val="17"/>
                <w:szCs w:val="17"/>
                <w:color w:val="auto"/>
              </w:rPr>
            </w:pPr>
          </w:p>
        </w:tc>
        <w:tc>
          <w:tcPr>
            <w:tcW w:w="320" w:type="dxa"/>
            <w:vAlign w:val="bottom"/>
            <w:tcBorders>
              <w:top w:val="single" w:sz="8" w:color="auto"/>
            </w:tcBorders>
            <w:shd w:val="clear" w:color="auto" w:fill="E5E5E5"/>
          </w:tcPr>
          <w:p>
            <w:pPr>
              <w:spacing w:after="0"/>
              <w:rPr>
                <w:sz w:val="17"/>
                <w:szCs w:val="17"/>
                <w:color w:val="auto"/>
              </w:rPr>
            </w:pPr>
          </w:p>
        </w:tc>
        <w:tc>
          <w:tcPr>
            <w:tcW w:w="680" w:type="dxa"/>
            <w:vAlign w:val="bottom"/>
            <w:tcBorders>
              <w:top w:val="single" w:sz="8" w:color="auto"/>
            </w:tcBorders>
            <w:shd w:val="clear" w:color="auto" w:fill="E5E5E5"/>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308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operating activities</w:t>
            </w:r>
          </w:p>
        </w:tc>
        <w:tc>
          <w:tcPr>
            <w:tcW w:w="3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rPr>
              <w:t>13</w:t>
            </w:r>
          </w:p>
        </w:tc>
        <w:tc>
          <w:tcPr>
            <w:tcW w:w="3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w w:val="90"/>
              </w:rPr>
              <w:t>(103)</w:t>
            </w:r>
          </w:p>
        </w:tc>
        <w:tc>
          <w:tcPr>
            <w:tcW w:w="34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w w:val="93"/>
              </w:rPr>
              <w:t>(94)</w:t>
            </w:r>
          </w:p>
        </w:tc>
        <w:tc>
          <w:tcPr>
            <w:tcW w:w="40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(85)</w:t>
            </w:r>
          </w:p>
        </w:tc>
        <w:tc>
          <w:tcPr>
            <w:tcW w:w="36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color w:val="auto"/>
              </w:rPr>
              <w:t>61</w:t>
            </w:r>
          </w:p>
        </w:tc>
        <w:tc>
          <w:tcPr>
            <w:tcW w:w="36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rPr>
              <w:t>5,136</w:t>
            </w:r>
          </w:p>
        </w:tc>
        <w:tc>
          <w:tcPr>
            <w:tcW w:w="400" w:type="dxa"/>
            <w:vAlign w:val="bottom"/>
            <w:tcBorders>
              <w:bottom w:val="single" w:sz="8" w:color="auto"/>
            </w:tcBorders>
            <w:shd w:val="clear" w:color="auto" w:fill="E5E5E5"/>
          </w:tcPr>
          <w:p>
            <w:pPr>
              <w:jc w:val="right"/>
              <w:ind w:right="24"/>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4,928</w:t>
            </w:r>
          </w:p>
        </w:tc>
      </w:tr>
      <w:tr>
        <w:trPr>
          <w:trHeight w:val="211"/>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Financing Activities:</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Proceeds from borrowings</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w w:val="97"/>
              </w:rPr>
              <w:t>1,998</w:t>
            </w:r>
          </w:p>
        </w:tc>
        <w:tc>
          <w:tcPr>
            <w:tcW w:w="30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11</w:t>
            </w:r>
          </w:p>
        </w:tc>
        <w:tc>
          <w:tcPr>
            <w:tcW w:w="40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2,009</w:t>
            </w:r>
          </w:p>
        </w:tc>
      </w:tr>
      <w:tr>
        <w:trPr>
          <w:trHeight w:val="216"/>
        </w:trPr>
        <w:tc>
          <w:tcPr>
            <w:tcW w:w="20" w:type="dxa"/>
            <w:vAlign w:val="bottom"/>
          </w:tcPr>
          <w:p>
            <w:pPr>
              <w:spacing w:after="0"/>
              <w:rPr>
                <w:sz w:val="18"/>
                <w:szCs w:val="18"/>
                <w:color w:val="auto"/>
              </w:rPr>
            </w:pPr>
          </w:p>
        </w:tc>
        <w:tc>
          <w:tcPr>
            <w:tcW w:w="3080" w:type="dxa"/>
            <w:vAlign w:val="bottom"/>
          </w:tcPr>
          <w:p>
            <w:pPr>
              <w:ind w:left="200"/>
              <w:spacing w:after="0"/>
              <w:rPr>
                <w:sz w:val="20"/>
                <w:szCs w:val="20"/>
                <w:color w:val="auto"/>
              </w:rPr>
            </w:pPr>
            <w:r>
              <w:rPr>
                <w:rFonts w:ascii="Arial" w:cs="Arial" w:eastAsia="Arial" w:hAnsi="Arial"/>
                <w:sz w:val="18"/>
                <w:szCs w:val="18"/>
                <w:color w:val="auto"/>
                <w:w w:val="98"/>
              </w:rPr>
              <w:t>Retirements and repayments of debt</w:t>
            </w:r>
          </w:p>
        </w:tc>
        <w:tc>
          <w:tcPr>
            <w:tcW w:w="340" w:type="dxa"/>
            <w:vAlign w:val="bottom"/>
          </w:tcPr>
          <w:p>
            <w:pPr>
              <w:spacing w:after="0"/>
              <w:rPr>
                <w:sz w:val="18"/>
                <w:szCs w:val="18"/>
                <w:color w:val="auto"/>
              </w:rPr>
            </w:pPr>
          </w:p>
        </w:tc>
        <w:tc>
          <w:tcPr>
            <w:tcW w:w="740" w:type="dxa"/>
            <w:vAlign w:val="bottom"/>
          </w:tcPr>
          <w:p>
            <w:pPr>
              <w:jc w:val="right"/>
              <w:ind w:right="133"/>
              <w:spacing w:after="0"/>
              <w:rPr>
                <w:sz w:val="20"/>
                <w:szCs w:val="20"/>
                <w:color w:val="auto"/>
              </w:rPr>
            </w:pPr>
            <w:r>
              <w:rPr>
                <w:rFonts w:ascii="Arial" w:cs="Arial" w:eastAsia="Arial" w:hAnsi="Arial"/>
                <w:sz w:val="18"/>
                <w:szCs w:val="18"/>
                <w:color w:val="auto"/>
              </w:rPr>
              <w:t>(300)</w:t>
            </w:r>
          </w:p>
        </w:tc>
        <w:tc>
          <w:tcPr>
            <w:tcW w:w="30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w w:val="90"/>
              </w:rPr>
              <w:t>(350)</w:t>
            </w:r>
          </w:p>
        </w:tc>
        <w:tc>
          <w:tcPr>
            <w:tcW w:w="340" w:type="dxa"/>
            <w:vAlign w:val="bottom"/>
          </w:tcPr>
          <w:p>
            <w:pPr>
              <w:spacing w:after="0"/>
              <w:rPr>
                <w:sz w:val="18"/>
                <w:szCs w:val="18"/>
                <w:color w:val="auto"/>
              </w:rPr>
            </w:pPr>
          </w:p>
        </w:tc>
        <w:tc>
          <w:tcPr>
            <w:tcW w:w="5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40" w:type="dxa"/>
            <w:vAlign w:val="bottom"/>
          </w:tcPr>
          <w:p>
            <w:pPr>
              <w:jc w:val="right"/>
              <w:ind w:right="132"/>
              <w:spacing w:after="0"/>
              <w:rPr>
                <w:sz w:val="20"/>
                <w:szCs w:val="20"/>
                <w:color w:val="auto"/>
              </w:rPr>
            </w:pPr>
            <w:r>
              <w:rPr>
                <w:rFonts w:ascii="Arial" w:cs="Arial" w:eastAsia="Arial" w:hAnsi="Arial"/>
                <w:sz w:val="18"/>
                <w:szCs w:val="18"/>
                <w:color w:val="auto"/>
                <w:w w:val="95"/>
              </w:rPr>
              <w:t>(154)</w:t>
            </w:r>
          </w:p>
        </w:tc>
        <w:tc>
          <w:tcPr>
            <w:tcW w:w="360" w:type="dxa"/>
            <w:vAlign w:val="bottom"/>
          </w:tcPr>
          <w:p>
            <w:pPr>
              <w:spacing w:after="0"/>
              <w:rPr>
                <w:sz w:val="18"/>
                <w:szCs w:val="18"/>
                <w:color w:val="auto"/>
              </w:rPr>
            </w:pP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(27)</w:t>
            </w:r>
          </w:p>
        </w:tc>
        <w:tc>
          <w:tcPr>
            <w:tcW w:w="400" w:type="dxa"/>
            <w:vAlign w:val="bottom"/>
          </w:tcPr>
          <w:p>
            <w:pPr>
              <w:spacing w:after="0"/>
              <w:rPr>
                <w:sz w:val="18"/>
                <w:szCs w:val="18"/>
                <w:color w:val="auto"/>
              </w:rPr>
            </w:pPr>
          </w:p>
        </w:tc>
        <w:tc>
          <w:tcPr>
            <w:tcW w:w="82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(831)</w:t>
            </w:r>
          </w:p>
        </w:tc>
      </w:tr>
      <w:tr>
        <w:trPr>
          <w:trHeight w:val="216"/>
        </w:trPr>
        <w:tc>
          <w:tcPr>
            <w:tcW w:w="20" w:type="dxa"/>
            <w:vAlign w:val="bottom"/>
          </w:tcPr>
          <w:p>
            <w:pPr>
              <w:spacing w:after="0"/>
              <w:rPr>
                <w:sz w:val="18"/>
                <w:szCs w:val="18"/>
                <w:color w:val="auto"/>
              </w:rPr>
            </w:pPr>
          </w:p>
        </w:tc>
        <w:tc>
          <w:tcPr>
            <w:tcW w:w="30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Repurchases of common stock</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w w:val="87"/>
              </w:rPr>
              <w:t>(1,979)</w:t>
            </w:r>
          </w:p>
        </w:tc>
        <w:tc>
          <w:tcPr>
            <w:tcW w:w="30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(1,979)</w:t>
            </w:r>
          </w:p>
        </w:tc>
      </w:tr>
      <w:tr>
        <w:trPr>
          <w:trHeight w:val="216"/>
        </w:trPr>
        <w:tc>
          <w:tcPr>
            <w:tcW w:w="20" w:type="dxa"/>
            <w:vAlign w:val="bottom"/>
          </w:tcPr>
          <w:p>
            <w:pPr>
              <w:spacing w:after="0"/>
              <w:rPr>
                <w:sz w:val="18"/>
                <w:szCs w:val="18"/>
                <w:color w:val="auto"/>
              </w:rPr>
            </w:pPr>
          </w:p>
        </w:tc>
        <w:tc>
          <w:tcPr>
            <w:tcW w:w="3080" w:type="dxa"/>
            <w:vAlign w:val="bottom"/>
          </w:tcPr>
          <w:p>
            <w:pPr>
              <w:ind w:left="200"/>
              <w:spacing w:after="0"/>
              <w:rPr>
                <w:sz w:val="20"/>
                <w:szCs w:val="20"/>
                <w:color w:val="auto"/>
              </w:rPr>
            </w:pPr>
            <w:r>
              <w:rPr>
                <w:rFonts w:ascii="Arial" w:cs="Arial" w:eastAsia="Arial" w:hAnsi="Arial"/>
                <w:sz w:val="18"/>
                <w:szCs w:val="18"/>
                <w:color w:val="auto"/>
              </w:rPr>
              <w:t>Dividends paid</w:t>
            </w:r>
          </w:p>
        </w:tc>
        <w:tc>
          <w:tcPr>
            <w:tcW w:w="340" w:type="dxa"/>
            <w:vAlign w:val="bottom"/>
          </w:tcPr>
          <w:p>
            <w:pPr>
              <w:spacing w:after="0"/>
              <w:rPr>
                <w:sz w:val="18"/>
                <w:szCs w:val="18"/>
                <w:color w:val="auto"/>
              </w:rPr>
            </w:pPr>
          </w:p>
        </w:tc>
        <w:tc>
          <w:tcPr>
            <w:tcW w:w="740" w:type="dxa"/>
            <w:vAlign w:val="bottom"/>
          </w:tcPr>
          <w:p>
            <w:pPr>
              <w:jc w:val="right"/>
              <w:ind w:right="133"/>
              <w:spacing w:after="0"/>
              <w:rPr>
                <w:sz w:val="20"/>
                <w:szCs w:val="20"/>
                <w:color w:val="auto"/>
              </w:rPr>
            </w:pPr>
            <w:r>
              <w:rPr>
                <w:rFonts w:ascii="Arial" w:cs="Arial" w:eastAsia="Arial" w:hAnsi="Arial"/>
                <w:sz w:val="18"/>
                <w:szCs w:val="18"/>
                <w:color w:val="auto"/>
              </w:rPr>
              <w:t>(185)</w:t>
            </w:r>
          </w:p>
        </w:tc>
        <w:tc>
          <w:tcPr>
            <w:tcW w:w="300" w:type="dxa"/>
            <w:vAlign w:val="bottom"/>
          </w:tcPr>
          <w:p>
            <w:pPr>
              <w:spacing w:after="0"/>
              <w:rPr>
                <w:sz w:val="18"/>
                <w:szCs w:val="18"/>
                <w:color w:val="auto"/>
              </w:rPr>
            </w:pPr>
          </w:p>
        </w:tc>
        <w:tc>
          <w:tcPr>
            <w:tcW w:w="6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2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16"/>
        </w:trPr>
        <w:tc>
          <w:tcPr>
            <w:tcW w:w="20" w:type="dxa"/>
            <w:vAlign w:val="bottom"/>
          </w:tcPr>
          <w:p>
            <w:pPr>
              <w:spacing w:after="0"/>
              <w:rPr>
                <w:sz w:val="18"/>
                <w:szCs w:val="18"/>
                <w:color w:val="auto"/>
              </w:rPr>
            </w:pPr>
          </w:p>
        </w:tc>
        <w:tc>
          <w:tcPr>
            <w:tcW w:w="30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Issuances of common stock</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42</w:t>
            </w:r>
          </w:p>
        </w:tc>
        <w:tc>
          <w:tcPr>
            <w:tcW w:w="30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20" w:type="dxa"/>
            <w:vAlign w:val="bottom"/>
          </w:tcPr>
          <w:p>
            <w:pPr>
              <w:spacing w:after="0"/>
              <w:rPr>
                <w:sz w:val="18"/>
                <w:szCs w:val="18"/>
                <w:color w:val="auto"/>
              </w:rPr>
            </w:pPr>
          </w:p>
        </w:tc>
        <w:tc>
          <w:tcPr>
            <w:tcW w:w="30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(3)</w:t>
            </w:r>
          </w:p>
        </w:tc>
        <w:tc>
          <w:tcPr>
            <w:tcW w:w="3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(53)</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(79)</w:t>
            </w: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r>
      <w:tr>
        <w:trPr>
          <w:trHeight w:val="201"/>
        </w:trPr>
        <w:tc>
          <w:tcPr>
            <w:tcW w:w="20" w:type="dxa"/>
            <w:vAlign w:val="bottom"/>
          </w:tcPr>
          <w:p>
            <w:pPr>
              <w:spacing w:after="0"/>
              <w:rPr>
                <w:sz w:val="17"/>
                <w:szCs w:val="17"/>
                <w:color w:val="auto"/>
              </w:rPr>
            </w:pPr>
          </w:p>
        </w:tc>
        <w:tc>
          <w:tcPr>
            <w:tcW w:w="3080" w:type="dxa"/>
            <w:vAlign w:val="bottom"/>
            <w:shd w:val="clear" w:color="auto" w:fill="E5E5E5"/>
          </w:tcPr>
          <w:p>
            <w:pPr>
              <w:ind w:left="200"/>
              <w:spacing w:after="0" w:line="201" w:lineRule="exact"/>
              <w:rPr>
                <w:sz w:val="20"/>
                <w:szCs w:val="20"/>
                <w:color w:val="auto"/>
              </w:rPr>
            </w:pPr>
            <w:r>
              <w:rPr>
                <w:rFonts w:ascii="Arial" w:cs="Arial" w:eastAsia="Arial" w:hAnsi="Arial"/>
                <w:sz w:val="18"/>
                <w:szCs w:val="18"/>
                <w:color w:val="auto"/>
              </w:rPr>
              <w:t>Net cash provided by (used in)</w:t>
            </w:r>
          </w:p>
        </w:tc>
        <w:tc>
          <w:tcPr>
            <w:tcW w:w="34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56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64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64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80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82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680" w:type="dxa"/>
            <w:vAlign w:val="bottom"/>
            <w:shd w:val="clear" w:color="auto" w:fill="E5E5E5"/>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308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financing activities</w:t>
            </w:r>
          </w:p>
        </w:tc>
        <w:tc>
          <w:tcPr>
            <w:tcW w:w="340" w:type="dxa"/>
            <w:vAlign w:val="bottom"/>
            <w:tcBorders>
              <w:bottom w:val="single" w:sz="8" w:color="auto"/>
            </w:tcBorders>
            <w:shd w:val="clear" w:color="auto" w:fill="E5E5E5"/>
          </w:tcPr>
          <w:p>
            <w:pPr>
              <w:spacing w:after="0"/>
              <w:rPr>
                <w:sz w:val="19"/>
                <w:szCs w:val="19"/>
                <w:color w:val="auto"/>
              </w:rPr>
            </w:pPr>
          </w:p>
        </w:tc>
        <w:tc>
          <w:tcPr>
            <w:tcW w:w="74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(427)</w:t>
            </w:r>
          </w:p>
        </w:tc>
        <w:tc>
          <w:tcPr>
            <w:tcW w:w="300" w:type="dxa"/>
            <w:vAlign w:val="bottom"/>
            <w:tcBorders>
              <w:bottom w:val="single" w:sz="8" w:color="auto"/>
            </w:tcBorders>
            <w:shd w:val="clear" w:color="auto" w:fill="E5E5E5"/>
          </w:tcPr>
          <w:p>
            <w:pPr>
              <w:spacing w:after="0"/>
              <w:rPr>
                <w:sz w:val="19"/>
                <w:szCs w:val="19"/>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w w:val="90"/>
              </w:rPr>
              <w:t>(350)</w:t>
            </w:r>
          </w:p>
        </w:tc>
        <w:tc>
          <w:tcPr>
            <w:tcW w:w="340" w:type="dxa"/>
            <w:vAlign w:val="bottom"/>
            <w:tcBorders>
              <w:bottom w:val="single" w:sz="8" w:color="auto"/>
            </w:tcBorders>
            <w:shd w:val="clear" w:color="auto" w:fill="E5E5E5"/>
          </w:tcPr>
          <w:p>
            <w:pPr>
              <w:spacing w:after="0"/>
              <w:rPr>
                <w:sz w:val="19"/>
                <w:szCs w:val="19"/>
                <w:color w:val="auto"/>
              </w:rPr>
            </w:pPr>
          </w:p>
        </w:tc>
        <w:tc>
          <w:tcPr>
            <w:tcW w:w="560" w:type="dxa"/>
            <w:vAlign w:val="bottom"/>
            <w:tcBorders>
              <w:bottom w:val="single" w:sz="8" w:color="auto"/>
            </w:tcBorders>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E5E5E5"/>
          </w:tcPr>
          <w:p>
            <w:pPr>
              <w:spacing w:after="0"/>
              <w:rPr>
                <w:sz w:val="19"/>
                <w:szCs w:val="19"/>
                <w:color w:val="auto"/>
              </w:rPr>
            </w:pPr>
          </w:p>
        </w:tc>
        <w:tc>
          <w:tcPr>
            <w:tcW w:w="64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9"/>
                <w:szCs w:val="19"/>
                <w:color w:val="auto"/>
              </w:rPr>
            </w:pPr>
          </w:p>
        </w:tc>
        <w:tc>
          <w:tcPr>
            <w:tcW w:w="64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w w:val="95"/>
              </w:rPr>
              <w:t>(207)</w:t>
            </w:r>
          </w:p>
        </w:tc>
        <w:tc>
          <w:tcPr>
            <w:tcW w:w="360" w:type="dxa"/>
            <w:vAlign w:val="bottom"/>
            <w:tcBorders>
              <w:bottom w:val="single" w:sz="8" w:color="auto"/>
            </w:tcBorders>
            <w:shd w:val="clear" w:color="auto" w:fill="E5E5E5"/>
          </w:tcPr>
          <w:p>
            <w:pPr>
              <w:spacing w:after="0"/>
              <w:rPr>
                <w:sz w:val="19"/>
                <w:szCs w:val="19"/>
                <w:color w:val="auto"/>
              </w:rPr>
            </w:pPr>
          </w:p>
        </w:tc>
        <w:tc>
          <w:tcPr>
            <w:tcW w:w="80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(95)</w:t>
            </w:r>
          </w:p>
        </w:tc>
        <w:tc>
          <w:tcPr>
            <w:tcW w:w="400" w:type="dxa"/>
            <w:vAlign w:val="bottom"/>
            <w:tcBorders>
              <w:bottom w:val="single" w:sz="8" w:color="auto"/>
            </w:tcBorders>
            <w:shd w:val="clear" w:color="auto" w:fill="E5E5E5"/>
          </w:tcPr>
          <w:p>
            <w:pPr>
              <w:spacing w:after="0"/>
              <w:rPr>
                <w:sz w:val="19"/>
                <w:szCs w:val="19"/>
                <w:color w:val="auto"/>
              </w:rPr>
            </w:pPr>
          </w:p>
        </w:tc>
        <w:tc>
          <w:tcPr>
            <w:tcW w:w="82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9"/>
                <w:szCs w:val="19"/>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(1,079)</w:t>
            </w:r>
          </w:p>
        </w:tc>
      </w:tr>
      <w:tr>
        <w:trPr>
          <w:trHeight w:val="211"/>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Investing Activities:</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Net transactions with affiliates</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556</w:t>
            </w:r>
          </w:p>
        </w:tc>
        <w:tc>
          <w:tcPr>
            <w:tcW w:w="30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453</w:t>
            </w:r>
          </w:p>
        </w:tc>
        <w:tc>
          <w:tcPr>
            <w:tcW w:w="34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94</w:t>
            </w:r>
          </w:p>
        </w:tc>
        <w:tc>
          <w:tcPr>
            <w:tcW w:w="4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85</w:t>
            </w:r>
          </w:p>
        </w:tc>
        <w:tc>
          <w:tcPr>
            <w:tcW w:w="3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146</w:t>
            </w: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w w:val="98"/>
              </w:rPr>
              <w:t>(1,334)</w:t>
            </w:r>
          </w:p>
        </w:tc>
        <w:tc>
          <w:tcPr>
            <w:tcW w:w="40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08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340" w:type="dxa"/>
            <w:vAlign w:val="bottom"/>
          </w:tcPr>
          <w:p>
            <w:pPr>
              <w:spacing w:after="0"/>
              <w:rPr>
                <w:sz w:val="18"/>
                <w:szCs w:val="18"/>
                <w:color w:val="auto"/>
              </w:rPr>
            </w:pPr>
          </w:p>
        </w:tc>
        <w:tc>
          <w:tcPr>
            <w:tcW w:w="740" w:type="dxa"/>
            <w:vAlign w:val="bottom"/>
          </w:tcPr>
          <w:p>
            <w:pPr>
              <w:jc w:val="right"/>
              <w:ind w:right="133"/>
              <w:spacing w:after="0"/>
              <w:rPr>
                <w:sz w:val="20"/>
                <w:szCs w:val="20"/>
                <w:color w:val="auto"/>
              </w:rPr>
            </w:pPr>
            <w:r>
              <w:rPr>
                <w:rFonts w:ascii="Arial" w:cs="Arial" w:eastAsia="Arial" w:hAnsi="Arial"/>
                <w:sz w:val="18"/>
                <w:szCs w:val="18"/>
                <w:color w:val="auto"/>
              </w:rPr>
              <w:t>(104)</w:t>
            </w:r>
          </w:p>
        </w:tc>
        <w:tc>
          <w:tcPr>
            <w:tcW w:w="300" w:type="dxa"/>
            <w:vAlign w:val="bottom"/>
          </w:tcPr>
          <w:p>
            <w:pPr>
              <w:spacing w:after="0"/>
              <w:rPr>
                <w:sz w:val="18"/>
                <w:szCs w:val="18"/>
                <w:color w:val="auto"/>
              </w:rPr>
            </w:pPr>
          </w:p>
        </w:tc>
        <w:tc>
          <w:tcPr>
            <w:tcW w:w="6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0" w:type="dxa"/>
            <w:vAlign w:val="bottom"/>
          </w:tcPr>
          <w:p>
            <w:pPr>
              <w:jc w:val="right"/>
              <w:ind w:right="133"/>
              <w:spacing w:after="0"/>
              <w:rPr>
                <w:sz w:val="20"/>
                <w:szCs w:val="20"/>
                <w:color w:val="auto"/>
              </w:rPr>
            </w:pPr>
            <w:r>
              <w:rPr>
                <w:rFonts w:ascii="Arial" w:cs="Arial" w:eastAsia="Arial" w:hAnsi="Arial"/>
                <w:sz w:val="18"/>
                <w:szCs w:val="18"/>
                <w:color w:val="auto"/>
                <w:w w:val="98"/>
              </w:rPr>
              <w:t>(2,627)</w:t>
            </w:r>
          </w:p>
        </w:tc>
        <w:tc>
          <w:tcPr>
            <w:tcW w:w="400" w:type="dxa"/>
            <w:vAlign w:val="bottom"/>
          </w:tcPr>
          <w:p>
            <w:pPr>
              <w:spacing w:after="0"/>
              <w:rPr>
                <w:sz w:val="18"/>
                <w:szCs w:val="18"/>
                <w:color w:val="auto"/>
              </w:rPr>
            </w:pPr>
          </w:p>
        </w:tc>
        <w:tc>
          <w:tcPr>
            <w:tcW w:w="82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(2,731)</w:t>
            </w:r>
          </w:p>
        </w:tc>
      </w:tr>
      <w:tr>
        <w:trPr>
          <w:trHeight w:val="216"/>
        </w:trPr>
        <w:tc>
          <w:tcPr>
            <w:tcW w:w="20" w:type="dxa"/>
            <w:vAlign w:val="bottom"/>
          </w:tcPr>
          <w:p>
            <w:pPr>
              <w:spacing w:after="0"/>
              <w:rPr>
                <w:sz w:val="18"/>
                <w:szCs w:val="18"/>
                <w:color w:val="auto"/>
              </w:rPr>
            </w:pPr>
          </w:p>
        </w:tc>
        <w:tc>
          <w:tcPr>
            <w:tcW w:w="30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Cash paid for intangible assets</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(245)</w:t>
            </w:r>
          </w:p>
        </w:tc>
        <w:tc>
          <w:tcPr>
            <w:tcW w:w="40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(245)</w:t>
            </w:r>
          </w:p>
        </w:tc>
      </w:tr>
      <w:tr>
        <w:trPr>
          <w:trHeight w:val="216"/>
        </w:trPr>
        <w:tc>
          <w:tcPr>
            <w:tcW w:w="20" w:type="dxa"/>
            <w:vAlign w:val="bottom"/>
          </w:tcPr>
          <w:p>
            <w:pPr>
              <w:spacing w:after="0"/>
              <w:rPr>
                <w:sz w:val="18"/>
                <w:szCs w:val="18"/>
                <w:color w:val="auto"/>
              </w:rPr>
            </w:pPr>
          </w:p>
        </w:tc>
        <w:tc>
          <w:tcPr>
            <w:tcW w:w="3080" w:type="dxa"/>
            <w:vAlign w:val="bottom"/>
          </w:tcPr>
          <w:p>
            <w:pPr>
              <w:ind w:left="200"/>
              <w:spacing w:after="0"/>
              <w:rPr>
                <w:sz w:val="20"/>
                <w:szCs w:val="20"/>
                <w:color w:val="auto"/>
              </w:rPr>
            </w:pPr>
            <w:r>
              <w:rPr>
                <w:rFonts w:ascii="Arial" w:cs="Arial" w:eastAsia="Arial" w:hAnsi="Arial"/>
                <w:sz w:val="18"/>
                <w:szCs w:val="18"/>
                <w:color w:val="auto"/>
              </w:rPr>
              <w:t>Acquisitions, net of cash acquired</w:t>
            </w:r>
          </w:p>
        </w:tc>
        <w:tc>
          <w:tcPr>
            <w:tcW w:w="340" w:type="dxa"/>
            <w:vAlign w:val="bottom"/>
          </w:tcPr>
          <w:p>
            <w:pPr>
              <w:spacing w:after="0"/>
              <w:rPr>
                <w:sz w:val="18"/>
                <w:szCs w:val="18"/>
                <w:color w:val="auto"/>
              </w:rPr>
            </w:pPr>
          </w:p>
        </w:tc>
        <w:tc>
          <w:tcPr>
            <w:tcW w:w="74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(331)</w:t>
            </w:r>
          </w:p>
        </w:tc>
        <w:tc>
          <w:tcPr>
            <w:tcW w:w="400" w:type="dxa"/>
            <w:vAlign w:val="bottom"/>
          </w:tcPr>
          <w:p>
            <w:pPr>
              <w:spacing w:after="0"/>
              <w:rPr>
                <w:sz w:val="18"/>
                <w:szCs w:val="18"/>
                <w:color w:val="auto"/>
              </w:rPr>
            </w:pPr>
          </w:p>
        </w:tc>
        <w:tc>
          <w:tcPr>
            <w:tcW w:w="82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(331)</w:t>
            </w:r>
          </w:p>
        </w:tc>
      </w:tr>
      <w:tr>
        <w:trPr>
          <w:trHeight w:val="216"/>
        </w:trPr>
        <w:tc>
          <w:tcPr>
            <w:tcW w:w="20" w:type="dxa"/>
            <w:vAlign w:val="bottom"/>
          </w:tcPr>
          <w:p>
            <w:pPr>
              <w:spacing w:after="0"/>
              <w:rPr>
                <w:sz w:val="18"/>
                <w:szCs w:val="18"/>
                <w:color w:val="auto"/>
              </w:rPr>
            </w:pPr>
          </w:p>
        </w:tc>
        <w:tc>
          <w:tcPr>
            <w:tcW w:w="30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Proceeds from sales of investments</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320</w:t>
            </w:r>
          </w:p>
        </w:tc>
        <w:tc>
          <w:tcPr>
            <w:tcW w:w="40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320</w:t>
            </w:r>
          </w:p>
        </w:tc>
      </w:tr>
      <w:tr>
        <w:trPr>
          <w:trHeight w:val="216"/>
        </w:trPr>
        <w:tc>
          <w:tcPr>
            <w:tcW w:w="20" w:type="dxa"/>
            <w:vAlign w:val="bottom"/>
          </w:tcPr>
          <w:p>
            <w:pPr>
              <w:spacing w:after="0"/>
              <w:rPr>
                <w:sz w:val="18"/>
                <w:szCs w:val="18"/>
                <w:color w:val="auto"/>
              </w:rPr>
            </w:pPr>
          </w:p>
        </w:tc>
        <w:tc>
          <w:tcPr>
            <w:tcW w:w="3080" w:type="dxa"/>
            <w:vAlign w:val="bottom"/>
          </w:tcPr>
          <w:p>
            <w:pPr>
              <w:ind w:left="200"/>
              <w:spacing w:after="0"/>
              <w:rPr>
                <w:sz w:val="20"/>
                <w:szCs w:val="20"/>
                <w:color w:val="auto"/>
              </w:rPr>
            </w:pPr>
            <w:r>
              <w:rPr>
                <w:rFonts w:ascii="Arial" w:cs="Arial" w:eastAsia="Arial" w:hAnsi="Arial"/>
                <w:sz w:val="18"/>
                <w:szCs w:val="18"/>
                <w:color w:val="auto"/>
              </w:rPr>
              <w:t>Purchases of investments</w:t>
            </w:r>
          </w:p>
        </w:tc>
        <w:tc>
          <w:tcPr>
            <w:tcW w:w="340" w:type="dxa"/>
            <w:vAlign w:val="bottom"/>
          </w:tcPr>
          <w:p>
            <w:pPr>
              <w:spacing w:after="0"/>
              <w:rPr>
                <w:sz w:val="18"/>
                <w:szCs w:val="18"/>
                <w:color w:val="auto"/>
              </w:rPr>
            </w:pPr>
          </w:p>
        </w:tc>
        <w:tc>
          <w:tcPr>
            <w:tcW w:w="74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(41)</w:t>
            </w:r>
          </w:p>
        </w:tc>
        <w:tc>
          <w:tcPr>
            <w:tcW w:w="400" w:type="dxa"/>
            <w:vAlign w:val="bottom"/>
          </w:tcPr>
          <w:p>
            <w:pPr>
              <w:spacing w:after="0"/>
              <w:rPr>
                <w:sz w:val="18"/>
                <w:szCs w:val="18"/>
                <w:color w:val="auto"/>
              </w:rPr>
            </w:pPr>
          </w:p>
        </w:tc>
        <w:tc>
          <w:tcPr>
            <w:tcW w:w="82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20" w:type="dxa"/>
            <w:vAlign w:val="bottom"/>
          </w:tcPr>
          <w:p>
            <w:pPr>
              <w:spacing w:after="0"/>
              <w:rPr>
                <w:sz w:val="18"/>
                <w:szCs w:val="18"/>
                <w:color w:val="auto"/>
              </w:rPr>
            </w:pPr>
          </w:p>
        </w:tc>
        <w:tc>
          <w:tcPr>
            <w:tcW w:w="308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(38)</w:t>
            </w:r>
          </w:p>
        </w:tc>
        <w:tc>
          <w:tcPr>
            <w:tcW w:w="30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rPr>
              <w:t>21</w:t>
            </w:r>
          </w:p>
        </w:tc>
        <w:tc>
          <w:tcPr>
            <w:tcW w:w="40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(17)</w:t>
            </w:r>
          </w:p>
        </w:tc>
      </w:tr>
      <w:tr>
        <w:trPr>
          <w:trHeight w:val="201"/>
        </w:trPr>
        <w:tc>
          <w:tcPr>
            <w:tcW w:w="20" w:type="dxa"/>
            <w:vAlign w:val="bottom"/>
          </w:tcPr>
          <w:p>
            <w:pPr>
              <w:spacing w:after="0"/>
              <w:rPr>
                <w:sz w:val="17"/>
                <w:szCs w:val="17"/>
                <w:color w:val="auto"/>
              </w:rPr>
            </w:pPr>
          </w:p>
        </w:tc>
        <w:tc>
          <w:tcPr>
            <w:tcW w:w="3080" w:type="dxa"/>
            <w:vAlign w:val="bottom"/>
          </w:tcPr>
          <w:p>
            <w:pPr>
              <w:ind w:left="200"/>
              <w:spacing w:after="0" w:line="201" w:lineRule="exact"/>
              <w:rPr>
                <w:sz w:val="20"/>
                <w:szCs w:val="20"/>
                <w:color w:val="auto"/>
              </w:rPr>
            </w:pPr>
            <w:r>
              <w:rPr>
                <w:rFonts w:ascii="Arial" w:cs="Arial" w:eastAsia="Arial" w:hAnsi="Arial"/>
                <w:sz w:val="18"/>
                <w:szCs w:val="18"/>
                <w:color w:val="auto"/>
              </w:rPr>
              <w:t>Net cash provided by (used in)</w:t>
            </w: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30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investing activities</w:t>
            </w: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414</w:t>
            </w: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453</w:t>
            </w:r>
          </w:p>
        </w:tc>
        <w:tc>
          <w:tcPr>
            <w:tcW w:w="3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94</w:t>
            </w:r>
          </w:p>
        </w:tc>
        <w:tc>
          <w:tcPr>
            <w:tcW w:w="4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85</w:t>
            </w:r>
          </w:p>
        </w:tc>
        <w:tc>
          <w:tcPr>
            <w:tcW w:w="3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146</w:t>
            </w: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w w:val="98"/>
              </w:rPr>
              <w:t>(4,237)</w:t>
            </w: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(3,045)</w:t>
            </w:r>
          </w:p>
        </w:tc>
      </w:tr>
      <w:tr>
        <w:trPr>
          <w:trHeight w:val="202"/>
        </w:trPr>
        <w:tc>
          <w:tcPr>
            <w:tcW w:w="20" w:type="dxa"/>
            <w:vAlign w:val="bottom"/>
          </w:tcPr>
          <w:p>
            <w:pPr>
              <w:spacing w:after="0"/>
              <w:rPr>
                <w:sz w:val="17"/>
                <w:szCs w:val="17"/>
                <w:color w:val="auto"/>
              </w:rPr>
            </w:pPr>
          </w:p>
        </w:tc>
        <w:tc>
          <w:tcPr>
            <w:tcW w:w="30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Increase (decrease) in cash and cash</w:t>
            </w:r>
          </w:p>
        </w:tc>
        <w:tc>
          <w:tcPr>
            <w:tcW w:w="34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56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64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64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80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82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680" w:type="dxa"/>
            <w:vAlign w:val="bottom"/>
            <w:shd w:val="clear" w:color="auto" w:fill="E5E5E5"/>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30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equivalents</w:t>
            </w:r>
          </w:p>
        </w:tc>
        <w:tc>
          <w:tcPr>
            <w:tcW w:w="340" w:type="dxa"/>
            <w:vAlign w:val="bottom"/>
            <w:shd w:val="clear" w:color="auto" w:fill="E5E5E5"/>
          </w:tcPr>
          <w:p>
            <w:pPr>
              <w:spacing w:after="0"/>
              <w:rPr>
                <w:sz w:val="19"/>
                <w:szCs w:val="19"/>
                <w:color w:val="auto"/>
              </w:rPr>
            </w:pPr>
          </w:p>
        </w:tc>
        <w:tc>
          <w:tcPr>
            <w:tcW w:w="74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9"/>
                <w:szCs w:val="19"/>
                <w:color w:val="auto"/>
              </w:rPr>
            </w:pPr>
          </w:p>
        </w:tc>
        <w:tc>
          <w:tcPr>
            <w:tcW w:w="62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9"/>
                <w:szCs w:val="19"/>
                <w:color w:val="auto"/>
              </w:rPr>
            </w:pPr>
          </w:p>
        </w:tc>
        <w:tc>
          <w:tcPr>
            <w:tcW w:w="56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9"/>
                <w:szCs w:val="19"/>
                <w:color w:val="auto"/>
              </w:rPr>
            </w:pPr>
          </w:p>
        </w:tc>
        <w:tc>
          <w:tcPr>
            <w:tcW w:w="64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9"/>
                <w:szCs w:val="19"/>
                <w:color w:val="auto"/>
              </w:rPr>
            </w:pPr>
          </w:p>
        </w:tc>
        <w:tc>
          <w:tcPr>
            <w:tcW w:w="64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9"/>
                <w:szCs w:val="19"/>
                <w:color w:val="auto"/>
              </w:rPr>
            </w:pPr>
          </w:p>
        </w:tc>
        <w:tc>
          <w:tcPr>
            <w:tcW w:w="80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804</w:t>
            </w:r>
          </w:p>
        </w:tc>
        <w:tc>
          <w:tcPr>
            <w:tcW w:w="400" w:type="dxa"/>
            <w:vAlign w:val="bottom"/>
            <w:shd w:val="clear" w:color="auto" w:fill="E5E5E5"/>
          </w:tcPr>
          <w:p>
            <w:pPr>
              <w:spacing w:after="0"/>
              <w:rPr>
                <w:sz w:val="19"/>
                <w:szCs w:val="19"/>
                <w:color w:val="auto"/>
              </w:rPr>
            </w:pPr>
          </w:p>
        </w:tc>
        <w:tc>
          <w:tcPr>
            <w:tcW w:w="82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9"/>
                <w:szCs w:val="19"/>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804</w:t>
            </w:r>
          </w:p>
        </w:tc>
      </w:tr>
      <w:tr>
        <w:trPr>
          <w:trHeight w:val="208"/>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w w:val="94"/>
              </w:rPr>
              <w:t>Cash and cash equivalents, beginning of</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0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period</w:t>
            </w: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963</w:t>
            </w: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w:t>
            </w:r>
          </w:p>
        </w:tc>
      </w:tr>
      <w:tr>
        <w:trPr>
          <w:trHeight w:val="196"/>
        </w:trPr>
        <w:tc>
          <w:tcPr>
            <w:tcW w:w="20" w:type="dxa"/>
            <w:vAlign w:val="bottom"/>
          </w:tcPr>
          <w:p>
            <w:pPr>
              <w:spacing w:after="0"/>
              <w:rPr>
                <w:sz w:val="17"/>
                <w:szCs w:val="17"/>
                <w:color w:val="auto"/>
              </w:rPr>
            </w:pPr>
          </w:p>
        </w:tc>
        <w:tc>
          <w:tcPr>
            <w:tcW w:w="3080" w:type="dxa"/>
            <w:vAlign w:val="bottom"/>
            <w:shd w:val="clear" w:color="auto" w:fill="E5E5E5"/>
          </w:tcPr>
          <w:p>
            <w:pPr>
              <w:spacing w:after="0" w:line="196" w:lineRule="exact"/>
              <w:rPr>
                <w:sz w:val="20"/>
                <w:szCs w:val="20"/>
                <w:color w:val="auto"/>
              </w:rPr>
            </w:pPr>
            <w:r>
              <w:rPr>
                <w:rFonts w:ascii="Arial" w:cs="Arial" w:eastAsia="Arial" w:hAnsi="Arial"/>
                <w:sz w:val="18"/>
                <w:szCs w:val="18"/>
                <w:b w:val="1"/>
                <w:bCs w:val="1"/>
                <w:color w:val="auto"/>
              </w:rPr>
              <w:t>Cash and cash equivalents, end of</w:t>
            </w:r>
          </w:p>
        </w:tc>
        <w:tc>
          <w:tcPr>
            <w:tcW w:w="34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56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64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64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80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82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680" w:type="dxa"/>
            <w:vAlign w:val="bottom"/>
            <w:shd w:val="clear" w:color="auto" w:fill="E5E5E5"/>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08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b w:val="1"/>
                <w:bCs w:val="1"/>
                <w:color w:val="auto"/>
              </w:rPr>
              <w:t>period</w:t>
            </w:r>
          </w:p>
        </w:tc>
        <w:tc>
          <w:tcPr>
            <w:tcW w:w="3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bottom w:val="single" w:sz="8" w:color="auto"/>
            </w:tcBorders>
            <w:shd w:val="clear" w:color="auto" w:fill="E5E5E5"/>
          </w:tcPr>
          <w:p>
            <w:pPr>
              <w:jc w:val="right"/>
              <w:ind w:right="212"/>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b w:val="1"/>
                <w:bCs w:val="1"/>
                <w:color w:val="auto"/>
              </w:rPr>
              <w:t>1,767</w:t>
            </w:r>
          </w:p>
        </w:tc>
        <w:tc>
          <w:tcPr>
            <w:tcW w:w="400" w:type="dxa"/>
            <w:vAlign w:val="bottom"/>
            <w:tcBorders>
              <w:bottom w:val="single" w:sz="8" w:color="auto"/>
            </w:tcBorders>
            <w:shd w:val="clear" w:color="auto" w:fill="E5E5E5"/>
          </w:tcPr>
          <w:p>
            <w:pPr>
              <w:jc w:val="right"/>
              <w:ind w:right="24"/>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1,767</w:t>
            </w:r>
          </w:p>
        </w:tc>
      </w:tr>
      <w:tr>
        <w:trPr>
          <w:trHeight w:val="363"/>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jc w:val="right"/>
              <w:ind w:right="92"/>
              <w:spacing w:after="0"/>
              <w:rPr>
                <w:sz w:val="20"/>
                <w:szCs w:val="20"/>
                <w:color w:val="auto"/>
              </w:rPr>
            </w:pPr>
            <w:r>
              <w:rPr>
                <w:rFonts w:ascii="Arial" w:cs="Arial" w:eastAsia="Arial" w:hAnsi="Arial"/>
                <w:sz w:val="18"/>
                <w:szCs w:val="18"/>
                <w:color w:val="auto"/>
              </w:rPr>
              <w:t>21</w:t>
            </w: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Consolidating Statement of Cash Flows</w:t>
      </w:r>
    </w:p>
    <w:p>
      <w:pPr>
        <w:jc w:val="center"/>
        <w:spacing w:after="0"/>
        <w:rPr>
          <w:sz w:val="20"/>
          <w:szCs w:val="20"/>
          <w:color w:val="auto"/>
        </w:rPr>
      </w:pPr>
      <w:r>
        <w:rPr>
          <w:rFonts w:ascii="Arial" w:cs="Arial" w:eastAsia="Arial" w:hAnsi="Arial"/>
          <w:sz w:val="22"/>
          <w:szCs w:val="22"/>
          <w:b w:val="1"/>
          <w:bCs w:val="1"/>
          <w:color w:val="auto"/>
        </w:rPr>
        <w:t>For the Six Months Ended June 30, 2007</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Combined</w:t>
            </w: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jc w:val="right"/>
              <w:ind w:right="353"/>
              <w:spacing w:after="0" w:line="149" w:lineRule="exact"/>
              <w:rPr>
                <w:sz w:val="20"/>
                <w:szCs w:val="20"/>
                <w:color w:val="auto"/>
              </w:rPr>
            </w:pPr>
            <w:r>
              <w:rPr>
                <w:rFonts w:ascii="Arial" w:cs="Arial" w:eastAsia="Arial" w:hAnsi="Arial"/>
                <w:sz w:val="14"/>
                <w:szCs w:val="14"/>
                <w:color w:val="auto"/>
              </w:rPr>
              <w:t>Non-</w:t>
            </w:r>
          </w:p>
        </w:tc>
        <w:tc>
          <w:tcPr>
            <w:tcW w:w="360" w:type="dxa"/>
            <w:vAlign w:val="bottom"/>
          </w:tcPr>
          <w:p>
            <w:pPr>
              <w:spacing w:after="0"/>
              <w:rPr>
                <w:sz w:val="12"/>
                <w:szCs w:val="12"/>
                <w:color w:val="auto"/>
              </w:rPr>
            </w:pPr>
          </w:p>
        </w:tc>
        <w:tc>
          <w:tcPr>
            <w:tcW w:w="780" w:type="dxa"/>
            <w:vAlign w:val="bottom"/>
          </w:tcPr>
          <w:p>
            <w:pPr>
              <w:jc w:val="center"/>
              <w:ind w:right="293"/>
              <w:spacing w:after="0" w:line="149" w:lineRule="exact"/>
              <w:rPr>
                <w:sz w:val="20"/>
                <w:szCs w:val="20"/>
                <w:color w:val="auto"/>
              </w:rPr>
            </w:pPr>
            <w:r>
              <w:rPr>
                <w:rFonts w:ascii="Arial" w:cs="Arial" w:eastAsia="Arial" w:hAnsi="Arial"/>
                <w:sz w:val="14"/>
                <w:szCs w:val="14"/>
                <w:color w:val="auto"/>
                <w:w w:val="85"/>
              </w:rPr>
              <w:t>and</w:t>
            </w:r>
          </w:p>
        </w:tc>
        <w:tc>
          <w:tcPr>
            <w:tcW w:w="960" w:type="dxa"/>
            <w:vAlign w:val="bottom"/>
            <w:gridSpan w:val="2"/>
          </w:tcPr>
          <w:p>
            <w:pPr>
              <w:ind w:left="180"/>
              <w:spacing w:after="0" w:line="149" w:lineRule="exact"/>
              <w:rPr>
                <w:sz w:val="20"/>
                <w:szCs w:val="20"/>
                <w:color w:val="auto"/>
              </w:rPr>
            </w:pPr>
            <w:r>
              <w:rPr>
                <w:rFonts w:ascii="Arial" w:cs="Arial" w:eastAsia="Arial" w:hAnsi="Arial"/>
                <w:sz w:val="14"/>
                <w:szCs w:val="14"/>
                <w:color w:val="auto"/>
                <w:w w:val="92"/>
              </w:rPr>
              <w:t>Consolidated</w:t>
            </w: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020" w:type="dxa"/>
            <w:vAlign w:val="bottom"/>
            <w:gridSpan w:val="2"/>
          </w:tcPr>
          <w:p>
            <w:pPr>
              <w:jc w:val="right"/>
              <w:ind w:right="193"/>
              <w:spacing w:after="0" w:line="149" w:lineRule="exact"/>
              <w:rPr>
                <w:sz w:val="20"/>
                <w:szCs w:val="20"/>
                <w:color w:val="auto"/>
              </w:rPr>
            </w:pPr>
            <w:r>
              <w:rPr>
                <w:rFonts w:ascii="Arial" w:cs="Arial" w:eastAsia="Arial" w:hAnsi="Arial"/>
                <w:sz w:val="14"/>
                <w:szCs w:val="14"/>
                <w:color w:val="auto"/>
              </w:rPr>
              <w:t>Comcast</w:t>
            </w:r>
          </w:p>
        </w:tc>
        <w:tc>
          <w:tcPr>
            <w:tcW w:w="78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CCCL</w:t>
            </w:r>
          </w:p>
        </w:tc>
        <w:tc>
          <w:tcPr>
            <w:tcW w:w="8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CCCH</w:t>
            </w:r>
          </w:p>
        </w:tc>
        <w:tc>
          <w:tcPr>
            <w:tcW w:w="100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CCHMO</w:t>
            </w:r>
          </w:p>
        </w:tc>
        <w:tc>
          <w:tcPr>
            <w:tcW w:w="8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Comcast</w:t>
            </w:r>
          </w:p>
        </w:tc>
        <w:tc>
          <w:tcPr>
            <w:tcW w:w="1100" w:type="dxa"/>
            <w:vAlign w:val="bottom"/>
            <w:gridSpan w:val="2"/>
          </w:tcPr>
          <w:p>
            <w:pPr>
              <w:jc w:val="right"/>
              <w:ind w:right="213"/>
              <w:spacing w:after="0" w:line="149" w:lineRule="exact"/>
              <w:rPr>
                <w:sz w:val="20"/>
                <w:szCs w:val="20"/>
                <w:color w:val="auto"/>
              </w:rPr>
            </w:pPr>
            <w:r>
              <w:rPr>
                <w:rFonts w:ascii="Arial" w:cs="Arial" w:eastAsia="Arial" w:hAnsi="Arial"/>
                <w:sz w:val="14"/>
                <w:szCs w:val="14"/>
                <w:color w:val="auto"/>
              </w:rPr>
              <w:t>Guarantor</w:t>
            </w:r>
          </w:p>
        </w:tc>
        <w:tc>
          <w:tcPr>
            <w:tcW w:w="1140" w:type="dxa"/>
            <w:vAlign w:val="bottom"/>
            <w:gridSpan w:val="2"/>
          </w:tcPr>
          <w:p>
            <w:pPr>
              <w:jc w:val="right"/>
              <w:ind w:right="113"/>
              <w:spacing w:after="0" w:line="149" w:lineRule="exact"/>
              <w:rPr>
                <w:sz w:val="20"/>
                <w:szCs w:val="20"/>
                <w:color w:val="auto"/>
              </w:rPr>
            </w:pPr>
            <w:r>
              <w:rPr>
                <w:rFonts w:ascii="Arial" w:cs="Arial" w:eastAsia="Arial" w:hAnsi="Arial"/>
                <w:sz w:val="14"/>
                <w:szCs w:val="14"/>
                <w:color w:val="auto"/>
              </w:rPr>
              <w:t>Consolidation</w:t>
            </w:r>
          </w:p>
        </w:tc>
        <w:tc>
          <w:tcPr>
            <w:tcW w:w="280" w:type="dxa"/>
            <w:vAlign w:val="bottom"/>
          </w:tcPr>
          <w:p>
            <w:pPr>
              <w:spacing w:after="0"/>
              <w:rPr>
                <w:sz w:val="12"/>
                <w:szCs w:val="12"/>
                <w:color w:val="auto"/>
              </w:rPr>
            </w:pPr>
          </w:p>
        </w:tc>
        <w:tc>
          <w:tcPr>
            <w:tcW w:w="680" w:type="dxa"/>
            <w:vAlign w:val="bottom"/>
          </w:tcPr>
          <w:p>
            <w:pPr>
              <w:jc w:val="right"/>
              <w:ind w:right="93"/>
              <w:spacing w:after="0" w:line="149" w:lineRule="exact"/>
              <w:rPr>
                <w:sz w:val="20"/>
                <w:szCs w:val="20"/>
                <w:color w:val="auto"/>
              </w:rPr>
            </w:pPr>
            <w:r>
              <w:rPr>
                <w:rFonts w:ascii="Arial" w:cs="Arial" w:eastAsia="Arial" w:hAnsi="Arial"/>
                <w:sz w:val="14"/>
                <w:szCs w:val="14"/>
                <w:color w:val="auto"/>
                <w:w w:val="86"/>
              </w:rPr>
              <w:t>Comcast</w:t>
            </w:r>
          </w:p>
        </w:tc>
      </w:tr>
      <w:tr>
        <w:trPr>
          <w:trHeight w:val="159"/>
        </w:trPr>
        <w:tc>
          <w:tcPr>
            <w:tcW w:w="368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320" w:type="dxa"/>
            <w:vAlign w:val="bottom"/>
          </w:tcPr>
          <w:p>
            <w:pPr>
              <w:spacing w:after="0"/>
              <w:rPr>
                <w:sz w:val="13"/>
                <w:szCs w:val="13"/>
                <w:color w:val="auto"/>
              </w:rPr>
            </w:pPr>
          </w:p>
        </w:tc>
        <w:tc>
          <w:tcPr>
            <w:tcW w:w="700" w:type="dxa"/>
            <w:vAlign w:val="bottom"/>
          </w:tcPr>
          <w:p>
            <w:pPr>
              <w:jc w:val="right"/>
              <w:ind w:right="273"/>
              <w:spacing w:after="0" w:line="159" w:lineRule="exact"/>
              <w:rPr>
                <w:sz w:val="20"/>
                <w:szCs w:val="20"/>
                <w:color w:val="auto"/>
              </w:rPr>
            </w:pPr>
            <w:r>
              <w:rPr>
                <w:rFonts w:ascii="Arial" w:cs="Arial" w:eastAsia="Arial" w:hAnsi="Arial"/>
                <w:sz w:val="14"/>
                <w:szCs w:val="14"/>
                <w:color w:val="auto"/>
                <w:w w:val="77"/>
              </w:rPr>
              <w:t>Parent</w:t>
            </w:r>
          </w:p>
        </w:tc>
        <w:tc>
          <w:tcPr>
            <w:tcW w:w="780" w:type="dxa"/>
            <w:vAlign w:val="bottom"/>
            <w:gridSpan w:val="2"/>
          </w:tcPr>
          <w:p>
            <w:pPr>
              <w:jc w:val="right"/>
              <w:ind w:right="132"/>
              <w:spacing w:after="0" w:line="159" w:lineRule="exact"/>
              <w:rPr>
                <w:sz w:val="20"/>
                <w:szCs w:val="20"/>
                <w:color w:val="auto"/>
              </w:rPr>
            </w:pPr>
            <w:r>
              <w:rPr>
                <w:rFonts w:ascii="Arial" w:cs="Arial" w:eastAsia="Arial" w:hAnsi="Arial"/>
                <w:sz w:val="14"/>
                <w:szCs w:val="14"/>
                <w:color w:val="auto"/>
              </w:rPr>
              <w:t>Parent</w:t>
            </w:r>
          </w:p>
        </w:tc>
        <w:tc>
          <w:tcPr>
            <w:tcW w:w="88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Parent</w:t>
            </w:r>
          </w:p>
        </w:tc>
        <w:tc>
          <w:tcPr>
            <w:tcW w:w="1000" w:type="dxa"/>
            <w:vAlign w:val="bottom"/>
            <w:gridSpan w:val="2"/>
          </w:tcPr>
          <w:p>
            <w:pPr>
              <w:jc w:val="right"/>
              <w:ind w:right="252"/>
              <w:spacing w:after="0" w:line="159" w:lineRule="exact"/>
              <w:rPr>
                <w:sz w:val="20"/>
                <w:szCs w:val="20"/>
                <w:color w:val="auto"/>
              </w:rPr>
            </w:pPr>
            <w:r>
              <w:rPr>
                <w:rFonts w:ascii="Arial" w:cs="Arial" w:eastAsia="Arial" w:hAnsi="Arial"/>
                <w:sz w:val="14"/>
                <w:szCs w:val="14"/>
                <w:color w:val="auto"/>
              </w:rPr>
              <w:t>Parents</w:t>
            </w:r>
          </w:p>
        </w:tc>
        <w:tc>
          <w:tcPr>
            <w:tcW w:w="860" w:type="dxa"/>
            <w:vAlign w:val="bottom"/>
            <w:gridSpan w:val="2"/>
          </w:tcPr>
          <w:p>
            <w:pPr>
              <w:jc w:val="right"/>
              <w:ind w:right="92"/>
              <w:spacing w:after="0" w:line="159" w:lineRule="exact"/>
              <w:rPr>
                <w:sz w:val="20"/>
                <w:szCs w:val="20"/>
                <w:color w:val="auto"/>
              </w:rPr>
            </w:pPr>
            <w:r>
              <w:rPr>
                <w:rFonts w:ascii="Arial" w:cs="Arial" w:eastAsia="Arial" w:hAnsi="Arial"/>
                <w:sz w:val="14"/>
                <w:szCs w:val="14"/>
                <w:color w:val="auto"/>
              </w:rPr>
              <w:t>Holdings</w:t>
            </w:r>
          </w:p>
        </w:tc>
        <w:tc>
          <w:tcPr>
            <w:tcW w:w="1100" w:type="dxa"/>
            <w:vAlign w:val="bottom"/>
            <w:gridSpan w:val="2"/>
          </w:tcPr>
          <w:p>
            <w:pPr>
              <w:ind w:left="180"/>
              <w:spacing w:after="0" w:line="159" w:lineRule="exact"/>
              <w:rPr>
                <w:sz w:val="20"/>
                <w:szCs w:val="20"/>
                <w:color w:val="auto"/>
              </w:rPr>
            </w:pPr>
            <w:r>
              <w:rPr>
                <w:rFonts w:ascii="Arial" w:cs="Arial" w:eastAsia="Arial" w:hAnsi="Arial"/>
                <w:sz w:val="14"/>
                <w:szCs w:val="14"/>
                <w:color w:val="auto"/>
              </w:rPr>
              <w:t>Subsidiaries</w:t>
            </w:r>
          </w:p>
        </w:tc>
        <w:tc>
          <w:tcPr>
            <w:tcW w:w="114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8"/>
              </w:rPr>
              <w:t>Adjustments</w:t>
            </w:r>
          </w:p>
        </w:tc>
        <w:tc>
          <w:tcPr>
            <w:tcW w:w="960" w:type="dxa"/>
            <w:vAlign w:val="bottom"/>
            <w:gridSpan w:val="2"/>
          </w:tcPr>
          <w:p>
            <w:pPr>
              <w:jc w:val="right"/>
              <w:ind w:right="13"/>
              <w:spacing w:after="0" w:line="159" w:lineRule="exact"/>
              <w:rPr>
                <w:sz w:val="20"/>
                <w:szCs w:val="20"/>
                <w:color w:val="auto"/>
              </w:rPr>
            </w:pPr>
            <w:r>
              <w:rPr>
                <w:rFonts w:ascii="Arial" w:cs="Arial" w:eastAsia="Arial" w:hAnsi="Arial"/>
                <w:sz w:val="14"/>
                <w:szCs w:val="14"/>
                <w:color w:val="auto"/>
              </w:rPr>
              <w:t>Corporation</w:t>
            </w:r>
          </w:p>
        </w:tc>
      </w:tr>
      <w:tr>
        <w:trPr>
          <w:trHeight w:val="201"/>
        </w:trPr>
        <w:tc>
          <w:tcPr>
            <w:tcW w:w="20" w:type="dxa"/>
            <w:vAlign w:val="bottom"/>
          </w:tcPr>
          <w:p>
            <w:pPr>
              <w:spacing w:after="0"/>
              <w:rPr>
                <w:sz w:val="17"/>
                <w:szCs w:val="17"/>
                <w:color w:val="auto"/>
              </w:rPr>
            </w:pPr>
          </w:p>
        </w:tc>
        <w:tc>
          <w:tcPr>
            <w:tcW w:w="3660" w:type="dxa"/>
            <w:vAlign w:val="bottom"/>
            <w:tcBorders>
              <w:top w:val="single" w:sz="8" w:color="auto"/>
            </w:tcBorders>
            <w:shd w:val="clear" w:color="auto" w:fill="E5E5E5"/>
          </w:tcPr>
          <w:p>
            <w:pPr>
              <w:ind w:left="200"/>
              <w:spacing w:after="0" w:line="201" w:lineRule="exact"/>
              <w:rPr>
                <w:sz w:val="20"/>
                <w:szCs w:val="20"/>
                <w:color w:val="auto"/>
              </w:rPr>
            </w:pPr>
            <w:r>
              <w:rPr>
                <w:rFonts w:ascii="Arial" w:cs="Arial" w:eastAsia="Arial" w:hAnsi="Arial"/>
                <w:sz w:val="18"/>
                <w:szCs w:val="18"/>
                <w:color w:val="auto"/>
              </w:rPr>
              <w:t>Net cash provided by (used in) operating</w:t>
            </w:r>
          </w:p>
        </w:tc>
        <w:tc>
          <w:tcPr>
            <w:tcW w:w="320" w:type="dxa"/>
            <w:vAlign w:val="bottom"/>
            <w:tcBorders>
              <w:top w:val="single" w:sz="8" w:color="auto"/>
            </w:tcBorders>
            <w:shd w:val="clear" w:color="auto" w:fill="E5E5E5"/>
          </w:tcPr>
          <w:p>
            <w:pPr>
              <w:spacing w:after="0"/>
              <w:rPr>
                <w:sz w:val="17"/>
                <w:szCs w:val="17"/>
                <w:color w:val="auto"/>
              </w:rPr>
            </w:pPr>
          </w:p>
        </w:tc>
        <w:tc>
          <w:tcPr>
            <w:tcW w:w="700" w:type="dxa"/>
            <w:vAlign w:val="bottom"/>
            <w:tcBorders>
              <w:top w:val="single" w:sz="8" w:color="auto"/>
            </w:tcBorders>
            <w:shd w:val="clear" w:color="auto" w:fill="E5E5E5"/>
          </w:tcPr>
          <w:p>
            <w:pPr>
              <w:spacing w:after="0"/>
              <w:rPr>
                <w:sz w:val="17"/>
                <w:szCs w:val="17"/>
                <w:color w:val="auto"/>
              </w:rPr>
            </w:pPr>
          </w:p>
        </w:tc>
        <w:tc>
          <w:tcPr>
            <w:tcW w:w="280" w:type="dxa"/>
            <w:vAlign w:val="bottom"/>
            <w:tcBorders>
              <w:top w:val="single" w:sz="8" w:color="auto"/>
            </w:tcBorders>
            <w:shd w:val="clear" w:color="auto" w:fill="E5E5E5"/>
          </w:tcPr>
          <w:p>
            <w:pPr>
              <w:spacing w:after="0"/>
              <w:rPr>
                <w:sz w:val="17"/>
                <w:szCs w:val="17"/>
                <w:color w:val="auto"/>
              </w:rPr>
            </w:pPr>
          </w:p>
        </w:tc>
        <w:tc>
          <w:tcPr>
            <w:tcW w:w="500" w:type="dxa"/>
            <w:vAlign w:val="bottom"/>
            <w:tcBorders>
              <w:top w:val="single" w:sz="8" w:color="auto"/>
            </w:tcBorders>
            <w:shd w:val="clear" w:color="auto" w:fill="E5E5E5"/>
          </w:tcPr>
          <w:p>
            <w:pPr>
              <w:spacing w:after="0"/>
              <w:rPr>
                <w:sz w:val="17"/>
                <w:szCs w:val="17"/>
                <w:color w:val="auto"/>
              </w:rPr>
            </w:pPr>
          </w:p>
        </w:tc>
        <w:tc>
          <w:tcPr>
            <w:tcW w:w="380" w:type="dxa"/>
            <w:vAlign w:val="bottom"/>
            <w:tcBorders>
              <w:top w:val="single" w:sz="8" w:color="auto"/>
            </w:tcBorders>
            <w:shd w:val="clear" w:color="auto" w:fill="E5E5E5"/>
          </w:tcPr>
          <w:p>
            <w:pPr>
              <w:spacing w:after="0"/>
              <w:rPr>
                <w:sz w:val="17"/>
                <w:szCs w:val="17"/>
                <w:color w:val="auto"/>
              </w:rPr>
            </w:pPr>
          </w:p>
        </w:tc>
        <w:tc>
          <w:tcPr>
            <w:tcW w:w="500" w:type="dxa"/>
            <w:vAlign w:val="bottom"/>
            <w:tcBorders>
              <w:top w:val="single" w:sz="8" w:color="auto"/>
            </w:tcBorders>
            <w:shd w:val="clear" w:color="auto" w:fill="E5E5E5"/>
          </w:tcPr>
          <w:p>
            <w:pPr>
              <w:spacing w:after="0"/>
              <w:rPr>
                <w:sz w:val="17"/>
                <w:szCs w:val="17"/>
                <w:color w:val="auto"/>
              </w:rPr>
            </w:pPr>
          </w:p>
        </w:tc>
        <w:tc>
          <w:tcPr>
            <w:tcW w:w="360" w:type="dxa"/>
            <w:vAlign w:val="bottom"/>
            <w:tcBorders>
              <w:top w:val="single" w:sz="8" w:color="auto"/>
            </w:tcBorders>
            <w:shd w:val="clear" w:color="auto" w:fill="E5E5E5"/>
          </w:tcPr>
          <w:p>
            <w:pPr>
              <w:spacing w:after="0"/>
              <w:rPr>
                <w:sz w:val="17"/>
                <w:szCs w:val="17"/>
                <w:color w:val="auto"/>
              </w:rPr>
            </w:pPr>
          </w:p>
        </w:tc>
        <w:tc>
          <w:tcPr>
            <w:tcW w:w="640" w:type="dxa"/>
            <w:vAlign w:val="bottom"/>
            <w:tcBorders>
              <w:top w:val="single" w:sz="8" w:color="auto"/>
            </w:tcBorders>
            <w:shd w:val="clear" w:color="auto" w:fill="E5E5E5"/>
          </w:tcPr>
          <w:p>
            <w:pPr>
              <w:spacing w:after="0"/>
              <w:rPr>
                <w:sz w:val="17"/>
                <w:szCs w:val="17"/>
                <w:color w:val="auto"/>
              </w:rPr>
            </w:pPr>
          </w:p>
        </w:tc>
        <w:tc>
          <w:tcPr>
            <w:tcW w:w="380" w:type="dxa"/>
            <w:vAlign w:val="bottom"/>
            <w:tcBorders>
              <w:top w:val="single" w:sz="8" w:color="auto"/>
            </w:tcBorders>
            <w:shd w:val="clear" w:color="auto" w:fill="E5E5E5"/>
          </w:tcPr>
          <w:p>
            <w:pPr>
              <w:spacing w:after="0"/>
              <w:rPr>
                <w:sz w:val="17"/>
                <w:szCs w:val="17"/>
                <w:color w:val="auto"/>
              </w:rPr>
            </w:pPr>
          </w:p>
        </w:tc>
        <w:tc>
          <w:tcPr>
            <w:tcW w:w="480" w:type="dxa"/>
            <w:vAlign w:val="bottom"/>
            <w:tcBorders>
              <w:top w:val="single" w:sz="8" w:color="auto"/>
            </w:tcBorders>
            <w:shd w:val="clear" w:color="auto" w:fill="E5E5E5"/>
          </w:tcPr>
          <w:p>
            <w:pPr>
              <w:spacing w:after="0"/>
              <w:rPr>
                <w:sz w:val="17"/>
                <w:szCs w:val="17"/>
                <w:color w:val="auto"/>
              </w:rPr>
            </w:pPr>
          </w:p>
        </w:tc>
        <w:tc>
          <w:tcPr>
            <w:tcW w:w="320" w:type="dxa"/>
            <w:vAlign w:val="bottom"/>
            <w:tcBorders>
              <w:top w:val="single" w:sz="8" w:color="auto"/>
            </w:tcBorders>
            <w:shd w:val="clear" w:color="auto" w:fill="E5E5E5"/>
          </w:tcPr>
          <w:p>
            <w:pPr>
              <w:spacing w:after="0"/>
              <w:rPr>
                <w:sz w:val="17"/>
                <w:szCs w:val="17"/>
                <w:color w:val="auto"/>
              </w:rPr>
            </w:pPr>
          </w:p>
        </w:tc>
        <w:tc>
          <w:tcPr>
            <w:tcW w:w="780" w:type="dxa"/>
            <w:vAlign w:val="bottom"/>
            <w:tcBorders>
              <w:top w:val="single" w:sz="8" w:color="auto"/>
            </w:tcBorders>
            <w:shd w:val="clear" w:color="auto" w:fill="E5E5E5"/>
          </w:tcPr>
          <w:p>
            <w:pPr>
              <w:spacing w:after="0"/>
              <w:rPr>
                <w:sz w:val="17"/>
                <w:szCs w:val="17"/>
                <w:color w:val="auto"/>
              </w:rPr>
            </w:pPr>
          </w:p>
        </w:tc>
        <w:tc>
          <w:tcPr>
            <w:tcW w:w="360" w:type="dxa"/>
            <w:vAlign w:val="bottom"/>
            <w:tcBorders>
              <w:top w:val="single" w:sz="8" w:color="auto"/>
            </w:tcBorders>
            <w:shd w:val="clear" w:color="auto" w:fill="E5E5E5"/>
          </w:tcPr>
          <w:p>
            <w:pPr>
              <w:spacing w:after="0"/>
              <w:rPr>
                <w:sz w:val="17"/>
                <w:szCs w:val="17"/>
                <w:color w:val="auto"/>
              </w:rPr>
            </w:pPr>
          </w:p>
        </w:tc>
        <w:tc>
          <w:tcPr>
            <w:tcW w:w="780" w:type="dxa"/>
            <w:vAlign w:val="bottom"/>
            <w:tcBorders>
              <w:top w:val="single" w:sz="8" w:color="auto"/>
            </w:tcBorders>
            <w:shd w:val="clear" w:color="auto" w:fill="E5E5E5"/>
          </w:tcPr>
          <w:p>
            <w:pPr>
              <w:spacing w:after="0"/>
              <w:rPr>
                <w:sz w:val="17"/>
                <w:szCs w:val="17"/>
                <w:color w:val="auto"/>
              </w:rPr>
            </w:pPr>
          </w:p>
        </w:tc>
        <w:tc>
          <w:tcPr>
            <w:tcW w:w="280" w:type="dxa"/>
            <w:vAlign w:val="bottom"/>
            <w:tcBorders>
              <w:top w:val="single" w:sz="8" w:color="auto"/>
            </w:tcBorders>
            <w:shd w:val="clear" w:color="auto" w:fill="E5E5E5"/>
          </w:tcPr>
          <w:p>
            <w:pPr>
              <w:spacing w:after="0"/>
              <w:rPr>
                <w:sz w:val="17"/>
                <w:szCs w:val="17"/>
                <w:color w:val="auto"/>
              </w:rPr>
            </w:pPr>
          </w:p>
        </w:tc>
        <w:tc>
          <w:tcPr>
            <w:tcW w:w="680" w:type="dxa"/>
            <w:vAlign w:val="bottom"/>
            <w:tcBorders>
              <w:top w:val="single" w:sz="8" w:color="auto"/>
            </w:tcBorders>
            <w:shd w:val="clear" w:color="auto" w:fill="E5E5E5"/>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366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activities</w:t>
            </w:r>
          </w:p>
        </w:tc>
        <w:tc>
          <w:tcPr>
            <w:tcW w:w="3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(246)</w:t>
            </w:r>
          </w:p>
        </w:tc>
        <w:tc>
          <w:tcPr>
            <w:tcW w:w="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w w:val="85"/>
              </w:rPr>
              <w:t>(122)</w:t>
            </w:r>
          </w:p>
        </w:tc>
        <w:tc>
          <w:tcPr>
            <w:tcW w:w="380" w:type="dxa"/>
            <w:vAlign w:val="bottom"/>
            <w:tcBorders>
              <w:bottom w:val="single" w:sz="8" w:color="auto"/>
            </w:tcBorders>
            <w:shd w:val="clear" w:color="auto" w:fill="E5E5E5"/>
          </w:tcPr>
          <w:p>
            <w:pPr>
              <w:ind w:left="26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w w:val="93"/>
              </w:rPr>
              <w:t>(98)</w:t>
            </w:r>
          </w:p>
        </w:tc>
        <w:tc>
          <w:tcPr>
            <w:tcW w:w="36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(100)</w:t>
            </w:r>
          </w:p>
        </w:tc>
        <w:tc>
          <w:tcPr>
            <w:tcW w:w="38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4,473</w:t>
            </w:r>
          </w:p>
        </w:tc>
        <w:tc>
          <w:tcPr>
            <w:tcW w:w="360" w:type="dxa"/>
            <w:vAlign w:val="bottom"/>
            <w:tcBorders>
              <w:bottom w:val="single" w:sz="8" w:color="auto"/>
            </w:tcBorders>
            <w:shd w:val="clear" w:color="auto" w:fill="E5E5E5"/>
          </w:tcPr>
          <w:p>
            <w:pPr>
              <w:jc w:val="right"/>
              <w:ind w:right="4"/>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3,907</w:t>
            </w:r>
          </w:p>
        </w:tc>
      </w:tr>
      <w:tr>
        <w:trPr>
          <w:trHeight w:val="211"/>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Proceeds from borrowings</w:t>
            </w:r>
          </w:p>
        </w:tc>
        <w:tc>
          <w:tcPr>
            <w:tcW w:w="3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575</w:t>
            </w:r>
          </w:p>
        </w:tc>
        <w:tc>
          <w:tcPr>
            <w:tcW w:w="28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15</w:t>
            </w:r>
          </w:p>
        </w:tc>
        <w:tc>
          <w:tcPr>
            <w:tcW w:w="36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590</w:t>
            </w:r>
          </w:p>
        </w:tc>
      </w:tr>
      <w:tr>
        <w:trPr>
          <w:trHeight w:val="216"/>
        </w:trPr>
        <w:tc>
          <w:tcPr>
            <w:tcW w:w="20" w:type="dxa"/>
            <w:vAlign w:val="bottom"/>
          </w:tcPr>
          <w:p>
            <w:pPr>
              <w:spacing w:after="0"/>
              <w:rPr>
                <w:sz w:val="18"/>
                <w:szCs w:val="18"/>
                <w:color w:val="auto"/>
              </w:rPr>
            </w:pPr>
          </w:p>
        </w:tc>
        <w:tc>
          <w:tcPr>
            <w:tcW w:w="3660" w:type="dxa"/>
            <w:vAlign w:val="bottom"/>
          </w:tcPr>
          <w:p>
            <w:pPr>
              <w:ind w:left="200"/>
              <w:spacing w:after="0"/>
              <w:rPr>
                <w:sz w:val="20"/>
                <w:szCs w:val="20"/>
                <w:color w:val="auto"/>
              </w:rPr>
            </w:pPr>
            <w:r>
              <w:rPr>
                <w:rFonts w:ascii="Arial" w:cs="Arial" w:eastAsia="Arial" w:hAnsi="Arial"/>
                <w:sz w:val="18"/>
                <w:szCs w:val="18"/>
                <w:color w:val="auto"/>
              </w:rPr>
              <w:t>Retirements and repayments of debt</w:t>
            </w:r>
          </w:p>
        </w:tc>
        <w:tc>
          <w:tcPr>
            <w:tcW w:w="320" w:type="dxa"/>
            <w:vAlign w:val="bottom"/>
          </w:tcPr>
          <w:p>
            <w:pPr>
              <w:spacing w:after="0"/>
              <w:rPr>
                <w:sz w:val="18"/>
                <w:szCs w:val="18"/>
                <w:color w:val="auto"/>
              </w:rPr>
            </w:pPr>
          </w:p>
        </w:tc>
        <w:tc>
          <w:tcPr>
            <w:tcW w:w="70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00" w:type="dxa"/>
            <w:vAlign w:val="bottom"/>
          </w:tcPr>
          <w:p>
            <w:pPr>
              <w:jc w:val="right"/>
              <w:ind w:right="32"/>
              <w:spacing w:after="0"/>
              <w:rPr>
                <w:sz w:val="20"/>
                <w:szCs w:val="20"/>
                <w:color w:val="auto"/>
              </w:rPr>
            </w:pPr>
            <w:r>
              <w:rPr>
                <w:rFonts w:ascii="Arial" w:cs="Arial" w:eastAsia="Arial" w:hAnsi="Arial"/>
                <w:sz w:val="18"/>
                <w:szCs w:val="18"/>
                <w:color w:val="auto"/>
                <w:w w:val="85"/>
              </w:rPr>
              <w:t>(600)</w:t>
            </w:r>
          </w:p>
        </w:tc>
        <w:tc>
          <w:tcPr>
            <w:tcW w:w="380" w:type="dxa"/>
            <w:vAlign w:val="bottom"/>
          </w:tcPr>
          <w:p>
            <w:pPr>
              <w:spacing w:after="0"/>
              <w:rPr>
                <w:sz w:val="18"/>
                <w:szCs w:val="18"/>
                <w:color w:val="auto"/>
              </w:rPr>
            </w:pPr>
          </w:p>
        </w:tc>
        <w:tc>
          <w:tcPr>
            <w:tcW w:w="5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40" w:type="dxa"/>
            <w:vAlign w:val="bottom"/>
          </w:tcPr>
          <w:p>
            <w:pPr>
              <w:jc w:val="right"/>
              <w:ind w:right="92"/>
              <w:spacing w:after="0"/>
              <w:rPr>
                <w:sz w:val="20"/>
                <w:szCs w:val="20"/>
                <w:color w:val="auto"/>
              </w:rPr>
            </w:pPr>
            <w:r>
              <w:rPr>
                <w:rFonts w:ascii="Arial" w:cs="Arial" w:eastAsia="Arial" w:hAnsi="Arial"/>
                <w:sz w:val="18"/>
                <w:szCs w:val="18"/>
                <w:color w:val="auto"/>
              </w:rPr>
              <w:t>(226)</w:t>
            </w:r>
          </w:p>
        </w:tc>
        <w:tc>
          <w:tcPr>
            <w:tcW w:w="380" w:type="dxa"/>
            <w:vAlign w:val="bottom"/>
          </w:tcPr>
          <w:p>
            <w:pPr>
              <w:spacing w:after="0"/>
              <w:rPr>
                <w:sz w:val="18"/>
                <w:szCs w:val="18"/>
                <w:color w:val="auto"/>
              </w:rPr>
            </w:pPr>
          </w:p>
        </w:tc>
        <w:tc>
          <w:tcPr>
            <w:tcW w:w="4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(494)</w:t>
            </w:r>
          </w:p>
        </w:tc>
        <w:tc>
          <w:tcPr>
            <w:tcW w:w="360" w:type="dxa"/>
            <w:vAlign w:val="bottom"/>
          </w:tcPr>
          <w:p>
            <w:pPr>
              <w:spacing w:after="0"/>
              <w:rPr>
                <w:sz w:val="18"/>
                <w:szCs w:val="18"/>
                <w:color w:val="auto"/>
              </w:rPr>
            </w:pPr>
          </w:p>
        </w:tc>
        <w:tc>
          <w:tcPr>
            <w:tcW w:w="78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(1,320)</w:t>
            </w:r>
          </w:p>
        </w:tc>
      </w:tr>
      <w:tr>
        <w:trPr>
          <w:trHeight w:val="216"/>
        </w:trPr>
        <w:tc>
          <w:tcPr>
            <w:tcW w:w="20" w:type="dxa"/>
            <w:vAlign w:val="bottom"/>
          </w:tcPr>
          <w:p>
            <w:pPr>
              <w:spacing w:after="0"/>
              <w:rPr>
                <w:sz w:val="18"/>
                <w:szCs w:val="18"/>
                <w:color w:val="auto"/>
              </w:rPr>
            </w:pPr>
          </w:p>
        </w:tc>
        <w:tc>
          <w:tcPr>
            <w:tcW w:w="36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Repurchases of common stock</w:t>
            </w:r>
          </w:p>
        </w:tc>
        <w:tc>
          <w:tcPr>
            <w:tcW w:w="3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w w:val="84"/>
              </w:rPr>
              <w:t>(1,252)</w:t>
            </w:r>
          </w:p>
        </w:tc>
        <w:tc>
          <w:tcPr>
            <w:tcW w:w="28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(1,252)</w:t>
            </w:r>
          </w:p>
        </w:tc>
      </w:tr>
      <w:tr>
        <w:trPr>
          <w:trHeight w:val="216"/>
        </w:trPr>
        <w:tc>
          <w:tcPr>
            <w:tcW w:w="20" w:type="dxa"/>
            <w:vAlign w:val="bottom"/>
          </w:tcPr>
          <w:p>
            <w:pPr>
              <w:spacing w:after="0"/>
              <w:rPr>
                <w:sz w:val="18"/>
                <w:szCs w:val="18"/>
                <w:color w:val="auto"/>
              </w:rPr>
            </w:pPr>
          </w:p>
        </w:tc>
        <w:tc>
          <w:tcPr>
            <w:tcW w:w="3660" w:type="dxa"/>
            <w:vAlign w:val="bottom"/>
          </w:tcPr>
          <w:p>
            <w:pPr>
              <w:ind w:left="200"/>
              <w:spacing w:after="0"/>
              <w:rPr>
                <w:sz w:val="20"/>
                <w:szCs w:val="20"/>
                <w:color w:val="auto"/>
              </w:rPr>
            </w:pPr>
            <w:r>
              <w:rPr>
                <w:rFonts w:ascii="Arial" w:cs="Arial" w:eastAsia="Arial" w:hAnsi="Arial"/>
                <w:sz w:val="18"/>
                <w:szCs w:val="18"/>
                <w:color w:val="auto"/>
              </w:rPr>
              <w:t>Issuances of common stock</w:t>
            </w:r>
          </w:p>
        </w:tc>
        <w:tc>
          <w:tcPr>
            <w:tcW w:w="320" w:type="dxa"/>
            <w:vAlign w:val="bottom"/>
          </w:tcPr>
          <w:p>
            <w:pPr>
              <w:spacing w:after="0"/>
              <w:rPr>
                <w:sz w:val="18"/>
                <w:szCs w:val="18"/>
                <w:color w:val="auto"/>
              </w:rPr>
            </w:pPr>
          </w:p>
        </w:tc>
        <w:tc>
          <w:tcPr>
            <w:tcW w:w="700" w:type="dxa"/>
            <w:vAlign w:val="bottom"/>
          </w:tcPr>
          <w:p>
            <w:pPr>
              <w:jc w:val="right"/>
              <w:ind w:right="153"/>
              <w:spacing w:after="0"/>
              <w:rPr>
                <w:sz w:val="20"/>
                <w:szCs w:val="20"/>
                <w:color w:val="auto"/>
              </w:rPr>
            </w:pPr>
            <w:r>
              <w:rPr>
                <w:rFonts w:ascii="Arial" w:cs="Arial" w:eastAsia="Arial" w:hAnsi="Arial"/>
                <w:sz w:val="18"/>
                <w:szCs w:val="18"/>
                <w:color w:val="auto"/>
              </w:rPr>
              <w:t>334</w:t>
            </w:r>
          </w:p>
        </w:tc>
        <w:tc>
          <w:tcPr>
            <w:tcW w:w="280" w:type="dxa"/>
            <w:vAlign w:val="bottom"/>
          </w:tcPr>
          <w:p>
            <w:pPr>
              <w:spacing w:after="0"/>
              <w:rPr>
                <w:sz w:val="18"/>
                <w:szCs w:val="18"/>
                <w:color w:val="auto"/>
              </w:rPr>
            </w:pPr>
          </w:p>
        </w:tc>
        <w:tc>
          <w:tcPr>
            <w:tcW w:w="5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5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4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8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8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334</w:t>
            </w:r>
          </w:p>
        </w:tc>
      </w:tr>
      <w:tr>
        <w:trPr>
          <w:trHeight w:val="216"/>
        </w:trPr>
        <w:tc>
          <w:tcPr>
            <w:tcW w:w="20" w:type="dxa"/>
            <w:vAlign w:val="bottom"/>
          </w:tcPr>
          <w:p>
            <w:pPr>
              <w:spacing w:after="0"/>
              <w:rPr>
                <w:sz w:val="18"/>
                <w:szCs w:val="18"/>
                <w:color w:val="auto"/>
              </w:rPr>
            </w:pPr>
          </w:p>
        </w:tc>
        <w:tc>
          <w:tcPr>
            <w:tcW w:w="366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6</w:t>
            </w:r>
          </w:p>
        </w:tc>
        <w:tc>
          <w:tcPr>
            <w:tcW w:w="28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(8)</w:t>
            </w:r>
          </w:p>
        </w:tc>
        <w:tc>
          <w:tcPr>
            <w:tcW w:w="38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54</w:t>
            </w:r>
          </w:p>
        </w:tc>
        <w:tc>
          <w:tcPr>
            <w:tcW w:w="36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52</w:t>
            </w:r>
          </w:p>
        </w:tc>
      </w:tr>
      <w:tr>
        <w:trPr>
          <w:trHeight w:val="201"/>
        </w:trPr>
        <w:tc>
          <w:tcPr>
            <w:tcW w:w="20" w:type="dxa"/>
            <w:vAlign w:val="bottom"/>
          </w:tcPr>
          <w:p>
            <w:pPr>
              <w:spacing w:after="0"/>
              <w:rPr>
                <w:sz w:val="17"/>
                <w:szCs w:val="17"/>
                <w:color w:val="auto"/>
              </w:rPr>
            </w:pPr>
          </w:p>
        </w:tc>
        <w:tc>
          <w:tcPr>
            <w:tcW w:w="3660" w:type="dxa"/>
            <w:vAlign w:val="bottom"/>
          </w:tcPr>
          <w:p>
            <w:pPr>
              <w:ind w:left="200"/>
              <w:spacing w:after="0" w:line="201" w:lineRule="exact"/>
              <w:rPr>
                <w:sz w:val="20"/>
                <w:szCs w:val="20"/>
                <w:color w:val="auto"/>
              </w:rPr>
            </w:pPr>
            <w:r>
              <w:rPr>
                <w:rFonts w:ascii="Arial" w:cs="Arial" w:eastAsia="Arial" w:hAnsi="Arial"/>
                <w:sz w:val="18"/>
                <w:szCs w:val="18"/>
                <w:color w:val="auto"/>
              </w:rPr>
              <w:t>Net cash provided by (used in) financing</w:t>
            </w: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36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activities</w:t>
            </w: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(337)</w:t>
            </w:r>
          </w:p>
        </w:tc>
        <w:tc>
          <w:tcPr>
            <w:tcW w:w="2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85"/>
              </w:rPr>
              <w:t>(600)</w:t>
            </w:r>
          </w:p>
        </w:tc>
        <w:tc>
          <w:tcPr>
            <w:tcW w:w="3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(234)</w:t>
            </w:r>
          </w:p>
        </w:tc>
        <w:tc>
          <w:tcPr>
            <w:tcW w:w="3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(425)</w:t>
            </w: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(1,596)</w:t>
            </w:r>
          </w:p>
        </w:tc>
      </w:tr>
      <w:tr>
        <w:trPr>
          <w:trHeight w:val="211"/>
        </w:trPr>
        <w:tc>
          <w:tcPr>
            <w:tcW w:w="20" w:type="dxa"/>
            <w:vAlign w:val="bottom"/>
          </w:tcPr>
          <w:p>
            <w:pPr>
              <w:spacing w:after="0"/>
              <w:rPr>
                <w:sz w:val="18"/>
                <w:szCs w:val="18"/>
                <w:color w:val="auto"/>
              </w:rPr>
            </w:pPr>
          </w:p>
        </w:tc>
        <w:tc>
          <w:tcPr>
            <w:tcW w:w="3660" w:type="dxa"/>
            <w:vAlign w:val="bottom"/>
            <w:shd w:val="clear" w:color="auto" w:fill="E5E5E5"/>
          </w:tcPr>
          <w:p>
            <w:pPr>
              <w:spacing w:after="0"/>
              <w:rPr>
                <w:sz w:val="20"/>
                <w:szCs w:val="20"/>
                <w:color w:val="auto"/>
              </w:rPr>
            </w:pPr>
            <w:r>
              <w:rPr>
                <w:rFonts w:ascii="Arial" w:cs="Arial" w:eastAsia="Arial" w:hAnsi="Arial"/>
                <w:sz w:val="18"/>
                <w:szCs w:val="18"/>
                <w:color w:val="auto"/>
              </w:rPr>
              <w:t>Investing Activities:</w:t>
            </w:r>
          </w:p>
        </w:tc>
        <w:tc>
          <w:tcPr>
            <w:tcW w:w="3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200"/>
              <w:spacing w:after="0"/>
              <w:rPr>
                <w:sz w:val="20"/>
                <w:szCs w:val="20"/>
                <w:color w:val="auto"/>
              </w:rPr>
            </w:pPr>
            <w:r>
              <w:rPr>
                <w:rFonts w:ascii="Arial" w:cs="Arial" w:eastAsia="Arial" w:hAnsi="Arial"/>
                <w:sz w:val="18"/>
                <w:szCs w:val="18"/>
                <w:color w:val="auto"/>
              </w:rPr>
              <w:t>Net transactions with affiliates</w:t>
            </w:r>
          </w:p>
        </w:tc>
        <w:tc>
          <w:tcPr>
            <w:tcW w:w="320" w:type="dxa"/>
            <w:vAlign w:val="bottom"/>
          </w:tcPr>
          <w:p>
            <w:pPr>
              <w:spacing w:after="0"/>
              <w:rPr>
                <w:sz w:val="18"/>
                <w:szCs w:val="18"/>
                <w:color w:val="auto"/>
              </w:rPr>
            </w:pPr>
          </w:p>
        </w:tc>
        <w:tc>
          <w:tcPr>
            <w:tcW w:w="700" w:type="dxa"/>
            <w:vAlign w:val="bottom"/>
          </w:tcPr>
          <w:p>
            <w:pPr>
              <w:jc w:val="right"/>
              <w:ind w:right="153"/>
              <w:spacing w:after="0"/>
              <w:rPr>
                <w:sz w:val="20"/>
                <w:szCs w:val="20"/>
                <w:color w:val="auto"/>
              </w:rPr>
            </w:pPr>
            <w:r>
              <w:rPr>
                <w:rFonts w:ascii="Arial" w:cs="Arial" w:eastAsia="Arial" w:hAnsi="Arial"/>
                <w:sz w:val="18"/>
                <w:szCs w:val="18"/>
                <w:color w:val="auto"/>
              </w:rPr>
              <w:t>584</w:t>
            </w:r>
          </w:p>
        </w:tc>
        <w:tc>
          <w:tcPr>
            <w:tcW w:w="280" w:type="dxa"/>
            <w:vAlign w:val="bottom"/>
          </w:tcPr>
          <w:p>
            <w:pPr>
              <w:spacing w:after="0"/>
              <w:rPr>
                <w:sz w:val="18"/>
                <w:szCs w:val="18"/>
                <w:color w:val="auto"/>
              </w:rPr>
            </w:pPr>
          </w:p>
        </w:tc>
        <w:tc>
          <w:tcPr>
            <w:tcW w:w="500" w:type="dxa"/>
            <w:vAlign w:val="bottom"/>
          </w:tcPr>
          <w:p>
            <w:pPr>
              <w:jc w:val="right"/>
              <w:ind w:right="92"/>
              <w:spacing w:after="0"/>
              <w:rPr>
                <w:sz w:val="20"/>
                <w:szCs w:val="20"/>
                <w:color w:val="auto"/>
              </w:rPr>
            </w:pPr>
            <w:r>
              <w:rPr>
                <w:rFonts w:ascii="Arial" w:cs="Arial" w:eastAsia="Arial" w:hAnsi="Arial"/>
                <w:sz w:val="18"/>
                <w:szCs w:val="18"/>
                <w:color w:val="auto"/>
                <w:w w:val="99"/>
              </w:rPr>
              <w:t>722</w:t>
            </w:r>
          </w:p>
        </w:tc>
        <w:tc>
          <w:tcPr>
            <w:tcW w:w="380" w:type="dxa"/>
            <w:vAlign w:val="bottom"/>
          </w:tcPr>
          <w:p>
            <w:pPr>
              <w:spacing w:after="0"/>
              <w:rPr>
                <w:sz w:val="18"/>
                <w:szCs w:val="18"/>
                <w:color w:val="auto"/>
              </w:rPr>
            </w:pPr>
          </w:p>
        </w:tc>
        <w:tc>
          <w:tcPr>
            <w:tcW w:w="500" w:type="dxa"/>
            <w:vAlign w:val="bottom"/>
          </w:tcPr>
          <w:p>
            <w:pPr>
              <w:jc w:val="right"/>
              <w:ind w:right="152"/>
              <w:spacing w:after="0"/>
              <w:rPr>
                <w:sz w:val="20"/>
                <w:szCs w:val="20"/>
                <w:color w:val="auto"/>
              </w:rPr>
            </w:pPr>
            <w:r>
              <w:rPr>
                <w:rFonts w:ascii="Arial" w:cs="Arial" w:eastAsia="Arial" w:hAnsi="Arial"/>
                <w:sz w:val="18"/>
                <w:szCs w:val="18"/>
                <w:color w:val="auto"/>
              </w:rPr>
              <w:t>98</w:t>
            </w:r>
          </w:p>
        </w:tc>
        <w:tc>
          <w:tcPr>
            <w:tcW w:w="360" w:type="dxa"/>
            <w:vAlign w:val="bottom"/>
          </w:tcPr>
          <w:p>
            <w:pPr>
              <w:spacing w:after="0"/>
              <w:rPr>
                <w:sz w:val="18"/>
                <w:szCs w:val="18"/>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334</w:t>
            </w:r>
          </w:p>
        </w:tc>
        <w:tc>
          <w:tcPr>
            <w:tcW w:w="380" w:type="dxa"/>
            <w:vAlign w:val="bottom"/>
          </w:tcPr>
          <w:p>
            <w:pPr>
              <w:spacing w:after="0"/>
              <w:rPr>
                <w:sz w:val="18"/>
                <w:szCs w:val="18"/>
                <w:color w:val="auto"/>
              </w:rPr>
            </w:pPr>
          </w:p>
        </w:tc>
        <w:tc>
          <w:tcPr>
            <w:tcW w:w="4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w w:val="98"/>
              </w:rPr>
              <w:t>(1,738)</w:t>
            </w:r>
          </w:p>
        </w:tc>
        <w:tc>
          <w:tcPr>
            <w:tcW w:w="360" w:type="dxa"/>
            <w:vAlign w:val="bottom"/>
          </w:tcPr>
          <w:p>
            <w:pPr>
              <w:spacing w:after="0"/>
              <w:rPr>
                <w:sz w:val="18"/>
                <w:szCs w:val="18"/>
                <w:color w:val="auto"/>
              </w:rPr>
            </w:pPr>
          </w:p>
        </w:tc>
        <w:tc>
          <w:tcPr>
            <w:tcW w:w="78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6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Capital expenditures</w:t>
            </w:r>
          </w:p>
        </w:tc>
        <w:tc>
          <w:tcPr>
            <w:tcW w:w="3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(6)</w:t>
            </w:r>
          </w:p>
        </w:tc>
        <w:tc>
          <w:tcPr>
            <w:tcW w:w="28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w w:val="98"/>
              </w:rPr>
              <w:t>(3,052)</w:t>
            </w:r>
          </w:p>
        </w:tc>
        <w:tc>
          <w:tcPr>
            <w:tcW w:w="36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(3,058)</w:t>
            </w:r>
          </w:p>
        </w:tc>
      </w:tr>
      <w:tr>
        <w:trPr>
          <w:trHeight w:val="216"/>
        </w:trPr>
        <w:tc>
          <w:tcPr>
            <w:tcW w:w="20" w:type="dxa"/>
            <w:vAlign w:val="bottom"/>
          </w:tcPr>
          <w:p>
            <w:pPr>
              <w:spacing w:after="0"/>
              <w:rPr>
                <w:sz w:val="18"/>
                <w:szCs w:val="18"/>
                <w:color w:val="auto"/>
              </w:rPr>
            </w:pPr>
          </w:p>
        </w:tc>
        <w:tc>
          <w:tcPr>
            <w:tcW w:w="3660" w:type="dxa"/>
            <w:vAlign w:val="bottom"/>
          </w:tcPr>
          <w:p>
            <w:pPr>
              <w:ind w:left="200"/>
              <w:spacing w:after="0"/>
              <w:rPr>
                <w:sz w:val="20"/>
                <w:szCs w:val="20"/>
                <w:color w:val="auto"/>
              </w:rPr>
            </w:pPr>
            <w:r>
              <w:rPr>
                <w:rFonts w:ascii="Arial" w:cs="Arial" w:eastAsia="Arial" w:hAnsi="Arial"/>
                <w:sz w:val="18"/>
                <w:szCs w:val="18"/>
                <w:color w:val="auto"/>
              </w:rPr>
              <w:t>Cash paid for intangible assets</w:t>
            </w:r>
          </w:p>
        </w:tc>
        <w:tc>
          <w:tcPr>
            <w:tcW w:w="320" w:type="dxa"/>
            <w:vAlign w:val="bottom"/>
          </w:tcPr>
          <w:p>
            <w:pPr>
              <w:spacing w:after="0"/>
              <w:rPr>
                <w:sz w:val="18"/>
                <w:szCs w:val="18"/>
                <w:color w:val="auto"/>
              </w:rPr>
            </w:pPr>
          </w:p>
        </w:tc>
        <w:tc>
          <w:tcPr>
            <w:tcW w:w="70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5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4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(229)</w:t>
            </w:r>
          </w:p>
        </w:tc>
        <w:tc>
          <w:tcPr>
            <w:tcW w:w="360" w:type="dxa"/>
            <w:vAlign w:val="bottom"/>
          </w:tcPr>
          <w:p>
            <w:pPr>
              <w:spacing w:after="0"/>
              <w:rPr>
                <w:sz w:val="18"/>
                <w:szCs w:val="18"/>
                <w:color w:val="auto"/>
              </w:rPr>
            </w:pPr>
          </w:p>
        </w:tc>
        <w:tc>
          <w:tcPr>
            <w:tcW w:w="78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(229)</w:t>
            </w:r>
          </w:p>
        </w:tc>
      </w:tr>
      <w:tr>
        <w:trPr>
          <w:trHeight w:val="216"/>
        </w:trPr>
        <w:tc>
          <w:tcPr>
            <w:tcW w:w="20" w:type="dxa"/>
            <w:vAlign w:val="bottom"/>
          </w:tcPr>
          <w:p>
            <w:pPr>
              <w:spacing w:after="0"/>
              <w:rPr>
                <w:sz w:val="18"/>
                <w:szCs w:val="18"/>
                <w:color w:val="auto"/>
              </w:rPr>
            </w:pPr>
          </w:p>
        </w:tc>
        <w:tc>
          <w:tcPr>
            <w:tcW w:w="36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Acquisitions, net of cash acquired</w:t>
            </w:r>
          </w:p>
        </w:tc>
        <w:tc>
          <w:tcPr>
            <w:tcW w:w="3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(770)</w:t>
            </w:r>
          </w:p>
        </w:tc>
        <w:tc>
          <w:tcPr>
            <w:tcW w:w="36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(770)</w:t>
            </w:r>
          </w:p>
        </w:tc>
      </w:tr>
      <w:tr>
        <w:trPr>
          <w:trHeight w:val="216"/>
        </w:trPr>
        <w:tc>
          <w:tcPr>
            <w:tcW w:w="20" w:type="dxa"/>
            <w:vAlign w:val="bottom"/>
          </w:tcPr>
          <w:p>
            <w:pPr>
              <w:spacing w:after="0"/>
              <w:rPr>
                <w:sz w:val="18"/>
                <w:szCs w:val="18"/>
                <w:color w:val="auto"/>
              </w:rPr>
            </w:pPr>
          </w:p>
        </w:tc>
        <w:tc>
          <w:tcPr>
            <w:tcW w:w="3660" w:type="dxa"/>
            <w:vAlign w:val="bottom"/>
          </w:tcPr>
          <w:p>
            <w:pPr>
              <w:ind w:left="200"/>
              <w:spacing w:after="0"/>
              <w:rPr>
                <w:sz w:val="20"/>
                <w:szCs w:val="20"/>
                <w:color w:val="auto"/>
              </w:rPr>
            </w:pPr>
            <w:r>
              <w:rPr>
                <w:rFonts w:ascii="Arial" w:cs="Arial" w:eastAsia="Arial" w:hAnsi="Arial"/>
                <w:sz w:val="18"/>
                <w:szCs w:val="18"/>
                <w:color w:val="auto"/>
              </w:rPr>
              <w:t>Proceeds from sales of investments</w:t>
            </w:r>
          </w:p>
        </w:tc>
        <w:tc>
          <w:tcPr>
            <w:tcW w:w="320" w:type="dxa"/>
            <w:vAlign w:val="bottom"/>
          </w:tcPr>
          <w:p>
            <w:pPr>
              <w:spacing w:after="0"/>
              <w:rPr>
                <w:sz w:val="18"/>
                <w:szCs w:val="18"/>
                <w:color w:val="auto"/>
              </w:rPr>
            </w:pPr>
          </w:p>
        </w:tc>
        <w:tc>
          <w:tcPr>
            <w:tcW w:w="70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5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4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80" w:type="dxa"/>
            <w:vAlign w:val="bottom"/>
          </w:tcPr>
          <w:p>
            <w:pPr>
              <w:jc w:val="right"/>
              <w:ind w:right="153"/>
              <w:spacing w:after="0"/>
              <w:rPr>
                <w:sz w:val="20"/>
                <w:szCs w:val="20"/>
                <w:color w:val="auto"/>
              </w:rPr>
            </w:pPr>
            <w:r>
              <w:rPr>
                <w:rFonts w:ascii="Arial" w:cs="Arial" w:eastAsia="Arial" w:hAnsi="Arial"/>
                <w:sz w:val="18"/>
                <w:szCs w:val="18"/>
                <w:color w:val="auto"/>
              </w:rPr>
              <w:t>1,288</w:t>
            </w:r>
          </w:p>
        </w:tc>
        <w:tc>
          <w:tcPr>
            <w:tcW w:w="360" w:type="dxa"/>
            <w:vAlign w:val="bottom"/>
          </w:tcPr>
          <w:p>
            <w:pPr>
              <w:spacing w:after="0"/>
              <w:rPr>
                <w:sz w:val="18"/>
                <w:szCs w:val="18"/>
                <w:color w:val="auto"/>
              </w:rPr>
            </w:pPr>
          </w:p>
        </w:tc>
        <w:tc>
          <w:tcPr>
            <w:tcW w:w="78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1,288</w:t>
            </w:r>
          </w:p>
        </w:tc>
      </w:tr>
      <w:tr>
        <w:trPr>
          <w:trHeight w:val="216"/>
        </w:trPr>
        <w:tc>
          <w:tcPr>
            <w:tcW w:w="20" w:type="dxa"/>
            <w:vAlign w:val="bottom"/>
          </w:tcPr>
          <w:p>
            <w:pPr>
              <w:spacing w:after="0"/>
              <w:rPr>
                <w:sz w:val="18"/>
                <w:szCs w:val="18"/>
                <w:color w:val="auto"/>
              </w:rPr>
            </w:pPr>
          </w:p>
        </w:tc>
        <w:tc>
          <w:tcPr>
            <w:tcW w:w="36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Purchases of investments</w:t>
            </w:r>
          </w:p>
        </w:tc>
        <w:tc>
          <w:tcPr>
            <w:tcW w:w="3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(52)</w:t>
            </w:r>
          </w:p>
        </w:tc>
        <w:tc>
          <w:tcPr>
            <w:tcW w:w="36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(52)</w:t>
            </w:r>
          </w:p>
        </w:tc>
      </w:tr>
      <w:tr>
        <w:trPr>
          <w:trHeight w:val="208"/>
        </w:trPr>
        <w:tc>
          <w:tcPr>
            <w:tcW w:w="20" w:type="dxa"/>
            <w:vAlign w:val="bottom"/>
          </w:tcPr>
          <w:p>
            <w:pPr>
              <w:spacing w:after="0"/>
              <w:rPr>
                <w:sz w:val="18"/>
                <w:szCs w:val="18"/>
                <w:color w:val="auto"/>
              </w:rPr>
            </w:pPr>
          </w:p>
        </w:tc>
        <w:tc>
          <w:tcPr>
            <w:tcW w:w="3660" w:type="dxa"/>
            <w:vAlign w:val="bottom"/>
          </w:tcPr>
          <w:p>
            <w:pPr>
              <w:ind w:left="200"/>
              <w:spacing w:after="0"/>
              <w:rPr>
                <w:sz w:val="20"/>
                <w:szCs w:val="20"/>
                <w:color w:val="auto"/>
              </w:rPr>
            </w:pPr>
            <w:r>
              <w:rPr>
                <w:rFonts w:ascii="Arial" w:cs="Arial" w:eastAsia="Arial" w:hAnsi="Arial"/>
                <w:sz w:val="18"/>
                <w:szCs w:val="18"/>
                <w:color w:val="auto"/>
                <w:w w:val="92"/>
              </w:rPr>
              <w:t>Proceeds from sales (purchases) of short-term</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660" w:type="dxa"/>
            <w:vAlign w:val="bottom"/>
          </w:tcPr>
          <w:p>
            <w:pPr>
              <w:ind w:left="420"/>
              <w:spacing w:after="0"/>
              <w:rPr>
                <w:sz w:val="20"/>
                <w:szCs w:val="20"/>
                <w:color w:val="auto"/>
              </w:rPr>
            </w:pPr>
            <w:r>
              <w:rPr>
                <w:rFonts w:ascii="Arial" w:cs="Arial" w:eastAsia="Arial" w:hAnsi="Arial"/>
                <w:sz w:val="18"/>
                <w:szCs w:val="18"/>
                <w:color w:val="auto"/>
              </w:rPr>
              <w:t>investments, net</w:t>
            </w:r>
          </w:p>
        </w:tc>
        <w:tc>
          <w:tcPr>
            <w:tcW w:w="320" w:type="dxa"/>
            <w:vAlign w:val="bottom"/>
          </w:tcPr>
          <w:p>
            <w:pPr>
              <w:spacing w:after="0"/>
              <w:rPr>
                <w:sz w:val="19"/>
                <w:szCs w:val="19"/>
                <w:color w:val="auto"/>
              </w:rPr>
            </w:pPr>
          </w:p>
        </w:tc>
        <w:tc>
          <w:tcPr>
            <w:tcW w:w="70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5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4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80" w:type="dxa"/>
            <w:vAlign w:val="bottom"/>
          </w:tcPr>
          <w:p>
            <w:pPr>
              <w:jc w:val="right"/>
              <w:ind w:right="153"/>
              <w:spacing w:after="0"/>
              <w:rPr>
                <w:sz w:val="20"/>
                <w:szCs w:val="20"/>
                <w:color w:val="auto"/>
              </w:rPr>
            </w:pPr>
            <w:r>
              <w:rPr>
                <w:rFonts w:ascii="Arial" w:cs="Arial" w:eastAsia="Arial" w:hAnsi="Arial"/>
                <w:sz w:val="18"/>
                <w:szCs w:val="18"/>
                <w:color w:val="auto"/>
              </w:rPr>
              <w:t>56</w:t>
            </w:r>
          </w:p>
        </w:tc>
        <w:tc>
          <w:tcPr>
            <w:tcW w:w="360" w:type="dxa"/>
            <w:vAlign w:val="bottom"/>
          </w:tcPr>
          <w:p>
            <w:pPr>
              <w:spacing w:after="0"/>
              <w:rPr>
                <w:sz w:val="19"/>
                <w:szCs w:val="19"/>
                <w:color w:val="auto"/>
              </w:rPr>
            </w:pPr>
          </w:p>
        </w:tc>
        <w:tc>
          <w:tcPr>
            <w:tcW w:w="78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7"/>
        </w:trPr>
        <w:tc>
          <w:tcPr>
            <w:tcW w:w="20" w:type="dxa"/>
            <w:vAlign w:val="bottom"/>
          </w:tcPr>
          <w:p>
            <w:pPr>
              <w:spacing w:after="0"/>
              <w:rPr>
                <w:sz w:val="18"/>
                <w:szCs w:val="18"/>
                <w:color w:val="auto"/>
              </w:rPr>
            </w:pPr>
          </w:p>
        </w:tc>
        <w:tc>
          <w:tcPr>
            <w:tcW w:w="366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(36)</w:t>
            </w:r>
          </w:p>
        </w:tc>
        <w:tc>
          <w:tcPr>
            <w:tcW w:w="28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79</w:t>
            </w:r>
          </w:p>
        </w:tc>
        <w:tc>
          <w:tcPr>
            <w:tcW w:w="36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43</w:t>
            </w:r>
          </w:p>
        </w:tc>
      </w:tr>
      <w:tr>
        <w:trPr>
          <w:trHeight w:val="201"/>
        </w:trPr>
        <w:tc>
          <w:tcPr>
            <w:tcW w:w="20" w:type="dxa"/>
            <w:vAlign w:val="bottom"/>
          </w:tcPr>
          <w:p>
            <w:pPr>
              <w:spacing w:after="0"/>
              <w:rPr>
                <w:sz w:val="17"/>
                <w:szCs w:val="17"/>
                <w:color w:val="auto"/>
              </w:rPr>
            </w:pPr>
          </w:p>
        </w:tc>
        <w:tc>
          <w:tcPr>
            <w:tcW w:w="3660" w:type="dxa"/>
            <w:vAlign w:val="bottom"/>
          </w:tcPr>
          <w:p>
            <w:pPr>
              <w:ind w:left="200"/>
              <w:spacing w:after="0" w:line="201" w:lineRule="exact"/>
              <w:rPr>
                <w:sz w:val="20"/>
                <w:szCs w:val="20"/>
                <w:color w:val="auto"/>
              </w:rPr>
            </w:pPr>
            <w:r>
              <w:rPr>
                <w:rFonts w:ascii="Arial" w:cs="Arial" w:eastAsia="Arial" w:hAnsi="Arial"/>
                <w:sz w:val="18"/>
                <w:szCs w:val="18"/>
                <w:color w:val="auto"/>
              </w:rPr>
              <w:t>Net cash provided by (used in) investing</w:t>
            </w: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36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activities</w:t>
            </w: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542</w:t>
            </w:r>
          </w:p>
        </w:tc>
        <w:tc>
          <w:tcPr>
            <w:tcW w:w="2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722</w:t>
            </w:r>
          </w:p>
        </w:tc>
        <w:tc>
          <w:tcPr>
            <w:tcW w:w="3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98</w:t>
            </w:r>
          </w:p>
        </w:tc>
        <w:tc>
          <w:tcPr>
            <w:tcW w:w="3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334</w:t>
            </w:r>
          </w:p>
        </w:tc>
        <w:tc>
          <w:tcPr>
            <w:tcW w:w="3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w w:val="98"/>
              </w:rPr>
              <w:t>(4,418)</w:t>
            </w: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(2,722)</w:t>
            </w:r>
          </w:p>
        </w:tc>
      </w:tr>
      <w:tr>
        <w:trPr>
          <w:trHeight w:val="211"/>
        </w:trPr>
        <w:tc>
          <w:tcPr>
            <w:tcW w:w="20" w:type="dxa"/>
            <w:vAlign w:val="bottom"/>
          </w:tcPr>
          <w:p>
            <w:pPr>
              <w:spacing w:after="0"/>
              <w:rPr>
                <w:sz w:val="18"/>
                <w:szCs w:val="18"/>
                <w:color w:val="auto"/>
              </w:rPr>
            </w:pPr>
          </w:p>
        </w:tc>
        <w:tc>
          <w:tcPr>
            <w:tcW w:w="3660" w:type="dxa"/>
            <w:vAlign w:val="bottom"/>
            <w:shd w:val="clear" w:color="auto" w:fill="E5E5E5"/>
          </w:tcPr>
          <w:p>
            <w:pPr>
              <w:spacing w:after="0"/>
              <w:rPr>
                <w:sz w:val="20"/>
                <w:szCs w:val="20"/>
                <w:color w:val="auto"/>
              </w:rPr>
            </w:pPr>
            <w:r>
              <w:rPr>
                <w:rFonts w:ascii="Arial" w:cs="Arial" w:eastAsia="Arial" w:hAnsi="Arial"/>
                <w:sz w:val="18"/>
                <w:szCs w:val="18"/>
                <w:color w:val="auto"/>
                <w:w w:val="91"/>
              </w:rPr>
              <w:t>Increase (decrease) in cash and cash equivalents</w:t>
            </w:r>
          </w:p>
        </w:tc>
        <w:tc>
          <w:tcPr>
            <w:tcW w:w="3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(41)</w:t>
            </w:r>
          </w:p>
        </w:tc>
        <w:tc>
          <w:tcPr>
            <w:tcW w:w="28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(370)</w:t>
            </w:r>
          </w:p>
        </w:tc>
        <w:tc>
          <w:tcPr>
            <w:tcW w:w="36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(411)</w:t>
            </w:r>
          </w:p>
        </w:tc>
      </w:tr>
      <w:tr>
        <w:trPr>
          <w:trHeight w:val="216"/>
        </w:trPr>
        <w:tc>
          <w:tcPr>
            <w:tcW w:w="20" w:type="dxa"/>
            <w:vAlign w:val="bottom"/>
          </w:tcPr>
          <w:p>
            <w:pPr>
              <w:spacing w:after="0"/>
              <w:rPr>
                <w:sz w:val="18"/>
                <w:szCs w:val="18"/>
                <w:color w:val="auto"/>
              </w:rPr>
            </w:pPr>
          </w:p>
        </w:tc>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5"/>
              </w:rPr>
              <w:t>Cash and cash equivalents, beginning of period</w:t>
            </w: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77</w:t>
            </w:r>
          </w:p>
        </w:tc>
        <w:tc>
          <w:tcPr>
            <w:tcW w:w="2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1,162</w:t>
            </w: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w:t>
            </w:r>
          </w:p>
        </w:tc>
      </w:tr>
      <w:tr>
        <w:trPr>
          <w:trHeight w:val="217"/>
        </w:trPr>
        <w:tc>
          <w:tcPr>
            <w:tcW w:w="20" w:type="dxa"/>
            <w:vAlign w:val="bottom"/>
          </w:tcPr>
          <w:p>
            <w:pPr>
              <w:spacing w:after="0"/>
              <w:rPr>
                <w:sz w:val="18"/>
                <w:szCs w:val="18"/>
                <w:color w:val="auto"/>
              </w:rPr>
            </w:pPr>
          </w:p>
        </w:tc>
        <w:tc>
          <w:tcPr>
            <w:tcW w:w="36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3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b w:val="1"/>
                <w:bCs w:val="1"/>
                <w:color w:val="auto"/>
              </w:rPr>
              <w:t>36</w:t>
            </w:r>
          </w:p>
        </w:tc>
        <w:tc>
          <w:tcPr>
            <w:tcW w:w="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shd w:val="clear" w:color="auto" w:fill="E5E5E5"/>
          </w:tcPr>
          <w:p>
            <w:pPr>
              <w:ind w:left="260"/>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b w:val="1"/>
                <w:bCs w:val="1"/>
                <w:color w:val="auto"/>
              </w:rPr>
              <w:t>792</w:t>
            </w:r>
          </w:p>
        </w:tc>
        <w:tc>
          <w:tcPr>
            <w:tcW w:w="360" w:type="dxa"/>
            <w:vAlign w:val="bottom"/>
            <w:tcBorders>
              <w:bottom w:val="single" w:sz="8" w:color="auto"/>
            </w:tcBorders>
            <w:shd w:val="clear" w:color="auto" w:fill="E5E5E5"/>
          </w:tcPr>
          <w:p>
            <w:pPr>
              <w:jc w:val="right"/>
              <w:ind w:right="4"/>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828</w:t>
            </w:r>
          </w:p>
        </w:tc>
      </w:tr>
      <w:tr>
        <w:trPr>
          <w:trHeight w:val="363"/>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ind w:left="140"/>
              <w:spacing w:after="0"/>
              <w:rPr>
                <w:sz w:val="20"/>
                <w:szCs w:val="20"/>
                <w:color w:val="auto"/>
              </w:rPr>
            </w:pPr>
            <w:r>
              <w:rPr>
                <w:rFonts w:ascii="Arial" w:cs="Arial" w:eastAsia="Arial" w:hAnsi="Arial"/>
                <w:sz w:val="18"/>
                <w:szCs w:val="18"/>
                <w:color w:val="auto"/>
              </w:rPr>
              <w:t>22</w:t>
            </w: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right="940"/>
        <w:spacing w:after="0" w:line="261"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the largest cable operator in the United States and offer a variety of entertainment and communications products and services. As of June 30, 2008, our cable systems served approximately 24.6 million video subscribers, 14.4 million high-speed Internet subscribers and 5.7 million phone subscribers and passed approximately 50.1 million homes in 39 states and the District of Columbia.</w:t>
      </w:r>
    </w:p>
    <w:p>
      <w:pPr>
        <w:spacing w:after="0" w:line="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classify our operations in two reportable segments: Cable and Programming. Our Cable segment, which generates approximately 95% of our consolidated revenue, manages and operates our cable systems, including video, high-speed Internet and phone services (“cable services”). The majority of our Cable segment revenue is earned from monthly subscriptions for these cable services. Other revenue sources include advertising and the operation of our regional sports and news networks. Our Programming segment consists primarily of our consolidated national programming networks, including E!, The Golf Channel, VERSUS, G4 and Style. Revenue from our Programming segment is earned primarily from the sale of advertising and from monthly per subscriber programming license fees.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Highlights and business developments for the six months ended June 30, 2008 include the following:</w:t>
      </w:r>
    </w:p>
    <w:p>
      <w:pPr>
        <w:spacing w:after="0" w:line="77" w:lineRule="exact"/>
        <w:rPr>
          <w:sz w:val="20"/>
          <w:szCs w:val="20"/>
          <w:color w:val="auto"/>
        </w:rPr>
      </w:pPr>
    </w:p>
    <w:p>
      <w:pPr>
        <w:ind w:left="1020" w:right="1240" w:hanging="215"/>
        <w:spacing w:after="0" w:line="268"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in consolidated revenue of 12.2% to approximately $16.9 billion and an increase in consolidated operating income of 21.1% to approximately $3.3 billion</w:t>
      </w:r>
    </w:p>
    <w:p>
      <w:pPr>
        <w:spacing w:after="0" w:line="37" w:lineRule="exact"/>
        <w:rPr>
          <w:rFonts w:ascii="Arial" w:cs="Arial" w:eastAsia="Arial" w:hAnsi="Arial"/>
          <w:sz w:val="18"/>
          <w:szCs w:val="18"/>
          <w:color w:val="auto"/>
        </w:rPr>
      </w:pPr>
    </w:p>
    <w:p>
      <w:pPr>
        <w:jc w:val="both"/>
        <w:ind w:left="1020" w:right="1240" w:hanging="215"/>
        <w:spacing w:after="0" w:line="259"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in Cable segment revenue of 11.8% to approximately $16.0 billion and an increase in operating income before depreciation and amortization of 11.7% to approximately $6.5 billion, both driven by growth in subscribers, acquisitions and the success of our bundled offerings</w:t>
      </w:r>
    </w:p>
    <w:p>
      <w:pPr>
        <w:spacing w:after="0" w:line="45" w:lineRule="exact"/>
        <w:rPr>
          <w:rFonts w:ascii="Arial" w:cs="Arial" w:eastAsia="Arial" w:hAnsi="Arial"/>
          <w:sz w:val="18"/>
          <w:szCs w:val="18"/>
          <w:color w:val="auto"/>
        </w:rPr>
      </w:pPr>
    </w:p>
    <w:p>
      <w:pPr>
        <w:ind w:left="1020" w:right="1260" w:hanging="215"/>
        <w:spacing w:after="0" w:line="268"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repurchase of approximately 101 million shares of our Class A and Class A Special common stock under our Board-authorized share repurchase program for approximately $2.0 billion</w:t>
      </w:r>
    </w:p>
    <w:p>
      <w:pPr>
        <w:spacing w:after="0" w:line="37" w:lineRule="exact"/>
        <w:rPr>
          <w:rFonts w:ascii="Arial" w:cs="Arial" w:eastAsia="Arial" w:hAnsi="Arial"/>
          <w:sz w:val="18"/>
          <w:szCs w:val="18"/>
          <w:color w:val="auto"/>
        </w:rPr>
      </w:pPr>
    </w:p>
    <w:p>
      <w:pPr>
        <w:ind w:left="1020" w:right="1260" w:hanging="215"/>
        <w:spacing w:after="0" w:line="268"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acquisition of cable systems serving Illinois and Indiana (approximately 696,000 video subscribers), as a result of the dissolution of Insight Midwest, LP (the “Insight transaction”), in January 2008</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Operating Results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40" w:type="dxa"/>
            <w:vAlign w:val="bottom"/>
            <w:gridSpan w:val="3"/>
          </w:tcPr>
          <w:p>
            <w:pPr>
              <w:jc w:val="right"/>
              <w:ind w:right="274"/>
              <w:spacing w:after="0"/>
              <w:rPr>
                <w:sz w:val="20"/>
                <w:szCs w:val="20"/>
                <w:color w:val="auto"/>
              </w:rPr>
            </w:pPr>
            <w:r>
              <w:rPr>
                <w:rFonts w:ascii="Arial" w:cs="Arial" w:eastAsia="Arial" w:hAnsi="Arial"/>
                <w:sz w:val="14"/>
                <w:szCs w:val="14"/>
                <w:color w:val="auto"/>
                <w:w w:val="88"/>
              </w:rPr>
              <w:t>Three Months Ended</w:t>
            </w:r>
          </w:p>
        </w:tc>
        <w:tc>
          <w:tcPr>
            <w:tcW w:w="1080" w:type="dxa"/>
            <w:vAlign w:val="bottom"/>
          </w:tcPr>
          <w:p>
            <w:pPr>
              <w:jc w:val="right"/>
              <w:ind w:right="295"/>
              <w:spacing w:after="0"/>
              <w:rPr>
                <w:sz w:val="20"/>
                <w:szCs w:val="20"/>
                <w:color w:val="auto"/>
              </w:rPr>
            </w:pPr>
            <w:r>
              <w:rPr>
                <w:rFonts w:ascii="Arial" w:cs="Arial" w:eastAsia="Arial" w:hAnsi="Arial"/>
                <w:sz w:val="14"/>
                <w:szCs w:val="14"/>
                <w:color w:val="auto"/>
              </w:rPr>
              <w:t>Increase/</w:t>
            </w:r>
          </w:p>
        </w:tc>
        <w:tc>
          <w:tcPr>
            <w:tcW w:w="240" w:type="dxa"/>
            <w:vAlign w:val="bottom"/>
          </w:tcPr>
          <w:p>
            <w:pPr>
              <w:spacing w:after="0"/>
              <w:rPr>
                <w:sz w:val="14"/>
                <w:szCs w:val="14"/>
                <w:color w:val="auto"/>
              </w:rPr>
            </w:pPr>
          </w:p>
        </w:tc>
        <w:tc>
          <w:tcPr>
            <w:tcW w:w="1660" w:type="dxa"/>
            <w:vAlign w:val="bottom"/>
            <w:gridSpan w:val="3"/>
          </w:tcPr>
          <w:p>
            <w:pPr>
              <w:jc w:val="right"/>
              <w:ind w:right="394"/>
              <w:spacing w:after="0"/>
              <w:rPr>
                <w:sz w:val="20"/>
                <w:szCs w:val="20"/>
                <w:color w:val="auto"/>
              </w:rPr>
            </w:pPr>
            <w:r>
              <w:rPr>
                <w:rFonts w:ascii="Arial" w:cs="Arial" w:eastAsia="Arial" w:hAnsi="Arial"/>
                <w:sz w:val="14"/>
                <w:szCs w:val="14"/>
                <w:color w:val="auto"/>
              </w:rPr>
              <w:t>Six Months Ended</w:t>
            </w:r>
          </w:p>
        </w:tc>
        <w:tc>
          <w:tcPr>
            <w:tcW w:w="1000" w:type="dxa"/>
            <w:vAlign w:val="bottom"/>
          </w:tcPr>
          <w:p>
            <w:pPr>
              <w:jc w:val="right"/>
              <w:ind w:right="215"/>
              <w:spacing w:after="0"/>
              <w:rPr>
                <w:sz w:val="20"/>
                <w:szCs w:val="20"/>
                <w:color w:val="auto"/>
              </w:rPr>
            </w:pPr>
            <w:r>
              <w:rPr>
                <w:rFonts w:ascii="Arial" w:cs="Arial" w:eastAsia="Arial" w:hAnsi="Arial"/>
                <w:sz w:val="14"/>
                <w:szCs w:val="14"/>
                <w:color w:val="auto"/>
              </w:rPr>
              <w:t>Increase/</w:t>
            </w:r>
          </w:p>
        </w:tc>
      </w:tr>
      <w:tr>
        <w:trPr>
          <w:trHeight w:val="173"/>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June 30</w:t>
            </w:r>
          </w:p>
        </w:tc>
        <w:tc>
          <w:tcPr>
            <w:tcW w:w="6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color w:val="auto"/>
              </w:rPr>
              <w:t>(Decrease)</w:t>
            </w: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June 30</w:t>
            </w:r>
          </w:p>
        </w:tc>
        <w:tc>
          <w:tcPr>
            <w:tcW w:w="7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color w:val="auto"/>
              </w:rPr>
              <w:t>(Decrease)</w:t>
            </w:r>
          </w:p>
        </w:tc>
      </w:tr>
      <w:tr>
        <w:trPr>
          <w:trHeight w:val="237"/>
        </w:trPr>
        <w:tc>
          <w:tcPr>
            <w:tcW w:w="55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400" w:type="dxa"/>
            <w:vAlign w:val="bottom"/>
          </w:tcPr>
          <w:p>
            <w:pPr>
              <w:spacing w:after="0"/>
              <w:rPr>
                <w:sz w:val="20"/>
                <w:szCs w:val="20"/>
                <w:color w:val="auto"/>
              </w:rPr>
            </w:pPr>
          </w:p>
        </w:tc>
        <w:tc>
          <w:tcPr>
            <w:tcW w:w="640" w:type="dxa"/>
            <w:vAlign w:val="bottom"/>
          </w:tcPr>
          <w:p>
            <w:pPr>
              <w:jc w:val="right"/>
              <w:ind w:right="257"/>
              <w:spacing w:after="0"/>
              <w:rPr>
                <w:sz w:val="20"/>
                <w:szCs w:val="20"/>
                <w:color w:val="auto"/>
              </w:rPr>
            </w:pPr>
            <w:r>
              <w:rPr>
                <w:rFonts w:ascii="Arial" w:cs="Arial" w:eastAsia="Arial" w:hAnsi="Arial"/>
                <w:sz w:val="14"/>
                <w:szCs w:val="14"/>
                <w:color w:val="auto"/>
                <w:w w:val="89"/>
              </w:rPr>
              <w:t>2008</w:t>
            </w:r>
          </w:p>
        </w:tc>
        <w:tc>
          <w:tcPr>
            <w:tcW w:w="260" w:type="dxa"/>
            <w:vAlign w:val="bottom"/>
          </w:tcPr>
          <w:p>
            <w:pPr>
              <w:spacing w:after="0"/>
              <w:rPr>
                <w:sz w:val="20"/>
                <w:szCs w:val="20"/>
                <w:color w:val="auto"/>
              </w:rPr>
            </w:pPr>
          </w:p>
        </w:tc>
        <w:tc>
          <w:tcPr>
            <w:tcW w:w="640" w:type="dxa"/>
            <w:vAlign w:val="bottom"/>
          </w:tcPr>
          <w:p>
            <w:pPr>
              <w:jc w:val="right"/>
              <w:ind w:right="254"/>
              <w:spacing w:after="0"/>
              <w:rPr>
                <w:sz w:val="20"/>
                <w:szCs w:val="20"/>
                <w:color w:val="auto"/>
              </w:rPr>
            </w:pPr>
            <w:r>
              <w:rPr>
                <w:rFonts w:ascii="Arial" w:cs="Arial" w:eastAsia="Arial" w:hAnsi="Arial"/>
                <w:sz w:val="14"/>
                <w:szCs w:val="14"/>
                <w:color w:val="auto"/>
                <w:w w:val="89"/>
              </w:rPr>
              <w:t>2007</w:t>
            </w: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277"/>
              <w:spacing w:after="0"/>
              <w:rPr>
                <w:sz w:val="20"/>
                <w:szCs w:val="20"/>
                <w:color w:val="auto"/>
              </w:rPr>
            </w:pPr>
            <w:r>
              <w:rPr>
                <w:rFonts w:ascii="Arial" w:cs="Arial" w:eastAsia="Arial" w:hAnsi="Arial"/>
                <w:sz w:val="14"/>
                <w:szCs w:val="14"/>
                <w:color w:val="auto"/>
              </w:rPr>
              <w:t>2008</w:t>
            </w:r>
          </w:p>
        </w:tc>
        <w:tc>
          <w:tcPr>
            <w:tcW w:w="260" w:type="dxa"/>
            <w:vAlign w:val="bottom"/>
          </w:tcPr>
          <w:p>
            <w:pPr>
              <w:spacing w:after="0"/>
              <w:rPr>
                <w:sz w:val="20"/>
                <w:szCs w:val="20"/>
                <w:color w:val="auto"/>
              </w:rPr>
            </w:pPr>
          </w:p>
        </w:tc>
        <w:tc>
          <w:tcPr>
            <w:tcW w:w="700" w:type="dxa"/>
            <w:vAlign w:val="bottom"/>
          </w:tcPr>
          <w:p>
            <w:pPr>
              <w:jc w:val="right"/>
              <w:ind w:right="294"/>
              <w:spacing w:after="0"/>
              <w:rPr>
                <w:sz w:val="20"/>
                <w:szCs w:val="20"/>
                <w:color w:val="auto"/>
              </w:rPr>
            </w:pPr>
            <w:r>
              <w:rPr>
                <w:rFonts w:ascii="Arial" w:cs="Arial" w:eastAsia="Arial" w:hAnsi="Arial"/>
                <w:sz w:val="14"/>
                <w:szCs w:val="14"/>
                <w:color w:val="auto"/>
                <w:w w:val="96"/>
              </w:rPr>
              <w:t>2007</w:t>
            </w:r>
          </w:p>
        </w:tc>
        <w:tc>
          <w:tcPr>
            <w:tcW w:w="10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4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4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color w:val="auto"/>
                <w:w w:val="88"/>
              </w:rPr>
              <w:t>8,553</w:t>
            </w:r>
          </w:p>
        </w:tc>
        <w:tc>
          <w:tcPr>
            <w:tcW w:w="2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E5E5E5"/>
          </w:tcPr>
          <w:p>
            <w:pPr>
              <w:jc w:val="right"/>
              <w:ind w:right="114"/>
              <w:spacing w:after="0"/>
              <w:rPr>
                <w:sz w:val="20"/>
                <w:szCs w:val="20"/>
                <w:color w:val="auto"/>
              </w:rPr>
            </w:pPr>
            <w:r>
              <w:rPr>
                <w:rFonts w:ascii="Arial" w:cs="Arial" w:eastAsia="Arial" w:hAnsi="Arial"/>
                <w:sz w:val="18"/>
                <w:szCs w:val="18"/>
                <w:color w:val="auto"/>
                <w:w w:val="93"/>
              </w:rPr>
              <w:t>7,712</w:t>
            </w:r>
          </w:p>
        </w:tc>
        <w:tc>
          <w:tcPr>
            <w:tcW w:w="1080" w:type="dxa"/>
            <w:vAlign w:val="bottom"/>
            <w:tcBorders>
              <w:top w:val="single" w:sz="8" w:color="auto"/>
            </w:tcBorders>
            <w:shd w:val="clear" w:color="auto" w:fill="E5E5E5"/>
          </w:tcPr>
          <w:p>
            <w:pPr>
              <w:jc w:val="right"/>
              <w:ind w:right="95"/>
              <w:spacing w:after="0"/>
              <w:rPr>
                <w:sz w:val="20"/>
                <w:szCs w:val="20"/>
                <w:color w:val="auto"/>
              </w:rPr>
            </w:pPr>
            <w:r>
              <w:rPr>
                <w:rFonts w:ascii="Arial" w:cs="Arial" w:eastAsia="Arial" w:hAnsi="Arial"/>
                <w:sz w:val="18"/>
                <w:szCs w:val="18"/>
                <w:color w:val="auto"/>
              </w:rPr>
              <w:t>10.9%</w:t>
            </w:r>
          </w:p>
        </w:tc>
        <w:tc>
          <w:tcPr>
            <w:tcW w:w="2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color w:val="auto"/>
                <w:w w:val="83"/>
              </w:rPr>
              <w:t>16,942</w:t>
            </w:r>
          </w:p>
        </w:tc>
        <w:tc>
          <w:tcPr>
            <w:tcW w:w="2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w w:val="83"/>
              </w:rPr>
              <w:t>15,100</w:t>
            </w:r>
          </w:p>
        </w:tc>
        <w:tc>
          <w:tcPr>
            <w:tcW w:w="1000" w:type="dxa"/>
            <w:vAlign w:val="bottom"/>
            <w:tcBorders>
              <w:top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12.2%</w:t>
            </w: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Costs and expenses:</w:t>
            </w: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480" w:type="dxa"/>
            <w:vAlign w:val="bottom"/>
            <w:shd w:val="clear" w:color="auto" w:fill="E5E5E5"/>
          </w:tcPr>
          <w:p>
            <w:pPr>
              <w:spacing w:after="0"/>
              <w:rPr>
                <w:sz w:val="20"/>
                <w:szCs w:val="20"/>
                <w:color w:val="auto"/>
              </w:rPr>
            </w:pPr>
            <w:r>
              <w:rPr>
                <w:rFonts w:ascii="Arial" w:cs="Arial" w:eastAsia="Arial" w:hAnsi="Arial"/>
                <w:sz w:val="18"/>
                <w:szCs w:val="18"/>
                <w:color w:val="auto"/>
              </w:rPr>
              <w:t>Operating, selling, general and administrative expenses (excluding</w:t>
            </w:r>
          </w:p>
        </w:tc>
        <w:tc>
          <w:tcPr>
            <w:tcW w:w="40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108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54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depreciation and amortization)</w:t>
            </w:r>
          </w:p>
        </w:tc>
        <w:tc>
          <w:tcPr>
            <w:tcW w:w="400" w:type="dxa"/>
            <w:vAlign w:val="bottom"/>
            <w:shd w:val="clear" w:color="auto" w:fill="E5E5E5"/>
          </w:tcPr>
          <w:p>
            <w:pPr>
              <w:spacing w:after="0"/>
              <w:rPr>
                <w:sz w:val="19"/>
                <w:szCs w:val="19"/>
                <w:color w:val="auto"/>
              </w:rPr>
            </w:pPr>
          </w:p>
        </w:tc>
        <w:tc>
          <w:tcPr>
            <w:tcW w:w="64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w w:val="88"/>
              </w:rPr>
              <w:t>5,202</w:t>
            </w:r>
          </w:p>
        </w:tc>
        <w:tc>
          <w:tcPr>
            <w:tcW w:w="260" w:type="dxa"/>
            <w:vAlign w:val="bottom"/>
            <w:shd w:val="clear" w:color="auto" w:fill="E5E5E5"/>
          </w:tcPr>
          <w:p>
            <w:pPr>
              <w:spacing w:after="0"/>
              <w:rPr>
                <w:sz w:val="19"/>
                <w:szCs w:val="19"/>
                <w:color w:val="auto"/>
              </w:rPr>
            </w:pPr>
          </w:p>
        </w:tc>
        <w:tc>
          <w:tcPr>
            <w:tcW w:w="64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w w:val="93"/>
              </w:rPr>
              <w:t>4,700</w:t>
            </w:r>
          </w:p>
        </w:tc>
        <w:tc>
          <w:tcPr>
            <w:tcW w:w="1080" w:type="dxa"/>
            <w:vAlign w:val="bottom"/>
            <w:shd w:val="clear" w:color="auto" w:fill="E5E5E5"/>
          </w:tcPr>
          <w:p>
            <w:pPr>
              <w:jc w:val="right"/>
              <w:ind w:right="235"/>
              <w:spacing w:after="0"/>
              <w:rPr>
                <w:sz w:val="20"/>
                <w:szCs w:val="20"/>
                <w:color w:val="auto"/>
              </w:rPr>
            </w:pPr>
            <w:r>
              <w:rPr>
                <w:rFonts w:ascii="Arial" w:cs="Arial" w:eastAsia="Arial" w:hAnsi="Arial"/>
                <w:sz w:val="18"/>
                <w:szCs w:val="18"/>
                <w:color w:val="auto"/>
              </w:rPr>
              <w:t>10.7</w:t>
            </w:r>
          </w:p>
        </w:tc>
        <w:tc>
          <w:tcPr>
            <w:tcW w:w="240" w:type="dxa"/>
            <w:vAlign w:val="bottom"/>
            <w:shd w:val="clear" w:color="auto" w:fill="E5E5E5"/>
          </w:tcPr>
          <w:p>
            <w:pPr>
              <w:spacing w:after="0"/>
              <w:rPr>
                <w:sz w:val="19"/>
                <w:szCs w:val="19"/>
                <w:color w:val="auto"/>
              </w:rPr>
            </w:pPr>
          </w:p>
        </w:tc>
        <w:tc>
          <w:tcPr>
            <w:tcW w:w="70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w w:val="83"/>
              </w:rPr>
              <w:t>10,417</w:t>
            </w:r>
          </w:p>
        </w:tc>
        <w:tc>
          <w:tcPr>
            <w:tcW w:w="260" w:type="dxa"/>
            <w:vAlign w:val="bottom"/>
            <w:shd w:val="clear" w:color="auto" w:fill="E5E5E5"/>
          </w:tcPr>
          <w:p>
            <w:pPr>
              <w:spacing w:after="0"/>
              <w:rPr>
                <w:sz w:val="19"/>
                <w:szCs w:val="19"/>
                <w:color w:val="auto"/>
              </w:rPr>
            </w:pPr>
          </w:p>
        </w:tc>
        <w:tc>
          <w:tcPr>
            <w:tcW w:w="70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9,325</w:t>
            </w:r>
          </w:p>
        </w:tc>
        <w:tc>
          <w:tcPr>
            <w:tcW w:w="100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rPr>
              <w:t>11.7</w:t>
            </w: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Depreciation</w:t>
            </w:r>
          </w:p>
        </w:tc>
        <w:tc>
          <w:tcPr>
            <w:tcW w:w="400" w:type="dxa"/>
            <w:vAlign w:val="bottom"/>
          </w:tcPr>
          <w:p>
            <w:pPr>
              <w:spacing w:after="0"/>
              <w:rPr>
                <w:sz w:val="18"/>
                <w:szCs w:val="18"/>
                <w:color w:val="auto"/>
              </w:rPr>
            </w:pPr>
          </w:p>
        </w:tc>
        <w:tc>
          <w:tcPr>
            <w:tcW w:w="640" w:type="dxa"/>
            <w:vAlign w:val="bottom"/>
          </w:tcPr>
          <w:p>
            <w:pPr>
              <w:jc w:val="right"/>
              <w:ind w:right="137"/>
              <w:spacing w:after="0"/>
              <w:rPr>
                <w:sz w:val="20"/>
                <w:szCs w:val="20"/>
                <w:color w:val="auto"/>
              </w:rPr>
            </w:pPr>
            <w:r>
              <w:rPr>
                <w:rFonts w:ascii="Arial" w:cs="Arial" w:eastAsia="Arial" w:hAnsi="Arial"/>
                <w:sz w:val="18"/>
                <w:szCs w:val="18"/>
                <w:color w:val="auto"/>
                <w:w w:val="88"/>
              </w:rPr>
              <w:t>1,371</w:t>
            </w:r>
          </w:p>
        </w:tc>
        <w:tc>
          <w:tcPr>
            <w:tcW w:w="260" w:type="dxa"/>
            <w:vAlign w:val="bottom"/>
          </w:tcPr>
          <w:p>
            <w:pPr>
              <w:spacing w:after="0"/>
              <w:rPr>
                <w:sz w:val="18"/>
                <w:szCs w:val="18"/>
                <w:color w:val="auto"/>
              </w:rPr>
            </w:pPr>
          </w:p>
        </w:tc>
        <w:tc>
          <w:tcPr>
            <w:tcW w:w="640" w:type="dxa"/>
            <w:vAlign w:val="bottom"/>
          </w:tcPr>
          <w:p>
            <w:pPr>
              <w:jc w:val="right"/>
              <w:ind w:right="114"/>
              <w:spacing w:after="0"/>
              <w:rPr>
                <w:sz w:val="20"/>
                <w:szCs w:val="20"/>
                <w:color w:val="auto"/>
              </w:rPr>
            </w:pPr>
            <w:r>
              <w:rPr>
                <w:rFonts w:ascii="Arial" w:cs="Arial" w:eastAsia="Arial" w:hAnsi="Arial"/>
                <w:sz w:val="18"/>
                <w:szCs w:val="18"/>
                <w:color w:val="auto"/>
                <w:w w:val="93"/>
              </w:rPr>
              <w:t>1,252</w:t>
            </w:r>
          </w:p>
        </w:tc>
        <w:tc>
          <w:tcPr>
            <w:tcW w:w="1080" w:type="dxa"/>
            <w:vAlign w:val="bottom"/>
          </w:tcPr>
          <w:p>
            <w:pPr>
              <w:jc w:val="right"/>
              <w:ind w:right="235"/>
              <w:spacing w:after="0"/>
              <w:rPr>
                <w:sz w:val="20"/>
                <w:szCs w:val="20"/>
                <w:color w:val="auto"/>
              </w:rPr>
            </w:pPr>
            <w:r>
              <w:rPr>
                <w:rFonts w:ascii="Arial" w:cs="Arial" w:eastAsia="Arial" w:hAnsi="Arial"/>
                <w:sz w:val="18"/>
                <w:szCs w:val="18"/>
                <w:color w:val="auto"/>
              </w:rPr>
              <w:t>9.5</w:t>
            </w:r>
          </w:p>
        </w:tc>
        <w:tc>
          <w:tcPr>
            <w:tcW w:w="240" w:type="dxa"/>
            <w:vAlign w:val="bottom"/>
          </w:tcPr>
          <w:p>
            <w:pPr>
              <w:spacing w:after="0"/>
              <w:rPr>
                <w:sz w:val="18"/>
                <w:szCs w:val="18"/>
                <w:color w:val="auto"/>
              </w:rPr>
            </w:pPr>
          </w:p>
        </w:tc>
        <w:tc>
          <w:tcPr>
            <w:tcW w:w="700" w:type="dxa"/>
            <w:vAlign w:val="bottom"/>
          </w:tcPr>
          <w:p>
            <w:pPr>
              <w:jc w:val="right"/>
              <w:ind w:right="137"/>
              <w:spacing w:after="0"/>
              <w:rPr>
                <w:sz w:val="20"/>
                <w:szCs w:val="20"/>
                <w:color w:val="auto"/>
              </w:rPr>
            </w:pPr>
            <w:r>
              <w:rPr>
                <w:rFonts w:ascii="Arial" w:cs="Arial" w:eastAsia="Arial" w:hAnsi="Arial"/>
                <w:sz w:val="18"/>
                <w:szCs w:val="18"/>
                <w:color w:val="auto"/>
              </w:rPr>
              <w:t>2,761</w:t>
            </w:r>
          </w:p>
        </w:tc>
        <w:tc>
          <w:tcPr>
            <w:tcW w:w="260" w:type="dxa"/>
            <w:vAlign w:val="bottom"/>
          </w:tcPr>
          <w:p>
            <w:pPr>
              <w:spacing w:after="0"/>
              <w:rPr>
                <w:sz w:val="18"/>
                <w:szCs w:val="18"/>
                <w:color w:val="auto"/>
              </w:rPr>
            </w:pPr>
          </w:p>
        </w:tc>
        <w:tc>
          <w:tcPr>
            <w:tcW w:w="700" w:type="dxa"/>
            <w:vAlign w:val="bottom"/>
          </w:tcPr>
          <w:p>
            <w:pPr>
              <w:jc w:val="right"/>
              <w:ind w:right="134"/>
              <w:spacing w:after="0"/>
              <w:rPr>
                <w:sz w:val="20"/>
                <w:szCs w:val="20"/>
                <w:color w:val="auto"/>
              </w:rPr>
            </w:pPr>
            <w:r>
              <w:rPr>
                <w:rFonts w:ascii="Arial" w:cs="Arial" w:eastAsia="Arial" w:hAnsi="Arial"/>
                <w:sz w:val="18"/>
                <w:szCs w:val="18"/>
                <w:color w:val="auto"/>
              </w:rPr>
              <w:t>2,477</w:t>
            </w:r>
          </w:p>
        </w:tc>
        <w:tc>
          <w:tcPr>
            <w:tcW w:w="1000" w:type="dxa"/>
            <w:vAlign w:val="bottom"/>
          </w:tcPr>
          <w:p>
            <w:pPr>
              <w:jc w:val="right"/>
              <w:ind w:right="155"/>
              <w:spacing w:after="0"/>
              <w:rPr>
                <w:sz w:val="20"/>
                <w:szCs w:val="20"/>
                <w:color w:val="auto"/>
              </w:rPr>
            </w:pPr>
            <w:r>
              <w:rPr>
                <w:rFonts w:ascii="Arial" w:cs="Arial" w:eastAsia="Arial" w:hAnsi="Arial"/>
                <w:sz w:val="18"/>
                <w:szCs w:val="18"/>
                <w:color w:val="auto"/>
              </w:rPr>
              <w:t>11.4</w:t>
            </w:r>
          </w:p>
        </w:tc>
      </w:tr>
      <w:tr>
        <w:trPr>
          <w:trHeight w:val="216"/>
        </w:trPr>
        <w:tc>
          <w:tcPr>
            <w:tcW w:w="20" w:type="dxa"/>
            <w:vAlign w:val="bottom"/>
          </w:tcPr>
          <w:p>
            <w:pPr>
              <w:spacing w:after="0"/>
              <w:rPr>
                <w:sz w:val="18"/>
                <w:szCs w:val="18"/>
                <w:color w:val="auto"/>
              </w:rPr>
            </w:pPr>
          </w:p>
        </w:tc>
        <w:tc>
          <w:tcPr>
            <w:tcW w:w="54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Amortization</w:t>
            </w:r>
          </w:p>
        </w:tc>
        <w:tc>
          <w:tcPr>
            <w:tcW w:w="40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color w:val="auto"/>
              </w:rPr>
              <w:t>230</w:t>
            </w:r>
          </w:p>
        </w:tc>
        <w:tc>
          <w:tcPr>
            <w:tcW w:w="2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14"/>
              <w:spacing w:after="0"/>
              <w:rPr>
                <w:sz w:val="20"/>
                <w:szCs w:val="20"/>
                <w:color w:val="auto"/>
              </w:rPr>
            </w:pPr>
            <w:r>
              <w:rPr>
                <w:rFonts w:ascii="Arial" w:cs="Arial" w:eastAsia="Arial" w:hAnsi="Arial"/>
                <w:sz w:val="18"/>
                <w:szCs w:val="18"/>
                <w:color w:val="auto"/>
              </w:rPr>
              <w:t>292</w:t>
            </w:r>
          </w:p>
        </w:tc>
        <w:tc>
          <w:tcPr>
            <w:tcW w:w="1080" w:type="dxa"/>
            <w:vAlign w:val="bottom"/>
            <w:tcBorders>
              <w:bottom w:val="single" w:sz="8" w:color="auto"/>
            </w:tcBorders>
            <w:shd w:val="clear" w:color="auto" w:fill="E5E5E5"/>
          </w:tcPr>
          <w:p>
            <w:pPr>
              <w:jc w:val="right"/>
              <w:ind w:right="175"/>
              <w:spacing w:after="0"/>
              <w:rPr>
                <w:sz w:val="20"/>
                <w:szCs w:val="20"/>
                <w:color w:val="auto"/>
              </w:rPr>
            </w:pPr>
            <w:r>
              <w:rPr>
                <w:rFonts w:ascii="Arial" w:cs="Arial" w:eastAsia="Arial" w:hAnsi="Arial"/>
                <w:sz w:val="18"/>
                <w:szCs w:val="18"/>
                <w:color w:val="auto"/>
              </w:rPr>
              <w:t>(21.1)</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color w:val="auto"/>
              </w:rPr>
              <w:t>459</w:t>
            </w:r>
          </w:p>
        </w:tc>
        <w:tc>
          <w:tcPr>
            <w:tcW w:w="2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569</w:t>
            </w:r>
          </w:p>
        </w:tc>
        <w:tc>
          <w:tcPr>
            <w:tcW w:w="1000" w:type="dxa"/>
            <w:vAlign w:val="bottom"/>
            <w:tcBorders>
              <w:bottom w:val="single" w:sz="8" w:color="auto"/>
            </w:tcBorders>
            <w:shd w:val="clear" w:color="auto" w:fill="E5E5E5"/>
          </w:tcPr>
          <w:p>
            <w:pPr>
              <w:jc w:val="right"/>
              <w:ind w:right="95"/>
              <w:spacing w:after="0"/>
              <w:rPr>
                <w:sz w:val="20"/>
                <w:szCs w:val="20"/>
                <w:color w:val="auto"/>
              </w:rPr>
            </w:pPr>
            <w:r>
              <w:rPr>
                <w:rFonts w:ascii="Arial" w:cs="Arial" w:eastAsia="Arial" w:hAnsi="Arial"/>
                <w:sz w:val="18"/>
                <w:szCs w:val="18"/>
                <w:color w:val="auto"/>
              </w:rPr>
              <w:t>(19.1)</w:t>
            </w:r>
          </w:p>
        </w:tc>
      </w:tr>
      <w:tr>
        <w:trPr>
          <w:trHeight w:val="210"/>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400" w:type="dxa"/>
            <w:vAlign w:val="bottom"/>
          </w:tcPr>
          <w:p>
            <w:pPr>
              <w:spacing w:after="0"/>
              <w:rPr>
                <w:sz w:val="18"/>
                <w:szCs w:val="18"/>
                <w:color w:val="auto"/>
              </w:rPr>
            </w:pPr>
          </w:p>
        </w:tc>
        <w:tc>
          <w:tcPr>
            <w:tcW w:w="640" w:type="dxa"/>
            <w:vAlign w:val="bottom"/>
          </w:tcPr>
          <w:p>
            <w:pPr>
              <w:jc w:val="right"/>
              <w:ind w:right="137"/>
              <w:spacing w:after="0"/>
              <w:rPr>
                <w:sz w:val="20"/>
                <w:szCs w:val="20"/>
                <w:color w:val="auto"/>
              </w:rPr>
            </w:pPr>
            <w:r>
              <w:rPr>
                <w:rFonts w:ascii="Arial" w:cs="Arial" w:eastAsia="Arial" w:hAnsi="Arial"/>
                <w:sz w:val="18"/>
                <w:szCs w:val="18"/>
                <w:color w:val="auto"/>
                <w:w w:val="88"/>
              </w:rPr>
              <w:t>1,750</w:t>
            </w:r>
          </w:p>
        </w:tc>
        <w:tc>
          <w:tcPr>
            <w:tcW w:w="260" w:type="dxa"/>
            <w:vAlign w:val="bottom"/>
          </w:tcPr>
          <w:p>
            <w:pPr>
              <w:spacing w:after="0"/>
              <w:rPr>
                <w:sz w:val="18"/>
                <w:szCs w:val="18"/>
                <w:color w:val="auto"/>
              </w:rPr>
            </w:pPr>
          </w:p>
        </w:tc>
        <w:tc>
          <w:tcPr>
            <w:tcW w:w="640" w:type="dxa"/>
            <w:vAlign w:val="bottom"/>
          </w:tcPr>
          <w:p>
            <w:pPr>
              <w:jc w:val="right"/>
              <w:ind w:right="114"/>
              <w:spacing w:after="0"/>
              <w:rPr>
                <w:sz w:val="20"/>
                <w:szCs w:val="20"/>
                <w:color w:val="auto"/>
              </w:rPr>
            </w:pPr>
            <w:r>
              <w:rPr>
                <w:rFonts w:ascii="Arial" w:cs="Arial" w:eastAsia="Arial" w:hAnsi="Arial"/>
                <w:sz w:val="18"/>
                <w:szCs w:val="18"/>
                <w:color w:val="auto"/>
                <w:w w:val="93"/>
              </w:rPr>
              <w:t>1,468</w:t>
            </w:r>
          </w:p>
        </w:tc>
        <w:tc>
          <w:tcPr>
            <w:tcW w:w="1080" w:type="dxa"/>
            <w:vAlign w:val="bottom"/>
          </w:tcPr>
          <w:p>
            <w:pPr>
              <w:jc w:val="right"/>
              <w:ind w:right="235"/>
              <w:spacing w:after="0"/>
              <w:rPr>
                <w:sz w:val="20"/>
                <w:szCs w:val="20"/>
                <w:color w:val="auto"/>
              </w:rPr>
            </w:pPr>
            <w:r>
              <w:rPr>
                <w:rFonts w:ascii="Arial" w:cs="Arial" w:eastAsia="Arial" w:hAnsi="Arial"/>
                <w:sz w:val="18"/>
                <w:szCs w:val="18"/>
                <w:color w:val="auto"/>
              </w:rPr>
              <w:t>19.1</w:t>
            </w:r>
          </w:p>
        </w:tc>
        <w:tc>
          <w:tcPr>
            <w:tcW w:w="240" w:type="dxa"/>
            <w:vAlign w:val="bottom"/>
          </w:tcPr>
          <w:p>
            <w:pPr>
              <w:spacing w:after="0"/>
              <w:rPr>
                <w:sz w:val="18"/>
                <w:szCs w:val="18"/>
                <w:color w:val="auto"/>
              </w:rPr>
            </w:pPr>
          </w:p>
        </w:tc>
        <w:tc>
          <w:tcPr>
            <w:tcW w:w="700" w:type="dxa"/>
            <w:vAlign w:val="bottom"/>
          </w:tcPr>
          <w:p>
            <w:pPr>
              <w:jc w:val="right"/>
              <w:ind w:right="137"/>
              <w:spacing w:after="0"/>
              <w:rPr>
                <w:sz w:val="20"/>
                <w:szCs w:val="20"/>
                <w:color w:val="auto"/>
              </w:rPr>
            </w:pPr>
            <w:r>
              <w:rPr>
                <w:rFonts w:ascii="Arial" w:cs="Arial" w:eastAsia="Arial" w:hAnsi="Arial"/>
                <w:sz w:val="18"/>
                <w:szCs w:val="18"/>
                <w:color w:val="auto"/>
              </w:rPr>
              <w:t>3,305</w:t>
            </w:r>
          </w:p>
        </w:tc>
        <w:tc>
          <w:tcPr>
            <w:tcW w:w="260" w:type="dxa"/>
            <w:vAlign w:val="bottom"/>
          </w:tcPr>
          <w:p>
            <w:pPr>
              <w:spacing w:after="0"/>
              <w:rPr>
                <w:sz w:val="18"/>
                <w:szCs w:val="18"/>
                <w:color w:val="auto"/>
              </w:rPr>
            </w:pPr>
          </w:p>
        </w:tc>
        <w:tc>
          <w:tcPr>
            <w:tcW w:w="700" w:type="dxa"/>
            <w:vAlign w:val="bottom"/>
          </w:tcPr>
          <w:p>
            <w:pPr>
              <w:jc w:val="right"/>
              <w:ind w:right="134"/>
              <w:spacing w:after="0"/>
              <w:rPr>
                <w:sz w:val="20"/>
                <w:szCs w:val="20"/>
                <w:color w:val="auto"/>
              </w:rPr>
            </w:pPr>
            <w:r>
              <w:rPr>
                <w:rFonts w:ascii="Arial" w:cs="Arial" w:eastAsia="Arial" w:hAnsi="Arial"/>
                <w:sz w:val="18"/>
                <w:szCs w:val="18"/>
                <w:color w:val="auto"/>
              </w:rPr>
              <w:t>2,729</w:t>
            </w:r>
          </w:p>
        </w:tc>
        <w:tc>
          <w:tcPr>
            <w:tcW w:w="1000" w:type="dxa"/>
            <w:vAlign w:val="bottom"/>
          </w:tcPr>
          <w:p>
            <w:pPr>
              <w:jc w:val="right"/>
              <w:ind w:right="155"/>
              <w:spacing w:after="0"/>
              <w:rPr>
                <w:sz w:val="20"/>
                <w:szCs w:val="20"/>
                <w:color w:val="auto"/>
              </w:rPr>
            </w:pPr>
            <w:r>
              <w:rPr>
                <w:rFonts w:ascii="Arial" w:cs="Arial" w:eastAsia="Arial" w:hAnsi="Arial"/>
                <w:sz w:val="18"/>
                <w:szCs w:val="18"/>
                <w:color w:val="auto"/>
              </w:rPr>
              <w:t>21.1</w:t>
            </w:r>
          </w:p>
        </w:tc>
      </w:tr>
      <w:tr>
        <w:trPr>
          <w:trHeight w:val="216"/>
        </w:trPr>
        <w:tc>
          <w:tcPr>
            <w:tcW w:w="20" w:type="dxa"/>
            <w:vAlign w:val="bottom"/>
          </w:tcPr>
          <w:p>
            <w:pPr>
              <w:spacing w:after="0"/>
              <w:rPr>
                <w:sz w:val="18"/>
                <w:szCs w:val="18"/>
                <w:color w:val="auto"/>
              </w:rPr>
            </w:pPr>
          </w:p>
        </w:tc>
        <w:tc>
          <w:tcPr>
            <w:tcW w:w="54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income (expense) items, net</w:t>
            </w:r>
          </w:p>
        </w:tc>
        <w:tc>
          <w:tcPr>
            <w:tcW w:w="40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77"/>
              <w:spacing w:after="0"/>
              <w:rPr>
                <w:sz w:val="20"/>
                <w:szCs w:val="20"/>
                <w:color w:val="auto"/>
              </w:rPr>
            </w:pPr>
            <w:r>
              <w:rPr>
                <w:rFonts w:ascii="Arial" w:cs="Arial" w:eastAsia="Arial" w:hAnsi="Arial"/>
                <w:sz w:val="18"/>
                <w:szCs w:val="18"/>
                <w:color w:val="auto"/>
              </w:rPr>
              <w:t>(676)</w:t>
            </w:r>
          </w:p>
        </w:tc>
        <w:tc>
          <w:tcPr>
            <w:tcW w:w="2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54"/>
              <w:spacing w:after="0"/>
              <w:rPr>
                <w:sz w:val="20"/>
                <w:szCs w:val="20"/>
                <w:color w:val="auto"/>
              </w:rPr>
            </w:pPr>
            <w:r>
              <w:rPr>
                <w:rFonts w:ascii="Arial" w:cs="Arial" w:eastAsia="Arial" w:hAnsi="Arial"/>
                <w:sz w:val="18"/>
                <w:szCs w:val="18"/>
                <w:color w:val="auto"/>
              </w:rPr>
              <w:t>(439)</w:t>
            </w:r>
          </w:p>
        </w:tc>
        <w:tc>
          <w:tcPr>
            <w:tcW w:w="1080" w:type="dxa"/>
            <w:vAlign w:val="bottom"/>
            <w:tcBorders>
              <w:bottom w:val="single" w:sz="8" w:color="auto"/>
            </w:tcBorders>
            <w:shd w:val="clear" w:color="auto" w:fill="E5E5E5"/>
          </w:tcPr>
          <w:p>
            <w:pPr>
              <w:jc w:val="right"/>
              <w:ind w:right="235"/>
              <w:spacing w:after="0"/>
              <w:rPr>
                <w:sz w:val="20"/>
                <w:szCs w:val="20"/>
                <w:color w:val="auto"/>
              </w:rPr>
            </w:pPr>
            <w:r>
              <w:rPr>
                <w:rFonts w:ascii="Arial" w:cs="Arial" w:eastAsia="Arial" w:hAnsi="Arial"/>
                <w:sz w:val="18"/>
                <w:szCs w:val="18"/>
                <w:color w:val="auto"/>
              </w:rPr>
              <w:t>54.0</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77"/>
              <w:spacing w:after="0"/>
              <w:rPr>
                <w:sz w:val="20"/>
                <w:szCs w:val="20"/>
                <w:color w:val="auto"/>
              </w:rPr>
            </w:pPr>
            <w:r>
              <w:rPr>
                <w:rFonts w:ascii="Arial" w:cs="Arial" w:eastAsia="Arial" w:hAnsi="Arial"/>
                <w:sz w:val="18"/>
                <w:szCs w:val="18"/>
                <w:color w:val="auto"/>
              </w:rPr>
              <w:t>(985)</w:t>
            </w:r>
          </w:p>
        </w:tc>
        <w:tc>
          <w:tcPr>
            <w:tcW w:w="2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74"/>
              <w:spacing w:after="0"/>
              <w:rPr>
                <w:sz w:val="20"/>
                <w:szCs w:val="20"/>
                <w:color w:val="auto"/>
              </w:rPr>
            </w:pPr>
            <w:r>
              <w:rPr>
                <w:rFonts w:ascii="Arial" w:cs="Arial" w:eastAsia="Arial" w:hAnsi="Arial"/>
                <w:sz w:val="18"/>
                <w:szCs w:val="18"/>
                <w:color w:val="auto"/>
              </w:rPr>
              <w:t>(341)</w:t>
            </w:r>
          </w:p>
        </w:tc>
        <w:tc>
          <w:tcPr>
            <w:tcW w:w="1000" w:type="dxa"/>
            <w:vAlign w:val="bottom"/>
            <w:tcBorders>
              <w:bottom w:val="single" w:sz="8" w:color="auto"/>
            </w:tcBorders>
            <w:shd w:val="clear" w:color="auto" w:fill="E5E5E5"/>
          </w:tcPr>
          <w:p>
            <w:pPr>
              <w:jc w:val="right"/>
              <w:ind w:right="155"/>
              <w:spacing w:after="0"/>
              <w:rPr>
                <w:sz w:val="20"/>
                <w:szCs w:val="20"/>
                <w:color w:val="auto"/>
              </w:rPr>
            </w:pPr>
            <w:r>
              <w:rPr>
                <w:rFonts w:ascii="Arial" w:cs="Arial" w:eastAsia="Arial" w:hAnsi="Arial"/>
                <w:sz w:val="18"/>
                <w:szCs w:val="18"/>
                <w:color w:val="auto"/>
              </w:rPr>
              <w:t>189.0</w:t>
            </w:r>
          </w:p>
        </w:tc>
      </w:tr>
      <w:tr>
        <w:trPr>
          <w:trHeight w:val="210"/>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Income before income taxes and minority interest</w:t>
            </w:r>
          </w:p>
        </w:tc>
        <w:tc>
          <w:tcPr>
            <w:tcW w:w="400" w:type="dxa"/>
            <w:vAlign w:val="bottom"/>
          </w:tcPr>
          <w:p>
            <w:pPr>
              <w:spacing w:after="0"/>
              <w:rPr>
                <w:sz w:val="18"/>
                <w:szCs w:val="18"/>
                <w:color w:val="auto"/>
              </w:rPr>
            </w:pPr>
          </w:p>
        </w:tc>
        <w:tc>
          <w:tcPr>
            <w:tcW w:w="640" w:type="dxa"/>
            <w:vAlign w:val="bottom"/>
          </w:tcPr>
          <w:p>
            <w:pPr>
              <w:jc w:val="right"/>
              <w:ind w:right="137"/>
              <w:spacing w:after="0"/>
              <w:rPr>
                <w:sz w:val="20"/>
                <w:szCs w:val="20"/>
                <w:color w:val="auto"/>
              </w:rPr>
            </w:pPr>
            <w:r>
              <w:rPr>
                <w:rFonts w:ascii="Arial" w:cs="Arial" w:eastAsia="Arial" w:hAnsi="Arial"/>
                <w:sz w:val="18"/>
                <w:szCs w:val="18"/>
                <w:color w:val="auto"/>
                <w:w w:val="88"/>
              </w:rPr>
              <w:t>1,074</w:t>
            </w:r>
          </w:p>
        </w:tc>
        <w:tc>
          <w:tcPr>
            <w:tcW w:w="260" w:type="dxa"/>
            <w:vAlign w:val="bottom"/>
          </w:tcPr>
          <w:p>
            <w:pPr>
              <w:spacing w:after="0"/>
              <w:rPr>
                <w:sz w:val="18"/>
                <w:szCs w:val="18"/>
                <w:color w:val="auto"/>
              </w:rPr>
            </w:pPr>
          </w:p>
        </w:tc>
        <w:tc>
          <w:tcPr>
            <w:tcW w:w="640" w:type="dxa"/>
            <w:vAlign w:val="bottom"/>
          </w:tcPr>
          <w:p>
            <w:pPr>
              <w:jc w:val="right"/>
              <w:ind w:right="114"/>
              <w:spacing w:after="0"/>
              <w:rPr>
                <w:sz w:val="20"/>
                <w:szCs w:val="20"/>
                <w:color w:val="auto"/>
              </w:rPr>
            </w:pPr>
            <w:r>
              <w:rPr>
                <w:rFonts w:ascii="Arial" w:cs="Arial" w:eastAsia="Arial" w:hAnsi="Arial"/>
                <w:sz w:val="18"/>
                <w:szCs w:val="18"/>
                <w:color w:val="auto"/>
                <w:w w:val="93"/>
              </w:rPr>
              <w:t>1,029</w:t>
            </w:r>
          </w:p>
        </w:tc>
        <w:tc>
          <w:tcPr>
            <w:tcW w:w="1080" w:type="dxa"/>
            <w:vAlign w:val="bottom"/>
          </w:tcPr>
          <w:p>
            <w:pPr>
              <w:jc w:val="right"/>
              <w:ind w:right="235"/>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18"/>
                <w:szCs w:val="18"/>
                <w:color w:val="auto"/>
              </w:rPr>
            </w:pPr>
          </w:p>
        </w:tc>
        <w:tc>
          <w:tcPr>
            <w:tcW w:w="700" w:type="dxa"/>
            <w:vAlign w:val="bottom"/>
          </w:tcPr>
          <w:p>
            <w:pPr>
              <w:jc w:val="right"/>
              <w:ind w:right="137"/>
              <w:spacing w:after="0"/>
              <w:rPr>
                <w:sz w:val="20"/>
                <w:szCs w:val="20"/>
                <w:color w:val="auto"/>
              </w:rPr>
            </w:pPr>
            <w:r>
              <w:rPr>
                <w:rFonts w:ascii="Arial" w:cs="Arial" w:eastAsia="Arial" w:hAnsi="Arial"/>
                <w:sz w:val="18"/>
                <w:szCs w:val="18"/>
                <w:color w:val="auto"/>
              </w:rPr>
              <w:t>2,320</w:t>
            </w:r>
          </w:p>
        </w:tc>
        <w:tc>
          <w:tcPr>
            <w:tcW w:w="260" w:type="dxa"/>
            <w:vAlign w:val="bottom"/>
          </w:tcPr>
          <w:p>
            <w:pPr>
              <w:spacing w:after="0"/>
              <w:rPr>
                <w:sz w:val="18"/>
                <w:szCs w:val="18"/>
                <w:color w:val="auto"/>
              </w:rPr>
            </w:pPr>
          </w:p>
        </w:tc>
        <w:tc>
          <w:tcPr>
            <w:tcW w:w="700" w:type="dxa"/>
            <w:vAlign w:val="bottom"/>
          </w:tcPr>
          <w:p>
            <w:pPr>
              <w:jc w:val="right"/>
              <w:ind w:right="134"/>
              <w:spacing w:after="0"/>
              <w:rPr>
                <w:sz w:val="20"/>
                <w:szCs w:val="20"/>
                <w:color w:val="auto"/>
              </w:rPr>
            </w:pPr>
            <w:r>
              <w:rPr>
                <w:rFonts w:ascii="Arial" w:cs="Arial" w:eastAsia="Arial" w:hAnsi="Arial"/>
                <w:sz w:val="18"/>
                <w:szCs w:val="18"/>
                <w:color w:val="auto"/>
              </w:rPr>
              <w:t>2,388</w:t>
            </w:r>
          </w:p>
        </w:tc>
        <w:tc>
          <w:tcPr>
            <w:tcW w:w="1000" w:type="dxa"/>
            <w:vAlign w:val="bottom"/>
          </w:tcPr>
          <w:p>
            <w:pPr>
              <w:jc w:val="right"/>
              <w:ind w:right="95"/>
              <w:spacing w:after="0"/>
              <w:rPr>
                <w:sz w:val="20"/>
                <w:szCs w:val="20"/>
                <w:color w:val="auto"/>
              </w:rPr>
            </w:pPr>
            <w:r>
              <w:rPr>
                <w:rFonts w:ascii="Arial" w:cs="Arial" w:eastAsia="Arial" w:hAnsi="Arial"/>
                <w:sz w:val="18"/>
                <w:szCs w:val="18"/>
                <w:color w:val="auto"/>
              </w:rPr>
              <w:t>(2.9)</w:t>
            </w:r>
          </w:p>
        </w:tc>
      </w:tr>
      <w:tr>
        <w:trPr>
          <w:trHeight w:val="216"/>
        </w:trPr>
        <w:tc>
          <w:tcPr>
            <w:tcW w:w="20" w:type="dxa"/>
            <w:vAlign w:val="bottom"/>
          </w:tcPr>
          <w:p>
            <w:pPr>
              <w:spacing w:after="0"/>
              <w:rPr>
                <w:sz w:val="18"/>
                <w:szCs w:val="18"/>
                <w:color w:val="auto"/>
              </w:rPr>
            </w:pPr>
          </w:p>
        </w:tc>
        <w:tc>
          <w:tcPr>
            <w:tcW w:w="54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w:t>
            </w:r>
          </w:p>
        </w:tc>
        <w:tc>
          <w:tcPr>
            <w:tcW w:w="40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77"/>
              <w:spacing w:after="0"/>
              <w:rPr>
                <w:sz w:val="20"/>
                <w:szCs w:val="20"/>
                <w:color w:val="auto"/>
              </w:rPr>
            </w:pPr>
            <w:r>
              <w:rPr>
                <w:rFonts w:ascii="Arial" w:cs="Arial" w:eastAsia="Arial" w:hAnsi="Arial"/>
                <w:sz w:val="18"/>
                <w:szCs w:val="18"/>
                <w:color w:val="auto"/>
              </w:rPr>
              <w:t>(455)</w:t>
            </w:r>
          </w:p>
        </w:tc>
        <w:tc>
          <w:tcPr>
            <w:tcW w:w="2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54"/>
              <w:spacing w:after="0"/>
              <w:rPr>
                <w:sz w:val="20"/>
                <w:szCs w:val="20"/>
                <w:color w:val="auto"/>
              </w:rPr>
            </w:pPr>
            <w:r>
              <w:rPr>
                <w:rFonts w:ascii="Arial" w:cs="Arial" w:eastAsia="Arial" w:hAnsi="Arial"/>
                <w:sz w:val="18"/>
                <w:szCs w:val="18"/>
                <w:color w:val="auto"/>
              </w:rPr>
              <w:t>(453)</w:t>
            </w:r>
          </w:p>
        </w:tc>
        <w:tc>
          <w:tcPr>
            <w:tcW w:w="1080" w:type="dxa"/>
            <w:vAlign w:val="bottom"/>
            <w:tcBorders>
              <w:bottom w:val="single" w:sz="8" w:color="auto"/>
            </w:tcBorders>
            <w:shd w:val="clear" w:color="auto" w:fill="E5E5E5"/>
          </w:tcPr>
          <w:p>
            <w:pPr>
              <w:jc w:val="right"/>
              <w:ind w:right="235"/>
              <w:spacing w:after="0"/>
              <w:rPr>
                <w:sz w:val="20"/>
                <w:szCs w:val="20"/>
                <w:color w:val="auto"/>
              </w:rPr>
            </w:pPr>
            <w:r>
              <w:rPr>
                <w:rFonts w:ascii="Arial" w:cs="Arial" w:eastAsia="Arial" w:hAnsi="Arial"/>
                <w:sz w:val="18"/>
                <w:szCs w:val="18"/>
                <w:color w:val="auto"/>
              </w:rPr>
              <w:t>0.5</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77"/>
              <w:spacing w:after="0"/>
              <w:rPr>
                <w:sz w:val="20"/>
                <w:szCs w:val="20"/>
                <w:color w:val="auto"/>
              </w:rPr>
            </w:pPr>
            <w:r>
              <w:rPr>
                <w:rFonts w:ascii="Arial" w:cs="Arial" w:eastAsia="Arial" w:hAnsi="Arial"/>
                <w:sz w:val="18"/>
                <w:szCs w:val="18"/>
                <w:color w:val="auto"/>
              </w:rPr>
              <w:t>(963)</w:t>
            </w:r>
          </w:p>
        </w:tc>
        <w:tc>
          <w:tcPr>
            <w:tcW w:w="2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74"/>
              <w:spacing w:after="0"/>
              <w:rPr>
                <w:sz w:val="20"/>
                <w:szCs w:val="20"/>
                <w:color w:val="auto"/>
              </w:rPr>
            </w:pPr>
            <w:r>
              <w:rPr>
                <w:rFonts w:ascii="Arial" w:cs="Arial" w:eastAsia="Arial" w:hAnsi="Arial"/>
                <w:sz w:val="18"/>
                <w:szCs w:val="18"/>
                <w:color w:val="auto"/>
              </w:rPr>
              <w:t>(979)</w:t>
            </w:r>
          </w:p>
        </w:tc>
        <w:tc>
          <w:tcPr>
            <w:tcW w:w="1000" w:type="dxa"/>
            <w:vAlign w:val="bottom"/>
            <w:tcBorders>
              <w:bottom w:val="single" w:sz="8" w:color="auto"/>
            </w:tcBorders>
            <w:shd w:val="clear" w:color="auto" w:fill="E5E5E5"/>
          </w:tcPr>
          <w:p>
            <w:pPr>
              <w:jc w:val="right"/>
              <w:ind w:right="95"/>
              <w:spacing w:after="0"/>
              <w:rPr>
                <w:sz w:val="20"/>
                <w:szCs w:val="20"/>
                <w:color w:val="auto"/>
              </w:rPr>
            </w:pPr>
            <w:r>
              <w:rPr>
                <w:rFonts w:ascii="Arial" w:cs="Arial" w:eastAsia="Arial" w:hAnsi="Arial"/>
                <w:sz w:val="18"/>
                <w:szCs w:val="18"/>
                <w:color w:val="auto"/>
              </w:rPr>
              <w:t>(1.6)</w:t>
            </w:r>
          </w:p>
        </w:tc>
      </w:tr>
      <w:tr>
        <w:trPr>
          <w:trHeight w:val="210"/>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Income before minority interest</w:t>
            </w:r>
          </w:p>
        </w:tc>
        <w:tc>
          <w:tcPr>
            <w:tcW w:w="400" w:type="dxa"/>
            <w:vAlign w:val="bottom"/>
          </w:tcPr>
          <w:p>
            <w:pPr>
              <w:spacing w:after="0"/>
              <w:rPr>
                <w:sz w:val="18"/>
                <w:szCs w:val="18"/>
                <w:color w:val="auto"/>
              </w:rPr>
            </w:pPr>
          </w:p>
        </w:tc>
        <w:tc>
          <w:tcPr>
            <w:tcW w:w="640" w:type="dxa"/>
            <w:vAlign w:val="bottom"/>
          </w:tcPr>
          <w:p>
            <w:pPr>
              <w:jc w:val="right"/>
              <w:ind w:right="137"/>
              <w:spacing w:after="0"/>
              <w:rPr>
                <w:sz w:val="20"/>
                <w:szCs w:val="20"/>
                <w:color w:val="auto"/>
              </w:rPr>
            </w:pPr>
            <w:r>
              <w:rPr>
                <w:rFonts w:ascii="Arial" w:cs="Arial" w:eastAsia="Arial" w:hAnsi="Arial"/>
                <w:sz w:val="18"/>
                <w:szCs w:val="18"/>
                <w:color w:val="auto"/>
              </w:rPr>
              <w:t>619</w:t>
            </w:r>
          </w:p>
        </w:tc>
        <w:tc>
          <w:tcPr>
            <w:tcW w:w="260" w:type="dxa"/>
            <w:vAlign w:val="bottom"/>
          </w:tcPr>
          <w:p>
            <w:pPr>
              <w:spacing w:after="0"/>
              <w:rPr>
                <w:sz w:val="18"/>
                <w:szCs w:val="18"/>
                <w:color w:val="auto"/>
              </w:rPr>
            </w:pPr>
          </w:p>
        </w:tc>
        <w:tc>
          <w:tcPr>
            <w:tcW w:w="640" w:type="dxa"/>
            <w:vAlign w:val="bottom"/>
          </w:tcPr>
          <w:p>
            <w:pPr>
              <w:jc w:val="right"/>
              <w:ind w:right="114"/>
              <w:spacing w:after="0"/>
              <w:rPr>
                <w:sz w:val="20"/>
                <w:szCs w:val="20"/>
                <w:color w:val="auto"/>
              </w:rPr>
            </w:pPr>
            <w:r>
              <w:rPr>
                <w:rFonts w:ascii="Arial" w:cs="Arial" w:eastAsia="Arial" w:hAnsi="Arial"/>
                <w:sz w:val="18"/>
                <w:szCs w:val="18"/>
                <w:color w:val="auto"/>
              </w:rPr>
              <w:t>576</w:t>
            </w:r>
          </w:p>
        </w:tc>
        <w:tc>
          <w:tcPr>
            <w:tcW w:w="1080" w:type="dxa"/>
            <w:vAlign w:val="bottom"/>
          </w:tcPr>
          <w:p>
            <w:pPr>
              <w:jc w:val="right"/>
              <w:ind w:right="235"/>
              <w:spacing w:after="0"/>
              <w:rPr>
                <w:sz w:val="20"/>
                <w:szCs w:val="20"/>
                <w:color w:val="auto"/>
              </w:rPr>
            </w:pPr>
            <w:r>
              <w:rPr>
                <w:rFonts w:ascii="Arial" w:cs="Arial" w:eastAsia="Arial" w:hAnsi="Arial"/>
                <w:sz w:val="18"/>
                <w:szCs w:val="18"/>
                <w:color w:val="auto"/>
              </w:rPr>
              <w:t>7.3</w:t>
            </w:r>
          </w:p>
        </w:tc>
        <w:tc>
          <w:tcPr>
            <w:tcW w:w="240" w:type="dxa"/>
            <w:vAlign w:val="bottom"/>
          </w:tcPr>
          <w:p>
            <w:pPr>
              <w:spacing w:after="0"/>
              <w:rPr>
                <w:sz w:val="18"/>
                <w:szCs w:val="18"/>
                <w:color w:val="auto"/>
              </w:rPr>
            </w:pPr>
          </w:p>
        </w:tc>
        <w:tc>
          <w:tcPr>
            <w:tcW w:w="700" w:type="dxa"/>
            <w:vAlign w:val="bottom"/>
          </w:tcPr>
          <w:p>
            <w:pPr>
              <w:jc w:val="right"/>
              <w:ind w:right="137"/>
              <w:spacing w:after="0"/>
              <w:rPr>
                <w:sz w:val="20"/>
                <w:szCs w:val="20"/>
                <w:color w:val="auto"/>
              </w:rPr>
            </w:pPr>
            <w:r>
              <w:rPr>
                <w:rFonts w:ascii="Arial" w:cs="Arial" w:eastAsia="Arial" w:hAnsi="Arial"/>
                <w:sz w:val="18"/>
                <w:szCs w:val="18"/>
                <w:color w:val="auto"/>
              </w:rPr>
              <w:t>1,357</w:t>
            </w:r>
          </w:p>
        </w:tc>
        <w:tc>
          <w:tcPr>
            <w:tcW w:w="260" w:type="dxa"/>
            <w:vAlign w:val="bottom"/>
          </w:tcPr>
          <w:p>
            <w:pPr>
              <w:spacing w:after="0"/>
              <w:rPr>
                <w:sz w:val="18"/>
                <w:szCs w:val="18"/>
                <w:color w:val="auto"/>
              </w:rPr>
            </w:pPr>
          </w:p>
        </w:tc>
        <w:tc>
          <w:tcPr>
            <w:tcW w:w="700" w:type="dxa"/>
            <w:vAlign w:val="bottom"/>
          </w:tcPr>
          <w:p>
            <w:pPr>
              <w:jc w:val="right"/>
              <w:ind w:right="134"/>
              <w:spacing w:after="0"/>
              <w:rPr>
                <w:sz w:val="20"/>
                <w:szCs w:val="20"/>
                <w:color w:val="auto"/>
              </w:rPr>
            </w:pPr>
            <w:r>
              <w:rPr>
                <w:rFonts w:ascii="Arial" w:cs="Arial" w:eastAsia="Arial" w:hAnsi="Arial"/>
                <w:sz w:val="18"/>
                <w:szCs w:val="18"/>
                <w:color w:val="auto"/>
              </w:rPr>
              <w:t>1,409</w:t>
            </w:r>
          </w:p>
        </w:tc>
        <w:tc>
          <w:tcPr>
            <w:tcW w:w="1000" w:type="dxa"/>
            <w:vAlign w:val="bottom"/>
          </w:tcPr>
          <w:p>
            <w:pPr>
              <w:jc w:val="right"/>
              <w:ind w:right="95"/>
              <w:spacing w:after="0"/>
              <w:rPr>
                <w:sz w:val="20"/>
                <w:szCs w:val="20"/>
                <w:color w:val="auto"/>
              </w:rPr>
            </w:pPr>
            <w:r>
              <w:rPr>
                <w:rFonts w:ascii="Arial" w:cs="Arial" w:eastAsia="Arial" w:hAnsi="Arial"/>
                <w:sz w:val="18"/>
                <w:szCs w:val="18"/>
                <w:color w:val="auto"/>
              </w:rPr>
              <w:t>(3.7)</w:t>
            </w:r>
          </w:p>
        </w:tc>
      </w:tr>
      <w:tr>
        <w:trPr>
          <w:trHeight w:val="216"/>
        </w:trPr>
        <w:tc>
          <w:tcPr>
            <w:tcW w:w="20" w:type="dxa"/>
            <w:vAlign w:val="bottom"/>
          </w:tcPr>
          <w:p>
            <w:pPr>
              <w:spacing w:after="0"/>
              <w:rPr>
                <w:sz w:val="18"/>
                <w:szCs w:val="18"/>
                <w:color w:val="auto"/>
              </w:rPr>
            </w:pPr>
          </w:p>
        </w:tc>
        <w:tc>
          <w:tcPr>
            <w:tcW w:w="54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Minority interest</w:t>
            </w:r>
          </w:p>
        </w:tc>
        <w:tc>
          <w:tcPr>
            <w:tcW w:w="40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color w:val="auto"/>
              </w:rPr>
              <w:t>13</w:t>
            </w:r>
          </w:p>
        </w:tc>
        <w:tc>
          <w:tcPr>
            <w:tcW w:w="2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14"/>
              <w:spacing w:after="0"/>
              <w:rPr>
                <w:sz w:val="20"/>
                <w:szCs w:val="20"/>
                <w:color w:val="auto"/>
              </w:rPr>
            </w:pPr>
            <w:r>
              <w:rPr>
                <w:rFonts w:ascii="Arial" w:cs="Arial" w:eastAsia="Arial" w:hAnsi="Arial"/>
                <w:sz w:val="18"/>
                <w:szCs w:val="18"/>
                <w:color w:val="auto"/>
              </w:rPr>
              <w:t>12</w:t>
            </w:r>
          </w:p>
        </w:tc>
        <w:tc>
          <w:tcPr>
            <w:tcW w:w="1080" w:type="dxa"/>
            <w:vAlign w:val="bottom"/>
            <w:tcBorders>
              <w:bottom w:val="single" w:sz="8" w:color="auto"/>
            </w:tcBorders>
            <w:shd w:val="clear" w:color="auto" w:fill="E5E5E5"/>
          </w:tcPr>
          <w:p>
            <w:pPr>
              <w:jc w:val="right"/>
              <w:ind w:right="235"/>
              <w:spacing w:after="0"/>
              <w:rPr>
                <w:sz w:val="20"/>
                <w:szCs w:val="20"/>
                <w:color w:val="auto"/>
              </w:rPr>
            </w:pPr>
            <w:r>
              <w:rPr>
                <w:rFonts w:ascii="Arial" w:cs="Arial" w:eastAsia="Arial" w:hAnsi="Arial"/>
                <w:sz w:val="18"/>
                <w:szCs w:val="18"/>
                <w:color w:val="auto"/>
              </w:rPr>
              <w:t>19.4</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color w:val="auto"/>
              </w:rPr>
              <w:t>7</w:t>
            </w:r>
          </w:p>
        </w:tc>
        <w:tc>
          <w:tcPr>
            <w:tcW w:w="2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16</w:t>
            </w:r>
          </w:p>
        </w:tc>
        <w:tc>
          <w:tcPr>
            <w:tcW w:w="1000" w:type="dxa"/>
            <w:vAlign w:val="bottom"/>
            <w:tcBorders>
              <w:bottom w:val="single" w:sz="8" w:color="auto"/>
            </w:tcBorders>
            <w:shd w:val="clear" w:color="auto" w:fill="E5E5E5"/>
          </w:tcPr>
          <w:p>
            <w:pPr>
              <w:jc w:val="right"/>
              <w:ind w:right="95"/>
              <w:spacing w:after="0"/>
              <w:rPr>
                <w:sz w:val="20"/>
                <w:szCs w:val="20"/>
                <w:color w:val="auto"/>
              </w:rPr>
            </w:pPr>
            <w:r>
              <w:rPr>
                <w:rFonts w:ascii="Arial" w:cs="Arial" w:eastAsia="Arial" w:hAnsi="Arial"/>
                <w:sz w:val="18"/>
                <w:szCs w:val="18"/>
                <w:color w:val="auto"/>
              </w:rPr>
              <w:t>(50.4)</w:t>
            </w:r>
          </w:p>
        </w:tc>
      </w:tr>
      <w:tr>
        <w:trPr>
          <w:trHeight w:val="217"/>
        </w:trPr>
        <w:tc>
          <w:tcPr>
            <w:tcW w:w="20" w:type="dxa"/>
            <w:vAlign w:val="bottom"/>
            <w:tcBorders>
              <w:bottom w:val="single" w:sz="8" w:color="auto"/>
            </w:tcBorders>
          </w:tcPr>
          <w:p>
            <w:pPr>
              <w:spacing w:after="0"/>
              <w:rPr>
                <w:sz w:val="18"/>
                <w:szCs w:val="18"/>
                <w:color w:val="auto"/>
              </w:rPr>
            </w:pPr>
          </w:p>
        </w:tc>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b w:val="1"/>
                <w:bCs w:val="1"/>
                <w:color w:val="auto"/>
              </w:rPr>
              <w:t>632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b w:val="1"/>
                <w:bCs w:val="1"/>
                <w:color w:val="auto"/>
              </w:rPr>
              <w:t>588</w:t>
            </w:r>
          </w:p>
        </w:tc>
        <w:tc>
          <w:tcPr>
            <w:tcW w:w="108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b w:val="1"/>
                <w:bCs w:val="1"/>
                <w:color w:val="auto"/>
              </w:rPr>
              <w:t>7.5%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b w:val="1"/>
                <w:bCs w:val="1"/>
                <w:color w:val="auto"/>
              </w:rPr>
              <w:t>1,364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b w:val="1"/>
                <w:bCs w:val="1"/>
                <w:color w:val="auto"/>
              </w:rPr>
              <w:t>1,425</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w:t>
            </w:r>
          </w:p>
        </w:tc>
      </w:tr>
    </w:tbl>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All percentages are calculated based on actual amounts. Minor differences may exist due to rounding.</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Revenue</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Cable and Programming segments accounted for substantially all of the increases in consolidated revenue for the three and six months ended June 30, 2008 compared to the same period in 2007. Cable segment revenue and Programming segment revenue are discussed separately below in “Segment Operating Results.” The remaining increases relate to our other business activities, primarily growth in Comcast Interactive Media and playoff game revenue generated by Comcast Spectacor’s professional sports teams.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Operating, Selling, General and Administrative Expenses</w:t>
      </w:r>
    </w:p>
    <w:p>
      <w:pPr>
        <w:spacing w:after="0" w:line="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Cable and Programming segments accounted for substantially all of the increases in consolidated operating, selling, general and administrative expenses for the three and six months ended June 30, 2008 compared to the same periods in 2007. Cable segment and Programming segment operating, selling, general and administrative expenses are discussed separately below in “Segment Operating Results.” The remaining increases relate to our other business activities, including expanding our Comcast Interactive Media business, and Comcast Spectacor.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Depreciation and Amortization</w:t>
      </w:r>
    </w:p>
    <w:p>
      <w:pPr>
        <w:spacing w:after="0" w:line="7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increases in depreciation expense for the three and six months ended June 30, 2008 compared to the same periods in 2007 are primarily a result of the increase in property and equipment and the depreciation associated with the cable systems acquired in the Insight transaction.</w:t>
      </w:r>
    </w:p>
    <w:p>
      <w:pPr>
        <w:spacing w:after="0" w:line="3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decreases in amortization expense for the three and six months ended June 30, 2008 compared to the same periods in 2007 are primarily due to the customer relationship intangible assets associated with the AT&amp;T Broadband acquisition in 2002 being fully amortized.</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Segment Operating Results</w:t>
      </w:r>
    </w:p>
    <w:p>
      <w:pPr>
        <w:spacing w:after="0" w:line="8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To measure the performance of our operating segments, we use operating income (loss) before depreciation and amortization, excluding impairment charges related to fixed and intangible assets, and gains or losses from the sale of assets, if any. This measure eliminates the significant level of noncash depreciation and amortization expense that results from the capital-intensive nature of our businesses and from intangible assets recognized in business combinations. Additionally, it is unaffected by our capital structure or investment activities. We use this measure to evaluate our consolidated operating performance, the operating performance of our operating segments and to allocate resources and capital to our business segments. It is also a significant performance measure in our annual incentive compensation programs. We believe that this measure is useful to investors because it is one of the bases for comparing our operating performance with that of other companies in our industries, although our measure may not be directly comparable to similar measures used by other companies. Because we use this metric to measure our segment profit or loss, we reconcile it to operating income, the most directly comparable financial measure calculated and presented in accordance with generally accepted accounting principles in the United States (“GAAP”) in the business segment footnote to our consolidated financial statements (see Note 12). This measure should not be considered a substitute for operating income (loss), net income (loss), net cash provided by operating activities, or other measures of performance or liquidity we have reported in accordance with GAAP.</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Segment Operating Results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00" w:type="dxa"/>
            <w:vAlign w:val="bottom"/>
            <w:gridSpan w:val="3"/>
          </w:tcPr>
          <w:p>
            <w:pPr>
              <w:jc w:val="right"/>
              <w:ind w:right="294"/>
              <w:spacing w:after="0"/>
              <w:rPr>
                <w:sz w:val="20"/>
                <w:szCs w:val="20"/>
                <w:color w:val="auto"/>
              </w:rPr>
            </w:pPr>
            <w:r>
              <w:rPr>
                <w:rFonts w:ascii="Arial" w:cs="Arial" w:eastAsia="Arial" w:hAnsi="Arial"/>
                <w:sz w:val="14"/>
                <w:szCs w:val="14"/>
                <w:color w:val="auto"/>
                <w:w w:val="99"/>
              </w:rPr>
              <w:t>Three Months Ended</w:t>
            </w: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7500" w:type="dxa"/>
            <w:vAlign w:val="bottom"/>
            <w:gridSpan w:val="3"/>
            <w:vMerge w:val="restart"/>
          </w:tcPr>
          <w:p>
            <w:pPr>
              <w:spacing w:after="0"/>
              <w:rPr>
                <w:sz w:val="20"/>
                <w:szCs w:val="20"/>
                <w:color w:val="auto"/>
              </w:rPr>
            </w:pPr>
            <w:r>
              <w:rPr>
                <w:rFonts w:ascii="Arial" w:cs="Arial" w:eastAsia="Arial" w:hAnsi="Arial"/>
                <w:sz w:val="14"/>
                <w:szCs w:val="14"/>
                <w:color w:val="auto"/>
              </w:rPr>
              <w:t>(in millions)</w:t>
            </w: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w w:val="80"/>
              </w:rPr>
              <w:t>June 30</w:t>
            </w: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80" w:type="dxa"/>
            <w:vAlign w:val="bottom"/>
            <w:gridSpan w:val="3"/>
          </w:tcPr>
          <w:p>
            <w:pPr>
              <w:ind w:left="40"/>
              <w:spacing w:after="0" w:line="159" w:lineRule="exact"/>
              <w:rPr>
                <w:sz w:val="20"/>
                <w:szCs w:val="20"/>
                <w:color w:val="auto"/>
              </w:rPr>
            </w:pPr>
            <w:r>
              <w:rPr>
                <w:rFonts w:ascii="Arial" w:cs="Arial" w:eastAsia="Arial" w:hAnsi="Arial"/>
                <w:sz w:val="14"/>
                <w:szCs w:val="14"/>
                <w:color w:val="auto"/>
              </w:rPr>
              <w:t>Increase/(Decrease)</w:t>
            </w:r>
          </w:p>
        </w:tc>
        <w:tc>
          <w:tcPr>
            <w:tcW w:w="0" w:type="dxa"/>
            <w:vAlign w:val="bottom"/>
          </w:tcPr>
          <w:p>
            <w:pPr>
              <w:spacing w:after="0"/>
              <w:rPr>
                <w:sz w:val="1"/>
                <w:szCs w:val="1"/>
                <w:color w:val="auto"/>
              </w:rPr>
            </w:pPr>
          </w:p>
        </w:tc>
      </w:tr>
      <w:tr>
        <w:trPr>
          <w:trHeight w:val="142"/>
        </w:trPr>
        <w:tc>
          <w:tcPr>
            <w:tcW w:w="7500" w:type="dxa"/>
            <w:vAlign w:val="bottom"/>
            <w:gridSpan w:val="3"/>
            <w:vMerge w:val="continue"/>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color w:val="auto"/>
              </w:rPr>
              <w:t>2008</w:t>
            </w:r>
          </w:p>
        </w:tc>
        <w:tc>
          <w:tcPr>
            <w:tcW w:w="4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54"/>
              <w:spacing w:after="0" w:line="142" w:lineRule="exact"/>
              <w:rPr>
                <w:sz w:val="20"/>
                <w:szCs w:val="20"/>
                <w:color w:val="auto"/>
              </w:rPr>
            </w:pPr>
            <w:r>
              <w:rPr>
                <w:rFonts w:ascii="Arial" w:cs="Arial" w:eastAsia="Arial" w:hAnsi="Arial"/>
                <w:sz w:val="14"/>
                <w:szCs w:val="14"/>
                <w:color w:val="auto"/>
              </w:rPr>
              <w:t>2007</w:t>
            </w:r>
          </w:p>
        </w:tc>
        <w:tc>
          <w:tcPr>
            <w:tcW w:w="3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456"/>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ind w:right="254"/>
              <w:spacing w:after="0" w:line="142"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tcBorders>
              <w:top w:val="single" w:sz="8" w:color="auto"/>
            </w:tcBorders>
            <w:gridSpan w:val="2"/>
            <w:shd w:val="clear" w:color="auto" w:fill="E5E5E5"/>
          </w:tcPr>
          <w:p>
            <w:pPr>
              <w:spacing w:after="0"/>
              <w:rPr>
                <w:sz w:val="20"/>
                <w:szCs w:val="20"/>
                <w:color w:val="auto"/>
              </w:rPr>
            </w:pPr>
            <w:r>
              <w:rPr>
                <w:rFonts w:ascii="Arial" w:cs="Arial" w:eastAsia="Arial" w:hAnsi="Arial"/>
                <w:sz w:val="18"/>
                <w:szCs w:val="18"/>
                <w:color w:val="auto"/>
              </w:rPr>
              <w:t>Video</w:t>
            </w:r>
          </w:p>
        </w:tc>
        <w:tc>
          <w:tcPr>
            <w:tcW w:w="420" w:type="dxa"/>
            <w:vAlign w:val="bottom"/>
            <w:tcBorders>
              <w:top w:val="single" w:sz="8" w:color="auto"/>
            </w:tcBorders>
            <w:shd w:val="clear" w:color="auto" w:fill="E5E5E5"/>
          </w:tcPr>
          <w:p>
            <w:pPr>
              <w:spacing w:after="0"/>
              <w:rPr>
                <w:sz w:val="18"/>
                <w:szCs w:val="18"/>
                <w:color w:val="auto"/>
              </w:rPr>
            </w:pPr>
          </w:p>
        </w:tc>
        <w:tc>
          <w:tcPr>
            <w:tcW w:w="5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86"/>
              </w:rPr>
              <w:t>$ 4,726</w:t>
            </w:r>
          </w:p>
        </w:tc>
        <w:tc>
          <w:tcPr>
            <w:tcW w:w="1160" w:type="dxa"/>
            <w:vAlign w:val="bottom"/>
            <w:tcBorders>
              <w:top w:val="single" w:sz="8" w:color="auto"/>
            </w:tcBorders>
            <w:gridSpan w:val="2"/>
            <w:shd w:val="clear" w:color="auto" w:fill="E5E5E5"/>
          </w:tcPr>
          <w:p>
            <w:pPr>
              <w:jc w:val="right"/>
              <w:ind w:right="114"/>
              <w:spacing w:after="0"/>
              <w:rPr>
                <w:sz w:val="20"/>
                <w:szCs w:val="20"/>
                <w:color w:val="auto"/>
              </w:rPr>
            </w:pPr>
            <w:r>
              <w:rPr>
                <w:rFonts w:ascii="Arial" w:cs="Arial" w:eastAsia="Arial" w:hAnsi="Arial"/>
                <w:sz w:val="18"/>
                <w:szCs w:val="18"/>
                <w:color w:val="auto"/>
              </w:rPr>
              <w:t>$ 4,465</w:t>
            </w:r>
          </w:p>
        </w:tc>
        <w:tc>
          <w:tcPr>
            <w:tcW w:w="3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E5E5E5"/>
          </w:tcPr>
          <w:p>
            <w:pPr>
              <w:jc w:val="right"/>
              <w:ind w:right="236"/>
              <w:spacing w:after="0"/>
              <w:rPr>
                <w:sz w:val="20"/>
                <w:szCs w:val="20"/>
                <w:color w:val="auto"/>
              </w:rPr>
            </w:pPr>
            <w:r>
              <w:rPr>
                <w:rFonts w:ascii="Arial" w:cs="Arial" w:eastAsia="Arial" w:hAnsi="Arial"/>
                <w:sz w:val="18"/>
                <w:szCs w:val="18"/>
                <w:color w:val="auto"/>
              </w:rPr>
              <w:t>261</w:t>
            </w:r>
          </w:p>
        </w:tc>
        <w:tc>
          <w:tcPr>
            <w:tcW w:w="7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High-speed Internet</w:t>
            </w:r>
          </w:p>
        </w:tc>
        <w:tc>
          <w:tcPr>
            <w:tcW w:w="4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1,792</w:t>
            </w:r>
          </w:p>
        </w:tc>
        <w:tc>
          <w:tcPr>
            <w:tcW w:w="460" w:type="dxa"/>
            <w:vAlign w:val="bottom"/>
          </w:tcPr>
          <w:p>
            <w:pPr>
              <w:spacing w:after="0"/>
              <w:rPr>
                <w:sz w:val="18"/>
                <w:szCs w:val="18"/>
                <w:color w:val="auto"/>
              </w:rPr>
            </w:pPr>
          </w:p>
        </w:tc>
        <w:tc>
          <w:tcPr>
            <w:tcW w:w="700" w:type="dxa"/>
            <w:vAlign w:val="bottom"/>
          </w:tcPr>
          <w:p>
            <w:pPr>
              <w:jc w:val="right"/>
              <w:ind w:right="114"/>
              <w:spacing w:after="0"/>
              <w:rPr>
                <w:sz w:val="20"/>
                <w:szCs w:val="20"/>
                <w:color w:val="auto"/>
              </w:rPr>
            </w:pPr>
            <w:r>
              <w:rPr>
                <w:rFonts w:ascii="Arial" w:cs="Arial" w:eastAsia="Arial" w:hAnsi="Arial"/>
                <w:sz w:val="18"/>
                <w:szCs w:val="18"/>
                <w:color w:val="auto"/>
              </w:rPr>
              <w:t>1,589</w:t>
            </w:r>
          </w:p>
        </w:tc>
        <w:tc>
          <w:tcPr>
            <w:tcW w:w="340" w:type="dxa"/>
            <w:vAlign w:val="bottom"/>
          </w:tcPr>
          <w:p>
            <w:pPr>
              <w:spacing w:after="0"/>
              <w:rPr>
                <w:sz w:val="18"/>
                <w:szCs w:val="18"/>
                <w:color w:val="auto"/>
              </w:rPr>
            </w:pPr>
          </w:p>
        </w:tc>
        <w:tc>
          <w:tcPr>
            <w:tcW w:w="720" w:type="dxa"/>
            <w:vAlign w:val="bottom"/>
          </w:tcPr>
          <w:p>
            <w:pPr>
              <w:jc w:val="right"/>
              <w:ind w:right="236"/>
              <w:spacing w:after="0"/>
              <w:rPr>
                <w:sz w:val="20"/>
                <w:szCs w:val="20"/>
                <w:color w:val="auto"/>
              </w:rPr>
            </w:pPr>
            <w:r>
              <w:rPr>
                <w:rFonts w:ascii="Arial" w:cs="Arial" w:eastAsia="Arial" w:hAnsi="Arial"/>
                <w:sz w:val="18"/>
                <w:szCs w:val="18"/>
                <w:color w:val="auto"/>
              </w:rPr>
              <w:t>203</w:t>
            </w:r>
          </w:p>
        </w:tc>
        <w:tc>
          <w:tcPr>
            <w:tcW w:w="740" w:type="dxa"/>
            <w:vAlign w:val="bottom"/>
          </w:tcPr>
          <w:p>
            <w:pPr>
              <w:jc w:val="right"/>
              <w:ind w:right="94"/>
              <w:spacing w:after="0"/>
              <w:rPr>
                <w:sz w:val="20"/>
                <w:szCs w:val="20"/>
                <w:color w:val="auto"/>
              </w:rPr>
            </w:pPr>
            <w:r>
              <w:rPr>
                <w:rFonts w:ascii="Arial" w:cs="Arial" w:eastAsia="Arial" w:hAnsi="Arial"/>
                <w:sz w:val="18"/>
                <w:szCs w:val="18"/>
                <w:color w:val="auto"/>
              </w:rPr>
              <w:t>12.7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Phone</w:t>
            </w:r>
          </w:p>
        </w:tc>
        <w:tc>
          <w:tcPr>
            <w:tcW w:w="420" w:type="dxa"/>
            <w:vAlign w:val="bottom"/>
            <w:shd w:val="clear" w:color="auto" w:fill="E5E5E5"/>
          </w:tcPr>
          <w:p>
            <w:pPr>
              <w:spacing w:after="0"/>
              <w:rPr>
                <w:sz w:val="18"/>
                <w:szCs w:val="18"/>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640</w:t>
            </w:r>
          </w:p>
        </w:tc>
        <w:tc>
          <w:tcPr>
            <w:tcW w:w="4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420</w:t>
            </w:r>
          </w:p>
        </w:tc>
        <w:tc>
          <w:tcPr>
            <w:tcW w:w="3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236"/>
              <w:spacing w:after="0"/>
              <w:rPr>
                <w:sz w:val="20"/>
                <w:szCs w:val="20"/>
                <w:color w:val="auto"/>
              </w:rPr>
            </w:pPr>
            <w:r>
              <w:rPr>
                <w:rFonts w:ascii="Arial" w:cs="Arial" w:eastAsia="Arial" w:hAnsi="Arial"/>
                <w:sz w:val="18"/>
                <w:szCs w:val="18"/>
                <w:color w:val="auto"/>
              </w:rPr>
              <w:t>220</w:t>
            </w:r>
          </w:p>
        </w:tc>
        <w:tc>
          <w:tcPr>
            <w:tcW w:w="74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52.3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Advertising</w:t>
            </w:r>
          </w:p>
        </w:tc>
        <w:tc>
          <w:tcPr>
            <w:tcW w:w="4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399</w:t>
            </w:r>
          </w:p>
        </w:tc>
        <w:tc>
          <w:tcPr>
            <w:tcW w:w="460" w:type="dxa"/>
            <w:vAlign w:val="bottom"/>
          </w:tcPr>
          <w:p>
            <w:pPr>
              <w:spacing w:after="0"/>
              <w:rPr>
                <w:sz w:val="18"/>
                <w:szCs w:val="18"/>
                <w:color w:val="auto"/>
              </w:rPr>
            </w:pPr>
          </w:p>
        </w:tc>
        <w:tc>
          <w:tcPr>
            <w:tcW w:w="700" w:type="dxa"/>
            <w:vAlign w:val="bottom"/>
          </w:tcPr>
          <w:p>
            <w:pPr>
              <w:jc w:val="right"/>
              <w:ind w:right="114"/>
              <w:spacing w:after="0"/>
              <w:rPr>
                <w:sz w:val="20"/>
                <w:szCs w:val="20"/>
                <w:color w:val="auto"/>
              </w:rPr>
            </w:pPr>
            <w:r>
              <w:rPr>
                <w:rFonts w:ascii="Arial" w:cs="Arial" w:eastAsia="Arial" w:hAnsi="Arial"/>
                <w:sz w:val="18"/>
                <w:szCs w:val="18"/>
                <w:color w:val="auto"/>
              </w:rPr>
              <w:t>399</w:t>
            </w:r>
          </w:p>
        </w:tc>
        <w:tc>
          <w:tcPr>
            <w:tcW w:w="340" w:type="dxa"/>
            <w:vAlign w:val="bottom"/>
          </w:tcPr>
          <w:p>
            <w:pPr>
              <w:spacing w:after="0"/>
              <w:rPr>
                <w:sz w:val="18"/>
                <w:szCs w:val="18"/>
                <w:color w:val="auto"/>
              </w:rPr>
            </w:pPr>
          </w:p>
        </w:tc>
        <w:tc>
          <w:tcPr>
            <w:tcW w:w="720" w:type="dxa"/>
            <w:vAlign w:val="bottom"/>
          </w:tcPr>
          <w:p>
            <w:pPr>
              <w:jc w:val="right"/>
              <w:ind w:right="236"/>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4"/>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Other</w:t>
            </w:r>
          </w:p>
        </w:tc>
        <w:tc>
          <w:tcPr>
            <w:tcW w:w="420" w:type="dxa"/>
            <w:vAlign w:val="bottom"/>
            <w:shd w:val="clear" w:color="auto" w:fill="E5E5E5"/>
          </w:tcPr>
          <w:p>
            <w:pPr>
              <w:spacing w:after="0"/>
              <w:rPr>
                <w:sz w:val="18"/>
                <w:szCs w:val="18"/>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316</w:t>
            </w:r>
          </w:p>
        </w:tc>
        <w:tc>
          <w:tcPr>
            <w:tcW w:w="4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250</w:t>
            </w:r>
          </w:p>
        </w:tc>
        <w:tc>
          <w:tcPr>
            <w:tcW w:w="3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236"/>
              <w:spacing w:after="0"/>
              <w:rPr>
                <w:sz w:val="20"/>
                <w:szCs w:val="20"/>
                <w:color w:val="auto"/>
              </w:rPr>
            </w:pPr>
            <w:r>
              <w:rPr>
                <w:rFonts w:ascii="Arial" w:cs="Arial" w:eastAsia="Arial" w:hAnsi="Arial"/>
                <w:sz w:val="18"/>
                <w:szCs w:val="18"/>
                <w:color w:val="auto"/>
              </w:rPr>
              <w:t>66</w:t>
            </w:r>
          </w:p>
        </w:tc>
        <w:tc>
          <w:tcPr>
            <w:tcW w:w="74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25.7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Franchise fees</w:t>
            </w:r>
          </w:p>
        </w:tc>
        <w:tc>
          <w:tcPr>
            <w:tcW w:w="4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4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207</w:t>
            </w: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36"/>
              <w:spacing w:after="0"/>
              <w:rPr>
                <w:sz w:val="20"/>
                <w:szCs w:val="20"/>
                <w:color w:val="auto"/>
              </w:rPr>
            </w:pPr>
            <w:r>
              <w:rPr>
                <w:rFonts w:ascii="Arial" w:cs="Arial" w:eastAsia="Arial" w:hAnsi="Arial"/>
                <w:sz w:val="18"/>
                <w:szCs w:val="18"/>
                <w:color w:val="auto"/>
              </w:rPr>
              <w:t>20</w:t>
            </w:r>
          </w:p>
        </w:tc>
        <w:tc>
          <w:tcPr>
            <w:tcW w:w="7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Revenue</w:t>
            </w:r>
          </w:p>
        </w:tc>
        <w:tc>
          <w:tcPr>
            <w:tcW w:w="420" w:type="dxa"/>
            <w:vAlign w:val="bottom"/>
            <w:shd w:val="clear" w:color="auto" w:fill="E5E5E5"/>
          </w:tcPr>
          <w:p>
            <w:pPr>
              <w:spacing w:after="0"/>
              <w:rPr>
                <w:sz w:val="18"/>
                <w:szCs w:val="18"/>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8,100</w:t>
            </w:r>
          </w:p>
        </w:tc>
        <w:tc>
          <w:tcPr>
            <w:tcW w:w="4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7,330</w:t>
            </w:r>
          </w:p>
        </w:tc>
        <w:tc>
          <w:tcPr>
            <w:tcW w:w="3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236"/>
              <w:spacing w:after="0"/>
              <w:rPr>
                <w:sz w:val="20"/>
                <w:szCs w:val="20"/>
                <w:color w:val="auto"/>
              </w:rPr>
            </w:pPr>
            <w:r>
              <w:rPr>
                <w:rFonts w:ascii="Arial" w:cs="Arial" w:eastAsia="Arial" w:hAnsi="Arial"/>
                <w:sz w:val="18"/>
                <w:szCs w:val="18"/>
                <w:color w:val="auto"/>
              </w:rPr>
              <w:t>770</w:t>
            </w:r>
          </w:p>
        </w:tc>
        <w:tc>
          <w:tcPr>
            <w:tcW w:w="74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4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2,898</w:t>
            </w:r>
          </w:p>
        </w:tc>
        <w:tc>
          <w:tcPr>
            <w:tcW w:w="460" w:type="dxa"/>
            <w:vAlign w:val="bottom"/>
          </w:tcPr>
          <w:p>
            <w:pPr>
              <w:spacing w:after="0"/>
              <w:rPr>
                <w:sz w:val="18"/>
                <w:szCs w:val="18"/>
                <w:color w:val="auto"/>
              </w:rPr>
            </w:pPr>
          </w:p>
        </w:tc>
        <w:tc>
          <w:tcPr>
            <w:tcW w:w="700" w:type="dxa"/>
            <w:vAlign w:val="bottom"/>
          </w:tcPr>
          <w:p>
            <w:pPr>
              <w:jc w:val="right"/>
              <w:ind w:right="114"/>
              <w:spacing w:after="0"/>
              <w:rPr>
                <w:sz w:val="20"/>
                <w:szCs w:val="20"/>
                <w:color w:val="auto"/>
              </w:rPr>
            </w:pPr>
            <w:r>
              <w:rPr>
                <w:rFonts w:ascii="Arial" w:cs="Arial" w:eastAsia="Arial" w:hAnsi="Arial"/>
                <w:sz w:val="18"/>
                <w:szCs w:val="18"/>
                <w:color w:val="auto"/>
              </w:rPr>
              <w:t>2,576</w:t>
            </w:r>
          </w:p>
        </w:tc>
        <w:tc>
          <w:tcPr>
            <w:tcW w:w="340" w:type="dxa"/>
            <w:vAlign w:val="bottom"/>
          </w:tcPr>
          <w:p>
            <w:pPr>
              <w:spacing w:after="0"/>
              <w:rPr>
                <w:sz w:val="18"/>
                <w:szCs w:val="18"/>
                <w:color w:val="auto"/>
              </w:rPr>
            </w:pPr>
          </w:p>
        </w:tc>
        <w:tc>
          <w:tcPr>
            <w:tcW w:w="720" w:type="dxa"/>
            <w:vAlign w:val="bottom"/>
          </w:tcPr>
          <w:p>
            <w:pPr>
              <w:jc w:val="right"/>
              <w:ind w:right="236"/>
              <w:spacing w:after="0"/>
              <w:rPr>
                <w:sz w:val="20"/>
                <w:szCs w:val="20"/>
                <w:color w:val="auto"/>
              </w:rPr>
            </w:pPr>
            <w:r>
              <w:rPr>
                <w:rFonts w:ascii="Arial" w:cs="Arial" w:eastAsia="Arial" w:hAnsi="Arial"/>
                <w:sz w:val="18"/>
                <w:szCs w:val="18"/>
                <w:color w:val="auto"/>
              </w:rPr>
              <w:t>322</w:t>
            </w:r>
          </w:p>
        </w:tc>
        <w:tc>
          <w:tcPr>
            <w:tcW w:w="740" w:type="dxa"/>
            <w:vAlign w:val="bottom"/>
          </w:tcPr>
          <w:p>
            <w:pPr>
              <w:jc w:val="right"/>
              <w:ind w:right="94"/>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color w:val="auto"/>
              </w:rPr>
              <w:t>Selling, general and administrative expenses</w:t>
            </w:r>
          </w:p>
        </w:tc>
        <w:tc>
          <w:tcPr>
            <w:tcW w:w="4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1,840</w:t>
            </w:r>
          </w:p>
        </w:tc>
        <w:tc>
          <w:tcPr>
            <w:tcW w:w="4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14"/>
              <w:spacing w:after="0"/>
              <w:rPr>
                <w:sz w:val="20"/>
                <w:szCs w:val="20"/>
                <w:color w:val="auto"/>
              </w:rPr>
            </w:pPr>
            <w:r>
              <w:rPr>
                <w:rFonts w:ascii="Arial" w:cs="Arial" w:eastAsia="Arial" w:hAnsi="Arial"/>
                <w:sz w:val="18"/>
                <w:szCs w:val="18"/>
                <w:color w:val="auto"/>
              </w:rPr>
              <w:t>1,723</w:t>
            </w:r>
          </w:p>
        </w:tc>
        <w:tc>
          <w:tcPr>
            <w:tcW w:w="3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236"/>
              <w:spacing w:after="0"/>
              <w:rPr>
                <w:sz w:val="20"/>
                <w:szCs w:val="20"/>
                <w:color w:val="auto"/>
              </w:rPr>
            </w:pPr>
            <w:r>
              <w:rPr>
                <w:rFonts w:ascii="Arial" w:cs="Arial" w:eastAsia="Arial" w:hAnsi="Arial"/>
                <w:sz w:val="18"/>
                <w:szCs w:val="18"/>
                <w:color w:val="auto"/>
              </w:rPr>
              <w:t>117</w:t>
            </w:r>
          </w:p>
        </w:tc>
        <w:tc>
          <w:tcPr>
            <w:tcW w:w="74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4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$ 3,362</w:t>
            </w:r>
          </w:p>
        </w:tc>
        <w:tc>
          <w:tcPr>
            <w:tcW w:w="1160" w:type="dxa"/>
            <w:vAlign w:val="bottom"/>
            <w:tcBorders>
              <w:bottom w:val="single" w:sz="8" w:color="auto"/>
            </w:tcBorders>
            <w:gridSpan w:val="2"/>
          </w:tcPr>
          <w:p>
            <w:pPr>
              <w:jc w:val="right"/>
              <w:ind w:right="114"/>
              <w:spacing w:after="0"/>
              <w:rPr>
                <w:sz w:val="20"/>
                <w:szCs w:val="20"/>
                <w:color w:val="auto"/>
              </w:rPr>
            </w:pPr>
            <w:r>
              <w:rPr>
                <w:rFonts w:ascii="Arial" w:cs="Arial" w:eastAsia="Arial" w:hAnsi="Arial"/>
                <w:sz w:val="18"/>
                <w:szCs w:val="18"/>
                <w:b w:val="1"/>
                <w:bCs w:val="1"/>
                <w:color w:val="auto"/>
              </w:rPr>
              <w:t>$ 3,031</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236"/>
              <w:spacing w:after="0"/>
              <w:rPr>
                <w:sz w:val="20"/>
                <w:szCs w:val="20"/>
                <w:color w:val="auto"/>
              </w:rPr>
            </w:pPr>
            <w:r>
              <w:rPr>
                <w:rFonts w:ascii="Arial" w:cs="Arial" w:eastAsia="Arial" w:hAnsi="Arial"/>
                <w:sz w:val="18"/>
                <w:szCs w:val="18"/>
                <w:b w:val="1"/>
                <w:bCs w:val="1"/>
                <w:color w:val="auto"/>
              </w:rPr>
              <w:t>331</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00" w:type="dxa"/>
            <w:vAlign w:val="bottom"/>
            <w:gridSpan w:val="3"/>
          </w:tcPr>
          <w:p>
            <w:pPr>
              <w:jc w:val="right"/>
              <w:ind w:right="414"/>
              <w:spacing w:after="0"/>
              <w:rPr>
                <w:sz w:val="20"/>
                <w:szCs w:val="20"/>
                <w:color w:val="auto"/>
              </w:rPr>
            </w:pPr>
            <w:r>
              <w:rPr>
                <w:rFonts w:ascii="Arial" w:cs="Arial" w:eastAsia="Arial" w:hAnsi="Arial"/>
                <w:sz w:val="14"/>
                <w:szCs w:val="14"/>
                <w:color w:val="auto"/>
              </w:rPr>
              <w:t>Six Months Ended</w:t>
            </w: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gridSpan w:val="2"/>
          </w:tcPr>
          <w:p>
            <w:pPr>
              <w:jc w:val="right"/>
              <w:ind w:right="16"/>
              <w:spacing w:after="0" w:line="159" w:lineRule="exact"/>
              <w:rPr>
                <w:sz w:val="20"/>
                <w:szCs w:val="20"/>
                <w:color w:val="auto"/>
              </w:rPr>
            </w:pPr>
            <w:r>
              <w:rPr>
                <w:rFonts w:ascii="Arial" w:cs="Arial" w:eastAsia="Arial" w:hAnsi="Arial"/>
                <w:sz w:val="14"/>
                <w:szCs w:val="14"/>
                <w:color w:val="auto"/>
              </w:rPr>
              <w:t>June 30</w:t>
            </w: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80" w:type="dxa"/>
            <w:vAlign w:val="bottom"/>
            <w:gridSpan w:val="3"/>
          </w:tcPr>
          <w:p>
            <w:pPr>
              <w:jc w:val="right"/>
              <w:ind w:right="360"/>
              <w:spacing w:after="0" w:line="159" w:lineRule="exact"/>
              <w:rPr>
                <w:sz w:val="20"/>
                <w:szCs w:val="20"/>
                <w:color w:val="auto"/>
              </w:rPr>
            </w:pPr>
            <w:r>
              <w:rPr>
                <w:rFonts w:ascii="Arial" w:cs="Arial" w:eastAsia="Arial" w:hAnsi="Arial"/>
                <w:sz w:val="14"/>
                <w:szCs w:val="14"/>
                <w:color w:val="auto"/>
                <w:w w:val="86"/>
              </w:rPr>
              <w:t>Increase/(Decrease)</w:t>
            </w:r>
          </w:p>
        </w:tc>
        <w:tc>
          <w:tcPr>
            <w:tcW w:w="0" w:type="dxa"/>
            <w:vAlign w:val="bottom"/>
          </w:tcPr>
          <w:p>
            <w:pPr>
              <w:spacing w:after="0"/>
              <w:rPr>
                <w:sz w:val="1"/>
                <w:szCs w:val="1"/>
                <w:color w:val="auto"/>
              </w:rPr>
            </w:pPr>
          </w:p>
        </w:tc>
      </w:tr>
      <w:tr>
        <w:trPr>
          <w:trHeight w:val="142"/>
        </w:trPr>
        <w:tc>
          <w:tcPr>
            <w:tcW w:w="7400" w:type="dxa"/>
            <w:vAlign w:val="bottom"/>
            <w:gridSpan w:val="2"/>
          </w:tcPr>
          <w:p>
            <w:pPr>
              <w:spacing w:after="0" w:line="142" w:lineRule="exact"/>
              <w:rPr>
                <w:sz w:val="20"/>
                <w:szCs w:val="20"/>
                <w:color w:val="auto"/>
              </w:rPr>
            </w:pPr>
            <w:r>
              <w:rPr>
                <w:rFonts w:ascii="Arial" w:cs="Arial" w:eastAsia="Arial" w:hAnsi="Arial"/>
                <w:sz w:val="14"/>
                <w:szCs w:val="14"/>
                <w:color w:val="auto"/>
              </w:rPr>
              <w:t>(in millions)</w:t>
            </w: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color w:val="auto"/>
              </w:rPr>
              <w:t>2008</w:t>
            </w:r>
          </w:p>
        </w:tc>
        <w:tc>
          <w:tcPr>
            <w:tcW w:w="4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74"/>
              <w:spacing w:after="0" w:line="142" w:lineRule="exact"/>
              <w:rPr>
                <w:sz w:val="20"/>
                <w:szCs w:val="20"/>
                <w:color w:val="auto"/>
              </w:rPr>
            </w:pPr>
            <w:r>
              <w:rPr>
                <w:rFonts w:ascii="Arial" w:cs="Arial" w:eastAsia="Arial" w:hAnsi="Arial"/>
                <w:sz w:val="14"/>
                <w:szCs w:val="14"/>
                <w:color w:val="auto"/>
              </w:rPr>
              <w:t>2007</w:t>
            </w:r>
          </w:p>
        </w:tc>
        <w:tc>
          <w:tcPr>
            <w:tcW w:w="3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436"/>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ind w:right="234"/>
              <w:spacing w:after="0" w:line="142"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tcBorders>
              <w:top w:val="single" w:sz="8" w:color="auto"/>
            </w:tcBorders>
            <w:gridSpan w:val="2"/>
            <w:shd w:val="clear" w:color="auto" w:fill="E5E5E5"/>
          </w:tcPr>
          <w:p>
            <w:pPr>
              <w:spacing w:after="0"/>
              <w:rPr>
                <w:sz w:val="20"/>
                <w:szCs w:val="20"/>
                <w:color w:val="auto"/>
              </w:rPr>
            </w:pPr>
            <w:r>
              <w:rPr>
                <w:rFonts w:ascii="Arial" w:cs="Arial" w:eastAsia="Arial" w:hAnsi="Arial"/>
                <w:sz w:val="18"/>
                <w:szCs w:val="18"/>
                <w:color w:val="auto"/>
              </w:rPr>
              <w:t>Video</w:t>
            </w:r>
          </w:p>
        </w:tc>
        <w:tc>
          <w:tcPr>
            <w:tcW w:w="4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9,432</w:t>
            </w:r>
          </w:p>
        </w:tc>
        <w:tc>
          <w:tcPr>
            <w:tcW w:w="4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8,827</w:t>
            </w:r>
          </w:p>
        </w:tc>
        <w:tc>
          <w:tcPr>
            <w:tcW w:w="3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E5E5E5"/>
          </w:tcPr>
          <w:p>
            <w:pPr>
              <w:jc w:val="right"/>
              <w:ind w:right="156"/>
              <w:spacing w:after="0"/>
              <w:rPr>
                <w:sz w:val="20"/>
                <w:szCs w:val="20"/>
                <w:color w:val="auto"/>
              </w:rPr>
            </w:pPr>
            <w:r>
              <w:rPr>
                <w:rFonts w:ascii="Arial" w:cs="Arial" w:eastAsia="Arial" w:hAnsi="Arial"/>
                <w:sz w:val="18"/>
                <w:szCs w:val="18"/>
                <w:color w:val="auto"/>
              </w:rPr>
              <w:t>605</w:t>
            </w:r>
          </w:p>
        </w:tc>
        <w:tc>
          <w:tcPr>
            <w:tcW w:w="7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High-speed Internet</w:t>
            </w:r>
          </w:p>
        </w:tc>
        <w:tc>
          <w:tcPr>
            <w:tcW w:w="4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3,542</w:t>
            </w:r>
          </w:p>
        </w:tc>
        <w:tc>
          <w:tcPr>
            <w:tcW w:w="460" w:type="dxa"/>
            <w:vAlign w:val="bottom"/>
          </w:tcPr>
          <w:p>
            <w:pPr>
              <w:spacing w:after="0"/>
              <w:rPr>
                <w:sz w:val="18"/>
                <w:szCs w:val="18"/>
                <w:color w:val="auto"/>
              </w:rPr>
            </w:pPr>
          </w:p>
        </w:tc>
        <w:tc>
          <w:tcPr>
            <w:tcW w:w="700" w:type="dxa"/>
            <w:vAlign w:val="bottom"/>
          </w:tcPr>
          <w:p>
            <w:pPr>
              <w:jc w:val="right"/>
              <w:ind w:right="134"/>
              <w:spacing w:after="0"/>
              <w:rPr>
                <w:sz w:val="20"/>
                <w:szCs w:val="20"/>
                <w:color w:val="auto"/>
              </w:rPr>
            </w:pPr>
            <w:r>
              <w:rPr>
                <w:rFonts w:ascii="Arial" w:cs="Arial" w:eastAsia="Arial" w:hAnsi="Arial"/>
                <w:sz w:val="18"/>
                <w:szCs w:val="18"/>
                <w:color w:val="auto"/>
              </w:rPr>
              <w:t>3,116</w:t>
            </w:r>
          </w:p>
        </w:tc>
        <w:tc>
          <w:tcPr>
            <w:tcW w:w="340" w:type="dxa"/>
            <w:vAlign w:val="bottom"/>
          </w:tcPr>
          <w:p>
            <w:pPr>
              <w:spacing w:after="0"/>
              <w:rPr>
                <w:sz w:val="18"/>
                <w:szCs w:val="18"/>
                <w:color w:val="auto"/>
              </w:rPr>
            </w:pPr>
          </w:p>
        </w:tc>
        <w:tc>
          <w:tcPr>
            <w:tcW w:w="720" w:type="dxa"/>
            <w:vAlign w:val="bottom"/>
          </w:tcPr>
          <w:p>
            <w:pPr>
              <w:jc w:val="right"/>
              <w:ind w:right="156"/>
              <w:spacing w:after="0"/>
              <w:rPr>
                <w:sz w:val="20"/>
                <w:szCs w:val="20"/>
                <w:color w:val="auto"/>
              </w:rPr>
            </w:pPr>
            <w:r>
              <w:rPr>
                <w:rFonts w:ascii="Arial" w:cs="Arial" w:eastAsia="Arial" w:hAnsi="Arial"/>
                <w:sz w:val="18"/>
                <w:szCs w:val="18"/>
                <w:color w:val="auto"/>
              </w:rPr>
              <w:t>426</w:t>
            </w:r>
          </w:p>
        </w:tc>
        <w:tc>
          <w:tcPr>
            <w:tcW w:w="740" w:type="dxa"/>
            <w:vAlign w:val="bottom"/>
          </w:tcPr>
          <w:p>
            <w:pPr>
              <w:jc w:val="right"/>
              <w:ind w:right="94"/>
              <w:spacing w:after="0"/>
              <w:rPr>
                <w:sz w:val="20"/>
                <w:szCs w:val="20"/>
                <w:color w:val="auto"/>
              </w:rPr>
            </w:pPr>
            <w:r>
              <w:rPr>
                <w:rFonts w:ascii="Arial" w:cs="Arial" w:eastAsia="Arial" w:hAnsi="Arial"/>
                <w:sz w:val="18"/>
                <w:szCs w:val="18"/>
                <w:color w:val="auto"/>
              </w:rPr>
              <w:t>13.7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Phone</w:t>
            </w:r>
          </w:p>
        </w:tc>
        <w:tc>
          <w:tcPr>
            <w:tcW w:w="420" w:type="dxa"/>
            <w:vAlign w:val="bottom"/>
            <w:shd w:val="clear" w:color="auto" w:fill="E5E5E5"/>
          </w:tcPr>
          <w:p>
            <w:pPr>
              <w:spacing w:after="0"/>
              <w:rPr>
                <w:sz w:val="18"/>
                <w:szCs w:val="18"/>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1,227</w:t>
            </w:r>
          </w:p>
        </w:tc>
        <w:tc>
          <w:tcPr>
            <w:tcW w:w="4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773</w:t>
            </w:r>
          </w:p>
        </w:tc>
        <w:tc>
          <w:tcPr>
            <w:tcW w:w="3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6"/>
              <w:spacing w:after="0"/>
              <w:rPr>
                <w:sz w:val="20"/>
                <w:szCs w:val="20"/>
                <w:color w:val="auto"/>
              </w:rPr>
            </w:pPr>
            <w:r>
              <w:rPr>
                <w:rFonts w:ascii="Arial" w:cs="Arial" w:eastAsia="Arial" w:hAnsi="Arial"/>
                <w:sz w:val="18"/>
                <w:szCs w:val="18"/>
                <w:color w:val="auto"/>
              </w:rPr>
              <w:t>454</w:t>
            </w:r>
          </w:p>
        </w:tc>
        <w:tc>
          <w:tcPr>
            <w:tcW w:w="74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58.8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Advertising</w:t>
            </w:r>
          </w:p>
        </w:tc>
        <w:tc>
          <w:tcPr>
            <w:tcW w:w="4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743</w:t>
            </w:r>
          </w:p>
        </w:tc>
        <w:tc>
          <w:tcPr>
            <w:tcW w:w="460" w:type="dxa"/>
            <w:vAlign w:val="bottom"/>
          </w:tcPr>
          <w:p>
            <w:pPr>
              <w:spacing w:after="0"/>
              <w:rPr>
                <w:sz w:val="18"/>
                <w:szCs w:val="18"/>
                <w:color w:val="auto"/>
              </w:rPr>
            </w:pPr>
          </w:p>
        </w:tc>
        <w:tc>
          <w:tcPr>
            <w:tcW w:w="700" w:type="dxa"/>
            <w:vAlign w:val="bottom"/>
          </w:tcPr>
          <w:p>
            <w:pPr>
              <w:jc w:val="right"/>
              <w:ind w:right="134"/>
              <w:spacing w:after="0"/>
              <w:rPr>
                <w:sz w:val="20"/>
                <w:szCs w:val="20"/>
                <w:color w:val="auto"/>
              </w:rPr>
            </w:pPr>
            <w:r>
              <w:rPr>
                <w:rFonts w:ascii="Arial" w:cs="Arial" w:eastAsia="Arial" w:hAnsi="Arial"/>
                <w:sz w:val="18"/>
                <w:szCs w:val="18"/>
                <w:color w:val="auto"/>
              </w:rPr>
              <w:t>712</w:t>
            </w:r>
          </w:p>
        </w:tc>
        <w:tc>
          <w:tcPr>
            <w:tcW w:w="340" w:type="dxa"/>
            <w:vAlign w:val="bottom"/>
          </w:tcPr>
          <w:p>
            <w:pPr>
              <w:spacing w:after="0"/>
              <w:rPr>
                <w:sz w:val="18"/>
                <w:szCs w:val="18"/>
                <w:color w:val="auto"/>
              </w:rPr>
            </w:pPr>
          </w:p>
        </w:tc>
        <w:tc>
          <w:tcPr>
            <w:tcW w:w="720" w:type="dxa"/>
            <w:vAlign w:val="bottom"/>
          </w:tcPr>
          <w:p>
            <w:pPr>
              <w:jc w:val="right"/>
              <w:ind w:right="156"/>
              <w:spacing w:after="0"/>
              <w:rPr>
                <w:sz w:val="20"/>
                <w:szCs w:val="20"/>
                <w:color w:val="auto"/>
              </w:rPr>
            </w:pPr>
            <w:r>
              <w:rPr>
                <w:rFonts w:ascii="Arial" w:cs="Arial" w:eastAsia="Arial" w:hAnsi="Arial"/>
                <w:sz w:val="18"/>
                <w:szCs w:val="18"/>
                <w:color w:val="auto"/>
              </w:rPr>
              <w:t>31</w:t>
            </w:r>
          </w:p>
        </w:tc>
        <w:tc>
          <w:tcPr>
            <w:tcW w:w="740" w:type="dxa"/>
            <w:vAlign w:val="bottom"/>
          </w:tcPr>
          <w:p>
            <w:pPr>
              <w:jc w:val="right"/>
              <w:ind w:right="94"/>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Other</w:t>
            </w:r>
          </w:p>
        </w:tc>
        <w:tc>
          <w:tcPr>
            <w:tcW w:w="420" w:type="dxa"/>
            <w:vAlign w:val="bottom"/>
            <w:shd w:val="clear" w:color="auto" w:fill="E5E5E5"/>
          </w:tcPr>
          <w:p>
            <w:pPr>
              <w:spacing w:after="0"/>
              <w:rPr>
                <w:sz w:val="18"/>
                <w:szCs w:val="18"/>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621</w:t>
            </w:r>
          </w:p>
        </w:tc>
        <w:tc>
          <w:tcPr>
            <w:tcW w:w="4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492</w:t>
            </w:r>
          </w:p>
        </w:tc>
        <w:tc>
          <w:tcPr>
            <w:tcW w:w="3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6"/>
              <w:spacing w:after="0"/>
              <w:rPr>
                <w:sz w:val="20"/>
                <w:szCs w:val="20"/>
                <w:color w:val="auto"/>
              </w:rPr>
            </w:pPr>
            <w:r>
              <w:rPr>
                <w:rFonts w:ascii="Arial" w:cs="Arial" w:eastAsia="Arial" w:hAnsi="Arial"/>
                <w:sz w:val="18"/>
                <w:szCs w:val="18"/>
                <w:color w:val="auto"/>
              </w:rPr>
              <w:t>129</w:t>
            </w:r>
          </w:p>
        </w:tc>
        <w:tc>
          <w:tcPr>
            <w:tcW w:w="74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25.8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Franchise fees</w:t>
            </w:r>
          </w:p>
        </w:tc>
        <w:tc>
          <w:tcPr>
            <w:tcW w:w="4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4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408</w:t>
            </w: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rPr>
              <w:t>43</w:t>
            </w:r>
          </w:p>
        </w:tc>
        <w:tc>
          <w:tcPr>
            <w:tcW w:w="7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Revenue</w:t>
            </w:r>
          </w:p>
        </w:tc>
        <w:tc>
          <w:tcPr>
            <w:tcW w:w="420" w:type="dxa"/>
            <w:vAlign w:val="bottom"/>
            <w:shd w:val="clear" w:color="auto" w:fill="E5E5E5"/>
          </w:tcPr>
          <w:p>
            <w:pPr>
              <w:spacing w:after="0"/>
              <w:rPr>
                <w:sz w:val="18"/>
                <w:szCs w:val="18"/>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3"/>
              </w:rPr>
              <w:t>16,016</w:t>
            </w:r>
          </w:p>
        </w:tc>
        <w:tc>
          <w:tcPr>
            <w:tcW w:w="4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w w:val="83"/>
              </w:rPr>
              <w:t>14,328</w:t>
            </w:r>
          </w:p>
        </w:tc>
        <w:tc>
          <w:tcPr>
            <w:tcW w:w="3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6"/>
              <w:spacing w:after="0"/>
              <w:rPr>
                <w:sz w:val="20"/>
                <w:szCs w:val="20"/>
                <w:color w:val="auto"/>
              </w:rPr>
            </w:pPr>
            <w:r>
              <w:rPr>
                <w:rFonts w:ascii="Arial" w:cs="Arial" w:eastAsia="Arial" w:hAnsi="Arial"/>
                <w:sz w:val="18"/>
                <w:szCs w:val="18"/>
                <w:color w:val="auto"/>
              </w:rPr>
              <w:t>1,688</w:t>
            </w:r>
          </w:p>
        </w:tc>
        <w:tc>
          <w:tcPr>
            <w:tcW w:w="74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4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5,807</w:t>
            </w:r>
          </w:p>
        </w:tc>
        <w:tc>
          <w:tcPr>
            <w:tcW w:w="460" w:type="dxa"/>
            <w:vAlign w:val="bottom"/>
          </w:tcPr>
          <w:p>
            <w:pPr>
              <w:spacing w:after="0"/>
              <w:rPr>
                <w:sz w:val="18"/>
                <w:szCs w:val="18"/>
                <w:color w:val="auto"/>
              </w:rPr>
            </w:pPr>
          </w:p>
        </w:tc>
        <w:tc>
          <w:tcPr>
            <w:tcW w:w="700" w:type="dxa"/>
            <w:vAlign w:val="bottom"/>
          </w:tcPr>
          <w:p>
            <w:pPr>
              <w:jc w:val="right"/>
              <w:ind w:right="134"/>
              <w:spacing w:after="0"/>
              <w:rPr>
                <w:sz w:val="20"/>
                <w:szCs w:val="20"/>
                <w:color w:val="auto"/>
              </w:rPr>
            </w:pPr>
            <w:r>
              <w:rPr>
                <w:rFonts w:ascii="Arial" w:cs="Arial" w:eastAsia="Arial" w:hAnsi="Arial"/>
                <w:sz w:val="18"/>
                <w:szCs w:val="18"/>
                <w:color w:val="auto"/>
              </w:rPr>
              <w:t>5,126</w:t>
            </w:r>
          </w:p>
        </w:tc>
        <w:tc>
          <w:tcPr>
            <w:tcW w:w="340" w:type="dxa"/>
            <w:vAlign w:val="bottom"/>
          </w:tcPr>
          <w:p>
            <w:pPr>
              <w:spacing w:after="0"/>
              <w:rPr>
                <w:sz w:val="18"/>
                <w:szCs w:val="18"/>
                <w:color w:val="auto"/>
              </w:rPr>
            </w:pPr>
          </w:p>
        </w:tc>
        <w:tc>
          <w:tcPr>
            <w:tcW w:w="720" w:type="dxa"/>
            <w:vAlign w:val="bottom"/>
          </w:tcPr>
          <w:p>
            <w:pPr>
              <w:jc w:val="right"/>
              <w:ind w:right="156"/>
              <w:spacing w:after="0"/>
              <w:rPr>
                <w:sz w:val="20"/>
                <w:szCs w:val="20"/>
                <w:color w:val="auto"/>
              </w:rPr>
            </w:pPr>
            <w:r>
              <w:rPr>
                <w:rFonts w:ascii="Arial" w:cs="Arial" w:eastAsia="Arial" w:hAnsi="Arial"/>
                <w:sz w:val="18"/>
                <w:szCs w:val="18"/>
                <w:color w:val="auto"/>
              </w:rPr>
              <w:t>681</w:t>
            </w:r>
          </w:p>
        </w:tc>
        <w:tc>
          <w:tcPr>
            <w:tcW w:w="740" w:type="dxa"/>
            <w:vAlign w:val="bottom"/>
          </w:tcPr>
          <w:p>
            <w:pPr>
              <w:jc w:val="right"/>
              <w:ind w:right="94"/>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color w:val="auto"/>
              </w:rPr>
              <w:t>Selling, general and administrative expenses</w:t>
            </w:r>
          </w:p>
        </w:tc>
        <w:tc>
          <w:tcPr>
            <w:tcW w:w="4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3,705</w:t>
            </w:r>
          </w:p>
        </w:tc>
        <w:tc>
          <w:tcPr>
            <w:tcW w:w="4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3,378</w:t>
            </w:r>
          </w:p>
        </w:tc>
        <w:tc>
          <w:tcPr>
            <w:tcW w:w="3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56"/>
              <w:spacing w:after="0"/>
              <w:rPr>
                <w:sz w:val="20"/>
                <w:szCs w:val="20"/>
                <w:color w:val="auto"/>
              </w:rPr>
            </w:pPr>
            <w:r>
              <w:rPr>
                <w:rFonts w:ascii="Arial" w:cs="Arial" w:eastAsia="Arial" w:hAnsi="Arial"/>
                <w:sz w:val="18"/>
                <w:szCs w:val="18"/>
                <w:color w:val="auto"/>
              </w:rPr>
              <w:t>327</w:t>
            </w:r>
          </w:p>
        </w:tc>
        <w:tc>
          <w:tcPr>
            <w:tcW w:w="74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7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6,504</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b w:val="1"/>
                <w:bCs w:val="1"/>
                <w:color w:val="auto"/>
              </w:rPr>
              <w:t>5,824</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b w:val="1"/>
                <w:bCs w:val="1"/>
                <w:color w:val="auto"/>
              </w:rPr>
              <w:t>680</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Segment Revenue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Video</w:t>
      </w:r>
    </w:p>
    <w:p>
      <w:pPr>
        <w:spacing w:after="0" w:line="7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video revenue continued to grow due to rate increases, subscriber growth in our digital cable services, including the demand for digital features such as On Demand, DVR and HDTV, and the addition of the cable systems acquired in the Insight transaction. During the six months ended June 30, 2008, we added approximately 814,000 digital cable subscribers. As of June 30, 2008, approximately 67% of our 24.6 million video subscribers subscribed to at least one of our digital cable services. During the six months ended June 30, 2008, the number of basic subscribers decreased by approximately 195,000 primarily due to increased competition in our service areas. Our average monthly video revenue per video subscriber increased during the six months ended June 30, 2008 to approximately $64 from approximately $61 as of December 31, 2007. The rate of this growth has slowed due to an increased number of subscribers participating in our bundled and promotional offers.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High-Speed Internet</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increases in high-speed Internet revenue for the three and six months ended June 30, 2008 compared to the same periods in 2007 reflect an increase in subscribers and the addition of the cable systems acquired in the Insight transaction. During the six months ended June 30, 2008, we added approximately 771,000 high-speed Internet subscribers. Average monthly revenue per subscriber has declined slightly as a result of an increased number of subscribers participating in our bundled offers and the introduction of new promotional offers and speed tiers.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Phone</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phone revenue increased due to subscriber growth in our digital phone service, which was partially offset by the loss of circuit-switched phone subscribers. During the six months ended June 30, 2008, we added 1.2 million digital phone subscribers. The number of circuit-switched phone subscribers will continue to decrease as we phase out this service during 2008.</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Advertising revenue remained flat for the three months ended June 30, 2008 compared to the same period in 2007. The 2008 revenue amount includes revenue from the cable systems acquired in the Insight transaction and increased political advertising revenue. Absent these items, advertising revenue decreased, reflecting softness in the advertising marketplace, particularly in the automobile and housing-related sectors. The increase in advertising revenue for the six months ended June 30, 2008 compared to the same period in 2007 is primarily due to an increase in political advertising related to the U.S. primary elections, the addition of the cable systems acquired in the Insight transaction and an additional week in the broadcast advertising calendar.</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also generate revenue from our regional sports and news networks, our digital media center, residential video installation services, interactive guide advertising, commissions from third-party electronic retailing and fees for other services. The increases in other revenue for the three and six months ended June 30, 2008 compared to the same periods in 2007 are primarily due to the regional sports network acquisitions of Comcast SportsNet Bay Area and Comcast SportsNet New England.</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Franchise Fees</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increases in franchise fees collected from our cable subscribers for the three and six months ended June 30, 2008 compared to the same periods in 2007 are primarily due to the increases in our revenue upon which the fees apply.</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Segment Operating Expenses</w:t>
      </w:r>
    </w:p>
    <w:p>
      <w:pPr>
        <w:spacing w:after="0" w:line="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Operating expenses increased during the three and six months ended June 30, 2008 compared to the same periods in 2007 primarily due to growth in the number of subscribers to our cable services and the addition of the cable systems acquired in the Insight transaction. The remaining increases were primarily a result of costs associated with the delivery of these services and additional personnel to handle service calls and provide customer support.</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Segment Selling, General and Administrative Expenses</w:t>
      </w:r>
    </w:p>
    <w:p>
      <w:pPr>
        <w:spacing w:after="0" w:line="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Selling, general and administrative expenses increased during the three and six months ended June 30, 2008 compared to the same periods in 2007 primarily due to growth in the number of subscribers to our cable services. The remaining increase was primarily a result of additional employees needed to provide customer and other administrative services, as well as additional marketing costs associated with attracting new subscribers.</w:t>
      </w:r>
    </w:p>
    <w:p>
      <w:pPr>
        <w:spacing w:after="0" w:line="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Programming Segment Operating Results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40" w:type="dxa"/>
            <w:vAlign w:val="bottom"/>
            <w:gridSpan w:val="3"/>
          </w:tcPr>
          <w:p>
            <w:pPr>
              <w:jc w:val="center"/>
              <w:ind w:right="277"/>
              <w:spacing w:after="0"/>
              <w:rPr>
                <w:sz w:val="20"/>
                <w:szCs w:val="20"/>
                <w:color w:val="auto"/>
              </w:rPr>
            </w:pPr>
            <w:r>
              <w:rPr>
                <w:rFonts w:ascii="Arial" w:cs="Arial" w:eastAsia="Arial" w:hAnsi="Arial"/>
                <w:sz w:val="14"/>
                <w:szCs w:val="14"/>
                <w:color w:val="auto"/>
                <w:w w:val="87"/>
              </w:rPr>
              <w:t>Three Months Ended</w:t>
            </w: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90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2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jc w:val="center"/>
              <w:ind w:right="59"/>
              <w:spacing w:after="0" w:line="159" w:lineRule="exact"/>
              <w:rPr>
                <w:sz w:val="20"/>
                <w:szCs w:val="20"/>
                <w:color w:val="auto"/>
              </w:rPr>
            </w:pPr>
            <w:r>
              <w:rPr>
                <w:rFonts w:ascii="Arial" w:cs="Arial" w:eastAsia="Arial" w:hAnsi="Arial"/>
                <w:sz w:val="14"/>
                <w:szCs w:val="14"/>
                <w:color w:val="auto"/>
                <w:w w:val="84"/>
              </w:rPr>
              <w:t>June 30</w:t>
            </w: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40" w:type="dxa"/>
            <w:vAlign w:val="bottom"/>
            <w:gridSpan w:val="3"/>
          </w:tcPr>
          <w:p>
            <w:pPr>
              <w:ind w:left="60"/>
              <w:spacing w:after="0" w:line="159" w:lineRule="exact"/>
              <w:rPr>
                <w:sz w:val="20"/>
                <w:szCs w:val="20"/>
                <w:color w:val="auto"/>
              </w:rPr>
            </w:pPr>
            <w:r>
              <w:rPr>
                <w:rFonts w:ascii="Arial" w:cs="Arial" w:eastAsia="Arial" w:hAnsi="Arial"/>
                <w:sz w:val="14"/>
                <w:szCs w:val="14"/>
                <w:color w:val="auto"/>
              </w:rPr>
              <w:t>Increase/(Decrease)</w:t>
            </w:r>
          </w:p>
        </w:tc>
        <w:tc>
          <w:tcPr>
            <w:tcW w:w="0" w:type="dxa"/>
            <w:vAlign w:val="bottom"/>
          </w:tcPr>
          <w:p>
            <w:pPr>
              <w:spacing w:after="0"/>
              <w:rPr>
                <w:sz w:val="1"/>
                <w:szCs w:val="1"/>
                <w:color w:val="auto"/>
              </w:rPr>
            </w:pPr>
          </w:p>
        </w:tc>
      </w:tr>
      <w:tr>
        <w:trPr>
          <w:trHeight w:val="142"/>
        </w:trPr>
        <w:tc>
          <w:tcPr>
            <w:tcW w:w="4900" w:type="dxa"/>
            <w:vAlign w:val="bottom"/>
            <w:gridSpan w:val="2"/>
            <w:vMerge w:val="continue"/>
          </w:tcPr>
          <w:p>
            <w:pPr>
              <w:spacing w:after="0"/>
              <w:rPr>
                <w:sz w:val="12"/>
                <w:szCs w:val="12"/>
                <w:color w:val="auto"/>
              </w:rPr>
            </w:pPr>
          </w:p>
        </w:tc>
        <w:tc>
          <w:tcPr>
            <w:tcW w:w="22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80"/>
              <w:spacing w:after="0" w:line="142" w:lineRule="exact"/>
              <w:rPr>
                <w:sz w:val="20"/>
                <w:szCs w:val="20"/>
                <w:color w:val="auto"/>
              </w:rPr>
            </w:pPr>
            <w:r>
              <w:rPr>
                <w:rFonts w:ascii="Arial" w:cs="Arial" w:eastAsia="Arial" w:hAnsi="Arial"/>
                <w:sz w:val="14"/>
                <w:szCs w:val="14"/>
                <w:color w:val="auto"/>
                <w:w w:val="89"/>
              </w:rPr>
              <w:t>2008</w:t>
            </w:r>
          </w:p>
        </w:tc>
        <w:tc>
          <w:tcPr>
            <w:tcW w:w="6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97"/>
              <w:spacing w:after="0" w:line="142" w:lineRule="exact"/>
              <w:rPr>
                <w:sz w:val="20"/>
                <w:szCs w:val="20"/>
                <w:color w:val="auto"/>
              </w:rPr>
            </w:pPr>
            <w:r>
              <w:rPr>
                <w:rFonts w:ascii="Arial" w:cs="Arial" w:eastAsia="Arial" w:hAnsi="Arial"/>
                <w:sz w:val="14"/>
                <w:szCs w:val="14"/>
                <w:color w:val="auto"/>
                <w:w w:val="89"/>
              </w:rPr>
              <w:t>2007</w:t>
            </w:r>
          </w:p>
        </w:tc>
        <w:tc>
          <w:tcPr>
            <w:tcW w:w="4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480"/>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tcPr>
          <w:p>
            <w:pPr>
              <w:jc w:val="right"/>
              <w:ind w:right="297"/>
              <w:spacing w:after="0" w:line="142"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Revenue</w:t>
            </w:r>
          </w:p>
        </w:tc>
        <w:tc>
          <w:tcPr>
            <w:tcW w:w="2860" w:type="dxa"/>
            <w:vAlign w:val="bottom"/>
            <w:tcBorders>
              <w:top w:val="single" w:sz="8" w:color="auto"/>
            </w:tcBorders>
            <w:gridSpan w:val="2"/>
            <w:shd w:val="clear" w:color="auto" w:fill="E5E5E5"/>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366</w:t>
            </w:r>
          </w:p>
        </w:tc>
        <w:tc>
          <w:tcPr>
            <w:tcW w:w="6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jc w:val="right"/>
              <w:ind w:right="177"/>
              <w:spacing w:after="0"/>
              <w:rPr>
                <w:sz w:val="20"/>
                <w:szCs w:val="20"/>
                <w:color w:val="auto"/>
              </w:rPr>
            </w:pPr>
            <w:r>
              <w:rPr>
                <w:rFonts w:ascii="Arial" w:cs="Arial" w:eastAsia="Arial" w:hAnsi="Arial"/>
                <w:sz w:val="18"/>
                <w:szCs w:val="18"/>
                <w:color w:val="auto"/>
              </w:rPr>
              <w:t>334</w:t>
            </w:r>
          </w:p>
        </w:tc>
        <w:tc>
          <w:tcPr>
            <w:tcW w:w="4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E5E5E5"/>
          </w:tcPr>
          <w:p>
            <w:pPr>
              <w:jc w:val="right"/>
              <w:ind w:right="280"/>
              <w:spacing w:after="0"/>
              <w:rPr>
                <w:sz w:val="20"/>
                <w:szCs w:val="20"/>
                <w:color w:val="auto"/>
              </w:rPr>
            </w:pPr>
            <w:r>
              <w:rPr>
                <w:rFonts w:ascii="Arial" w:cs="Arial" w:eastAsia="Arial" w:hAnsi="Arial"/>
                <w:sz w:val="18"/>
                <w:szCs w:val="18"/>
                <w:color w:val="auto"/>
              </w:rPr>
              <w:t>32</w:t>
            </w:r>
          </w:p>
        </w:tc>
        <w:tc>
          <w:tcPr>
            <w:tcW w:w="8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selling, general and administrative expenses</w:t>
            </w:r>
          </w:p>
        </w:tc>
        <w:tc>
          <w:tcPr>
            <w:tcW w:w="2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6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7"/>
              <w:spacing w:after="0"/>
              <w:rPr>
                <w:sz w:val="20"/>
                <w:szCs w:val="20"/>
                <w:color w:val="auto"/>
              </w:rPr>
            </w:pPr>
            <w:r>
              <w:rPr>
                <w:rFonts w:ascii="Arial" w:cs="Arial" w:eastAsia="Arial" w:hAnsi="Arial"/>
                <w:sz w:val="18"/>
                <w:szCs w:val="18"/>
                <w:color w:val="auto"/>
              </w:rPr>
              <w:t>259</w:t>
            </w:r>
          </w:p>
        </w:tc>
        <w:tc>
          <w:tcPr>
            <w:tcW w:w="4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80"/>
              <w:spacing w:after="0"/>
              <w:rPr>
                <w:sz w:val="20"/>
                <w:szCs w:val="20"/>
                <w:color w:val="auto"/>
              </w:rPr>
            </w:pPr>
            <w:r>
              <w:rPr>
                <w:rFonts w:ascii="Arial" w:cs="Arial" w:eastAsia="Arial" w:hAnsi="Arial"/>
                <w:sz w:val="18"/>
                <w:szCs w:val="18"/>
                <w:color w:val="auto"/>
              </w:rPr>
              <w:t>18</w:t>
            </w:r>
          </w:p>
        </w:tc>
        <w:tc>
          <w:tcPr>
            <w:tcW w:w="86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2860" w:type="dxa"/>
            <w:vAlign w:val="bottom"/>
            <w:tcBorders>
              <w:bottom w:val="single" w:sz="8" w:color="auto"/>
            </w:tcBorders>
            <w:gridSpan w:val="2"/>
            <w:shd w:val="clear" w:color="auto" w:fill="E5E5E5"/>
          </w:tcPr>
          <w:p>
            <w:pPr>
              <w:jc w:val="right"/>
              <w:ind w:right="20"/>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89</w:t>
            </w: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177"/>
              <w:spacing w:after="0"/>
              <w:rPr>
                <w:sz w:val="20"/>
                <w:szCs w:val="20"/>
                <w:color w:val="auto"/>
              </w:rPr>
            </w:pPr>
            <w:r>
              <w:rPr>
                <w:rFonts w:ascii="Arial" w:cs="Arial" w:eastAsia="Arial" w:hAnsi="Arial"/>
                <w:sz w:val="18"/>
                <w:szCs w:val="18"/>
                <w:b w:val="1"/>
                <w:bCs w:val="1"/>
                <w:color w:val="auto"/>
              </w:rPr>
              <w:t>75</w:t>
            </w:r>
          </w:p>
        </w:tc>
        <w:tc>
          <w:tcPr>
            <w:tcW w:w="4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shd w:val="clear" w:color="auto" w:fill="E5E5E5"/>
          </w:tcPr>
          <w:p>
            <w:pPr>
              <w:jc w:val="right"/>
              <w:ind w:right="280"/>
              <w:spacing w:after="0"/>
              <w:rPr>
                <w:sz w:val="20"/>
                <w:szCs w:val="20"/>
                <w:color w:val="auto"/>
              </w:rPr>
            </w:pPr>
            <w:r>
              <w:rPr>
                <w:rFonts w:ascii="Arial" w:cs="Arial" w:eastAsia="Arial" w:hAnsi="Arial"/>
                <w:sz w:val="18"/>
                <w:szCs w:val="18"/>
                <w:b w:val="1"/>
                <w:bCs w:val="1"/>
                <w:color w:val="auto"/>
              </w:rPr>
              <w:t>14</w:t>
            </w:r>
          </w:p>
        </w:tc>
        <w:tc>
          <w:tcPr>
            <w:tcW w:w="8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740" w:type="dxa"/>
            <w:vAlign w:val="bottom"/>
            <w:gridSpan w:val="3"/>
          </w:tcPr>
          <w:p>
            <w:pPr>
              <w:jc w:val="center"/>
              <w:ind w:right="277"/>
              <w:spacing w:after="0"/>
              <w:rPr>
                <w:sz w:val="20"/>
                <w:szCs w:val="20"/>
                <w:color w:val="auto"/>
              </w:rPr>
            </w:pPr>
            <w:r>
              <w:rPr>
                <w:rFonts w:ascii="Arial" w:cs="Arial" w:eastAsia="Arial" w:hAnsi="Arial"/>
                <w:sz w:val="14"/>
                <w:szCs w:val="14"/>
                <w:color w:val="auto"/>
                <w:w w:val="89"/>
              </w:rPr>
              <w:t>Six Months Ended</w:t>
            </w: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490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2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jc w:val="center"/>
              <w:ind w:right="59"/>
              <w:spacing w:after="0" w:line="159" w:lineRule="exact"/>
              <w:rPr>
                <w:sz w:val="20"/>
                <w:szCs w:val="20"/>
                <w:color w:val="auto"/>
              </w:rPr>
            </w:pPr>
            <w:r>
              <w:rPr>
                <w:rFonts w:ascii="Arial" w:cs="Arial" w:eastAsia="Arial" w:hAnsi="Arial"/>
                <w:sz w:val="14"/>
                <w:szCs w:val="14"/>
                <w:color w:val="auto"/>
                <w:w w:val="84"/>
              </w:rPr>
              <w:t>June 30</w:t>
            </w: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40" w:type="dxa"/>
            <w:vAlign w:val="bottom"/>
            <w:gridSpan w:val="3"/>
          </w:tcPr>
          <w:p>
            <w:pPr>
              <w:ind w:left="60"/>
              <w:spacing w:after="0" w:line="159" w:lineRule="exact"/>
              <w:rPr>
                <w:sz w:val="20"/>
                <w:szCs w:val="20"/>
                <w:color w:val="auto"/>
              </w:rPr>
            </w:pPr>
            <w:r>
              <w:rPr>
                <w:rFonts w:ascii="Arial" w:cs="Arial" w:eastAsia="Arial" w:hAnsi="Arial"/>
                <w:sz w:val="14"/>
                <w:szCs w:val="14"/>
                <w:color w:val="auto"/>
              </w:rPr>
              <w:t>Increase/(Decrease)</w:t>
            </w:r>
          </w:p>
        </w:tc>
        <w:tc>
          <w:tcPr>
            <w:tcW w:w="0" w:type="dxa"/>
            <w:vAlign w:val="bottom"/>
          </w:tcPr>
          <w:p>
            <w:pPr>
              <w:spacing w:after="0"/>
              <w:rPr>
                <w:sz w:val="1"/>
                <w:szCs w:val="1"/>
                <w:color w:val="auto"/>
              </w:rPr>
            </w:pPr>
          </w:p>
        </w:tc>
      </w:tr>
      <w:tr>
        <w:trPr>
          <w:trHeight w:val="142"/>
        </w:trPr>
        <w:tc>
          <w:tcPr>
            <w:tcW w:w="4900" w:type="dxa"/>
            <w:vAlign w:val="bottom"/>
            <w:gridSpan w:val="2"/>
            <w:vMerge w:val="continue"/>
          </w:tcPr>
          <w:p>
            <w:pPr>
              <w:spacing w:after="0"/>
              <w:rPr>
                <w:sz w:val="12"/>
                <w:szCs w:val="12"/>
                <w:color w:val="auto"/>
              </w:rPr>
            </w:pPr>
          </w:p>
        </w:tc>
        <w:tc>
          <w:tcPr>
            <w:tcW w:w="22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80"/>
              <w:spacing w:after="0" w:line="142" w:lineRule="exact"/>
              <w:rPr>
                <w:sz w:val="20"/>
                <w:szCs w:val="20"/>
                <w:color w:val="auto"/>
              </w:rPr>
            </w:pPr>
            <w:r>
              <w:rPr>
                <w:rFonts w:ascii="Arial" w:cs="Arial" w:eastAsia="Arial" w:hAnsi="Arial"/>
                <w:sz w:val="14"/>
                <w:szCs w:val="14"/>
                <w:color w:val="auto"/>
                <w:w w:val="89"/>
              </w:rPr>
              <w:t>2008</w:t>
            </w:r>
          </w:p>
        </w:tc>
        <w:tc>
          <w:tcPr>
            <w:tcW w:w="6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97"/>
              <w:spacing w:after="0" w:line="142" w:lineRule="exact"/>
              <w:rPr>
                <w:sz w:val="20"/>
                <w:szCs w:val="20"/>
                <w:color w:val="auto"/>
              </w:rPr>
            </w:pPr>
            <w:r>
              <w:rPr>
                <w:rFonts w:ascii="Arial" w:cs="Arial" w:eastAsia="Arial" w:hAnsi="Arial"/>
                <w:sz w:val="14"/>
                <w:szCs w:val="14"/>
                <w:color w:val="auto"/>
                <w:w w:val="89"/>
              </w:rPr>
              <w:t>2007</w:t>
            </w:r>
          </w:p>
        </w:tc>
        <w:tc>
          <w:tcPr>
            <w:tcW w:w="4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480"/>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tcPr>
          <w:p>
            <w:pPr>
              <w:jc w:val="right"/>
              <w:ind w:right="297"/>
              <w:spacing w:after="0" w:line="142"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Revenue</w:t>
            </w:r>
          </w:p>
        </w:tc>
        <w:tc>
          <w:tcPr>
            <w:tcW w:w="2860" w:type="dxa"/>
            <w:vAlign w:val="bottom"/>
            <w:tcBorders>
              <w:top w:val="single" w:sz="8" w:color="auto"/>
            </w:tcBorders>
            <w:gridSpan w:val="2"/>
            <w:shd w:val="clear" w:color="auto" w:fill="E5E5E5"/>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729</w:t>
            </w:r>
          </w:p>
        </w:tc>
        <w:tc>
          <w:tcPr>
            <w:tcW w:w="6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jc w:val="right"/>
              <w:ind w:right="177"/>
              <w:spacing w:after="0"/>
              <w:rPr>
                <w:sz w:val="20"/>
                <w:szCs w:val="20"/>
                <w:color w:val="auto"/>
              </w:rPr>
            </w:pPr>
            <w:r>
              <w:rPr>
                <w:rFonts w:ascii="Arial" w:cs="Arial" w:eastAsia="Arial" w:hAnsi="Arial"/>
                <w:sz w:val="18"/>
                <w:szCs w:val="18"/>
                <w:color w:val="auto"/>
              </w:rPr>
              <w:t>636</w:t>
            </w:r>
          </w:p>
        </w:tc>
        <w:tc>
          <w:tcPr>
            <w:tcW w:w="4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E5E5E5"/>
          </w:tcPr>
          <w:p>
            <w:pPr>
              <w:jc w:val="right"/>
              <w:ind w:right="280"/>
              <w:spacing w:after="0"/>
              <w:rPr>
                <w:sz w:val="20"/>
                <w:szCs w:val="20"/>
                <w:color w:val="auto"/>
              </w:rPr>
            </w:pPr>
            <w:r>
              <w:rPr>
                <w:rFonts w:ascii="Arial" w:cs="Arial" w:eastAsia="Arial" w:hAnsi="Arial"/>
                <w:sz w:val="18"/>
                <w:szCs w:val="18"/>
                <w:color w:val="auto"/>
              </w:rPr>
              <w:t>93</w:t>
            </w:r>
          </w:p>
        </w:tc>
        <w:tc>
          <w:tcPr>
            <w:tcW w:w="8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selling, general and administrative expenses</w:t>
            </w:r>
          </w:p>
        </w:tc>
        <w:tc>
          <w:tcPr>
            <w:tcW w:w="2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w:t>
            </w:r>
          </w:p>
        </w:tc>
        <w:tc>
          <w:tcPr>
            <w:tcW w:w="6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7"/>
              <w:spacing w:after="0"/>
              <w:rPr>
                <w:sz w:val="20"/>
                <w:szCs w:val="20"/>
                <w:color w:val="auto"/>
              </w:rPr>
            </w:pPr>
            <w:r>
              <w:rPr>
                <w:rFonts w:ascii="Arial" w:cs="Arial" w:eastAsia="Arial" w:hAnsi="Arial"/>
                <w:sz w:val="18"/>
                <w:szCs w:val="18"/>
                <w:color w:val="auto"/>
              </w:rPr>
              <w:t>496</w:t>
            </w:r>
          </w:p>
        </w:tc>
        <w:tc>
          <w:tcPr>
            <w:tcW w:w="4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80"/>
              <w:spacing w:after="0"/>
              <w:rPr>
                <w:sz w:val="20"/>
                <w:szCs w:val="20"/>
                <w:color w:val="auto"/>
              </w:rPr>
            </w:pPr>
            <w:r>
              <w:rPr>
                <w:rFonts w:ascii="Arial" w:cs="Arial" w:eastAsia="Arial" w:hAnsi="Arial"/>
                <w:sz w:val="18"/>
                <w:szCs w:val="18"/>
                <w:color w:val="auto"/>
              </w:rPr>
              <w:t>31</w:t>
            </w:r>
          </w:p>
        </w:tc>
        <w:tc>
          <w:tcPr>
            <w:tcW w:w="86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2860" w:type="dxa"/>
            <w:vAlign w:val="bottom"/>
            <w:tcBorders>
              <w:bottom w:val="single" w:sz="8" w:color="auto"/>
            </w:tcBorders>
            <w:gridSpan w:val="2"/>
            <w:shd w:val="clear" w:color="auto" w:fill="E5E5E5"/>
          </w:tcPr>
          <w:p>
            <w:pPr>
              <w:jc w:val="right"/>
              <w:ind w:right="20"/>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202</w:t>
            </w: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177"/>
              <w:spacing w:after="0"/>
              <w:rPr>
                <w:sz w:val="20"/>
                <w:szCs w:val="20"/>
                <w:color w:val="auto"/>
              </w:rPr>
            </w:pPr>
            <w:r>
              <w:rPr>
                <w:rFonts w:ascii="Arial" w:cs="Arial" w:eastAsia="Arial" w:hAnsi="Arial"/>
                <w:sz w:val="18"/>
                <w:szCs w:val="18"/>
                <w:b w:val="1"/>
                <w:bCs w:val="1"/>
                <w:color w:val="auto"/>
              </w:rPr>
              <w:t>140</w:t>
            </w:r>
          </w:p>
        </w:tc>
        <w:tc>
          <w:tcPr>
            <w:tcW w:w="4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shd w:val="clear" w:color="auto" w:fill="E5E5E5"/>
          </w:tcPr>
          <w:p>
            <w:pPr>
              <w:jc w:val="right"/>
              <w:ind w:right="280"/>
              <w:spacing w:after="0"/>
              <w:rPr>
                <w:sz w:val="20"/>
                <w:szCs w:val="20"/>
                <w:color w:val="auto"/>
              </w:rPr>
            </w:pPr>
            <w:r>
              <w:rPr>
                <w:rFonts w:ascii="Arial" w:cs="Arial" w:eastAsia="Arial" w:hAnsi="Arial"/>
                <w:sz w:val="18"/>
                <w:szCs w:val="18"/>
                <w:b w:val="1"/>
                <w:bCs w:val="1"/>
                <w:color w:val="auto"/>
              </w:rPr>
              <w:t>62</w:t>
            </w:r>
          </w:p>
        </w:tc>
        <w:tc>
          <w:tcPr>
            <w:tcW w:w="8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43.8%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240" w:type="dxa"/>
            <w:vAlign w:val="bottom"/>
          </w:tcPr>
          <w:p>
            <w:pPr>
              <w:jc w:val="right"/>
              <w:ind w:right="1232"/>
              <w:spacing w:after="0"/>
              <w:rPr>
                <w:sz w:val="20"/>
                <w:szCs w:val="20"/>
                <w:color w:val="auto"/>
              </w:rPr>
            </w:pPr>
            <w:r>
              <w:rPr>
                <w:rFonts w:ascii="Arial" w:cs="Arial" w:eastAsia="Arial" w:hAnsi="Arial"/>
                <w:sz w:val="18"/>
                <w:szCs w:val="18"/>
                <w:color w:val="auto"/>
              </w:rPr>
              <w:t>26</w:t>
            </w: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Programming Segment Revenue</w:t>
      </w:r>
    </w:p>
    <w:p>
      <w:pPr>
        <w:spacing w:after="0" w:line="74" w:lineRule="exact"/>
        <w:rPr>
          <w:sz w:val="20"/>
          <w:szCs w:val="20"/>
          <w:color w:val="auto"/>
        </w:rPr>
      </w:pPr>
    </w:p>
    <w:p>
      <w:pPr>
        <w:jc w:val="both"/>
        <w:spacing w:after="0" w:line="314" w:lineRule="auto"/>
        <w:rPr>
          <w:sz w:val="20"/>
          <w:szCs w:val="20"/>
          <w:color w:val="auto"/>
        </w:rPr>
      </w:pPr>
      <w:r>
        <w:rPr>
          <w:rFonts w:ascii="Arial" w:cs="Arial" w:eastAsia="Arial" w:hAnsi="Arial"/>
          <w:sz w:val="15"/>
          <w:szCs w:val="15"/>
          <w:color w:val="auto"/>
        </w:rPr>
        <w:t>The increase in revenue for the three months ended June 30, 2008 compared to the same period in 2007 is primarily a result of increases in advertising revenue, programming license fee revenue and international revenue. The increase in revenue for the six months ended June 30, 2008 compared to the same period in 2007 is primarily a result of increases in advertising revenue, including the impact of an additional week in the 2008 broadcast advertising calendar, programming license fee revenue and international revenue. For the three and six months ended June 30, 2008, approximately 12% of our Programming segment revenue was generated by our Cable segment. For the three and six months ended June 30, 2007, approximately 13% of our Programming segment revenue was generated by our Cable segment. These amounts are eliminated in our consolidated financial statements but are included in the amounts presented in the table above.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Programming Segment Expenses</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Expense growth for the three and six months ended June 30, 2008 compared to the same periods in 2007 was favorably impacted by the timing of certain marketing and programming expenses, which are expected to be incurred in the second half of 2008.</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Other Income (Expense) Items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700" w:type="dxa"/>
            <w:vAlign w:val="bottom"/>
            <w:gridSpan w:val="3"/>
          </w:tcPr>
          <w:p>
            <w:pPr>
              <w:jc w:val="right"/>
              <w:ind w:right="376"/>
              <w:spacing w:after="0"/>
              <w:rPr>
                <w:sz w:val="20"/>
                <w:szCs w:val="20"/>
                <w:color w:val="auto"/>
              </w:rPr>
            </w:pPr>
            <w:r>
              <w:rPr>
                <w:rFonts w:ascii="Arial" w:cs="Arial" w:eastAsia="Arial" w:hAnsi="Arial"/>
                <w:sz w:val="14"/>
                <w:szCs w:val="14"/>
                <w:color w:val="auto"/>
                <w:w w:val="93"/>
              </w:rPr>
              <w:t>Three Months Ended</w:t>
            </w:r>
          </w:p>
        </w:tc>
        <w:tc>
          <w:tcPr>
            <w:tcW w:w="320" w:type="dxa"/>
            <w:vAlign w:val="bottom"/>
          </w:tcPr>
          <w:p>
            <w:pPr>
              <w:spacing w:after="0"/>
              <w:rPr>
                <w:sz w:val="14"/>
                <w:szCs w:val="14"/>
                <w:color w:val="auto"/>
              </w:rPr>
            </w:pPr>
          </w:p>
        </w:tc>
        <w:tc>
          <w:tcPr>
            <w:tcW w:w="1580" w:type="dxa"/>
            <w:vAlign w:val="bottom"/>
            <w:gridSpan w:val="3"/>
          </w:tcPr>
          <w:p>
            <w:pPr>
              <w:jc w:val="right"/>
              <w:ind w:right="276"/>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73"/>
        </w:trPr>
        <w:tc>
          <w:tcPr>
            <w:tcW w:w="708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7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June 30</w:t>
            </w: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June 30</w:t>
            </w: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08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880" w:type="dxa"/>
            <w:vAlign w:val="bottom"/>
          </w:tcPr>
          <w:p>
            <w:pPr>
              <w:jc w:val="right"/>
              <w:ind w:right="520"/>
              <w:spacing w:after="0" w:line="142" w:lineRule="exact"/>
              <w:rPr>
                <w:sz w:val="20"/>
                <w:szCs w:val="20"/>
                <w:color w:val="auto"/>
              </w:rPr>
            </w:pPr>
            <w:r>
              <w:rPr>
                <w:rFonts w:ascii="Arial" w:cs="Arial" w:eastAsia="Arial" w:hAnsi="Arial"/>
                <w:sz w:val="14"/>
                <w:szCs w:val="14"/>
                <w:color w:val="auto"/>
                <w:w w:val="83"/>
              </w:rPr>
              <w:t>2008</w:t>
            </w:r>
          </w:p>
        </w:tc>
        <w:tc>
          <w:tcPr>
            <w:tcW w:w="120" w:type="dxa"/>
            <w:vAlign w:val="bottom"/>
          </w:tcPr>
          <w:p>
            <w:pPr>
              <w:spacing w:after="0"/>
              <w:rPr>
                <w:sz w:val="12"/>
                <w:szCs w:val="12"/>
                <w:color w:val="auto"/>
              </w:rPr>
            </w:pPr>
          </w:p>
        </w:tc>
        <w:tc>
          <w:tcPr>
            <w:tcW w:w="700" w:type="dxa"/>
            <w:vAlign w:val="bottom"/>
          </w:tcPr>
          <w:p>
            <w:pPr>
              <w:jc w:val="right"/>
              <w:ind w:right="316"/>
              <w:spacing w:after="0" w:line="142" w:lineRule="exact"/>
              <w:rPr>
                <w:sz w:val="20"/>
                <w:szCs w:val="20"/>
                <w:color w:val="auto"/>
              </w:rPr>
            </w:pPr>
            <w:r>
              <w:rPr>
                <w:rFonts w:ascii="Arial" w:cs="Arial" w:eastAsia="Arial" w:hAnsi="Arial"/>
                <w:sz w:val="14"/>
                <w:szCs w:val="14"/>
                <w:color w:val="auto"/>
                <w:w w:val="89"/>
              </w:rPr>
              <w:t>2007</w:t>
            </w:r>
          </w:p>
        </w:tc>
        <w:tc>
          <w:tcPr>
            <w:tcW w:w="320" w:type="dxa"/>
            <w:vAlign w:val="bottom"/>
          </w:tcPr>
          <w:p>
            <w:pPr>
              <w:spacing w:after="0"/>
              <w:rPr>
                <w:sz w:val="12"/>
                <w:szCs w:val="12"/>
                <w:color w:val="auto"/>
              </w:rPr>
            </w:pPr>
          </w:p>
        </w:tc>
        <w:tc>
          <w:tcPr>
            <w:tcW w:w="940" w:type="dxa"/>
            <w:vAlign w:val="bottom"/>
          </w:tcPr>
          <w:p>
            <w:pPr>
              <w:jc w:val="right"/>
              <w:ind w:right="540"/>
              <w:spacing w:after="0" w:line="142" w:lineRule="exact"/>
              <w:rPr>
                <w:sz w:val="20"/>
                <w:szCs w:val="20"/>
                <w:color w:val="auto"/>
              </w:rPr>
            </w:pPr>
            <w:r>
              <w:rPr>
                <w:rFonts w:ascii="Arial" w:cs="Arial" w:eastAsia="Arial" w:hAnsi="Arial"/>
                <w:sz w:val="14"/>
                <w:szCs w:val="14"/>
                <w:color w:val="auto"/>
                <w:w w:val="96"/>
              </w:rPr>
              <w:t>2008</w:t>
            </w:r>
          </w:p>
        </w:tc>
        <w:tc>
          <w:tcPr>
            <w:tcW w:w="120" w:type="dxa"/>
            <w:vAlign w:val="bottom"/>
          </w:tcPr>
          <w:p>
            <w:pPr>
              <w:spacing w:after="0"/>
              <w:rPr>
                <w:sz w:val="12"/>
                <w:szCs w:val="12"/>
                <w:color w:val="auto"/>
              </w:rPr>
            </w:pPr>
          </w:p>
        </w:tc>
        <w:tc>
          <w:tcPr>
            <w:tcW w:w="520" w:type="dxa"/>
            <w:vAlign w:val="bottom"/>
          </w:tcPr>
          <w:p>
            <w:pPr>
              <w:jc w:val="right"/>
              <w:ind w:right="116"/>
              <w:spacing w:after="0" w:line="142" w:lineRule="exact"/>
              <w:rPr>
                <w:sz w:val="20"/>
                <w:szCs w:val="20"/>
                <w:color w:val="auto"/>
              </w:rPr>
            </w:pPr>
            <w:r>
              <w:rPr>
                <w:rFonts w:ascii="Arial" w:cs="Arial" w:eastAsia="Arial" w:hAnsi="Arial"/>
                <w:sz w:val="14"/>
                <w:szCs w:val="14"/>
                <w:color w:val="auto"/>
                <w:w w:val="96"/>
              </w:rPr>
              <w:t>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Interest expense</w:t>
            </w:r>
          </w:p>
        </w:tc>
        <w:tc>
          <w:tcPr>
            <w:tcW w:w="7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E5E5E5"/>
          </w:tcPr>
          <w:p>
            <w:pPr>
              <w:jc w:val="right"/>
              <w:ind w:right="340"/>
              <w:spacing w:after="0"/>
              <w:rPr>
                <w:sz w:val="20"/>
                <w:szCs w:val="20"/>
                <w:color w:val="auto"/>
              </w:rPr>
            </w:pPr>
            <w:r>
              <w:rPr>
                <w:rFonts w:ascii="Arial" w:cs="Arial" w:eastAsia="Arial" w:hAnsi="Arial"/>
                <w:sz w:val="18"/>
                <w:szCs w:val="18"/>
                <w:color w:val="auto"/>
              </w:rPr>
              <w:t>(618)</w:t>
            </w:r>
          </w:p>
        </w:tc>
        <w:tc>
          <w:tcPr>
            <w:tcW w:w="1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E5E5E5"/>
          </w:tcPr>
          <w:p>
            <w:pPr>
              <w:jc w:val="right"/>
              <w:ind w:right="136"/>
              <w:spacing w:after="0"/>
              <w:rPr>
                <w:sz w:val="20"/>
                <w:szCs w:val="20"/>
                <w:color w:val="auto"/>
              </w:rPr>
            </w:pPr>
            <w:r>
              <w:rPr>
                <w:rFonts w:ascii="Arial" w:cs="Arial" w:eastAsia="Arial" w:hAnsi="Arial"/>
                <w:sz w:val="18"/>
                <w:szCs w:val="18"/>
                <w:color w:val="auto"/>
              </w:rPr>
              <w:t>(550)</w:t>
            </w:r>
          </w:p>
        </w:tc>
        <w:tc>
          <w:tcPr>
            <w:tcW w:w="3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E5E5E5"/>
          </w:tcPr>
          <w:p>
            <w:pPr>
              <w:jc w:val="right"/>
              <w:ind w:right="340"/>
              <w:spacing w:after="0"/>
              <w:rPr>
                <w:sz w:val="20"/>
                <w:szCs w:val="20"/>
                <w:color w:val="auto"/>
              </w:rPr>
            </w:pPr>
            <w:r>
              <w:rPr>
                <w:rFonts w:ascii="Arial" w:cs="Arial" w:eastAsia="Arial" w:hAnsi="Arial"/>
                <w:sz w:val="18"/>
                <w:szCs w:val="18"/>
                <w:color w:val="auto"/>
                <w:w w:val="87"/>
              </w:rPr>
              <w:t>(1,239)</w:t>
            </w:r>
          </w:p>
        </w:tc>
        <w:tc>
          <w:tcPr>
            <w:tcW w:w="1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87"/>
              </w:rPr>
              <w:t>(1,118)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Investment income (loss), net</w:t>
            </w:r>
          </w:p>
        </w:tc>
        <w:tc>
          <w:tcPr>
            <w:tcW w:w="740" w:type="dxa"/>
            <w:vAlign w:val="bottom"/>
          </w:tcPr>
          <w:p>
            <w:pPr>
              <w:spacing w:after="0"/>
              <w:rPr>
                <w:sz w:val="18"/>
                <w:szCs w:val="18"/>
                <w:color w:val="auto"/>
              </w:rPr>
            </w:pPr>
          </w:p>
        </w:tc>
        <w:tc>
          <w:tcPr>
            <w:tcW w:w="880" w:type="dxa"/>
            <w:vAlign w:val="bottom"/>
          </w:tcPr>
          <w:p>
            <w:pPr>
              <w:jc w:val="right"/>
              <w:ind w:right="34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8"/>
                <w:szCs w:val="18"/>
                <w:color w:val="auto"/>
              </w:rPr>
            </w:pPr>
          </w:p>
        </w:tc>
        <w:tc>
          <w:tcPr>
            <w:tcW w:w="700" w:type="dxa"/>
            <w:vAlign w:val="bottom"/>
          </w:tcPr>
          <w:p>
            <w:pPr>
              <w:jc w:val="right"/>
              <w:ind w:right="196"/>
              <w:spacing w:after="0"/>
              <w:rPr>
                <w:sz w:val="20"/>
                <w:szCs w:val="20"/>
                <w:color w:val="auto"/>
              </w:rPr>
            </w:pPr>
            <w:r>
              <w:rPr>
                <w:rFonts w:ascii="Arial" w:cs="Arial" w:eastAsia="Arial" w:hAnsi="Arial"/>
                <w:sz w:val="18"/>
                <w:szCs w:val="18"/>
                <w:color w:val="auto"/>
              </w:rPr>
              <w:t>126</w:t>
            </w:r>
          </w:p>
        </w:tc>
        <w:tc>
          <w:tcPr>
            <w:tcW w:w="320" w:type="dxa"/>
            <w:vAlign w:val="bottom"/>
          </w:tcPr>
          <w:p>
            <w:pPr>
              <w:spacing w:after="0"/>
              <w:rPr>
                <w:sz w:val="18"/>
                <w:szCs w:val="18"/>
                <w:color w:val="auto"/>
              </w:rPr>
            </w:pPr>
          </w:p>
        </w:tc>
        <w:tc>
          <w:tcPr>
            <w:tcW w:w="940" w:type="dxa"/>
            <w:vAlign w:val="bottom"/>
          </w:tcPr>
          <w:p>
            <w:pPr>
              <w:jc w:val="right"/>
              <w:ind w:right="40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E5E5E5"/>
          </w:tcPr>
          <w:p>
            <w:pPr>
              <w:spacing w:after="0"/>
              <w:rPr>
                <w:sz w:val="20"/>
                <w:szCs w:val="20"/>
                <w:color w:val="auto"/>
              </w:rPr>
            </w:pPr>
            <w:r>
              <w:rPr>
                <w:rFonts w:ascii="Arial" w:cs="Arial" w:eastAsia="Arial" w:hAnsi="Arial"/>
                <w:sz w:val="18"/>
                <w:szCs w:val="18"/>
                <w:color w:val="auto"/>
              </w:rPr>
              <w:t>Equity in net (losses) income of affiliates, net</w:t>
            </w:r>
          </w:p>
        </w:tc>
        <w:tc>
          <w:tcPr>
            <w:tcW w:w="74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34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6"/>
              <w:spacing w:after="0"/>
              <w:rPr>
                <w:sz w:val="20"/>
                <w:szCs w:val="20"/>
                <w:color w:val="auto"/>
              </w:rPr>
            </w:pPr>
            <w:r>
              <w:rPr>
                <w:rFonts w:ascii="Arial" w:cs="Arial" w:eastAsia="Arial" w:hAnsi="Arial"/>
                <w:sz w:val="18"/>
                <w:szCs w:val="18"/>
                <w:color w:val="auto"/>
              </w:rPr>
              <w:t>(16)</w:t>
            </w:r>
          </w:p>
        </w:tc>
        <w:tc>
          <w:tcPr>
            <w:tcW w:w="32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340"/>
              <w:spacing w:after="0"/>
              <w:rPr>
                <w:sz w:val="20"/>
                <w:szCs w:val="20"/>
                <w:color w:val="auto"/>
              </w:rPr>
            </w:pPr>
            <w:r>
              <w:rPr>
                <w:rFonts w:ascii="Arial" w:cs="Arial" w:eastAsia="Arial" w:hAnsi="Arial"/>
                <w:sz w:val="18"/>
                <w:szCs w:val="18"/>
                <w:color w:val="auto"/>
              </w:rPr>
              <w:t>(48)</w:t>
            </w:r>
          </w:p>
        </w:tc>
        <w:tc>
          <w:tcPr>
            <w:tcW w:w="12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income (expense)</w:t>
            </w:r>
          </w:p>
        </w:tc>
        <w:tc>
          <w:tcPr>
            <w:tcW w:w="7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00"/>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color w:val="auto"/>
              </w:rPr>
              <w:t>1</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8"/>
                <w:szCs w:val="18"/>
                <w:color w:val="auto"/>
              </w:rPr>
              <w:t>293</w:t>
            </w: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w:t>
            </w:r>
          </w:p>
        </w:tc>
        <w:tc>
          <w:tcPr>
            <w:tcW w:w="7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E5E5E5"/>
          </w:tcPr>
          <w:p>
            <w:pPr>
              <w:jc w:val="right"/>
              <w:ind w:right="340"/>
              <w:spacing w:after="0"/>
              <w:rPr>
                <w:sz w:val="20"/>
                <w:szCs w:val="20"/>
                <w:color w:val="auto"/>
              </w:rPr>
            </w:pPr>
            <w:r>
              <w:rPr>
                <w:rFonts w:ascii="Arial" w:cs="Arial" w:eastAsia="Arial" w:hAnsi="Arial"/>
                <w:sz w:val="18"/>
                <w:szCs w:val="18"/>
                <w:b w:val="1"/>
                <w:bCs w:val="1"/>
                <w:color w:val="auto"/>
              </w:rPr>
              <w:t>(676)</w:t>
            </w:r>
          </w:p>
        </w:tc>
        <w:tc>
          <w:tcPr>
            <w:tcW w:w="1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shd w:val="clear" w:color="auto" w:fill="E5E5E5"/>
          </w:tcPr>
          <w:p>
            <w:pPr>
              <w:jc w:val="right"/>
              <w:ind w:right="136"/>
              <w:spacing w:after="0"/>
              <w:rPr>
                <w:sz w:val="20"/>
                <w:szCs w:val="20"/>
                <w:color w:val="auto"/>
              </w:rPr>
            </w:pPr>
            <w:r>
              <w:rPr>
                <w:rFonts w:ascii="Arial" w:cs="Arial" w:eastAsia="Arial" w:hAnsi="Arial"/>
                <w:sz w:val="18"/>
                <w:szCs w:val="18"/>
                <w:b w:val="1"/>
                <w:bCs w:val="1"/>
                <w:color w:val="auto"/>
              </w:rPr>
              <w:t>(439)</w:t>
            </w:r>
          </w:p>
        </w:tc>
        <w:tc>
          <w:tcPr>
            <w:tcW w:w="3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E5E5E5"/>
          </w:tcPr>
          <w:p>
            <w:pPr>
              <w:jc w:val="right"/>
              <w:ind w:right="340"/>
              <w:spacing w:after="0"/>
              <w:rPr>
                <w:sz w:val="20"/>
                <w:szCs w:val="20"/>
                <w:color w:val="auto"/>
              </w:rPr>
            </w:pPr>
            <w:r>
              <w:rPr>
                <w:rFonts w:ascii="Arial" w:cs="Arial" w:eastAsia="Arial" w:hAnsi="Arial"/>
                <w:sz w:val="18"/>
                <w:szCs w:val="18"/>
                <w:b w:val="1"/>
                <w:bCs w:val="1"/>
                <w:color w:val="auto"/>
              </w:rPr>
              <w:t>(985)</w:t>
            </w:r>
          </w:p>
        </w:tc>
        <w:tc>
          <w:tcPr>
            <w:tcW w:w="1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(341)</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74"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increases in interest expense for the three and six months ended June 30, 2008 compared to the same periods in 2007 are primarily due to an increase in our average debt outstanding and early extinguishment costs associated with the repayment and redemption of certain debt obligations.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 (Loss), Net</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components of investment income (loss), net for the three and six months ended June 30, 2008 and 2007 are presented in a table in Note 5 to our consolidated financial statements.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Other income for the six months ended June 30, 2008 includes a gain of approximately $235 million on the sale of our 50% interest in the Insight asset pool in connection with the Insight transaction (see Note 4). Other income for the six months ended June 30, 2007 includes a gain of approximately $500 million on the sale of our 50% interest in the Kansas City asset pool in connection with the dissolution of Texas and Kansas City Cable Partners.</w:t>
      </w:r>
    </w:p>
    <w:p>
      <w:pPr>
        <w:spacing w:after="0" w:line="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Income Tax Expense</w:t>
      </w:r>
    </w:p>
    <w:p>
      <w:pPr>
        <w:spacing w:after="0" w:line="82"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Income tax expense for the three and six months ended June 30, 2008 and 2007 reflects income tax rates higher than the federal statutory rate primarily due to state income taxes and interest on uncertain tax positions. We expect our 2008 annual effective tax rate to be in the range of 40% to 45%.</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businesses generate significant cash flows from operating activities. We believe that we will be able to meet our current and long-term liquidity and capital requirements, including fixed charges, through our cash flows from operating activities, existing cash, cash equivalents and investments; through available borrowings under our existing credit facilities; and through our ability to obtain future external financing.</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anticipate continuing to use a substantial portion of our cash flows to fund our capital expenditures, to invest in business opportunities and to return capital to investors through stock repurchases and dividends. The credit markets have been and continue to be volatile primarily due to difficulties in the residential mortgage markets and</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also due to the slowing economy. We do not hold any cash equivalents or short-term investments whose liquidity or value has been affected by these negative trends in the financial markets.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Details of net cash provided by operating activities are presented in the table below.</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80" w:type="dxa"/>
            <w:vAlign w:val="bottom"/>
          </w:tcPr>
          <w:p>
            <w:pPr>
              <w:spacing w:after="0"/>
              <w:rPr>
                <w:sz w:val="14"/>
                <w:szCs w:val="14"/>
                <w:color w:val="auto"/>
              </w:rPr>
            </w:pPr>
          </w:p>
        </w:tc>
        <w:tc>
          <w:tcPr>
            <w:tcW w:w="2120" w:type="dxa"/>
            <w:vAlign w:val="bottom"/>
            <w:gridSpan w:val="2"/>
          </w:tcPr>
          <w:p>
            <w:pPr>
              <w:jc w:val="right"/>
              <w:ind w:right="294"/>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59"/>
        </w:trPr>
        <w:tc>
          <w:tcPr>
            <w:tcW w:w="930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14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June 30</w:t>
            </w:r>
          </w:p>
        </w:tc>
        <w:tc>
          <w:tcPr>
            <w:tcW w:w="6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300" w:type="dxa"/>
            <w:vAlign w:val="bottom"/>
            <w:gridSpan w:val="2"/>
            <w:vMerge w:val="continue"/>
          </w:tcPr>
          <w:p>
            <w:pPr>
              <w:spacing w:after="0"/>
              <w:rPr>
                <w:sz w:val="12"/>
                <w:szCs w:val="12"/>
                <w:color w:val="auto"/>
              </w:rPr>
            </w:pPr>
          </w:p>
        </w:tc>
        <w:tc>
          <w:tcPr>
            <w:tcW w:w="1480" w:type="dxa"/>
            <w:vAlign w:val="bottom"/>
          </w:tcPr>
          <w:p>
            <w:pPr>
              <w:jc w:val="right"/>
              <w:ind w:right="557"/>
              <w:spacing w:after="0" w:line="142" w:lineRule="exact"/>
              <w:rPr>
                <w:sz w:val="20"/>
                <w:szCs w:val="20"/>
                <w:color w:val="auto"/>
              </w:rPr>
            </w:pPr>
            <w:r>
              <w:rPr>
                <w:rFonts w:ascii="Arial" w:cs="Arial" w:eastAsia="Arial" w:hAnsi="Arial"/>
                <w:sz w:val="14"/>
                <w:szCs w:val="14"/>
                <w:color w:val="auto"/>
              </w:rPr>
              <w:t>2008</w:t>
            </w:r>
          </w:p>
        </w:tc>
        <w:tc>
          <w:tcPr>
            <w:tcW w:w="640" w:type="dxa"/>
            <w:vAlign w:val="bottom"/>
          </w:tcPr>
          <w:p>
            <w:pPr>
              <w:jc w:val="right"/>
              <w:ind w:right="114"/>
              <w:spacing w:after="0" w:line="142" w:lineRule="exact"/>
              <w:rPr>
                <w:sz w:val="20"/>
                <w:szCs w:val="20"/>
                <w:color w:val="auto"/>
              </w:rPr>
            </w:pPr>
            <w:r>
              <w:rPr>
                <w:rFonts w:ascii="Arial" w:cs="Arial" w:eastAsia="Arial" w:hAnsi="Arial"/>
                <w:sz w:val="14"/>
                <w:szCs w:val="14"/>
                <w:color w:val="auto"/>
              </w:rPr>
              <w:t>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Operating income</w:t>
            </w:r>
          </w:p>
        </w:tc>
        <w:tc>
          <w:tcPr>
            <w:tcW w:w="1480" w:type="dxa"/>
            <w:vAlign w:val="bottom"/>
            <w:tcBorders>
              <w:top w:val="single" w:sz="8" w:color="auto"/>
            </w:tcBorders>
            <w:shd w:val="clear" w:color="auto" w:fill="E5E5E5"/>
          </w:tcPr>
          <w:p>
            <w:pPr>
              <w:jc w:val="right"/>
              <w:ind w:right="417"/>
              <w:spacing w:after="0"/>
              <w:rPr>
                <w:sz w:val="20"/>
                <w:szCs w:val="20"/>
                <w:color w:val="auto"/>
              </w:rPr>
            </w:pPr>
            <w:r>
              <w:rPr>
                <w:rFonts w:ascii="Arial" w:cs="Arial" w:eastAsia="Arial" w:hAnsi="Arial"/>
                <w:sz w:val="18"/>
                <w:szCs w:val="18"/>
                <w:color w:val="auto"/>
              </w:rPr>
              <w:t>$ 3,305</w:t>
            </w:r>
          </w:p>
        </w:tc>
        <w:tc>
          <w:tcPr>
            <w:tcW w:w="6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3"/>
              </w:rPr>
              <w:t>$ 2,729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Depreciation and amortization</w:t>
            </w:r>
          </w:p>
        </w:tc>
        <w:tc>
          <w:tcPr>
            <w:tcW w:w="1480" w:type="dxa"/>
            <w:vAlign w:val="bottom"/>
            <w:tcBorders>
              <w:bottom w:val="single" w:sz="8" w:color="auto"/>
            </w:tcBorders>
          </w:tcPr>
          <w:p>
            <w:pPr>
              <w:jc w:val="right"/>
              <w:ind w:right="417"/>
              <w:spacing w:after="0"/>
              <w:rPr>
                <w:sz w:val="20"/>
                <w:szCs w:val="20"/>
                <w:color w:val="auto"/>
              </w:rPr>
            </w:pPr>
            <w:r>
              <w:rPr>
                <w:rFonts w:ascii="Arial" w:cs="Arial" w:eastAsia="Arial" w:hAnsi="Arial"/>
                <w:sz w:val="18"/>
                <w:szCs w:val="18"/>
                <w:color w:val="auto"/>
              </w:rPr>
              <w:t>3,220</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8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before depreciation and amortization</w:t>
            </w:r>
          </w:p>
        </w:tc>
        <w:tc>
          <w:tcPr>
            <w:tcW w:w="1480" w:type="dxa"/>
            <w:vAlign w:val="bottom"/>
            <w:shd w:val="clear" w:color="auto" w:fill="E5E5E5"/>
          </w:tcPr>
          <w:p>
            <w:pPr>
              <w:jc w:val="right"/>
              <w:ind w:right="417"/>
              <w:spacing w:after="0"/>
              <w:rPr>
                <w:sz w:val="20"/>
                <w:szCs w:val="20"/>
                <w:color w:val="auto"/>
              </w:rPr>
            </w:pPr>
            <w:r>
              <w:rPr>
                <w:rFonts w:ascii="Arial" w:cs="Arial" w:eastAsia="Arial" w:hAnsi="Arial"/>
                <w:sz w:val="18"/>
                <w:szCs w:val="18"/>
                <w:color w:val="auto"/>
              </w:rPr>
              <w:t>6,525</w:t>
            </w: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tcPr>
          <w:p>
            <w:pPr>
              <w:spacing w:after="0"/>
              <w:rPr>
                <w:sz w:val="20"/>
                <w:szCs w:val="20"/>
                <w:color w:val="auto"/>
              </w:rPr>
            </w:pPr>
            <w:r>
              <w:rPr>
                <w:rFonts w:ascii="Arial" w:cs="Arial" w:eastAsia="Arial" w:hAnsi="Arial"/>
                <w:sz w:val="18"/>
                <w:szCs w:val="18"/>
                <w:color w:val="auto"/>
              </w:rPr>
              <w:t>Noncash share-based compensation and contribution expense</w:t>
            </w:r>
          </w:p>
        </w:tc>
        <w:tc>
          <w:tcPr>
            <w:tcW w:w="1480" w:type="dxa"/>
            <w:vAlign w:val="bottom"/>
          </w:tcPr>
          <w:p>
            <w:pPr>
              <w:jc w:val="right"/>
              <w:ind w:right="417"/>
              <w:spacing w:after="0"/>
              <w:rPr>
                <w:sz w:val="20"/>
                <w:szCs w:val="20"/>
                <w:color w:val="auto"/>
              </w:rPr>
            </w:pPr>
            <w:r>
              <w:rPr>
                <w:rFonts w:ascii="Arial" w:cs="Arial" w:eastAsia="Arial" w:hAnsi="Arial"/>
                <w:sz w:val="18"/>
                <w:szCs w:val="18"/>
                <w:color w:val="auto"/>
              </w:rPr>
              <w:t>123</w:t>
            </w:r>
          </w:p>
        </w:tc>
        <w:tc>
          <w:tcPr>
            <w:tcW w:w="64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Changes in operating assets and liabilities</w:t>
            </w:r>
          </w:p>
        </w:tc>
        <w:tc>
          <w:tcPr>
            <w:tcW w:w="1480" w:type="dxa"/>
            <w:vAlign w:val="bottom"/>
            <w:tcBorders>
              <w:bottom w:val="single" w:sz="8" w:color="auto"/>
            </w:tcBorders>
            <w:shd w:val="clear" w:color="auto" w:fill="E5E5E5"/>
          </w:tcPr>
          <w:p>
            <w:pPr>
              <w:jc w:val="right"/>
              <w:ind w:right="357"/>
              <w:spacing w:after="0"/>
              <w:rPr>
                <w:sz w:val="20"/>
                <w:szCs w:val="20"/>
                <w:color w:val="auto"/>
              </w:rPr>
            </w:pPr>
            <w:r>
              <w:rPr>
                <w:rFonts w:ascii="Arial" w:cs="Arial" w:eastAsia="Arial" w:hAnsi="Arial"/>
                <w:sz w:val="18"/>
                <w:szCs w:val="18"/>
                <w:color w:val="auto"/>
              </w:rPr>
              <w:t>(293)</w:t>
            </w:r>
          </w:p>
        </w:tc>
        <w:tc>
          <w:tcPr>
            <w:tcW w:w="6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80" w:type="dxa"/>
            <w:vAlign w:val="bottom"/>
          </w:tcPr>
          <w:p>
            <w:pPr>
              <w:spacing w:after="0"/>
              <w:rPr>
                <w:sz w:val="20"/>
                <w:szCs w:val="20"/>
                <w:color w:val="auto"/>
              </w:rPr>
            </w:pPr>
            <w:r>
              <w:rPr>
                <w:rFonts w:ascii="Arial" w:cs="Arial" w:eastAsia="Arial" w:hAnsi="Arial"/>
                <w:sz w:val="18"/>
                <w:szCs w:val="18"/>
                <w:color w:val="auto"/>
              </w:rPr>
              <w:t>Cash basis operating income</w:t>
            </w:r>
          </w:p>
        </w:tc>
        <w:tc>
          <w:tcPr>
            <w:tcW w:w="1480" w:type="dxa"/>
            <w:vAlign w:val="bottom"/>
          </w:tcPr>
          <w:p>
            <w:pPr>
              <w:jc w:val="right"/>
              <w:ind w:right="417"/>
              <w:spacing w:after="0"/>
              <w:rPr>
                <w:sz w:val="20"/>
                <w:szCs w:val="20"/>
                <w:color w:val="auto"/>
              </w:rPr>
            </w:pPr>
            <w:r>
              <w:rPr>
                <w:rFonts w:ascii="Arial" w:cs="Arial" w:eastAsia="Arial" w:hAnsi="Arial"/>
                <w:sz w:val="18"/>
                <w:szCs w:val="18"/>
                <w:color w:val="auto"/>
              </w:rPr>
              <w:t>6,355</w:t>
            </w:r>
          </w:p>
        </w:tc>
        <w:tc>
          <w:tcPr>
            <w:tcW w:w="640" w:type="dxa"/>
            <w:vAlign w:val="bottom"/>
          </w:tcPr>
          <w:p>
            <w:pPr>
              <w:jc w:val="right"/>
              <w:spacing w:after="0"/>
              <w:rPr>
                <w:sz w:val="20"/>
                <w:szCs w:val="20"/>
                <w:color w:val="auto"/>
              </w:rPr>
            </w:pPr>
            <w:r>
              <w:rPr>
                <w:rFonts w:ascii="Arial" w:cs="Arial" w:eastAsia="Arial" w:hAnsi="Arial"/>
                <w:sz w:val="18"/>
                <w:szCs w:val="18"/>
                <w:color w:val="auto"/>
              </w:rPr>
              <w:t>5,574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E5E5E5"/>
          </w:tcPr>
          <w:p>
            <w:pPr>
              <w:spacing w:after="0"/>
              <w:rPr>
                <w:sz w:val="20"/>
                <w:szCs w:val="20"/>
                <w:color w:val="auto"/>
              </w:rPr>
            </w:pPr>
            <w:r>
              <w:rPr>
                <w:rFonts w:ascii="Arial" w:cs="Arial" w:eastAsia="Arial" w:hAnsi="Arial"/>
                <w:sz w:val="18"/>
                <w:szCs w:val="18"/>
                <w:color w:val="auto"/>
              </w:rPr>
              <w:t>Payments of interest</w:t>
            </w:r>
          </w:p>
        </w:tc>
        <w:tc>
          <w:tcPr>
            <w:tcW w:w="1480" w:type="dxa"/>
            <w:vAlign w:val="bottom"/>
            <w:shd w:val="clear" w:color="auto" w:fill="E5E5E5"/>
          </w:tcPr>
          <w:p>
            <w:pPr>
              <w:jc w:val="right"/>
              <w:ind w:right="357"/>
              <w:spacing w:after="0"/>
              <w:rPr>
                <w:sz w:val="20"/>
                <w:szCs w:val="20"/>
                <w:color w:val="auto"/>
              </w:rPr>
            </w:pPr>
            <w:r>
              <w:rPr>
                <w:rFonts w:ascii="Arial" w:cs="Arial" w:eastAsia="Arial" w:hAnsi="Arial"/>
                <w:sz w:val="18"/>
                <w:szCs w:val="18"/>
                <w:color w:val="auto"/>
              </w:rPr>
              <w:t>(1,116)</w:t>
            </w: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tcPr>
          <w:p>
            <w:pPr>
              <w:spacing w:after="0"/>
              <w:rPr>
                <w:sz w:val="20"/>
                <w:szCs w:val="20"/>
                <w:color w:val="auto"/>
              </w:rPr>
            </w:pPr>
            <w:r>
              <w:rPr>
                <w:rFonts w:ascii="Arial" w:cs="Arial" w:eastAsia="Arial" w:hAnsi="Arial"/>
                <w:sz w:val="18"/>
                <w:szCs w:val="18"/>
                <w:color w:val="auto"/>
              </w:rPr>
              <w:t>Payments of income taxes</w:t>
            </w:r>
          </w:p>
        </w:tc>
        <w:tc>
          <w:tcPr>
            <w:tcW w:w="1480" w:type="dxa"/>
            <w:vAlign w:val="bottom"/>
          </w:tcPr>
          <w:p>
            <w:pPr>
              <w:jc w:val="right"/>
              <w:ind w:right="357"/>
              <w:spacing w:after="0"/>
              <w:rPr>
                <w:sz w:val="20"/>
                <w:szCs w:val="20"/>
                <w:color w:val="auto"/>
              </w:rPr>
            </w:pPr>
            <w:r>
              <w:rPr>
                <w:rFonts w:ascii="Arial" w:cs="Arial" w:eastAsia="Arial" w:hAnsi="Arial"/>
                <w:sz w:val="18"/>
                <w:szCs w:val="18"/>
                <w:color w:val="auto"/>
              </w:rPr>
              <w:t>(355)</w:t>
            </w:r>
          </w:p>
        </w:tc>
        <w:tc>
          <w:tcPr>
            <w:tcW w:w="640" w:type="dxa"/>
            <w:vAlign w:val="bottom"/>
          </w:tcPr>
          <w:p>
            <w:pPr>
              <w:jc w:val="right"/>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E5E5E5"/>
          </w:tcPr>
          <w:p>
            <w:pPr>
              <w:spacing w:after="0"/>
              <w:rPr>
                <w:sz w:val="20"/>
                <w:szCs w:val="20"/>
                <w:color w:val="auto"/>
              </w:rPr>
            </w:pPr>
            <w:r>
              <w:rPr>
                <w:rFonts w:ascii="Arial" w:cs="Arial" w:eastAsia="Arial" w:hAnsi="Arial"/>
                <w:sz w:val="18"/>
                <w:szCs w:val="18"/>
                <w:color w:val="auto"/>
              </w:rPr>
              <w:t>Proceeds from interest, dividends received and other nonoperating items</w:t>
            </w:r>
          </w:p>
        </w:tc>
        <w:tc>
          <w:tcPr>
            <w:tcW w:w="1480" w:type="dxa"/>
            <w:vAlign w:val="bottom"/>
            <w:shd w:val="clear" w:color="auto" w:fill="E5E5E5"/>
          </w:tcPr>
          <w:p>
            <w:pPr>
              <w:jc w:val="right"/>
              <w:ind w:right="417"/>
              <w:spacing w:after="0"/>
              <w:rPr>
                <w:sz w:val="20"/>
                <w:szCs w:val="20"/>
                <w:color w:val="auto"/>
              </w:rPr>
            </w:pPr>
            <w:r>
              <w:rPr>
                <w:rFonts w:ascii="Arial" w:cs="Arial" w:eastAsia="Arial" w:hAnsi="Arial"/>
                <w:sz w:val="18"/>
                <w:szCs w:val="18"/>
                <w:color w:val="auto"/>
              </w:rPr>
              <w:t>59</w:t>
            </w: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Excess tax benefit under SFAS No. 123R presented in financing activities</w:t>
            </w:r>
          </w:p>
        </w:tc>
        <w:tc>
          <w:tcPr>
            <w:tcW w:w="1480" w:type="dxa"/>
            <w:vAlign w:val="bottom"/>
            <w:tcBorders>
              <w:bottom w:val="single" w:sz="8" w:color="auto"/>
            </w:tcBorders>
          </w:tcPr>
          <w:p>
            <w:pPr>
              <w:jc w:val="right"/>
              <w:ind w:right="357"/>
              <w:spacing w:after="0"/>
              <w:rPr>
                <w:sz w:val="20"/>
                <w:szCs w:val="20"/>
                <w:color w:val="auto"/>
              </w:rPr>
            </w:pPr>
            <w:r>
              <w:rPr>
                <w:rFonts w:ascii="Arial" w:cs="Arial" w:eastAsia="Arial" w:hAnsi="Arial"/>
                <w:sz w:val="18"/>
                <w:szCs w:val="18"/>
                <w:color w:val="auto"/>
              </w:rPr>
              <w:t>(15)</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480" w:type="dxa"/>
            <w:vAlign w:val="bottom"/>
            <w:tcBorders>
              <w:bottom w:val="single" w:sz="8" w:color="auto"/>
            </w:tcBorders>
            <w:shd w:val="clear" w:color="auto" w:fill="E5E5E5"/>
          </w:tcPr>
          <w:p>
            <w:pPr>
              <w:jc w:val="right"/>
              <w:ind w:right="417"/>
              <w:spacing w:after="0"/>
              <w:rPr>
                <w:sz w:val="20"/>
                <w:szCs w:val="20"/>
                <w:color w:val="auto"/>
              </w:rPr>
            </w:pPr>
            <w:r>
              <w:rPr>
                <w:rFonts w:ascii="Arial" w:cs="Arial" w:eastAsia="Arial" w:hAnsi="Arial"/>
                <w:sz w:val="18"/>
                <w:szCs w:val="18"/>
                <w:b w:val="1"/>
                <w:bCs w:val="1"/>
                <w:color w:val="auto"/>
              </w:rPr>
              <w:t>$ 4,928</w:t>
            </w:r>
          </w:p>
        </w:tc>
        <w:tc>
          <w:tcPr>
            <w:tcW w:w="6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93"/>
              </w:rPr>
              <w:t>$ 3,907</w:t>
            </w:r>
          </w:p>
        </w:tc>
        <w:tc>
          <w:tcPr>
            <w:tcW w:w="0" w:type="dxa"/>
            <w:vAlign w:val="bottom"/>
          </w:tcPr>
          <w:p>
            <w:pPr>
              <w:spacing w:after="0"/>
              <w:rPr>
                <w:sz w:val="1"/>
                <w:szCs w:val="1"/>
                <w:color w:val="auto"/>
              </w:rPr>
            </w:pPr>
          </w:p>
        </w:tc>
      </w:tr>
    </w:tbl>
    <w:p>
      <w:pPr>
        <w:spacing w:after="0" w:line="5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interest payments for the six months ended June 30, 2008 compared to the same period in 2007 was primarily due to an increase in our average debt outstanding. The decrease in income tax payments was primarily due to the Economic Stimulus Act of 2008, which resulted in a reduction in our tax payments of approximately $315 million.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74"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Net cash used in financing activities for the six months ended June 30, 2008 consisted primarily of cash paid for the repurchase of approximately 100 million shares of our Class A and Class A Special common stock for $2.0 billion, which represents the activity on a settlement date or cash basis, debt retirements and repayments of $831 million, and dividend payments of $185 million. These cash outflows were partially offset by cash proceeds from borrowings of $2.0 billion.</w:t>
      </w:r>
    </w:p>
    <w:p>
      <w:pPr>
        <w:spacing w:after="0" w:line="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in the past made and may from time to time in the future make optional repayments on our debt obligations depending on various factors, such as market conditions. These repayments may include repurchases of our outstanding public notes and debentures.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Borrowings Under Credit Facilities</w:t>
      </w:r>
    </w:p>
    <w:p>
      <w:pPr>
        <w:spacing w:after="0" w:line="7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traditionally maintain significant availability under our lines of credit and commercial paper program to meet our short-term liquidity requirements. In January 2008, we entered into an amended and restated revolving bank credit facility which may be used for general corporate purposes. This amendment increased the size of the credit facility from $5.0 billion to $7.0 billion and extended the maturity of the loan commitment from October 2010 to January 2013. As of June 30, 2008, amounts available under our facilities totaled approximately $6.7 billion.</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 and Dividends</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June 30, 2008, the maximum dollar value of shares that may be repurchased under our Board-authorized share repurchase program was approximately $4.9 billion. We plan to fully use our remaining share repurchase authorization by the end of 2009, subject to market conditions.</w:t>
      </w:r>
    </w:p>
    <w:p>
      <w:pPr>
        <w:spacing w:after="0" w:line="37" w:lineRule="exact"/>
        <w:rPr>
          <w:sz w:val="20"/>
          <w:szCs w:val="20"/>
          <w:color w:val="auto"/>
        </w:rPr>
      </w:pPr>
    </w:p>
    <w:p>
      <w:pPr>
        <w:jc w:val="center"/>
        <w:ind w:right="160"/>
        <w:spacing w:after="0"/>
        <w:rPr>
          <w:sz w:val="20"/>
          <w:szCs w:val="20"/>
          <w:color w:val="auto"/>
        </w:rPr>
      </w:pPr>
      <w:r>
        <w:rPr>
          <w:rFonts w:ascii="Arial" w:cs="Arial" w:eastAsia="Arial" w:hAnsi="Arial"/>
          <w:sz w:val="15"/>
          <w:szCs w:val="15"/>
          <w:color w:val="auto"/>
        </w:rPr>
        <w:t>In February and May 2008, our Board of Directors approved quarterly dividends of $0.0625 per share as part of our planned annual dividend of $0.25 per share.</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Payments of 2008 Quarterly Dividends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5760" w:type="dxa"/>
            <w:vAlign w:val="bottom"/>
            <w:gridSpan w:val="2"/>
          </w:tcPr>
          <w:p>
            <w:pPr>
              <w:ind w:left="4260"/>
              <w:spacing w:after="0"/>
              <w:rPr>
                <w:sz w:val="20"/>
                <w:szCs w:val="20"/>
                <w:color w:val="auto"/>
              </w:rPr>
            </w:pPr>
            <w:r>
              <w:rPr>
                <w:rFonts w:ascii="Arial" w:cs="Arial" w:eastAsia="Arial" w:hAnsi="Arial"/>
                <w:sz w:val="14"/>
                <w:szCs w:val="14"/>
                <w:color w:val="auto"/>
              </w:rPr>
              <w:t>Payment Amount</w:t>
            </w:r>
          </w:p>
        </w:tc>
        <w:tc>
          <w:tcPr>
            <w:tcW w:w="1580" w:type="dxa"/>
            <w:vAlign w:val="bottom"/>
            <w:gridSpan w:val="2"/>
          </w:tcPr>
          <w:p>
            <w:pPr>
              <w:jc w:val="right"/>
              <w:ind w:right="20"/>
              <w:spacing w:after="0"/>
              <w:rPr>
                <w:sz w:val="20"/>
                <w:szCs w:val="20"/>
                <w:color w:val="auto"/>
              </w:rPr>
            </w:pPr>
            <w:r>
              <w:rPr>
                <w:rFonts w:ascii="Arial" w:cs="Arial" w:eastAsia="Arial" w:hAnsi="Arial"/>
                <w:sz w:val="14"/>
                <w:szCs w:val="14"/>
                <w:color w:val="auto"/>
              </w:rPr>
              <w:t>Month of Payment</w:t>
            </w:r>
          </w:p>
        </w:tc>
      </w:tr>
      <w:tr>
        <w:trPr>
          <w:trHeight w:val="210"/>
        </w:trPr>
        <w:tc>
          <w:tcPr>
            <w:tcW w:w="20" w:type="dxa"/>
            <w:vAlign w:val="bottom"/>
          </w:tcPr>
          <w:p>
            <w:pPr>
              <w:spacing w:after="0"/>
              <w:rPr>
                <w:sz w:val="18"/>
                <w:szCs w:val="18"/>
                <w:color w:val="auto"/>
              </w:rPr>
            </w:pPr>
          </w:p>
        </w:tc>
        <w:tc>
          <w:tcPr>
            <w:tcW w:w="40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Three months ended March 31, 2008</w:t>
            </w:r>
          </w:p>
        </w:tc>
        <w:tc>
          <w:tcPr>
            <w:tcW w:w="4640" w:type="dxa"/>
            <w:vAlign w:val="bottom"/>
            <w:tcBorders>
              <w:top w:val="single" w:sz="8" w:color="auto"/>
            </w:tcBorders>
            <w:shd w:val="clear" w:color="auto" w:fill="E5E5E5"/>
          </w:tcPr>
          <w:p>
            <w:pPr>
              <w:ind w:left="426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E5E5E5"/>
          </w:tcPr>
          <w:p>
            <w:pPr>
              <w:jc w:val="right"/>
              <w:ind w:right="472"/>
              <w:spacing w:after="0"/>
              <w:rPr>
                <w:sz w:val="20"/>
                <w:szCs w:val="20"/>
                <w:color w:val="auto"/>
              </w:rPr>
            </w:pPr>
            <w:r>
              <w:rPr>
                <w:rFonts w:ascii="Arial" w:cs="Arial" w:eastAsia="Arial" w:hAnsi="Arial"/>
                <w:sz w:val="18"/>
                <w:szCs w:val="18"/>
                <w:color w:val="auto"/>
              </w:rPr>
              <w:t>185</w:t>
            </w:r>
          </w:p>
        </w:tc>
        <w:tc>
          <w:tcPr>
            <w:tcW w:w="15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April</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Three months ended June 30, 2008</w:t>
            </w:r>
          </w:p>
        </w:tc>
        <w:tc>
          <w:tcPr>
            <w:tcW w:w="4640" w:type="dxa"/>
            <w:vAlign w:val="bottom"/>
            <w:tcBorders>
              <w:bottom w:val="single" w:sz="8" w:color="auto"/>
            </w:tcBorders>
          </w:tcPr>
          <w:p>
            <w:pPr>
              <w:ind w:left="42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color w:val="auto"/>
              </w:rPr>
              <w:t>182</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July</w:t>
            </w:r>
          </w:p>
        </w:tc>
        <w:tc>
          <w:tcPr>
            <w:tcW w:w="20" w:type="dxa"/>
            <w:vAlign w:val="bottom"/>
          </w:tcPr>
          <w:p>
            <w:pPr>
              <w:spacing w:after="0"/>
              <w:rPr>
                <w:sz w:val="18"/>
                <w:szCs w:val="18"/>
                <w:color w:val="auto"/>
              </w:rPr>
            </w:pPr>
          </w:p>
        </w:tc>
      </w:tr>
      <w:tr>
        <w:trPr>
          <w:trHeight w:val="356"/>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4640" w:type="dxa"/>
            <w:vAlign w:val="bottom"/>
          </w:tcPr>
          <w:p>
            <w:pPr>
              <w:jc w:val="right"/>
              <w:ind w:right="2837"/>
              <w:spacing w:after="0"/>
              <w:rPr>
                <w:sz w:val="20"/>
                <w:szCs w:val="20"/>
                <w:color w:val="auto"/>
              </w:rPr>
            </w:pPr>
            <w:r>
              <w:rPr>
                <w:rFonts w:ascii="Arial" w:cs="Arial" w:eastAsia="Arial" w:hAnsi="Arial"/>
                <w:sz w:val="18"/>
                <w:szCs w:val="18"/>
                <w:color w:val="auto"/>
              </w:rPr>
              <w:t>28</w:t>
            </w:r>
          </w:p>
        </w:tc>
        <w:tc>
          <w:tcPr>
            <w:tcW w:w="1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Net cash used in investing activities for the six months ended June 30, 2008 consisted primarily of cash paid for capital expenditures of $2.7 billion, acquisitions of $331 million, net of cash acquired, and cash paid for intangible assets of $245 million. These cash outflows were partially offset by proceeds from sales of investments of $320 million. Capital expenditures have been our most significant recurring investing activity and we expect that this will continue in the future.</w:t>
      </w:r>
    </w:p>
    <w:p>
      <w:pPr>
        <w:spacing w:after="0" w:line="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May 2008, Sprint Nextel entered into an agreement with Clearwire Corporation and an investor group made up of us, Intel, Google, Time Warner Cable and Bright House. Under this agreement, Sprint Nextel and Clearwire Corporation will combine their next-generation wireless broadband businesses to form an independent, publicly traded company called Clearwire that will focus on the deployment of a nationwide 4G wireless network. We, together with the other members of the investment group, have agreed to invest $3.2 billion in Clearwire. Our portion of the investment is $1.05 billion. This transaction is expected to close in late 2008 or early 2009.</w:t>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Judgments and Estimates</w:t>
      </w:r>
    </w:p>
    <w:p>
      <w:pPr>
        <w:spacing w:after="0" w:line="8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preparation of our consolidated financial statements requires us to make estimates that affect the reported amounts of assets, liabilities, revenue and expenses, and the related disclosure of contingent assets and contingent liabilities. We base our judgments on historical experience and on various other assumptions that we believe are reasonable under the circumstances, the results of which form the basis for making estimates about the carrying values of assets and liabilities that are not readily apparent from other sources. Actual results may differ from these estimates under different assumptions or conditions.</w:t>
      </w:r>
    </w:p>
    <w:p>
      <w:pPr>
        <w:spacing w:after="0" w:line="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our judgments and related estimates associated with the valuation and impairment testing of our cable franchise rights and the accounting for income taxes and legal contingencies are critical in the preparation of our consolidated financial statements. We performed our annual impairment testing as of April 1, 2008 and no impairment charge was recorded.</w:t>
      </w:r>
    </w:p>
    <w:p>
      <w:pPr>
        <w:spacing w:after="0" w:line="4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a full discussion of the accounting judgments and estimates that we have identified as critical in the preparation of our consolidated financial statements, please refer to our 2007 Annual Report on Form 10-K.</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significant changes to the information required under this item from what was disclosed in our 2007 Annual Report on Form 10-K.</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chief executive officer and our chief financial officer, after evaluating the effectiveness of our disclosure controls and procedures (as defined in the Securities Exchange Act of 1934 Rules 13a-15(e) or 15d-15(e)) as of the end of the period covered by this report, have concluded, based on the evaluation of these controls and procedures required by paragraph (b) of Exchange Act Rules 13a-15 or 15d-15, that our disclosure controls and procedures were effective.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paragraph (d) of Exchange Act Rules 13a-15 or 15d-15 that occurred during our last fiscal quarter that have materially affected, or are reasonably likely to materially affect, our internal control over financial reporting.</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 OTHER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8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Refer to Note 11 to our consolidated financial statements of this Quarterly Report on Form 10-Q for a discussion of recent developments related to our legal proceedings.</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significant changes from the risk factors previously disclosed in Item 1A of our 2007 Annual Report on Form 10-K.</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summarizes our repurchases under our Board-authorized share repurchase program during the three months ended June 30, 2008.</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Purchases of Equity Securities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auto"/>
                <w:w w:val="89"/>
              </w:rPr>
              <w:t>Total Number of</w:t>
            </w:r>
          </w:p>
        </w:tc>
        <w:tc>
          <w:tcPr>
            <w:tcW w:w="340" w:type="dxa"/>
            <w:vAlign w:val="bottom"/>
          </w:tcPr>
          <w:p>
            <w:pPr>
              <w:spacing w:after="0"/>
              <w:rPr>
                <w:sz w:val="14"/>
                <w:szCs w:val="14"/>
                <w:color w:val="auto"/>
              </w:rPr>
            </w:pPr>
          </w:p>
        </w:tc>
        <w:tc>
          <w:tcPr>
            <w:tcW w:w="1280" w:type="dxa"/>
            <w:vAlign w:val="bottom"/>
          </w:tcPr>
          <w:p>
            <w:pPr>
              <w:jc w:val="center"/>
              <w:ind w:right="263"/>
              <w:spacing w:after="0"/>
              <w:rPr>
                <w:sz w:val="20"/>
                <w:szCs w:val="20"/>
                <w:color w:val="auto"/>
              </w:rPr>
            </w:pPr>
            <w:r>
              <w:rPr>
                <w:rFonts w:ascii="Arial" w:cs="Arial" w:eastAsia="Arial" w:hAnsi="Arial"/>
                <w:sz w:val="14"/>
                <w:szCs w:val="14"/>
                <w:color w:val="auto"/>
                <w:w w:val="83"/>
              </w:rPr>
              <w:t>Total</w:t>
            </w: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600" w:type="dxa"/>
            <w:vAlign w:val="bottom"/>
          </w:tcPr>
          <w:p>
            <w:pPr>
              <w:jc w:val="center"/>
              <w:ind w:left="1242"/>
              <w:spacing w:after="0" w:line="149" w:lineRule="exact"/>
              <w:rPr>
                <w:sz w:val="20"/>
                <w:szCs w:val="20"/>
                <w:color w:val="auto"/>
              </w:rPr>
            </w:pPr>
            <w:r>
              <w:rPr>
                <w:rFonts w:ascii="Arial" w:cs="Arial" w:eastAsia="Arial" w:hAnsi="Arial"/>
                <w:sz w:val="14"/>
                <w:szCs w:val="14"/>
                <w:color w:val="auto"/>
                <w:w w:val="89"/>
              </w:rPr>
              <w:t>Total</w:t>
            </w: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82"/>
              </w:rPr>
              <w:t>Shares Purchased as</w:t>
            </w:r>
          </w:p>
        </w:tc>
        <w:tc>
          <w:tcPr>
            <w:tcW w:w="340" w:type="dxa"/>
            <w:vAlign w:val="bottom"/>
          </w:tcPr>
          <w:p>
            <w:pPr>
              <w:spacing w:after="0"/>
              <w:rPr>
                <w:sz w:val="12"/>
                <w:szCs w:val="12"/>
                <w:color w:val="auto"/>
              </w:rPr>
            </w:pPr>
          </w:p>
        </w:tc>
        <w:tc>
          <w:tcPr>
            <w:tcW w:w="1280" w:type="dxa"/>
            <w:vAlign w:val="bottom"/>
          </w:tcPr>
          <w:p>
            <w:pPr>
              <w:jc w:val="center"/>
              <w:ind w:right="263"/>
              <w:spacing w:after="0" w:line="149" w:lineRule="exact"/>
              <w:rPr>
                <w:sz w:val="20"/>
                <w:szCs w:val="20"/>
                <w:color w:val="auto"/>
              </w:rPr>
            </w:pPr>
            <w:r>
              <w:rPr>
                <w:rFonts w:ascii="Arial" w:cs="Arial" w:eastAsia="Arial" w:hAnsi="Arial"/>
                <w:sz w:val="14"/>
                <w:szCs w:val="14"/>
                <w:color w:val="auto"/>
                <w:w w:val="87"/>
              </w:rPr>
              <w:t>Dollars</w:t>
            </w:r>
          </w:p>
        </w:tc>
        <w:tc>
          <w:tcPr>
            <w:tcW w:w="1600" w:type="dxa"/>
            <w:vAlign w:val="bottom"/>
            <w:gridSpan w:val="3"/>
          </w:tcPr>
          <w:p>
            <w:pPr>
              <w:jc w:val="center"/>
              <w:ind w:left="116"/>
              <w:spacing w:after="0" w:line="149" w:lineRule="exact"/>
              <w:rPr>
                <w:sz w:val="20"/>
                <w:szCs w:val="20"/>
                <w:color w:val="auto"/>
              </w:rPr>
            </w:pPr>
            <w:r>
              <w:rPr>
                <w:rFonts w:ascii="Arial" w:cs="Arial" w:eastAsia="Arial" w:hAnsi="Arial"/>
                <w:sz w:val="14"/>
                <w:szCs w:val="14"/>
                <w:color w:val="auto"/>
                <w:w w:val="90"/>
              </w:rPr>
              <w:t>Maximum Dollar Value</w:t>
            </w: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600" w:type="dxa"/>
            <w:vAlign w:val="bottom"/>
          </w:tcPr>
          <w:p>
            <w:pPr>
              <w:jc w:val="center"/>
              <w:ind w:left="1242"/>
              <w:spacing w:after="0" w:line="149" w:lineRule="exact"/>
              <w:rPr>
                <w:sz w:val="20"/>
                <w:szCs w:val="20"/>
                <w:color w:val="auto"/>
              </w:rPr>
            </w:pPr>
            <w:r>
              <w:rPr>
                <w:rFonts w:ascii="Arial" w:cs="Arial" w:eastAsia="Arial" w:hAnsi="Arial"/>
                <w:sz w:val="14"/>
                <w:szCs w:val="14"/>
                <w:color w:val="auto"/>
                <w:w w:val="88"/>
              </w:rPr>
              <w:t>Number</w:t>
            </w: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89"/>
              </w:rPr>
              <w:t>Part of Publicly</w:t>
            </w:r>
          </w:p>
        </w:tc>
        <w:tc>
          <w:tcPr>
            <w:tcW w:w="340" w:type="dxa"/>
            <w:vAlign w:val="bottom"/>
          </w:tcPr>
          <w:p>
            <w:pPr>
              <w:spacing w:after="0"/>
              <w:rPr>
                <w:sz w:val="12"/>
                <w:szCs w:val="12"/>
                <w:color w:val="auto"/>
              </w:rPr>
            </w:pPr>
          </w:p>
        </w:tc>
        <w:tc>
          <w:tcPr>
            <w:tcW w:w="1280" w:type="dxa"/>
            <w:vAlign w:val="bottom"/>
          </w:tcPr>
          <w:p>
            <w:pPr>
              <w:jc w:val="center"/>
              <w:ind w:right="263"/>
              <w:spacing w:after="0" w:line="149" w:lineRule="exact"/>
              <w:rPr>
                <w:sz w:val="20"/>
                <w:szCs w:val="20"/>
                <w:color w:val="auto"/>
              </w:rPr>
            </w:pPr>
            <w:r>
              <w:rPr>
                <w:rFonts w:ascii="Arial" w:cs="Arial" w:eastAsia="Arial" w:hAnsi="Arial"/>
                <w:sz w:val="14"/>
                <w:szCs w:val="14"/>
                <w:color w:val="auto"/>
                <w:w w:val="80"/>
              </w:rPr>
              <w:t>Purchased</w:t>
            </w:r>
          </w:p>
        </w:tc>
        <w:tc>
          <w:tcPr>
            <w:tcW w:w="300" w:type="dxa"/>
            <w:vAlign w:val="bottom"/>
          </w:tcPr>
          <w:p>
            <w:pPr>
              <w:spacing w:after="0"/>
              <w:rPr>
                <w:sz w:val="12"/>
                <w:szCs w:val="12"/>
                <w:color w:val="auto"/>
              </w:rPr>
            </w:pPr>
          </w:p>
        </w:tc>
        <w:tc>
          <w:tcPr>
            <w:tcW w:w="13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8"/>
              </w:rPr>
              <w:t>of Shares That May</w:t>
            </w: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600" w:type="dxa"/>
            <w:vAlign w:val="bottom"/>
          </w:tcPr>
          <w:p>
            <w:pPr>
              <w:jc w:val="center"/>
              <w:ind w:left="1242"/>
              <w:spacing w:after="0" w:line="149" w:lineRule="exact"/>
              <w:rPr>
                <w:sz w:val="20"/>
                <w:szCs w:val="20"/>
                <w:color w:val="auto"/>
              </w:rPr>
            </w:pPr>
            <w:r>
              <w:rPr>
                <w:rFonts w:ascii="Arial" w:cs="Arial" w:eastAsia="Arial" w:hAnsi="Arial"/>
                <w:sz w:val="14"/>
                <w:szCs w:val="14"/>
                <w:color w:val="auto"/>
                <w:w w:val="86"/>
              </w:rPr>
              <w:t>of Shares</w:t>
            </w:r>
          </w:p>
        </w:tc>
        <w:tc>
          <w:tcPr>
            <w:tcW w:w="12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Average Price</w:t>
            </w: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87"/>
              </w:rPr>
              <w:t>Announced</w:t>
            </w:r>
          </w:p>
        </w:tc>
        <w:tc>
          <w:tcPr>
            <w:tcW w:w="340" w:type="dxa"/>
            <w:vAlign w:val="bottom"/>
          </w:tcPr>
          <w:p>
            <w:pPr>
              <w:spacing w:after="0"/>
              <w:rPr>
                <w:sz w:val="12"/>
                <w:szCs w:val="12"/>
                <w:color w:val="auto"/>
              </w:rPr>
            </w:pPr>
          </w:p>
        </w:tc>
        <w:tc>
          <w:tcPr>
            <w:tcW w:w="1280" w:type="dxa"/>
            <w:vAlign w:val="bottom"/>
          </w:tcPr>
          <w:p>
            <w:pPr>
              <w:jc w:val="center"/>
              <w:ind w:right="263"/>
              <w:spacing w:after="0" w:line="149" w:lineRule="exact"/>
              <w:rPr>
                <w:sz w:val="20"/>
                <w:szCs w:val="20"/>
                <w:color w:val="auto"/>
              </w:rPr>
            </w:pPr>
            <w:r>
              <w:rPr>
                <w:rFonts w:ascii="Arial" w:cs="Arial" w:eastAsia="Arial" w:hAnsi="Arial"/>
                <w:sz w:val="14"/>
                <w:szCs w:val="14"/>
                <w:color w:val="auto"/>
                <w:w w:val="89"/>
              </w:rPr>
              <w:t>Under</w:t>
            </w:r>
          </w:p>
        </w:tc>
        <w:tc>
          <w:tcPr>
            <w:tcW w:w="300" w:type="dxa"/>
            <w:vAlign w:val="bottom"/>
          </w:tcPr>
          <w:p>
            <w:pPr>
              <w:spacing w:after="0"/>
              <w:rPr>
                <w:sz w:val="12"/>
                <w:szCs w:val="12"/>
                <w:color w:val="auto"/>
              </w:rPr>
            </w:pPr>
          </w:p>
        </w:tc>
        <w:tc>
          <w:tcPr>
            <w:tcW w:w="13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Yet Be Purchased</w:t>
            </w:r>
          </w:p>
        </w:tc>
      </w:tr>
      <w:tr>
        <w:trPr>
          <w:trHeight w:val="159"/>
        </w:trPr>
        <w:tc>
          <w:tcPr>
            <w:tcW w:w="2780" w:type="dxa"/>
            <w:vAlign w:val="bottom"/>
            <w:gridSpan w:val="2"/>
          </w:tcPr>
          <w:p>
            <w:pPr>
              <w:spacing w:after="0" w:line="159" w:lineRule="exact"/>
              <w:rPr>
                <w:sz w:val="20"/>
                <w:szCs w:val="20"/>
                <w:color w:val="auto"/>
              </w:rPr>
            </w:pPr>
            <w:r>
              <w:rPr>
                <w:rFonts w:ascii="Arial" w:cs="Arial" w:eastAsia="Arial" w:hAnsi="Arial"/>
                <w:sz w:val="14"/>
                <w:szCs w:val="14"/>
                <w:color w:val="auto"/>
              </w:rPr>
              <w:t>Period</w:t>
            </w:r>
          </w:p>
        </w:tc>
        <w:tc>
          <w:tcPr>
            <w:tcW w:w="2600" w:type="dxa"/>
            <w:vAlign w:val="bottom"/>
          </w:tcPr>
          <w:p>
            <w:pPr>
              <w:jc w:val="center"/>
              <w:ind w:left="1242"/>
              <w:spacing w:after="0" w:line="159" w:lineRule="exact"/>
              <w:rPr>
                <w:sz w:val="20"/>
                <w:szCs w:val="20"/>
                <w:color w:val="auto"/>
              </w:rPr>
            </w:pPr>
            <w:r>
              <w:rPr>
                <w:rFonts w:ascii="Arial" w:cs="Arial" w:eastAsia="Arial" w:hAnsi="Arial"/>
                <w:sz w:val="14"/>
                <w:szCs w:val="14"/>
                <w:color w:val="auto"/>
                <w:w w:val="83"/>
              </w:rPr>
              <w:t>Purchased</w:t>
            </w:r>
          </w:p>
        </w:tc>
        <w:tc>
          <w:tcPr>
            <w:tcW w:w="340" w:type="dxa"/>
            <w:vAlign w:val="bottom"/>
          </w:tcPr>
          <w:p>
            <w:pPr>
              <w:spacing w:after="0"/>
              <w:rPr>
                <w:sz w:val="13"/>
                <w:szCs w:val="13"/>
                <w:color w:val="auto"/>
              </w:rPr>
            </w:pPr>
          </w:p>
        </w:tc>
        <w:tc>
          <w:tcPr>
            <w:tcW w:w="920" w:type="dxa"/>
            <w:vAlign w:val="bottom"/>
          </w:tcPr>
          <w:p>
            <w:pPr>
              <w:jc w:val="right"/>
              <w:ind w:right="296"/>
              <w:spacing w:after="0" w:line="159" w:lineRule="exact"/>
              <w:rPr>
                <w:sz w:val="20"/>
                <w:szCs w:val="20"/>
                <w:color w:val="auto"/>
              </w:rPr>
            </w:pPr>
            <w:r>
              <w:rPr>
                <w:rFonts w:ascii="Arial" w:cs="Arial" w:eastAsia="Arial" w:hAnsi="Arial"/>
                <w:sz w:val="14"/>
                <w:szCs w:val="14"/>
                <w:color w:val="auto"/>
                <w:w w:val="82"/>
              </w:rPr>
              <w:t>Per Share</w:t>
            </w:r>
          </w:p>
        </w:tc>
        <w:tc>
          <w:tcPr>
            <w:tcW w:w="1580" w:type="dxa"/>
            <w:vAlign w:val="bottom"/>
          </w:tcPr>
          <w:p>
            <w:pPr>
              <w:jc w:val="center"/>
              <w:spacing w:after="0" w:line="159" w:lineRule="exact"/>
              <w:rPr>
                <w:sz w:val="20"/>
                <w:szCs w:val="20"/>
                <w:color w:val="auto"/>
              </w:rPr>
            </w:pPr>
            <w:r>
              <w:rPr>
                <w:rFonts w:ascii="Arial" w:cs="Arial" w:eastAsia="Arial" w:hAnsi="Arial"/>
                <w:sz w:val="14"/>
                <w:szCs w:val="14"/>
                <w:color w:val="auto"/>
                <w:w w:val="89"/>
              </w:rPr>
              <w:t>Program</w:t>
            </w:r>
          </w:p>
        </w:tc>
        <w:tc>
          <w:tcPr>
            <w:tcW w:w="340" w:type="dxa"/>
            <w:vAlign w:val="bottom"/>
          </w:tcPr>
          <w:p>
            <w:pPr>
              <w:spacing w:after="0"/>
              <w:rPr>
                <w:sz w:val="13"/>
                <w:szCs w:val="13"/>
                <w:color w:val="auto"/>
              </w:rPr>
            </w:pPr>
          </w:p>
        </w:tc>
        <w:tc>
          <w:tcPr>
            <w:tcW w:w="1280" w:type="dxa"/>
            <w:vAlign w:val="bottom"/>
          </w:tcPr>
          <w:p>
            <w:pPr>
              <w:jc w:val="center"/>
              <w:ind w:right="263"/>
              <w:spacing w:after="0" w:line="159" w:lineRule="exact"/>
              <w:rPr>
                <w:sz w:val="20"/>
                <w:szCs w:val="20"/>
                <w:color w:val="auto"/>
              </w:rPr>
            </w:pPr>
            <w:r>
              <w:rPr>
                <w:rFonts w:ascii="Arial" w:cs="Arial" w:eastAsia="Arial" w:hAnsi="Arial"/>
                <w:sz w:val="14"/>
                <w:szCs w:val="14"/>
                <w:color w:val="auto"/>
                <w:w w:val="85"/>
              </w:rPr>
              <w:t>the Program</w:t>
            </w:r>
          </w:p>
        </w:tc>
        <w:tc>
          <w:tcPr>
            <w:tcW w:w="300" w:type="dxa"/>
            <w:vAlign w:val="bottom"/>
          </w:tcPr>
          <w:p>
            <w:pPr>
              <w:spacing w:after="0"/>
              <w:rPr>
                <w:sz w:val="13"/>
                <w:szCs w:val="13"/>
                <w:color w:val="auto"/>
              </w:rPr>
            </w:pPr>
          </w:p>
        </w:tc>
        <w:tc>
          <w:tcPr>
            <w:tcW w:w="1300" w:type="dxa"/>
            <w:vAlign w:val="bottom"/>
            <w:gridSpan w:val="2"/>
          </w:tcPr>
          <w:p>
            <w:pPr>
              <w:jc w:val="center"/>
              <w:ind w:right="100"/>
              <w:spacing w:after="0" w:line="159" w:lineRule="exact"/>
              <w:rPr>
                <w:sz w:val="20"/>
                <w:szCs w:val="20"/>
                <w:color w:val="auto"/>
              </w:rPr>
            </w:pPr>
            <w:r>
              <w:rPr>
                <w:rFonts w:ascii="Arial" w:cs="Arial" w:eastAsia="Arial" w:hAnsi="Arial"/>
                <w:sz w:val="14"/>
                <w:szCs w:val="14"/>
                <w:color w:val="auto"/>
                <w:w w:val="88"/>
              </w:rPr>
              <w:t>Under the Program(a)</w:t>
            </w:r>
          </w:p>
        </w:tc>
      </w:tr>
      <w:tr>
        <w:trPr>
          <w:trHeight w:val="210"/>
        </w:trPr>
        <w:tc>
          <w:tcPr>
            <w:tcW w:w="20" w:type="dxa"/>
            <w:vAlign w:val="bottom"/>
          </w:tcPr>
          <w:p>
            <w:pPr>
              <w:spacing w:after="0"/>
              <w:rPr>
                <w:sz w:val="18"/>
                <w:szCs w:val="18"/>
                <w:color w:val="auto"/>
              </w:rPr>
            </w:pPr>
          </w:p>
        </w:tc>
        <w:tc>
          <w:tcPr>
            <w:tcW w:w="27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April 1-30, 2008</w:t>
            </w:r>
          </w:p>
        </w:tc>
        <w:tc>
          <w:tcPr>
            <w:tcW w:w="2600" w:type="dxa"/>
            <w:vAlign w:val="bottom"/>
            <w:tcBorders>
              <w:top w:val="single" w:sz="8" w:color="auto"/>
            </w:tcBorders>
            <w:shd w:val="clear" w:color="auto" w:fill="E5E5E5"/>
          </w:tcPr>
          <w:p>
            <w:pPr>
              <w:jc w:val="right"/>
              <w:ind w:right="142"/>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E5E5E5"/>
          </w:tcPr>
          <w:p>
            <w:pPr>
              <w:jc w:val="right"/>
              <w:ind w:right="156"/>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tcBorders>
            <w:shd w:val="clear" w:color="auto" w:fill="E5E5E5"/>
          </w:tcPr>
          <w:p>
            <w:pPr>
              <w:jc w:val="right"/>
              <w:ind w:right="143"/>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E5E5E5"/>
          </w:tcPr>
          <w:p>
            <w:pPr>
              <w:jc w:val="right"/>
              <w:ind w:right="143"/>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5,906,133,015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May 1-31, 2008</w:t>
            </w:r>
          </w:p>
        </w:tc>
        <w:tc>
          <w:tcPr>
            <w:tcW w:w="2600" w:type="dxa"/>
            <w:vAlign w:val="bottom"/>
          </w:tcPr>
          <w:p>
            <w:pPr>
              <w:jc w:val="right"/>
              <w:ind w:right="142"/>
              <w:spacing w:after="0"/>
              <w:rPr>
                <w:sz w:val="20"/>
                <w:szCs w:val="20"/>
                <w:color w:val="auto"/>
              </w:rPr>
            </w:pPr>
            <w:r>
              <w:rPr>
                <w:rFonts w:ascii="Arial" w:cs="Arial" w:eastAsia="Arial" w:hAnsi="Arial"/>
                <w:sz w:val="18"/>
                <w:szCs w:val="18"/>
                <w:color w:val="auto"/>
              </w:rPr>
              <w:t>15,469,414</w:t>
            </w:r>
          </w:p>
        </w:tc>
        <w:tc>
          <w:tcPr>
            <w:tcW w:w="340" w:type="dxa"/>
            <w:vAlign w:val="bottom"/>
          </w:tcPr>
          <w:p>
            <w:pPr>
              <w:ind w:left="22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56"/>
              <w:spacing w:after="0"/>
              <w:rPr>
                <w:sz w:val="20"/>
                <w:szCs w:val="20"/>
                <w:color w:val="auto"/>
              </w:rPr>
            </w:pPr>
            <w:r>
              <w:rPr>
                <w:rFonts w:ascii="Arial" w:cs="Arial" w:eastAsia="Arial" w:hAnsi="Arial"/>
                <w:sz w:val="18"/>
                <w:szCs w:val="18"/>
                <w:color w:val="auto"/>
              </w:rPr>
              <w:t>20.22</w:t>
            </w:r>
          </w:p>
        </w:tc>
        <w:tc>
          <w:tcPr>
            <w:tcW w:w="1580" w:type="dxa"/>
            <w:vAlign w:val="bottom"/>
          </w:tcPr>
          <w:p>
            <w:pPr>
              <w:jc w:val="right"/>
              <w:ind w:right="143"/>
              <w:spacing w:after="0"/>
              <w:rPr>
                <w:sz w:val="20"/>
                <w:szCs w:val="20"/>
                <w:color w:val="auto"/>
              </w:rPr>
            </w:pPr>
            <w:r>
              <w:rPr>
                <w:rFonts w:ascii="Arial" w:cs="Arial" w:eastAsia="Arial" w:hAnsi="Arial"/>
                <w:sz w:val="18"/>
                <w:szCs w:val="18"/>
                <w:color w:val="auto"/>
              </w:rPr>
              <w:t>14,874,681</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43"/>
              <w:spacing w:after="0"/>
              <w:rPr>
                <w:sz w:val="20"/>
                <w:szCs w:val="20"/>
                <w:color w:val="auto"/>
              </w:rPr>
            </w:pPr>
            <w:r>
              <w:rPr>
                <w:rFonts w:ascii="Arial" w:cs="Arial" w:eastAsia="Arial" w:hAnsi="Arial"/>
                <w:sz w:val="18"/>
                <w:szCs w:val="18"/>
                <w:color w:val="auto"/>
              </w:rPr>
              <w:t>300,000,000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5,606,133,015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June 1-30, 2008</w:t>
            </w:r>
          </w:p>
        </w:tc>
        <w:tc>
          <w:tcPr>
            <w:tcW w:w="2600" w:type="dxa"/>
            <w:vAlign w:val="bottom"/>
            <w:tcBorders>
              <w:bottom w:val="single" w:sz="8" w:color="auto"/>
            </w:tcBorders>
            <w:shd w:val="clear" w:color="auto" w:fill="E5E5E5"/>
          </w:tcPr>
          <w:p>
            <w:pPr>
              <w:jc w:val="right"/>
              <w:ind w:right="142"/>
              <w:spacing w:after="0"/>
              <w:rPr>
                <w:sz w:val="20"/>
                <w:szCs w:val="20"/>
                <w:color w:val="auto"/>
              </w:rPr>
            </w:pPr>
            <w:r>
              <w:rPr>
                <w:rFonts w:ascii="Arial" w:cs="Arial" w:eastAsia="Arial" w:hAnsi="Arial"/>
                <w:sz w:val="18"/>
                <w:szCs w:val="18"/>
                <w:color w:val="auto"/>
              </w:rPr>
              <w:t>32,250,556</w:t>
            </w:r>
          </w:p>
        </w:tc>
        <w:tc>
          <w:tcPr>
            <w:tcW w:w="34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E5E5E5"/>
          </w:tcPr>
          <w:p>
            <w:pPr>
              <w:jc w:val="right"/>
              <w:ind w:right="156"/>
              <w:spacing w:after="0"/>
              <w:rPr>
                <w:sz w:val="20"/>
                <w:szCs w:val="20"/>
                <w:color w:val="auto"/>
              </w:rPr>
            </w:pPr>
            <w:r>
              <w:rPr>
                <w:rFonts w:ascii="Arial" w:cs="Arial" w:eastAsia="Arial" w:hAnsi="Arial"/>
                <w:sz w:val="18"/>
                <w:szCs w:val="18"/>
                <w:color w:val="auto"/>
              </w:rPr>
              <w:t>21.06</w:t>
            </w:r>
          </w:p>
        </w:tc>
        <w:tc>
          <w:tcPr>
            <w:tcW w:w="1580" w:type="dxa"/>
            <w:vAlign w:val="bottom"/>
            <w:tcBorders>
              <w:bottom w:val="single" w:sz="8" w:color="auto"/>
            </w:tcBorders>
            <w:shd w:val="clear" w:color="auto" w:fill="E5E5E5"/>
          </w:tcPr>
          <w:p>
            <w:pPr>
              <w:jc w:val="right"/>
              <w:ind w:right="143"/>
              <w:spacing w:after="0"/>
              <w:rPr>
                <w:sz w:val="20"/>
                <w:szCs w:val="20"/>
                <w:color w:val="auto"/>
              </w:rPr>
            </w:pPr>
            <w:r>
              <w:rPr>
                <w:rFonts w:ascii="Arial" w:cs="Arial" w:eastAsia="Arial" w:hAnsi="Arial"/>
                <w:sz w:val="18"/>
                <w:szCs w:val="18"/>
                <w:color w:val="auto"/>
              </w:rPr>
              <w:t>33,248,416</w:t>
            </w:r>
          </w:p>
        </w:tc>
        <w:tc>
          <w:tcPr>
            <w:tcW w:w="3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E5E5E5"/>
          </w:tcPr>
          <w:p>
            <w:pPr>
              <w:jc w:val="right"/>
              <w:ind w:right="143"/>
              <w:spacing w:after="0"/>
              <w:rPr>
                <w:sz w:val="20"/>
                <w:szCs w:val="20"/>
                <w:color w:val="auto"/>
              </w:rPr>
            </w:pPr>
            <w:r>
              <w:rPr>
                <w:rFonts w:ascii="Arial" w:cs="Arial" w:eastAsia="Arial" w:hAnsi="Arial"/>
                <w:sz w:val="18"/>
                <w:szCs w:val="18"/>
                <w:color w:val="auto"/>
              </w:rPr>
              <w:t>700,086,833</w:t>
            </w:r>
          </w:p>
        </w:tc>
        <w:tc>
          <w:tcPr>
            <w:tcW w:w="3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4,906,046,182</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2600" w:type="dxa"/>
            <w:vAlign w:val="bottom"/>
            <w:tcBorders>
              <w:bottom w:val="single" w:sz="8" w:color="auto"/>
            </w:tcBorders>
          </w:tcPr>
          <w:p>
            <w:pPr>
              <w:jc w:val="right"/>
              <w:ind w:right="142"/>
              <w:spacing w:after="0"/>
              <w:rPr>
                <w:sz w:val="20"/>
                <w:szCs w:val="20"/>
                <w:color w:val="auto"/>
              </w:rPr>
            </w:pPr>
            <w:r>
              <w:rPr>
                <w:rFonts w:ascii="Arial" w:cs="Arial" w:eastAsia="Arial" w:hAnsi="Arial"/>
                <w:sz w:val="18"/>
                <w:szCs w:val="18"/>
                <w:b w:val="1"/>
                <w:bCs w:val="1"/>
                <w:color w:val="auto"/>
              </w:rPr>
              <w:t>48,719,970</w:t>
            </w:r>
          </w:p>
        </w:tc>
        <w:tc>
          <w:tcPr>
            <w:tcW w:w="34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b w:val="1"/>
                <w:bCs w:val="1"/>
                <w:color w:val="auto"/>
              </w:rPr>
              <w:t>20.79</w:t>
            </w:r>
          </w:p>
        </w:tc>
        <w:tc>
          <w:tcPr>
            <w:tcW w:w="1580" w:type="dxa"/>
            <w:vAlign w:val="bottom"/>
            <w:tcBorders>
              <w:bottom w:val="single" w:sz="8" w:color="auto"/>
            </w:tcBorders>
          </w:tcPr>
          <w:p>
            <w:pPr>
              <w:jc w:val="right"/>
              <w:ind w:right="143"/>
              <w:spacing w:after="0"/>
              <w:rPr>
                <w:sz w:val="20"/>
                <w:szCs w:val="20"/>
                <w:color w:val="auto"/>
              </w:rPr>
            </w:pPr>
            <w:r>
              <w:rPr>
                <w:rFonts w:ascii="Arial" w:cs="Arial" w:eastAsia="Arial" w:hAnsi="Arial"/>
                <w:sz w:val="18"/>
                <w:szCs w:val="18"/>
                <w:b w:val="1"/>
                <w:bCs w:val="1"/>
                <w:color w:val="auto"/>
              </w:rPr>
              <w:t>48,123,097</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tcPr>
          <w:p>
            <w:pPr>
              <w:jc w:val="right"/>
              <w:ind w:right="143"/>
              <w:spacing w:after="0"/>
              <w:rPr>
                <w:sz w:val="20"/>
                <w:szCs w:val="20"/>
                <w:color w:val="auto"/>
              </w:rPr>
            </w:pPr>
            <w:r>
              <w:rPr>
                <w:rFonts w:ascii="Arial" w:cs="Arial" w:eastAsia="Arial" w:hAnsi="Arial"/>
                <w:sz w:val="18"/>
                <w:szCs w:val="18"/>
                <w:b w:val="1"/>
                <w:bCs w:val="1"/>
                <w:color w:val="auto"/>
                <w:w w:val="90"/>
              </w:rPr>
              <w:t>1,000,086,833</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4,906,046,182</w:t>
            </w:r>
          </w:p>
        </w:tc>
        <w:tc>
          <w:tcPr>
            <w:tcW w:w="20" w:type="dxa"/>
            <w:vAlign w:val="bottom"/>
            <w:tcBorders>
              <w:bottom w:val="single" w:sz="8" w:color="auto"/>
            </w:tcBorders>
          </w:tcPr>
          <w:p>
            <w:pPr>
              <w:spacing w:after="0"/>
              <w:rPr>
                <w:sz w:val="18"/>
                <w:szCs w:val="18"/>
                <w:color w:val="auto"/>
              </w:rPr>
            </w:pPr>
          </w:p>
        </w:tc>
      </w:tr>
    </w:tbl>
    <w:p>
      <w:pPr>
        <w:spacing w:after="0" w:line="57" w:lineRule="exact"/>
        <w:rPr>
          <w:sz w:val="20"/>
          <w:szCs w:val="20"/>
          <w:color w:val="auto"/>
        </w:rPr>
      </w:pPr>
    </w:p>
    <w:p>
      <w:pPr>
        <w:jc w:val="both"/>
        <w:ind w:left="340" w:hanging="332"/>
        <w:spacing w:after="0" w:line="233" w:lineRule="auto"/>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 2007, the Board of Directors authorized a $7 billion addition to the existing share repurchase program. Under the authorization, we may repurchase shares in the open market or in private transactions, subject to market conditions. As of June 30, 2008, the maximum dollar value of shares available under our Board-authorized share repurchase program was approximately $4.9 billion. We plan to fully use our remaining share repurchase authorization by the end of 2009, subject to market conditions.</w:t>
      </w:r>
    </w:p>
    <w:p>
      <w:pPr>
        <w:spacing w:after="0" w:line="4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total number of shares purchased during the three months ended June 30, 2008 includes 596,873 shares received in the administration of employee share-based compensation plans.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SUBMISSION OF MATTERS TO A VOTE OF SECURITY HOLDERS</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our Annual Meeting of Shareholders on May 14, 2008, the shareholders approved, or did not approve, the following proposals, in each case consistent with the unanimous recommendations of our Board of Directors (numbers represent the aggregate votes cast, with holders of our Class A Common Stock entitled to 0.1384 votes per share and holders of our Class B Common Stock entitled to 15 votes per share):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 elect the following nominees to serve as our directors for one-year terms.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gridSpan w:val="2"/>
          </w:tcPr>
          <w:p>
            <w:pPr>
              <w:spacing w:after="0"/>
              <w:rPr>
                <w:sz w:val="20"/>
                <w:szCs w:val="20"/>
                <w:color w:val="auto"/>
              </w:rPr>
            </w:pPr>
            <w:r>
              <w:rPr>
                <w:rFonts w:ascii="Arial" w:cs="Arial" w:eastAsia="Arial" w:hAnsi="Arial"/>
                <w:sz w:val="14"/>
                <w:szCs w:val="14"/>
                <w:color w:val="auto"/>
              </w:rPr>
              <w:t>Director</w:t>
            </w:r>
          </w:p>
        </w:tc>
        <w:tc>
          <w:tcPr>
            <w:tcW w:w="4980" w:type="dxa"/>
            <w:vAlign w:val="bottom"/>
          </w:tcPr>
          <w:p>
            <w:pPr>
              <w:jc w:val="right"/>
              <w:ind w:right="634"/>
              <w:spacing w:after="0"/>
              <w:rPr>
                <w:sz w:val="20"/>
                <w:szCs w:val="20"/>
                <w:color w:val="auto"/>
              </w:rPr>
            </w:pPr>
            <w:r>
              <w:rPr>
                <w:rFonts w:ascii="Arial" w:cs="Arial" w:eastAsia="Arial" w:hAnsi="Arial"/>
                <w:sz w:val="14"/>
                <w:szCs w:val="14"/>
                <w:color w:val="auto"/>
              </w:rPr>
              <w:t>For</w:t>
            </w:r>
          </w:p>
        </w:tc>
        <w:tc>
          <w:tcPr>
            <w:tcW w:w="1040" w:type="dxa"/>
            <w:vAlign w:val="bottom"/>
            <w:gridSpan w:val="2"/>
          </w:tcPr>
          <w:p>
            <w:pPr>
              <w:ind w:left="240"/>
              <w:spacing w:after="0"/>
              <w:rPr>
                <w:sz w:val="20"/>
                <w:szCs w:val="20"/>
                <w:color w:val="auto"/>
              </w:rPr>
            </w:pPr>
            <w:r>
              <w:rPr>
                <w:rFonts w:ascii="Arial" w:cs="Arial" w:eastAsia="Arial" w:hAnsi="Arial"/>
                <w:sz w:val="14"/>
                <w:szCs w:val="14"/>
                <w:color w:val="auto"/>
              </w:rPr>
              <w:t>Withheld</w:t>
            </w:r>
          </w:p>
        </w:tc>
      </w:tr>
      <w:tr>
        <w:trPr>
          <w:trHeight w:val="210"/>
        </w:trPr>
        <w:tc>
          <w:tcPr>
            <w:tcW w:w="20" w:type="dxa"/>
            <w:vAlign w:val="bottom"/>
          </w:tcPr>
          <w:p>
            <w:pPr>
              <w:spacing w:after="0"/>
              <w:rPr>
                <w:sz w:val="18"/>
                <w:szCs w:val="18"/>
                <w:color w:val="auto"/>
              </w:rPr>
            </w:pPr>
          </w:p>
        </w:tc>
        <w:tc>
          <w:tcPr>
            <w:tcW w:w="54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S. Decker Anstrom</w:t>
            </w:r>
          </w:p>
        </w:tc>
        <w:tc>
          <w:tcPr>
            <w:tcW w:w="4980" w:type="dxa"/>
            <w:vAlign w:val="bottom"/>
            <w:tcBorders>
              <w:top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rPr>
              <w:t>368,258,436</w:t>
            </w:r>
          </w:p>
        </w:tc>
        <w:tc>
          <w:tcPr>
            <w:tcW w:w="10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11,170,944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Kenneth J. Bacon</w:t>
            </w:r>
          </w:p>
        </w:tc>
        <w:tc>
          <w:tcPr>
            <w:tcW w:w="4980" w:type="dxa"/>
            <w:vAlign w:val="bottom"/>
          </w:tcPr>
          <w:p>
            <w:pPr>
              <w:jc w:val="right"/>
              <w:ind w:right="154"/>
              <w:spacing w:after="0"/>
              <w:rPr>
                <w:sz w:val="20"/>
                <w:szCs w:val="20"/>
                <w:color w:val="auto"/>
              </w:rPr>
            </w:pPr>
            <w:r>
              <w:rPr>
                <w:rFonts w:ascii="Arial" w:cs="Arial" w:eastAsia="Arial" w:hAnsi="Arial"/>
                <w:sz w:val="18"/>
                <w:szCs w:val="18"/>
                <w:color w:val="auto"/>
              </w:rPr>
              <w:t>370,901,786</w:t>
            </w:r>
          </w:p>
        </w:tc>
        <w:tc>
          <w:tcPr>
            <w:tcW w:w="1020" w:type="dxa"/>
            <w:vAlign w:val="bottom"/>
          </w:tcPr>
          <w:p>
            <w:pPr>
              <w:jc w:val="right"/>
              <w:spacing w:after="0"/>
              <w:rPr>
                <w:sz w:val="20"/>
                <w:szCs w:val="20"/>
                <w:color w:val="auto"/>
              </w:rPr>
            </w:pPr>
            <w:r>
              <w:rPr>
                <w:rFonts w:ascii="Arial" w:cs="Arial" w:eastAsia="Arial" w:hAnsi="Arial"/>
                <w:sz w:val="18"/>
                <w:szCs w:val="18"/>
                <w:color w:val="auto"/>
              </w:rPr>
              <w:t>8,527,594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E5E5E5"/>
          </w:tcPr>
          <w:p>
            <w:pPr>
              <w:spacing w:after="0"/>
              <w:rPr>
                <w:sz w:val="20"/>
                <w:szCs w:val="20"/>
                <w:color w:val="auto"/>
              </w:rPr>
            </w:pPr>
            <w:r>
              <w:rPr>
                <w:rFonts w:ascii="Arial" w:cs="Arial" w:eastAsia="Arial" w:hAnsi="Arial"/>
                <w:sz w:val="18"/>
                <w:szCs w:val="18"/>
                <w:color w:val="auto"/>
              </w:rPr>
              <w:t>Sheldon M. Bonovitz</w:t>
            </w:r>
          </w:p>
        </w:tc>
        <w:tc>
          <w:tcPr>
            <w:tcW w:w="498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370,777,654</w:t>
            </w:r>
          </w:p>
        </w:tc>
        <w:tc>
          <w:tcPr>
            <w:tcW w:w="10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8,651,726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Edward D. Breen</w:t>
            </w:r>
          </w:p>
        </w:tc>
        <w:tc>
          <w:tcPr>
            <w:tcW w:w="4980" w:type="dxa"/>
            <w:vAlign w:val="bottom"/>
          </w:tcPr>
          <w:p>
            <w:pPr>
              <w:jc w:val="right"/>
              <w:ind w:right="154"/>
              <w:spacing w:after="0"/>
              <w:rPr>
                <w:sz w:val="20"/>
                <w:szCs w:val="20"/>
                <w:color w:val="auto"/>
              </w:rPr>
            </w:pPr>
            <w:r>
              <w:rPr>
                <w:rFonts w:ascii="Arial" w:cs="Arial" w:eastAsia="Arial" w:hAnsi="Arial"/>
                <w:sz w:val="18"/>
                <w:szCs w:val="18"/>
                <w:color w:val="auto"/>
              </w:rPr>
              <w:t>370,761,472</w:t>
            </w:r>
          </w:p>
        </w:tc>
        <w:tc>
          <w:tcPr>
            <w:tcW w:w="1020" w:type="dxa"/>
            <w:vAlign w:val="bottom"/>
          </w:tcPr>
          <w:p>
            <w:pPr>
              <w:jc w:val="right"/>
              <w:spacing w:after="0"/>
              <w:rPr>
                <w:sz w:val="20"/>
                <w:szCs w:val="20"/>
                <w:color w:val="auto"/>
              </w:rPr>
            </w:pPr>
            <w:r>
              <w:rPr>
                <w:rFonts w:ascii="Arial" w:cs="Arial" w:eastAsia="Arial" w:hAnsi="Arial"/>
                <w:sz w:val="18"/>
                <w:szCs w:val="18"/>
                <w:color w:val="auto"/>
              </w:rPr>
              <w:t>8,667,908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E5E5E5"/>
          </w:tcPr>
          <w:p>
            <w:pPr>
              <w:spacing w:after="0"/>
              <w:rPr>
                <w:sz w:val="20"/>
                <w:szCs w:val="20"/>
                <w:color w:val="auto"/>
              </w:rPr>
            </w:pPr>
            <w:r>
              <w:rPr>
                <w:rFonts w:ascii="Arial" w:cs="Arial" w:eastAsia="Arial" w:hAnsi="Arial"/>
                <w:sz w:val="18"/>
                <w:szCs w:val="18"/>
                <w:color w:val="auto"/>
              </w:rPr>
              <w:t>Julian A. Brodsky</w:t>
            </w:r>
          </w:p>
        </w:tc>
        <w:tc>
          <w:tcPr>
            <w:tcW w:w="498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370,528,773</w:t>
            </w:r>
          </w:p>
        </w:tc>
        <w:tc>
          <w:tcPr>
            <w:tcW w:w="10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8,900,607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Joseph J. Collins</w:t>
            </w:r>
          </w:p>
        </w:tc>
        <w:tc>
          <w:tcPr>
            <w:tcW w:w="4980" w:type="dxa"/>
            <w:vAlign w:val="bottom"/>
          </w:tcPr>
          <w:p>
            <w:pPr>
              <w:jc w:val="right"/>
              <w:ind w:right="154"/>
              <w:spacing w:after="0"/>
              <w:rPr>
                <w:sz w:val="20"/>
                <w:szCs w:val="20"/>
                <w:color w:val="auto"/>
              </w:rPr>
            </w:pPr>
            <w:r>
              <w:rPr>
                <w:rFonts w:ascii="Arial" w:cs="Arial" w:eastAsia="Arial" w:hAnsi="Arial"/>
                <w:sz w:val="18"/>
                <w:szCs w:val="18"/>
                <w:color w:val="auto"/>
              </w:rPr>
              <w:t>368,750,438</w:t>
            </w:r>
          </w:p>
        </w:tc>
        <w:tc>
          <w:tcPr>
            <w:tcW w:w="1020" w:type="dxa"/>
            <w:vAlign w:val="bottom"/>
          </w:tcPr>
          <w:p>
            <w:pPr>
              <w:jc w:val="right"/>
              <w:spacing w:after="0"/>
              <w:rPr>
                <w:sz w:val="20"/>
                <w:szCs w:val="20"/>
                <w:color w:val="auto"/>
              </w:rPr>
            </w:pPr>
            <w:r>
              <w:rPr>
                <w:rFonts w:ascii="Arial" w:cs="Arial" w:eastAsia="Arial" w:hAnsi="Arial"/>
                <w:sz w:val="18"/>
                <w:szCs w:val="18"/>
                <w:color w:val="auto"/>
              </w:rPr>
              <w:t>10,678,942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E5E5E5"/>
          </w:tcPr>
          <w:p>
            <w:pPr>
              <w:spacing w:after="0"/>
              <w:rPr>
                <w:sz w:val="20"/>
                <w:szCs w:val="20"/>
                <w:color w:val="auto"/>
              </w:rPr>
            </w:pPr>
            <w:r>
              <w:rPr>
                <w:rFonts w:ascii="Arial" w:cs="Arial" w:eastAsia="Arial" w:hAnsi="Arial"/>
                <w:sz w:val="18"/>
                <w:szCs w:val="18"/>
                <w:color w:val="auto"/>
              </w:rPr>
              <w:t>J. Michael Cook</w:t>
            </w:r>
          </w:p>
        </w:tc>
        <w:tc>
          <w:tcPr>
            <w:tcW w:w="498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370,849,780</w:t>
            </w:r>
          </w:p>
        </w:tc>
        <w:tc>
          <w:tcPr>
            <w:tcW w:w="10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8,579,600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Gerald L. Hassell</w:t>
            </w:r>
          </w:p>
        </w:tc>
        <w:tc>
          <w:tcPr>
            <w:tcW w:w="4980" w:type="dxa"/>
            <w:vAlign w:val="bottom"/>
          </w:tcPr>
          <w:p>
            <w:pPr>
              <w:jc w:val="right"/>
              <w:ind w:right="154"/>
              <w:spacing w:after="0"/>
              <w:rPr>
                <w:sz w:val="20"/>
                <w:szCs w:val="20"/>
                <w:color w:val="auto"/>
              </w:rPr>
            </w:pPr>
            <w:r>
              <w:rPr>
                <w:rFonts w:ascii="Arial" w:cs="Arial" w:eastAsia="Arial" w:hAnsi="Arial"/>
                <w:sz w:val="18"/>
                <w:szCs w:val="18"/>
                <w:color w:val="auto"/>
              </w:rPr>
              <w:t>370,807,795</w:t>
            </w:r>
          </w:p>
        </w:tc>
        <w:tc>
          <w:tcPr>
            <w:tcW w:w="1020" w:type="dxa"/>
            <w:vAlign w:val="bottom"/>
          </w:tcPr>
          <w:p>
            <w:pPr>
              <w:jc w:val="right"/>
              <w:spacing w:after="0"/>
              <w:rPr>
                <w:sz w:val="20"/>
                <w:szCs w:val="20"/>
                <w:color w:val="auto"/>
              </w:rPr>
            </w:pPr>
            <w:r>
              <w:rPr>
                <w:rFonts w:ascii="Arial" w:cs="Arial" w:eastAsia="Arial" w:hAnsi="Arial"/>
                <w:sz w:val="18"/>
                <w:szCs w:val="18"/>
                <w:color w:val="auto"/>
              </w:rPr>
              <w:t>8,621,585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E5E5E5"/>
          </w:tcPr>
          <w:p>
            <w:pPr>
              <w:spacing w:after="0"/>
              <w:rPr>
                <w:sz w:val="20"/>
                <w:szCs w:val="20"/>
                <w:color w:val="auto"/>
              </w:rPr>
            </w:pPr>
            <w:r>
              <w:rPr>
                <w:rFonts w:ascii="Arial" w:cs="Arial" w:eastAsia="Arial" w:hAnsi="Arial"/>
                <w:sz w:val="18"/>
                <w:szCs w:val="18"/>
                <w:color w:val="auto"/>
              </w:rPr>
              <w:t>Jeffrey A. Honickman</w:t>
            </w:r>
          </w:p>
        </w:tc>
        <w:tc>
          <w:tcPr>
            <w:tcW w:w="498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370,919,748</w:t>
            </w:r>
          </w:p>
        </w:tc>
        <w:tc>
          <w:tcPr>
            <w:tcW w:w="10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8,509,632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Brian L. Roberts</w:t>
            </w:r>
          </w:p>
        </w:tc>
        <w:tc>
          <w:tcPr>
            <w:tcW w:w="4980" w:type="dxa"/>
            <w:vAlign w:val="bottom"/>
          </w:tcPr>
          <w:p>
            <w:pPr>
              <w:jc w:val="right"/>
              <w:ind w:right="154"/>
              <w:spacing w:after="0"/>
              <w:rPr>
                <w:sz w:val="20"/>
                <w:szCs w:val="20"/>
                <w:color w:val="auto"/>
              </w:rPr>
            </w:pPr>
            <w:r>
              <w:rPr>
                <w:rFonts w:ascii="Arial" w:cs="Arial" w:eastAsia="Arial" w:hAnsi="Arial"/>
                <w:sz w:val="18"/>
                <w:szCs w:val="18"/>
                <w:color w:val="auto"/>
              </w:rPr>
              <w:t>370,012,831</w:t>
            </w:r>
          </w:p>
        </w:tc>
        <w:tc>
          <w:tcPr>
            <w:tcW w:w="1020" w:type="dxa"/>
            <w:vAlign w:val="bottom"/>
          </w:tcPr>
          <w:p>
            <w:pPr>
              <w:jc w:val="right"/>
              <w:spacing w:after="0"/>
              <w:rPr>
                <w:sz w:val="20"/>
                <w:szCs w:val="20"/>
                <w:color w:val="auto"/>
              </w:rPr>
            </w:pPr>
            <w:r>
              <w:rPr>
                <w:rFonts w:ascii="Arial" w:cs="Arial" w:eastAsia="Arial" w:hAnsi="Arial"/>
                <w:sz w:val="18"/>
                <w:szCs w:val="18"/>
                <w:color w:val="auto"/>
              </w:rPr>
              <w:t>9,416,549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E5E5E5"/>
          </w:tcPr>
          <w:p>
            <w:pPr>
              <w:spacing w:after="0"/>
              <w:rPr>
                <w:sz w:val="20"/>
                <w:szCs w:val="20"/>
                <w:color w:val="auto"/>
              </w:rPr>
            </w:pPr>
            <w:r>
              <w:rPr>
                <w:rFonts w:ascii="Arial" w:cs="Arial" w:eastAsia="Arial" w:hAnsi="Arial"/>
                <w:sz w:val="18"/>
                <w:szCs w:val="18"/>
                <w:color w:val="auto"/>
              </w:rPr>
              <w:t>Ralph J. Roberts</w:t>
            </w:r>
          </w:p>
        </w:tc>
        <w:tc>
          <w:tcPr>
            <w:tcW w:w="498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370,566,369</w:t>
            </w:r>
          </w:p>
        </w:tc>
        <w:tc>
          <w:tcPr>
            <w:tcW w:w="10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8,863,011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Dr. Judith Rodin</w:t>
            </w:r>
          </w:p>
        </w:tc>
        <w:tc>
          <w:tcPr>
            <w:tcW w:w="4980" w:type="dxa"/>
            <w:vAlign w:val="bottom"/>
          </w:tcPr>
          <w:p>
            <w:pPr>
              <w:jc w:val="right"/>
              <w:ind w:right="154"/>
              <w:spacing w:after="0"/>
              <w:rPr>
                <w:sz w:val="20"/>
                <w:szCs w:val="20"/>
                <w:color w:val="auto"/>
              </w:rPr>
            </w:pPr>
            <w:r>
              <w:rPr>
                <w:rFonts w:ascii="Arial" w:cs="Arial" w:eastAsia="Arial" w:hAnsi="Arial"/>
                <w:sz w:val="18"/>
                <w:szCs w:val="18"/>
                <w:color w:val="auto"/>
              </w:rPr>
              <w:t>368,711,569</w:t>
            </w:r>
          </w:p>
        </w:tc>
        <w:tc>
          <w:tcPr>
            <w:tcW w:w="1020" w:type="dxa"/>
            <w:vAlign w:val="bottom"/>
          </w:tcPr>
          <w:p>
            <w:pPr>
              <w:jc w:val="right"/>
              <w:spacing w:after="0"/>
              <w:rPr>
                <w:sz w:val="20"/>
                <w:szCs w:val="20"/>
                <w:color w:val="auto"/>
              </w:rPr>
            </w:pPr>
            <w:r>
              <w:rPr>
                <w:rFonts w:ascii="Arial" w:cs="Arial" w:eastAsia="Arial" w:hAnsi="Arial"/>
                <w:sz w:val="18"/>
                <w:szCs w:val="18"/>
                <w:color w:val="auto"/>
              </w:rPr>
              <w:t>10,717,811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Michael I. Sovern</w:t>
            </w:r>
          </w:p>
        </w:tc>
        <w:tc>
          <w:tcPr>
            <w:tcW w:w="498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rPr>
              <w:t>368,461,961</w:t>
            </w:r>
          </w:p>
        </w:tc>
        <w:tc>
          <w:tcPr>
            <w:tcW w:w="10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10,967,419</w:t>
            </w:r>
          </w:p>
        </w:tc>
        <w:tc>
          <w:tcPr>
            <w:tcW w:w="20" w:type="dxa"/>
            <w:vAlign w:val="bottom"/>
          </w:tcPr>
          <w:p>
            <w:pPr>
              <w:spacing w:after="0"/>
              <w:rPr>
                <w:sz w:val="18"/>
                <w:szCs w:val="18"/>
                <w:color w:val="auto"/>
              </w:rPr>
            </w:pPr>
          </w:p>
        </w:tc>
      </w:tr>
    </w:tbl>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To ratify the appointment of Deloitte &amp; Touche LLP as our independent auditors for the 2008 fiscal year.</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For</w:t>
            </w:r>
          </w:p>
        </w:tc>
        <w:tc>
          <w:tcPr>
            <w:tcW w:w="330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Against</w:t>
            </w:r>
          </w:p>
        </w:tc>
        <w:tc>
          <w:tcPr>
            <w:tcW w:w="3000" w:type="dxa"/>
            <w:vAlign w:val="bottom"/>
            <w:tcBorders>
              <w:bottom w:val="single" w:sz="8" w:color="auto"/>
            </w:tcBorders>
          </w:tcPr>
          <w:p>
            <w:pPr>
              <w:ind w:left="2300"/>
              <w:spacing w:after="0"/>
              <w:rPr>
                <w:sz w:val="20"/>
                <w:szCs w:val="20"/>
                <w:color w:val="auto"/>
              </w:rPr>
            </w:pPr>
            <w:r>
              <w:rPr>
                <w:rFonts w:ascii="Arial" w:cs="Arial" w:eastAsia="Arial" w:hAnsi="Arial"/>
                <w:sz w:val="14"/>
                <w:szCs w:val="14"/>
                <w:color w:val="auto"/>
              </w:rPr>
              <w:t>Abstain</w:t>
            </w:r>
          </w:p>
        </w:tc>
      </w:tr>
      <w:tr>
        <w:trPr>
          <w:trHeight w:val="210"/>
        </w:trPr>
        <w:tc>
          <w:tcPr>
            <w:tcW w:w="20" w:type="dxa"/>
            <w:vAlign w:val="bottom"/>
          </w:tcPr>
          <w:p>
            <w:pPr>
              <w:spacing w:after="0"/>
              <w:rPr>
                <w:sz w:val="18"/>
                <w:szCs w:val="18"/>
                <w:color w:val="auto"/>
              </w:rPr>
            </w:pPr>
          </w:p>
        </w:tc>
        <w:tc>
          <w:tcPr>
            <w:tcW w:w="5100" w:type="dxa"/>
            <w:vAlign w:val="bottom"/>
            <w:shd w:val="clear" w:color="auto" w:fill="E5E5E5"/>
          </w:tcPr>
          <w:p>
            <w:pPr>
              <w:ind w:left="160"/>
              <w:spacing w:after="0"/>
              <w:rPr>
                <w:sz w:val="20"/>
                <w:szCs w:val="20"/>
                <w:color w:val="auto"/>
              </w:rPr>
            </w:pPr>
            <w:r>
              <w:rPr>
                <w:rFonts w:ascii="Arial" w:cs="Arial" w:eastAsia="Arial" w:hAnsi="Arial"/>
                <w:sz w:val="18"/>
                <w:szCs w:val="18"/>
                <w:color w:val="auto"/>
              </w:rPr>
              <w:t>374,308,528</w:t>
            </w:r>
          </w:p>
        </w:tc>
        <w:tc>
          <w:tcPr>
            <w:tcW w:w="3300" w:type="dxa"/>
            <w:vAlign w:val="bottom"/>
            <w:shd w:val="clear" w:color="auto" w:fill="E5E5E5"/>
          </w:tcPr>
          <w:p>
            <w:pPr>
              <w:jc w:val="center"/>
              <w:ind w:right="1802"/>
              <w:spacing w:after="0"/>
              <w:rPr>
                <w:sz w:val="20"/>
                <w:szCs w:val="20"/>
                <w:color w:val="auto"/>
              </w:rPr>
            </w:pPr>
            <w:r>
              <w:rPr>
                <w:rFonts w:ascii="Arial" w:cs="Arial" w:eastAsia="Arial" w:hAnsi="Arial"/>
                <w:sz w:val="18"/>
                <w:szCs w:val="18"/>
                <w:color w:val="auto"/>
                <w:w w:val="87"/>
              </w:rPr>
              <w:t>2,337,480</w:t>
            </w:r>
          </w:p>
        </w:tc>
        <w:tc>
          <w:tcPr>
            <w:tcW w:w="3000" w:type="dxa"/>
            <w:vAlign w:val="bottom"/>
            <w:shd w:val="clear" w:color="auto" w:fill="E5E5E5"/>
          </w:tcPr>
          <w:p>
            <w:pPr>
              <w:jc w:val="center"/>
              <w:ind w:left="1942"/>
              <w:spacing w:after="0"/>
              <w:rPr>
                <w:sz w:val="20"/>
                <w:szCs w:val="20"/>
                <w:color w:val="auto"/>
              </w:rPr>
            </w:pPr>
            <w:r>
              <w:rPr>
                <w:rFonts w:ascii="Arial" w:cs="Arial" w:eastAsia="Arial" w:hAnsi="Arial"/>
                <w:sz w:val="18"/>
                <w:szCs w:val="18"/>
                <w:color w:val="auto"/>
                <w:w w:val="87"/>
              </w:rPr>
              <w:t>2,783,372</w:t>
            </w:r>
          </w:p>
        </w:tc>
      </w:tr>
      <w:tr>
        <w:trPr>
          <w:trHeight w:val="336"/>
        </w:trPr>
        <w:tc>
          <w:tcPr>
            <w:tcW w:w="5120" w:type="dxa"/>
            <w:vAlign w:val="bottom"/>
            <w:gridSpan w:val="2"/>
          </w:tcPr>
          <w:p>
            <w:pPr>
              <w:spacing w:after="0"/>
              <w:rPr>
                <w:sz w:val="20"/>
                <w:szCs w:val="20"/>
                <w:color w:val="auto"/>
              </w:rPr>
            </w:pPr>
            <w:r>
              <w:rPr>
                <w:rFonts w:ascii="Arial" w:cs="Arial" w:eastAsia="Arial" w:hAnsi="Arial"/>
                <w:sz w:val="18"/>
                <w:szCs w:val="18"/>
                <w:color w:val="auto"/>
                <w:w w:val="95"/>
              </w:rPr>
              <w:t>To approve the amended and restated 2002 Restricted Stock Plan.</w:t>
            </w:r>
          </w:p>
        </w:tc>
        <w:tc>
          <w:tcPr>
            <w:tcW w:w="330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5100" w:type="dxa"/>
            <w:vAlign w:val="bottom"/>
            <w:tcBorders>
              <w:bottom w:val="single" w:sz="8" w:color="auto"/>
            </w:tcBorders>
          </w:tcPr>
          <w:p>
            <w:pPr>
              <w:jc w:val="center"/>
              <w:ind w:right="3782"/>
              <w:spacing w:after="0"/>
              <w:rPr>
                <w:sz w:val="20"/>
                <w:szCs w:val="20"/>
                <w:color w:val="auto"/>
              </w:rPr>
            </w:pPr>
            <w:r>
              <w:rPr>
                <w:rFonts w:ascii="Arial" w:cs="Arial" w:eastAsia="Arial" w:hAnsi="Arial"/>
                <w:sz w:val="14"/>
                <w:szCs w:val="14"/>
                <w:color w:val="auto"/>
                <w:w w:val="95"/>
              </w:rPr>
              <w:t>For</w:t>
            </w:r>
          </w:p>
        </w:tc>
        <w:tc>
          <w:tcPr>
            <w:tcW w:w="330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Against</w:t>
            </w:r>
          </w:p>
        </w:tc>
        <w:tc>
          <w:tcPr>
            <w:tcW w:w="3000" w:type="dxa"/>
            <w:vAlign w:val="bottom"/>
            <w:tcBorders>
              <w:bottom w:val="single" w:sz="8" w:color="auto"/>
            </w:tcBorders>
          </w:tcPr>
          <w:p>
            <w:pPr>
              <w:jc w:val="center"/>
              <w:ind w:left="1902"/>
              <w:spacing w:after="0"/>
              <w:rPr>
                <w:sz w:val="20"/>
                <w:szCs w:val="20"/>
                <w:color w:val="auto"/>
              </w:rPr>
            </w:pPr>
            <w:r>
              <w:rPr>
                <w:rFonts w:ascii="Arial" w:cs="Arial" w:eastAsia="Arial" w:hAnsi="Arial"/>
                <w:sz w:val="14"/>
                <w:szCs w:val="14"/>
                <w:color w:val="auto"/>
                <w:w w:val="89"/>
              </w:rPr>
              <w:t>Abstain</w:t>
            </w:r>
          </w:p>
        </w:tc>
      </w:tr>
      <w:tr>
        <w:trPr>
          <w:trHeight w:val="210"/>
        </w:trPr>
        <w:tc>
          <w:tcPr>
            <w:tcW w:w="20" w:type="dxa"/>
            <w:vAlign w:val="bottom"/>
          </w:tcPr>
          <w:p>
            <w:pPr>
              <w:spacing w:after="0"/>
              <w:rPr>
                <w:sz w:val="18"/>
                <w:szCs w:val="18"/>
                <w:color w:val="auto"/>
              </w:rPr>
            </w:pPr>
          </w:p>
        </w:tc>
        <w:tc>
          <w:tcPr>
            <w:tcW w:w="5100" w:type="dxa"/>
            <w:vAlign w:val="bottom"/>
            <w:shd w:val="clear" w:color="auto" w:fill="E5E5E5"/>
          </w:tcPr>
          <w:p>
            <w:pPr>
              <w:jc w:val="center"/>
              <w:ind w:right="3782"/>
              <w:spacing w:after="0"/>
              <w:rPr>
                <w:sz w:val="20"/>
                <w:szCs w:val="20"/>
                <w:color w:val="auto"/>
              </w:rPr>
            </w:pPr>
            <w:r>
              <w:rPr>
                <w:rFonts w:ascii="Arial" w:cs="Arial" w:eastAsia="Arial" w:hAnsi="Arial"/>
                <w:sz w:val="18"/>
                <w:szCs w:val="18"/>
                <w:color w:val="auto"/>
                <w:w w:val="87"/>
              </w:rPr>
              <w:t>331,451,474</w:t>
            </w:r>
          </w:p>
        </w:tc>
        <w:tc>
          <w:tcPr>
            <w:tcW w:w="3300" w:type="dxa"/>
            <w:vAlign w:val="bottom"/>
            <w:shd w:val="clear" w:color="auto" w:fill="E5E5E5"/>
          </w:tcPr>
          <w:p>
            <w:pPr>
              <w:jc w:val="center"/>
              <w:ind w:right="1782"/>
              <w:spacing w:after="0"/>
              <w:rPr>
                <w:sz w:val="20"/>
                <w:szCs w:val="20"/>
                <w:color w:val="auto"/>
              </w:rPr>
            </w:pPr>
            <w:r>
              <w:rPr>
                <w:rFonts w:ascii="Arial" w:cs="Arial" w:eastAsia="Arial" w:hAnsi="Arial"/>
                <w:sz w:val="18"/>
                <w:szCs w:val="18"/>
                <w:color w:val="auto"/>
                <w:w w:val="88"/>
              </w:rPr>
              <w:t>14,760,964</w:t>
            </w:r>
          </w:p>
        </w:tc>
        <w:tc>
          <w:tcPr>
            <w:tcW w:w="3000" w:type="dxa"/>
            <w:vAlign w:val="bottom"/>
            <w:shd w:val="clear" w:color="auto" w:fill="E5E5E5"/>
          </w:tcPr>
          <w:p>
            <w:pPr>
              <w:jc w:val="center"/>
              <w:ind w:left="1902"/>
              <w:spacing w:after="0"/>
              <w:rPr>
                <w:sz w:val="20"/>
                <w:szCs w:val="20"/>
                <w:color w:val="auto"/>
              </w:rPr>
            </w:pPr>
            <w:r>
              <w:rPr>
                <w:rFonts w:ascii="Arial" w:cs="Arial" w:eastAsia="Arial" w:hAnsi="Arial"/>
                <w:sz w:val="18"/>
                <w:szCs w:val="18"/>
                <w:color w:val="auto"/>
                <w:w w:val="87"/>
              </w:rPr>
              <w:t>2,915,928</w:t>
            </w:r>
          </w:p>
        </w:tc>
      </w:tr>
      <w:tr>
        <w:trPr>
          <w:trHeight w:val="336"/>
        </w:trPr>
        <w:tc>
          <w:tcPr>
            <w:tcW w:w="5120" w:type="dxa"/>
            <w:vAlign w:val="bottom"/>
            <w:gridSpan w:val="2"/>
          </w:tcPr>
          <w:p>
            <w:pPr>
              <w:spacing w:after="0"/>
              <w:rPr>
                <w:sz w:val="20"/>
                <w:szCs w:val="20"/>
                <w:color w:val="auto"/>
              </w:rPr>
            </w:pPr>
            <w:r>
              <w:rPr>
                <w:rFonts w:ascii="Arial" w:cs="Arial" w:eastAsia="Arial" w:hAnsi="Arial"/>
                <w:sz w:val="18"/>
                <w:szCs w:val="18"/>
                <w:color w:val="auto"/>
              </w:rPr>
              <w:t>To approve the amended and restated 2003 Stock Option Plan.</w:t>
            </w:r>
          </w:p>
        </w:tc>
        <w:tc>
          <w:tcPr>
            <w:tcW w:w="330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5100" w:type="dxa"/>
            <w:vAlign w:val="bottom"/>
            <w:tcBorders>
              <w:bottom w:val="single" w:sz="8" w:color="auto"/>
            </w:tcBorders>
          </w:tcPr>
          <w:p>
            <w:pPr>
              <w:jc w:val="center"/>
              <w:ind w:right="3782"/>
              <w:spacing w:after="0"/>
              <w:rPr>
                <w:sz w:val="20"/>
                <w:szCs w:val="20"/>
                <w:color w:val="auto"/>
              </w:rPr>
            </w:pPr>
            <w:r>
              <w:rPr>
                <w:rFonts w:ascii="Arial" w:cs="Arial" w:eastAsia="Arial" w:hAnsi="Arial"/>
                <w:sz w:val="14"/>
                <w:szCs w:val="14"/>
                <w:color w:val="auto"/>
                <w:w w:val="95"/>
              </w:rPr>
              <w:t>For</w:t>
            </w:r>
          </w:p>
        </w:tc>
        <w:tc>
          <w:tcPr>
            <w:tcW w:w="330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Against</w:t>
            </w:r>
          </w:p>
        </w:tc>
        <w:tc>
          <w:tcPr>
            <w:tcW w:w="3000" w:type="dxa"/>
            <w:vAlign w:val="bottom"/>
            <w:tcBorders>
              <w:bottom w:val="single" w:sz="8" w:color="auto"/>
            </w:tcBorders>
          </w:tcPr>
          <w:p>
            <w:pPr>
              <w:jc w:val="center"/>
              <w:ind w:left="1902"/>
              <w:spacing w:after="0"/>
              <w:rPr>
                <w:sz w:val="20"/>
                <w:szCs w:val="20"/>
                <w:color w:val="auto"/>
              </w:rPr>
            </w:pPr>
            <w:r>
              <w:rPr>
                <w:rFonts w:ascii="Arial" w:cs="Arial" w:eastAsia="Arial" w:hAnsi="Arial"/>
                <w:sz w:val="14"/>
                <w:szCs w:val="14"/>
                <w:color w:val="auto"/>
                <w:w w:val="89"/>
              </w:rPr>
              <w:t>Abstain</w:t>
            </w:r>
          </w:p>
        </w:tc>
      </w:tr>
      <w:tr>
        <w:trPr>
          <w:trHeight w:val="210"/>
        </w:trPr>
        <w:tc>
          <w:tcPr>
            <w:tcW w:w="20" w:type="dxa"/>
            <w:vAlign w:val="bottom"/>
          </w:tcPr>
          <w:p>
            <w:pPr>
              <w:spacing w:after="0"/>
              <w:rPr>
                <w:sz w:val="18"/>
                <w:szCs w:val="18"/>
                <w:color w:val="auto"/>
              </w:rPr>
            </w:pPr>
          </w:p>
        </w:tc>
        <w:tc>
          <w:tcPr>
            <w:tcW w:w="5100" w:type="dxa"/>
            <w:vAlign w:val="bottom"/>
            <w:shd w:val="clear" w:color="auto" w:fill="E5E5E5"/>
          </w:tcPr>
          <w:p>
            <w:pPr>
              <w:jc w:val="center"/>
              <w:ind w:right="3782"/>
              <w:spacing w:after="0"/>
              <w:rPr>
                <w:sz w:val="20"/>
                <w:szCs w:val="20"/>
                <w:color w:val="auto"/>
              </w:rPr>
            </w:pPr>
            <w:r>
              <w:rPr>
                <w:rFonts w:ascii="Arial" w:cs="Arial" w:eastAsia="Arial" w:hAnsi="Arial"/>
                <w:sz w:val="18"/>
                <w:szCs w:val="18"/>
                <w:color w:val="auto"/>
                <w:w w:val="87"/>
              </w:rPr>
              <w:t>329,860,280</w:t>
            </w:r>
          </w:p>
        </w:tc>
        <w:tc>
          <w:tcPr>
            <w:tcW w:w="3300" w:type="dxa"/>
            <w:vAlign w:val="bottom"/>
            <w:shd w:val="clear" w:color="auto" w:fill="E5E5E5"/>
          </w:tcPr>
          <w:p>
            <w:pPr>
              <w:jc w:val="center"/>
              <w:ind w:right="1782"/>
              <w:spacing w:after="0"/>
              <w:rPr>
                <w:sz w:val="20"/>
                <w:szCs w:val="20"/>
                <w:color w:val="auto"/>
              </w:rPr>
            </w:pPr>
            <w:r>
              <w:rPr>
                <w:rFonts w:ascii="Arial" w:cs="Arial" w:eastAsia="Arial" w:hAnsi="Arial"/>
                <w:sz w:val="18"/>
                <w:szCs w:val="18"/>
                <w:color w:val="auto"/>
                <w:w w:val="88"/>
              </w:rPr>
              <w:t>16,344,582</w:t>
            </w:r>
          </w:p>
        </w:tc>
        <w:tc>
          <w:tcPr>
            <w:tcW w:w="3000" w:type="dxa"/>
            <w:vAlign w:val="bottom"/>
            <w:shd w:val="clear" w:color="auto" w:fill="E5E5E5"/>
          </w:tcPr>
          <w:p>
            <w:pPr>
              <w:jc w:val="center"/>
              <w:ind w:left="1902"/>
              <w:spacing w:after="0"/>
              <w:rPr>
                <w:sz w:val="20"/>
                <w:szCs w:val="20"/>
                <w:color w:val="auto"/>
              </w:rPr>
            </w:pPr>
            <w:r>
              <w:rPr>
                <w:rFonts w:ascii="Arial" w:cs="Arial" w:eastAsia="Arial" w:hAnsi="Arial"/>
                <w:sz w:val="18"/>
                <w:szCs w:val="18"/>
                <w:color w:val="auto"/>
                <w:w w:val="87"/>
              </w:rPr>
              <w:t>2,923,504</w:t>
            </w:r>
          </w:p>
        </w:tc>
      </w:tr>
      <w:tr>
        <w:trPr>
          <w:trHeight w:val="336"/>
        </w:trPr>
        <w:tc>
          <w:tcPr>
            <w:tcW w:w="5120" w:type="dxa"/>
            <w:vAlign w:val="bottom"/>
            <w:gridSpan w:val="2"/>
          </w:tcPr>
          <w:p>
            <w:pPr>
              <w:spacing w:after="0"/>
              <w:rPr>
                <w:sz w:val="20"/>
                <w:szCs w:val="20"/>
                <w:color w:val="auto"/>
              </w:rPr>
            </w:pPr>
            <w:r>
              <w:rPr>
                <w:rFonts w:ascii="Arial" w:cs="Arial" w:eastAsia="Arial" w:hAnsi="Arial"/>
                <w:sz w:val="18"/>
                <w:szCs w:val="18"/>
                <w:color w:val="auto"/>
              </w:rPr>
              <w:t>To adopt a recapitalization plan.</w:t>
            </w:r>
          </w:p>
        </w:tc>
        <w:tc>
          <w:tcPr>
            <w:tcW w:w="330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510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For</w:t>
            </w:r>
          </w:p>
        </w:tc>
        <w:tc>
          <w:tcPr>
            <w:tcW w:w="330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Against</w:t>
            </w:r>
          </w:p>
        </w:tc>
        <w:tc>
          <w:tcPr>
            <w:tcW w:w="3000" w:type="dxa"/>
            <w:vAlign w:val="bottom"/>
            <w:tcBorders>
              <w:bottom w:val="single" w:sz="8" w:color="auto"/>
            </w:tcBorders>
          </w:tcPr>
          <w:p>
            <w:pPr>
              <w:ind w:left="2300"/>
              <w:spacing w:after="0"/>
              <w:rPr>
                <w:sz w:val="20"/>
                <w:szCs w:val="20"/>
                <w:color w:val="auto"/>
              </w:rPr>
            </w:pPr>
            <w:r>
              <w:rPr>
                <w:rFonts w:ascii="Arial" w:cs="Arial" w:eastAsia="Arial" w:hAnsi="Arial"/>
                <w:sz w:val="14"/>
                <w:szCs w:val="14"/>
                <w:color w:val="auto"/>
              </w:rPr>
              <w:t>Abstain</w:t>
            </w:r>
          </w:p>
        </w:tc>
      </w:tr>
      <w:tr>
        <w:trPr>
          <w:trHeight w:val="210"/>
        </w:trPr>
        <w:tc>
          <w:tcPr>
            <w:tcW w:w="20" w:type="dxa"/>
            <w:vAlign w:val="bottom"/>
          </w:tcPr>
          <w:p>
            <w:pPr>
              <w:spacing w:after="0"/>
              <w:rPr>
                <w:sz w:val="18"/>
                <w:szCs w:val="18"/>
                <w:color w:val="auto"/>
              </w:rPr>
            </w:pPr>
          </w:p>
        </w:tc>
        <w:tc>
          <w:tcPr>
            <w:tcW w:w="5100" w:type="dxa"/>
            <w:vAlign w:val="bottom"/>
            <w:shd w:val="clear" w:color="auto" w:fill="E5E5E5"/>
          </w:tcPr>
          <w:p>
            <w:pPr>
              <w:ind w:left="160"/>
              <w:spacing w:after="0"/>
              <w:rPr>
                <w:sz w:val="20"/>
                <w:szCs w:val="20"/>
                <w:color w:val="auto"/>
              </w:rPr>
            </w:pPr>
            <w:r>
              <w:rPr>
                <w:rFonts w:ascii="Arial" w:cs="Arial" w:eastAsia="Arial" w:hAnsi="Arial"/>
                <w:sz w:val="18"/>
                <w:szCs w:val="18"/>
                <w:color w:val="auto"/>
              </w:rPr>
              <w:t>102,437,505</w:t>
            </w:r>
          </w:p>
        </w:tc>
        <w:tc>
          <w:tcPr>
            <w:tcW w:w="3300" w:type="dxa"/>
            <w:vAlign w:val="bottom"/>
            <w:shd w:val="clear" w:color="auto" w:fill="E5E5E5"/>
          </w:tcPr>
          <w:p>
            <w:pPr>
              <w:jc w:val="center"/>
              <w:ind w:right="1782"/>
              <w:spacing w:after="0"/>
              <w:rPr>
                <w:sz w:val="20"/>
                <w:szCs w:val="20"/>
                <w:color w:val="auto"/>
              </w:rPr>
            </w:pPr>
            <w:r>
              <w:rPr>
                <w:rFonts w:ascii="Arial" w:cs="Arial" w:eastAsia="Arial" w:hAnsi="Arial"/>
                <w:sz w:val="18"/>
                <w:szCs w:val="18"/>
                <w:color w:val="auto"/>
                <w:w w:val="87"/>
              </w:rPr>
              <w:t>241,091,921</w:t>
            </w:r>
          </w:p>
        </w:tc>
        <w:tc>
          <w:tcPr>
            <w:tcW w:w="3000" w:type="dxa"/>
            <w:vAlign w:val="bottom"/>
            <w:shd w:val="clear" w:color="auto" w:fill="E5E5E5"/>
          </w:tcPr>
          <w:p>
            <w:pPr>
              <w:jc w:val="center"/>
              <w:ind w:left="1942"/>
              <w:spacing w:after="0"/>
              <w:rPr>
                <w:sz w:val="20"/>
                <w:szCs w:val="20"/>
                <w:color w:val="auto"/>
              </w:rPr>
            </w:pPr>
            <w:r>
              <w:rPr>
                <w:rFonts w:ascii="Arial" w:cs="Arial" w:eastAsia="Arial" w:hAnsi="Arial"/>
                <w:sz w:val="18"/>
                <w:szCs w:val="18"/>
                <w:color w:val="auto"/>
                <w:w w:val="87"/>
              </w:rPr>
              <w:t>5,598,940</w:t>
            </w:r>
          </w:p>
        </w:tc>
      </w:tr>
      <w:tr>
        <w:trPr>
          <w:trHeight w:val="336"/>
        </w:trPr>
        <w:tc>
          <w:tcPr>
            <w:tcW w:w="5120" w:type="dxa"/>
            <w:vAlign w:val="bottom"/>
            <w:gridSpan w:val="2"/>
          </w:tcPr>
          <w:p>
            <w:pPr>
              <w:spacing w:after="0"/>
              <w:rPr>
                <w:sz w:val="20"/>
                <w:szCs w:val="20"/>
                <w:color w:val="auto"/>
              </w:rPr>
            </w:pPr>
            <w:r>
              <w:rPr>
                <w:rFonts w:ascii="Arial" w:cs="Arial" w:eastAsia="Arial" w:hAnsi="Arial"/>
                <w:sz w:val="18"/>
                <w:szCs w:val="18"/>
                <w:color w:val="auto"/>
                <w:w w:val="99"/>
              </w:rPr>
              <w:t>To identify all executive officers who earn in excess of $500,000.</w:t>
            </w:r>
          </w:p>
        </w:tc>
        <w:tc>
          <w:tcPr>
            <w:tcW w:w="330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5100" w:type="dxa"/>
            <w:vAlign w:val="bottom"/>
            <w:tcBorders>
              <w:bottom w:val="single" w:sz="8" w:color="auto"/>
            </w:tcBorders>
          </w:tcPr>
          <w:p>
            <w:pPr>
              <w:ind w:left="460"/>
              <w:spacing w:after="0"/>
              <w:rPr>
                <w:sz w:val="20"/>
                <w:szCs w:val="20"/>
                <w:color w:val="auto"/>
              </w:rPr>
            </w:pPr>
            <w:r>
              <w:rPr>
                <w:rFonts w:ascii="Arial" w:cs="Arial" w:eastAsia="Arial" w:hAnsi="Arial"/>
                <w:sz w:val="14"/>
                <w:szCs w:val="14"/>
                <w:color w:val="auto"/>
              </w:rPr>
              <w:t>For</w:t>
            </w:r>
          </w:p>
        </w:tc>
        <w:tc>
          <w:tcPr>
            <w:tcW w:w="3300" w:type="dxa"/>
            <w:vAlign w:val="bottom"/>
            <w:tcBorders>
              <w:bottom w:val="single" w:sz="8" w:color="auto"/>
            </w:tcBorders>
          </w:tcPr>
          <w:p>
            <w:pPr>
              <w:jc w:val="center"/>
              <w:ind w:right="1922"/>
              <w:spacing w:after="0"/>
              <w:rPr>
                <w:sz w:val="20"/>
                <w:szCs w:val="20"/>
                <w:color w:val="auto"/>
              </w:rPr>
            </w:pPr>
            <w:r>
              <w:rPr>
                <w:rFonts w:ascii="Arial" w:cs="Arial" w:eastAsia="Arial" w:hAnsi="Arial"/>
                <w:sz w:val="14"/>
                <w:szCs w:val="14"/>
                <w:color w:val="auto"/>
                <w:w w:val="89"/>
              </w:rPr>
              <w:t>Against</w:t>
            </w:r>
          </w:p>
        </w:tc>
        <w:tc>
          <w:tcPr>
            <w:tcW w:w="3000" w:type="dxa"/>
            <w:vAlign w:val="bottom"/>
            <w:tcBorders>
              <w:bottom w:val="single" w:sz="8" w:color="auto"/>
            </w:tcBorders>
          </w:tcPr>
          <w:p>
            <w:pPr>
              <w:jc w:val="center"/>
              <w:ind w:left="1902"/>
              <w:spacing w:after="0"/>
              <w:rPr>
                <w:sz w:val="20"/>
                <w:szCs w:val="20"/>
                <w:color w:val="auto"/>
              </w:rPr>
            </w:pPr>
            <w:r>
              <w:rPr>
                <w:rFonts w:ascii="Arial" w:cs="Arial" w:eastAsia="Arial" w:hAnsi="Arial"/>
                <w:sz w:val="14"/>
                <w:szCs w:val="14"/>
                <w:color w:val="auto"/>
                <w:w w:val="89"/>
              </w:rPr>
              <w:t>Abstain</w:t>
            </w:r>
          </w:p>
        </w:tc>
      </w:tr>
      <w:tr>
        <w:trPr>
          <w:trHeight w:val="210"/>
        </w:trPr>
        <w:tc>
          <w:tcPr>
            <w:tcW w:w="20" w:type="dxa"/>
            <w:vAlign w:val="bottom"/>
          </w:tcPr>
          <w:p>
            <w:pPr>
              <w:spacing w:after="0"/>
              <w:rPr>
                <w:sz w:val="18"/>
                <w:szCs w:val="18"/>
                <w:color w:val="auto"/>
              </w:rPr>
            </w:pPr>
          </w:p>
        </w:tc>
        <w:tc>
          <w:tcPr>
            <w:tcW w:w="5100" w:type="dxa"/>
            <w:vAlign w:val="bottom"/>
            <w:shd w:val="clear" w:color="auto" w:fill="E5E5E5"/>
          </w:tcPr>
          <w:p>
            <w:pPr>
              <w:ind w:left="160"/>
              <w:spacing w:after="0"/>
              <w:rPr>
                <w:sz w:val="20"/>
                <w:szCs w:val="20"/>
                <w:color w:val="auto"/>
              </w:rPr>
            </w:pPr>
            <w:r>
              <w:rPr>
                <w:rFonts w:ascii="Arial" w:cs="Arial" w:eastAsia="Arial" w:hAnsi="Arial"/>
                <w:sz w:val="18"/>
                <w:szCs w:val="18"/>
                <w:color w:val="auto"/>
              </w:rPr>
              <w:t>13,065,387</w:t>
            </w:r>
          </w:p>
        </w:tc>
        <w:tc>
          <w:tcPr>
            <w:tcW w:w="3300" w:type="dxa"/>
            <w:vAlign w:val="bottom"/>
            <w:shd w:val="clear" w:color="auto" w:fill="E5E5E5"/>
          </w:tcPr>
          <w:p>
            <w:pPr>
              <w:jc w:val="center"/>
              <w:ind w:right="1902"/>
              <w:spacing w:after="0"/>
              <w:rPr>
                <w:sz w:val="20"/>
                <w:szCs w:val="20"/>
                <w:color w:val="auto"/>
              </w:rPr>
            </w:pPr>
            <w:r>
              <w:rPr>
                <w:rFonts w:ascii="Arial" w:cs="Arial" w:eastAsia="Arial" w:hAnsi="Arial"/>
                <w:sz w:val="18"/>
                <w:szCs w:val="18"/>
                <w:color w:val="auto"/>
                <w:w w:val="87"/>
              </w:rPr>
              <w:t>332,245,848</w:t>
            </w:r>
          </w:p>
        </w:tc>
        <w:tc>
          <w:tcPr>
            <w:tcW w:w="3000" w:type="dxa"/>
            <w:vAlign w:val="bottom"/>
            <w:shd w:val="clear" w:color="auto" w:fill="E5E5E5"/>
          </w:tcPr>
          <w:p>
            <w:pPr>
              <w:jc w:val="center"/>
              <w:ind w:left="1902"/>
              <w:spacing w:after="0"/>
              <w:rPr>
                <w:sz w:val="20"/>
                <w:szCs w:val="20"/>
                <w:color w:val="auto"/>
              </w:rPr>
            </w:pPr>
            <w:r>
              <w:rPr>
                <w:rFonts w:ascii="Arial" w:cs="Arial" w:eastAsia="Arial" w:hAnsi="Arial"/>
                <w:sz w:val="18"/>
                <w:szCs w:val="18"/>
                <w:color w:val="auto"/>
                <w:w w:val="87"/>
              </w:rPr>
              <w:t>3,817,131</w:t>
            </w:r>
          </w:p>
        </w:tc>
      </w:tr>
      <w:tr>
        <w:trPr>
          <w:trHeight w:val="336"/>
        </w:trPr>
        <w:tc>
          <w:tcPr>
            <w:tcW w:w="5120" w:type="dxa"/>
            <w:vAlign w:val="bottom"/>
            <w:gridSpan w:val="2"/>
          </w:tcPr>
          <w:p>
            <w:pPr>
              <w:spacing w:after="0"/>
              <w:rPr>
                <w:sz w:val="20"/>
                <w:szCs w:val="20"/>
                <w:color w:val="auto"/>
              </w:rPr>
            </w:pPr>
            <w:r>
              <w:rPr>
                <w:rFonts w:ascii="Arial" w:cs="Arial" w:eastAsia="Arial" w:hAnsi="Arial"/>
                <w:sz w:val="18"/>
                <w:szCs w:val="18"/>
                <w:color w:val="auto"/>
                <w:w w:val="91"/>
              </w:rPr>
              <w:t>To require the nomination of two directors for every open directorship.</w:t>
            </w:r>
          </w:p>
        </w:tc>
        <w:tc>
          <w:tcPr>
            <w:tcW w:w="330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510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For</w:t>
            </w:r>
          </w:p>
        </w:tc>
        <w:tc>
          <w:tcPr>
            <w:tcW w:w="330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Against</w:t>
            </w:r>
          </w:p>
        </w:tc>
        <w:tc>
          <w:tcPr>
            <w:tcW w:w="3000" w:type="dxa"/>
            <w:vAlign w:val="bottom"/>
            <w:tcBorders>
              <w:bottom w:val="single" w:sz="8" w:color="auto"/>
            </w:tcBorders>
          </w:tcPr>
          <w:p>
            <w:pPr>
              <w:jc w:val="center"/>
              <w:ind w:left="1942"/>
              <w:spacing w:after="0"/>
              <w:rPr>
                <w:sz w:val="20"/>
                <w:szCs w:val="20"/>
                <w:color w:val="auto"/>
              </w:rPr>
            </w:pPr>
            <w:r>
              <w:rPr>
                <w:rFonts w:ascii="Arial" w:cs="Arial" w:eastAsia="Arial" w:hAnsi="Arial"/>
                <w:sz w:val="14"/>
                <w:szCs w:val="14"/>
                <w:color w:val="auto"/>
                <w:w w:val="89"/>
              </w:rPr>
              <w:t>Abstain</w:t>
            </w:r>
          </w:p>
        </w:tc>
      </w:tr>
      <w:tr>
        <w:trPr>
          <w:trHeight w:val="210"/>
        </w:trPr>
        <w:tc>
          <w:tcPr>
            <w:tcW w:w="20" w:type="dxa"/>
            <w:vAlign w:val="bottom"/>
          </w:tcPr>
          <w:p>
            <w:pPr>
              <w:spacing w:after="0"/>
              <w:rPr>
                <w:sz w:val="18"/>
                <w:szCs w:val="18"/>
                <w:color w:val="auto"/>
              </w:rPr>
            </w:pPr>
          </w:p>
        </w:tc>
        <w:tc>
          <w:tcPr>
            <w:tcW w:w="5100" w:type="dxa"/>
            <w:vAlign w:val="bottom"/>
            <w:shd w:val="clear" w:color="auto" w:fill="E5E5E5"/>
          </w:tcPr>
          <w:p>
            <w:pPr>
              <w:ind w:left="120"/>
              <w:spacing w:after="0"/>
              <w:rPr>
                <w:sz w:val="20"/>
                <w:szCs w:val="20"/>
                <w:color w:val="auto"/>
              </w:rPr>
            </w:pPr>
            <w:r>
              <w:rPr>
                <w:rFonts w:ascii="Arial" w:cs="Arial" w:eastAsia="Arial" w:hAnsi="Arial"/>
                <w:sz w:val="18"/>
                <w:szCs w:val="18"/>
                <w:color w:val="auto"/>
              </w:rPr>
              <w:t>9,696,716</w:t>
            </w:r>
          </w:p>
        </w:tc>
        <w:tc>
          <w:tcPr>
            <w:tcW w:w="3300" w:type="dxa"/>
            <w:vAlign w:val="bottom"/>
            <w:shd w:val="clear" w:color="auto" w:fill="E5E5E5"/>
          </w:tcPr>
          <w:p>
            <w:pPr>
              <w:ind w:left="140"/>
              <w:spacing w:after="0"/>
              <w:rPr>
                <w:sz w:val="20"/>
                <w:szCs w:val="20"/>
                <w:color w:val="auto"/>
              </w:rPr>
            </w:pPr>
            <w:r>
              <w:rPr>
                <w:rFonts w:ascii="Arial" w:cs="Arial" w:eastAsia="Arial" w:hAnsi="Arial"/>
                <w:sz w:val="18"/>
                <w:szCs w:val="18"/>
                <w:color w:val="auto"/>
              </w:rPr>
              <w:t>331,338,974</w:t>
            </w:r>
          </w:p>
        </w:tc>
        <w:tc>
          <w:tcPr>
            <w:tcW w:w="3000" w:type="dxa"/>
            <w:vAlign w:val="bottom"/>
            <w:shd w:val="clear" w:color="auto" w:fill="E5E5E5"/>
          </w:tcPr>
          <w:p>
            <w:pPr>
              <w:jc w:val="center"/>
              <w:ind w:left="1922"/>
              <w:spacing w:after="0"/>
              <w:rPr>
                <w:sz w:val="20"/>
                <w:szCs w:val="20"/>
                <w:color w:val="auto"/>
              </w:rPr>
            </w:pPr>
            <w:r>
              <w:rPr>
                <w:rFonts w:ascii="Arial" w:cs="Arial" w:eastAsia="Arial" w:hAnsi="Arial"/>
                <w:sz w:val="18"/>
                <w:szCs w:val="18"/>
                <w:color w:val="auto"/>
                <w:w w:val="89"/>
              </w:rPr>
              <w:t>8,092,676</w:t>
            </w:r>
          </w:p>
        </w:tc>
      </w:tr>
      <w:tr>
        <w:trPr>
          <w:trHeight w:val="336"/>
        </w:trPr>
        <w:tc>
          <w:tcPr>
            <w:tcW w:w="5120" w:type="dxa"/>
            <w:vAlign w:val="bottom"/>
            <w:gridSpan w:val="2"/>
          </w:tcPr>
          <w:p>
            <w:pPr>
              <w:spacing w:after="0"/>
              <w:rPr>
                <w:sz w:val="20"/>
                <w:szCs w:val="20"/>
                <w:color w:val="auto"/>
              </w:rPr>
            </w:pPr>
            <w:r>
              <w:rPr>
                <w:rFonts w:ascii="Arial" w:cs="Arial" w:eastAsia="Arial" w:hAnsi="Arial"/>
                <w:sz w:val="18"/>
                <w:szCs w:val="18"/>
                <w:color w:val="auto"/>
              </w:rPr>
              <w:t>To require a pay differential report.</w:t>
            </w:r>
          </w:p>
        </w:tc>
        <w:tc>
          <w:tcPr>
            <w:tcW w:w="330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5100" w:type="dxa"/>
            <w:vAlign w:val="bottom"/>
            <w:tcBorders>
              <w:bottom w:val="single" w:sz="8" w:color="auto"/>
            </w:tcBorders>
          </w:tcPr>
          <w:p>
            <w:pPr>
              <w:ind w:left="460"/>
              <w:spacing w:after="0"/>
              <w:rPr>
                <w:sz w:val="20"/>
                <w:szCs w:val="20"/>
                <w:color w:val="auto"/>
              </w:rPr>
            </w:pPr>
            <w:r>
              <w:rPr>
                <w:rFonts w:ascii="Arial" w:cs="Arial" w:eastAsia="Arial" w:hAnsi="Arial"/>
                <w:sz w:val="14"/>
                <w:szCs w:val="14"/>
                <w:color w:val="auto"/>
              </w:rPr>
              <w:t>For</w:t>
            </w:r>
          </w:p>
        </w:tc>
        <w:tc>
          <w:tcPr>
            <w:tcW w:w="3300" w:type="dxa"/>
            <w:vAlign w:val="bottom"/>
            <w:tcBorders>
              <w:bottom w:val="single" w:sz="8" w:color="auto"/>
            </w:tcBorders>
          </w:tcPr>
          <w:p>
            <w:pPr>
              <w:jc w:val="center"/>
              <w:ind w:right="1922"/>
              <w:spacing w:after="0"/>
              <w:rPr>
                <w:sz w:val="20"/>
                <w:szCs w:val="20"/>
                <w:color w:val="auto"/>
              </w:rPr>
            </w:pPr>
            <w:r>
              <w:rPr>
                <w:rFonts w:ascii="Arial" w:cs="Arial" w:eastAsia="Arial" w:hAnsi="Arial"/>
                <w:sz w:val="14"/>
                <w:szCs w:val="14"/>
                <w:color w:val="auto"/>
                <w:w w:val="89"/>
              </w:rPr>
              <w:t>Against</w:t>
            </w:r>
          </w:p>
        </w:tc>
        <w:tc>
          <w:tcPr>
            <w:tcW w:w="3000" w:type="dxa"/>
            <w:vAlign w:val="bottom"/>
            <w:tcBorders>
              <w:bottom w:val="single" w:sz="8" w:color="auto"/>
            </w:tcBorders>
          </w:tcPr>
          <w:p>
            <w:pPr>
              <w:jc w:val="center"/>
              <w:ind w:left="1902"/>
              <w:spacing w:after="0"/>
              <w:rPr>
                <w:sz w:val="20"/>
                <w:szCs w:val="20"/>
                <w:color w:val="auto"/>
              </w:rPr>
            </w:pPr>
            <w:r>
              <w:rPr>
                <w:rFonts w:ascii="Arial" w:cs="Arial" w:eastAsia="Arial" w:hAnsi="Arial"/>
                <w:sz w:val="14"/>
                <w:szCs w:val="14"/>
                <w:color w:val="auto"/>
                <w:w w:val="89"/>
              </w:rPr>
              <w:t>Abstain</w:t>
            </w:r>
          </w:p>
        </w:tc>
      </w:tr>
      <w:tr>
        <w:trPr>
          <w:trHeight w:val="210"/>
        </w:trPr>
        <w:tc>
          <w:tcPr>
            <w:tcW w:w="20" w:type="dxa"/>
            <w:vAlign w:val="bottom"/>
          </w:tcPr>
          <w:p>
            <w:pPr>
              <w:spacing w:after="0"/>
              <w:rPr>
                <w:sz w:val="18"/>
                <w:szCs w:val="18"/>
                <w:color w:val="auto"/>
              </w:rPr>
            </w:pPr>
          </w:p>
        </w:tc>
        <w:tc>
          <w:tcPr>
            <w:tcW w:w="5100" w:type="dxa"/>
            <w:vAlign w:val="bottom"/>
            <w:shd w:val="clear" w:color="auto" w:fill="E5E5E5"/>
          </w:tcPr>
          <w:p>
            <w:pPr>
              <w:ind w:left="180"/>
              <w:spacing w:after="0"/>
              <w:rPr>
                <w:sz w:val="20"/>
                <w:szCs w:val="20"/>
                <w:color w:val="auto"/>
              </w:rPr>
            </w:pPr>
            <w:r>
              <w:rPr>
                <w:rFonts w:ascii="Arial" w:cs="Arial" w:eastAsia="Arial" w:hAnsi="Arial"/>
                <w:sz w:val="18"/>
                <w:szCs w:val="18"/>
                <w:color w:val="auto"/>
              </w:rPr>
              <w:t>11,805,899</w:t>
            </w:r>
          </w:p>
        </w:tc>
        <w:tc>
          <w:tcPr>
            <w:tcW w:w="3300" w:type="dxa"/>
            <w:vAlign w:val="bottom"/>
            <w:shd w:val="clear" w:color="auto" w:fill="E5E5E5"/>
          </w:tcPr>
          <w:p>
            <w:pPr>
              <w:jc w:val="center"/>
              <w:ind w:right="1902"/>
              <w:spacing w:after="0"/>
              <w:rPr>
                <w:sz w:val="20"/>
                <w:szCs w:val="20"/>
                <w:color w:val="auto"/>
              </w:rPr>
            </w:pPr>
            <w:r>
              <w:rPr>
                <w:rFonts w:ascii="Arial" w:cs="Arial" w:eastAsia="Arial" w:hAnsi="Arial"/>
                <w:sz w:val="18"/>
                <w:szCs w:val="18"/>
                <w:color w:val="auto"/>
                <w:w w:val="87"/>
              </w:rPr>
              <w:t>330,827,694</w:t>
            </w:r>
          </w:p>
        </w:tc>
        <w:tc>
          <w:tcPr>
            <w:tcW w:w="3000" w:type="dxa"/>
            <w:vAlign w:val="bottom"/>
            <w:shd w:val="clear" w:color="auto" w:fill="E5E5E5"/>
          </w:tcPr>
          <w:p>
            <w:pPr>
              <w:jc w:val="center"/>
              <w:ind w:left="1902"/>
              <w:spacing w:after="0"/>
              <w:rPr>
                <w:sz w:val="20"/>
                <w:szCs w:val="20"/>
                <w:color w:val="auto"/>
              </w:rPr>
            </w:pPr>
            <w:r>
              <w:rPr>
                <w:rFonts w:ascii="Arial" w:cs="Arial" w:eastAsia="Arial" w:hAnsi="Arial"/>
                <w:sz w:val="18"/>
                <w:szCs w:val="18"/>
                <w:color w:val="auto"/>
                <w:w w:val="87"/>
              </w:rPr>
              <w:t>6,494,773</w:t>
            </w:r>
          </w:p>
        </w:tc>
      </w:tr>
      <w:tr>
        <w:trPr>
          <w:trHeight w:val="336"/>
        </w:trPr>
        <w:tc>
          <w:tcPr>
            <w:tcW w:w="8420" w:type="dxa"/>
            <w:vAlign w:val="bottom"/>
            <w:gridSpan w:val="3"/>
          </w:tcPr>
          <w:p>
            <w:pPr>
              <w:spacing w:after="0"/>
              <w:rPr>
                <w:sz w:val="20"/>
                <w:szCs w:val="20"/>
                <w:color w:val="auto"/>
              </w:rPr>
            </w:pPr>
            <w:r>
              <w:rPr>
                <w:rFonts w:ascii="Arial" w:cs="Arial" w:eastAsia="Arial" w:hAnsi="Arial"/>
                <w:sz w:val="18"/>
                <w:szCs w:val="18"/>
                <w:color w:val="auto"/>
              </w:rPr>
              <w:t>To provide cumulative voting for Class A shareholders in the election of directors.</w:t>
            </w:r>
          </w:p>
        </w:tc>
        <w:tc>
          <w:tcPr>
            <w:tcW w:w="300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510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For</w:t>
            </w:r>
          </w:p>
        </w:tc>
        <w:tc>
          <w:tcPr>
            <w:tcW w:w="330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Against</w:t>
            </w:r>
          </w:p>
        </w:tc>
        <w:tc>
          <w:tcPr>
            <w:tcW w:w="3000" w:type="dxa"/>
            <w:vAlign w:val="bottom"/>
            <w:tcBorders>
              <w:bottom w:val="single" w:sz="8" w:color="auto"/>
            </w:tcBorders>
          </w:tcPr>
          <w:p>
            <w:pPr>
              <w:ind w:left="2300"/>
              <w:spacing w:after="0"/>
              <w:rPr>
                <w:sz w:val="20"/>
                <w:szCs w:val="20"/>
                <w:color w:val="auto"/>
              </w:rPr>
            </w:pPr>
            <w:r>
              <w:rPr>
                <w:rFonts w:ascii="Arial" w:cs="Arial" w:eastAsia="Arial" w:hAnsi="Arial"/>
                <w:sz w:val="14"/>
                <w:szCs w:val="14"/>
                <w:color w:val="auto"/>
              </w:rPr>
              <w:t>Abstain</w:t>
            </w:r>
          </w:p>
        </w:tc>
      </w:tr>
      <w:tr>
        <w:trPr>
          <w:trHeight w:val="210"/>
        </w:trPr>
        <w:tc>
          <w:tcPr>
            <w:tcW w:w="20" w:type="dxa"/>
            <w:vAlign w:val="bottom"/>
          </w:tcPr>
          <w:p>
            <w:pPr>
              <w:spacing w:after="0"/>
              <w:rPr>
                <w:sz w:val="18"/>
                <w:szCs w:val="18"/>
                <w:color w:val="auto"/>
              </w:rPr>
            </w:pPr>
          </w:p>
        </w:tc>
        <w:tc>
          <w:tcPr>
            <w:tcW w:w="5100" w:type="dxa"/>
            <w:vAlign w:val="bottom"/>
            <w:shd w:val="clear" w:color="auto" w:fill="E5E5E5"/>
          </w:tcPr>
          <w:p>
            <w:pPr>
              <w:ind w:left="160"/>
              <w:spacing w:after="0"/>
              <w:rPr>
                <w:sz w:val="20"/>
                <w:szCs w:val="20"/>
                <w:color w:val="auto"/>
              </w:rPr>
            </w:pPr>
            <w:r>
              <w:rPr>
                <w:rFonts w:ascii="Arial" w:cs="Arial" w:eastAsia="Arial" w:hAnsi="Arial"/>
                <w:sz w:val="18"/>
                <w:szCs w:val="18"/>
                <w:color w:val="auto"/>
              </w:rPr>
              <w:t>101,256,346</w:t>
            </w:r>
          </w:p>
        </w:tc>
        <w:tc>
          <w:tcPr>
            <w:tcW w:w="3300" w:type="dxa"/>
            <w:vAlign w:val="bottom"/>
            <w:shd w:val="clear" w:color="auto" w:fill="E5E5E5"/>
          </w:tcPr>
          <w:p>
            <w:pPr>
              <w:jc w:val="center"/>
              <w:ind w:right="1782"/>
              <w:spacing w:after="0"/>
              <w:rPr>
                <w:sz w:val="20"/>
                <w:szCs w:val="20"/>
                <w:color w:val="auto"/>
              </w:rPr>
            </w:pPr>
            <w:r>
              <w:rPr>
                <w:rFonts w:ascii="Arial" w:cs="Arial" w:eastAsia="Arial" w:hAnsi="Arial"/>
                <w:sz w:val="18"/>
                <w:szCs w:val="18"/>
                <w:color w:val="auto"/>
                <w:w w:val="87"/>
              </w:rPr>
              <w:t>244,873,195</w:t>
            </w:r>
          </w:p>
        </w:tc>
        <w:tc>
          <w:tcPr>
            <w:tcW w:w="3000" w:type="dxa"/>
            <w:vAlign w:val="bottom"/>
            <w:shd w:val="clear" w:color="auto" w:fill="E5E5E5"/>
          </w:tcPr>
          <w:p>
            <w:pPr>
              <w:jc w:val="center"/>
              <w:ind w:left="1942"/>
              <w:spacing w:after="0"/>
              <w:rPr>
                <w:sz w:val="20"/>
                <w:szCs w:val="20"/>
                <w:color w:val="auto"/>
              </w:rPr>
            </w:pPr>
            <w:r>
              <w:rPr>
                <w:rFonts w:ascii="Arial" w:cs="Arial" w:eastAsia="Arial" w:hAnsi="Arial"/>
                <w:sz w:val="18"/>
                <w:szCs w:val="18"/>
                <w:color w:val="auto"/>
                <w:w w:val="87"/>
              </w:rPr>
              <w:t>2,998,825</w:t>
            </w:r>
          </w:p>
        </w:tc>
      </w:tr>
      <w:tr>
        <w:trPr>
          <w:trHeight w:val="363"/>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3300" w:type="dxa"/>
            <w:vAlign w:val="bottom"/>
          </w:tcPr>
          <w:p>
            <w:pPr>
              <w:ind w:left="500"/>
              <w:spacing w:after="0"/>
              <w:rPr>
                <w:sz w:val="20"/>
                <w:szCs w:val="20"/>
                <w:color w:val="auto"/>
              </w:rPr>
            </w:pPr>
            <w:r>
              <w:rPr>
                <w:rFonts w:ascii="Arial" w:cs="Arial" w:eastAsia="Arial" w:hAnsi="Arial"/>
                <w:sz w:val="18"/>
                <w:szCs w:val="18"/>
                <w:color w:val="auto"/>
              </w:rPr>
              <w:t>31</w:t>
            </w:r>
          </w:p>
        </w:tc>
        <w:tc>
          <w:tcPr>
            <w:tcW w:w="30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To adopt principles for comprehensive health care reform.</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Borders>
              <w:bottom w:val="single" w:sz="8" w:color="auto"/>
            </w:tcBorders>
          </w:tcPr>
          <w:p>
            <w:pPr>
              <w:jc w:val="center"/>
              <w:ind w:right="3422"/>
              <w:spacing w:after="0"/>
              <w:rPr>
                <w:sz w:val="20"/>
                <w:szCs w:val="20"/>
                <w:color w:val="auto"/>
              </w:rPr>
            </w:pPr>
            <w:r>
              <w:rPr>
                <w:rFonts w:ascii="Arial" w:cs="Arial" w:eastAsia="Arial" w:hAnsi="Arial"/>
                <w:sz w:val="14"/>
                <w:szCs w:val="14"/>
                <w:color w:val="auto"/>
                <w:w w:val="85"/>
              </w:rPr>
              <w:t>For</w:t>
            </w:r>
          </w:p>
        </w:tc>
        <w:tc>
          <w:tcPr>
            <w:tcW w:w="3820" w:type="dxa"/>
            <w:vAlign w:val="bottom"/>
            <w:tcBorders>
              <w:bottom w:val="single" w:sz="8" w:color="auto"/>
            </w:tcBorders>
          </w:tcPr>
          <w:p>
            <w:pPr>
              <w:jc w:val="center"/>
              <w:ind w:right="1462"/>
              <w:spacing w:after="0"/>
              <w:rPr>
                <w:sz w:val="20"/>
                <w:szCs w:val="20"/>
                <w:color w:val="auto"/>
              </w:rPr>
            </w:pPr>
            <w:r>
              <w:rPr>
                <w:rFonts w:ascii="Arial" w:cs="Arial" w:eastAsia="Arial" w:hAnsi="Arial"/>
                <w:sz w:val="14"/>
                <w:szCs w:val="14"/>
                <w:color w:val="auto"/>
                <w:w w:val="94"/>
              </w:rPr>
              <w:t>Against</w:t>
            </w:r>
          </w:p>
        </w:tc>
        <w:tc>
          <w:tcPr>
            <w:tcW w:w="3100" w:type="dxa"/>
            <w:vAlign w:val="bottom"/>
            <w:tcBorders>
              <w:bottom w:val="single" w:sz="8" w:color="auto"/>
            </w:tcBorders>
          </w:tcPr>
          <w:p>
            <w:pPr>
              <w:jc w:val="center"/>
              <w:ind w:left="1842"/>
              <w:spacing w:after="0"/>
              <w:rPr>
                <w:sz w:val="20"/>
                <w:szCs w:val="20"/>
                <w:color w:val="auto"/>
              </w:rPr>
            </w:pPr>
            <w:r>
              <w:rPr>
                <w:rFonts w:ascii="Arial" w:cs="Arial" w:eastAsia="Arial" w:hAnsi="Arial"/>
                <w:sz w:val="14"/>
                <w:szCs w:val="14"/>
                <w:color w:val="auto"/>
                <w:w w:val="89"/>
              </w:rPr>
              <w:t>Abstain</w:t>
            </w:r>
          </w:p>
        </w:tc>
      </w:tr>
      <w:tr>
        <w:trPr>
          <w:trHeight w:val="210"/>
        </w:trPr>
        <w:tc>
          <w:tcPr>
            <w:tcW w:w="20" w:type="dxa"/>
            <w:vAlign w:val="bottom"/>
          </w:tcPr>
          <w:p>
            <w:pPr>
              <w:spacing w:after="0"/>
              <w:rPr>
                <w:sz w:val="18"/>
                <w:szCs w:val="18"/>
                <w:color w:val="auto"/>
              </w:rPr>
            </w:pPr>
          </w:p>
        </w:tc>
        <w:tc>
          <w:tcPr>
            <w:tcW w:w="4480" w:type="dxa"/>
            <w:vAlign w:val="bottom"/>
            <w:shd w:val="clear" w:color="auto" w:fill="E5E5E5"/>
          </w:tcPr>
          <w:p>
            <w:pPr>
              <w:jc w:val="right"/>
              <w:ind w:right="3562"/>
              <w:spacing w:after="0"/>
              <w:rPr>
                <w:sz w:val="20"/>
                <w:szCs w:val="20"/>
                <w:color w:val="auto"/>
              </w:rPr>
            </w:pPr>
            <w:r>
              <w:rPr>
                <w:rFonts w:ascii="Arial" w:cs="Arial" w:eastAsia="Arial" w:hAnsi="Arial"/>
                <w:sz w:val="18"/>
                <w:szCs w:val="18"/>
                <w:color w:val="auto"/>
              </w:rPr>
              <w:t>8,357,347</w:t>
            </w:r>
          </w:p>
        </w:tc>
        <w:tc>
          <w:tcPr>
            <w:tcW w:w="3820" w:type="dxa"/>
            <w:vAlign w:val="bottom"/>
            <w:shd w:val="clear" w:color="auto" w:fill="E5E5E5"/>
          </w:tcPr>
          <w:p>
            <w:pPr>
              <w:jc w:val="right"/>
              <w:ind w:right="2162"/>
              <w:spacing w:after="0"/>
              <w:rPr>
                <w:sz w:val="20"/>
                <w:szCs w:val="20"/>
                <w:color w:val="auto"/>
              </w:rPr>
            </w:pPr>
            <w:r>
              <w:rPr>
                <w:rFonts w:ascii="Arial" w:cs="Arial" w:eastAsia="Arial" w:hAnsi="Arial"/>
                <w:sz w:val="18"/>
                <w:szCs w:val="18"/>
                <w:color w:val="auto"/>
              </w:rPr>
              <w:t>306,751,452</w:t>
            </w:r>
          </w:p>
        </w:tc>
        <w:tc>
          <w:tcPr>
            <w:tcW w:w="3100" w:type="dxa"/>
            <w:vAlign w:val="bottom"/>
            <w:shd w:val="clear" w:color="auto" w:fill="E5E5E5"/>
          </w:tcPr>
          <w:p>
            <w:pPr>
              <w:jc w:val="right"/>
              <w:ind w:right="102"/>
              <w:spacing w:after="0"/>
              <w:rPr>
                <w:sz w:val="20"/>
                <w:szCs w:val="20"/>
                <w:color w:val="auto"/>
              </w:rPr>
            </w:pPr>
            <w:r>
              <w:rPr>
                <w:rFonts w:ascii="Arial" w:cs="Arial" w:eastAsia="Arial" w:hAnsi="Arial"/>
                <w:sz w:val="18"/>
                <w:szCs w:val="18"/>
                <w:color w:val="auto"/>
              </w:rPr>
              <w:t>34,019,567</w:t>
            </w:r>
          </w:p>
        </w:tc>
      </w:tr>
      <w:tr>
        <w:trPr>
          <w:trHeight w:val="336"/>
        </w:trPr>
        <w:tc>
          <w:tcPr>
            <w:tcW w:w="4500" w:type="dxa"/>
            <w:vAlign w:val="bottom"/>
            <w:gridSpan w:val="2"/>
          </w:tcPr>
          <w:p>
            <w:pPr>
              <w:spacing w:after="0"/>
              <w:rPr>
                <w:sz w:val="20"/>
                <w:szCs w:val="20"/>
                <w:color w:val="auto"/>
              </w:rPr>
            </w:pPr>
            <w:r>
              <w:rPr>
                <w:rFonts w:ascii="Arial" w:cs="Arial" w:eastAsia="Arial" w:hAnsi="Arial"/>
                <w:sz w:val="18"/>
                <w:szCs w:val="18"/>
                <w:color w:val="auto"/>
              </w:rPr>
              <w:t>To require an annual vote on executive compensation.</w:t>
            </w:r>
          </w:p>
        </w:tc>
        <w:tc>
          <w:tcPr>
            <w:tcW w:w="382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4480" w:type="dxa"/>
            <w:vAlign w:val="bottom"/>
            <w:tcBorders>
              <w:bottom w:val="single" w:sz="8" w:color="auto"/>
            </w:tcBorders>
          </w:tcPr>
          <w:p>
            <w:pPr>
              <w:jc w:val="center"/>
              <w:ind w:right="3282"/>
              <w:spacing w:after="0"/>
              <w:rPr>
                <w:sz w:val="20"/>
                <w:szCs w:val="20"/>
                <w:color w:val="auto"/>
              </w:rPr>
            </w:pPr>
            <w:r>
              <w:rPr>
                <w:rFonts w:ascii="Arial" w:cs="Arial" w:eastAsia="Arial" w:hAnsi="Arial"/>
                <w:sz w:val="14"/>
                <w:szCs w:val="14"/>
                <w:color w:val="auto"/>
                <w:w w:val="95"/>
              </w:rPr>
              <w:t>For</w:t>
            </w:r>
          </w:p>
        </w:tc>
        <w:tc>
          <w:tcPr>
            <w:tcW w:w="3820" w:type="dxa"/>
            <w:vAlign w:val="bottom"/>
            <w:tcBorders>
              <w:bottom w:val="single" w:sz="8" w:color="auto"/>
            </w:tcBorders>
          </w:tcPr>
          <w:p>
            <w:pPr>
              <w:jc w:val="center"/>
              <w:ind w:right="1202"/>
              <w:spacing w:after="0"/>
              <w:rPr>
                <w:sz w:val="20"/>
                <w:szCs w:val="20"/>
                <w:color w:val="auto"/>
              </w:rPr>
            </w:pPr>
            <w:r>
              <w:rPr>
                <w:rFonts w:ascii="Arial" w:cs="Arial" w:eastAsia="Arial" w:hAnsi="Arial"/>
                <w:sz w:val="14"/>
                <w:szCs w:val="14"/>
                <w:color w:val="auto"/>
                <w:w w:val="89"/>
              </w:rPr>
              <w:t>Against</w:t>
            </w:r>
          </w:p>
        </w:tc>
        <w:tc>
          <w:tcPr>
            <w:tcW w:w="3100" w:type="dxa"/>
            <w:vAlign w:val="bottom"/>
            <w:tcBorders>
              <w:bottom w:val="single" w:sz="8" w:color="auto"/>
            </w:tcBorders>
          </w:tcPr>
          <w:p>
            <w:pPr>
              <w:jc w:val="center"/>
              <w:ind w:left="2002"/>
              <w:spacing w:after="0"/>
              <w:rPr>
                <w:sz w:val="20"/>
                <w:szCs w:val="20"/>
                <w:color w:val="auto"/>
              </w:rPr>
            </w:pPr>
            <w:r>
              <w:rPr>
                <w:rFonts w:ascii="Arial" w:cs="Arial" w:eastAsia="Arial" w:hAnsi="Arial"/>
                <w:sz w:val="14"/>
                <w:szCs w:val="14"/>
                <w:color w:val="auto"/>
                <w:w w:val="89"/>
              </w:rPr>
              <w:t>Abstain</w:t>
            </w:r>
          </w:p>
        </w:tc>
      </w:tr>
      <w:tr>
        <w:trPr>
          <w:trHeight w:val="210"/>
        </w:trPr>
        <w:tc>
          <w:tcPr>
            <w:tcW w:w="20" w:type="dxa"/>
            <w:vAlign w:val="bottom"/>
          </w:tcPr>
          <w:p>
            <w:pPr>
              <w:spacing w:after="0"/>
              <w:rPr>
                <w:sz w:val="18"/>
                <w:szCs w:val="18"/>
                <w:color w:val="auto"/>
              </w:rPr>
            </w:pPr>
          </w:p>
        </w:tc>
        <w:tc>
          <w:tcPr>
            <w:tcW w:w="4480" w:type="dxa"/>
            <w:vAlign w:val="bottom"/>
            <w:shd w:val="clear" w:color="auto" w:fill="E5E5E5"/>
          </w:tcPr>
          <w:p>
            <w:pPr>
              <w:jc w:val="right"/>
              <w:ind w:right="3442"/>
              <w:spacing w:after="0"/>
              <w:rPr>
                <w:sz w:val="20"/>
                <w:szCs w:val="20"/>
                <w:color w:val="auto"/>
              </w:rPr>
            </w:pPr>
            <w:r>
              <w:rPr>
                <w:rFonts w:ascii="Arial" w:cs="Arial" w:eastAsia="Arial" w:hAnsi="Arial"/>
                <w:sz w:val="18"/>
                <w:szCs w:val="18"/>
                <w:color w:val="auto"/>
              </w:rPr>
              <w:t>70,334,142</w:t>
            </w:r>
          </w:p>
        </w:tc>
        <w:tc>
          <w:tcPr>
            <w:tcW w:w="3820" w:type="dxa"/>
            <w:vAlign w:val="bottom"/>
            <w:shd w:val="clear" w:color="auto" w:fill="E5E5E5"/>
          </w:tcPr>
          <w:p>
            <w:pPr>
              <w:jc w:val="right"/>
              <w:ind w:right="2022"/>
              <w:spacing w:after="0"/>
              <w:rPr>
                <w:sz w:val="20"/>
                <w:szCs w:val="20"/>
                <w:color w:val="auto"/>
              </w:rPr>
            </w:pPr>
            <w:r>
              <w:rPr>
                <w:rFonts w:ascii="Arial" w:cs="Arial" w:eastAsia="Arial" w:hAnsi="Arial"/>
                <w:sz w:val="18"/>
                <w:szCs w:val="18"/>
                <w:color w:val="auto"/>
              </w:rPr>
              <w:t>270,217,679</w:t>
            </w:r>
          </w:p>
        </w:tc>
        <w:tc>
          <w:tcPr>
            <w:tcW w:w="3100" w:type="dxa"/>
            <w:vAlign w:val="bottom"/>
            <w:shd w:val="clear" w:color="auto" w:fill="E5E5E5"/>
          </w:tcPr>
          <w:p>
            <w:pPr>
              <w:jc w:val="right"/>
              <w:ind w:right="82"/>
              <w:spacing w:after="0"/>
              <w:rPr>
                <w:sz w:val="20"/>
                <w:szCs w:val="20"/>
                <w:color w:val="auto"/>
              </w:rPr>
            </w:pPr>
            <w:r>
              <w:rPr>
                <w:rFonts w:ascii="Arial" w:cs="Arial" w:eastAsia="Arial" w:hAnsi="Arial"/>
                <w:sz w:val="18"/>
                <w:szCs w:val="18"/>
                <w:color w:val="auto"/>
              </w:rPr>
              <w:t>8,576,545</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(a) Exhibits required to be filed by Item 601 of Regulation S-K:</w:t>
      </w:r>
    </w:p>
    <w:p>
      <w:pPr>
        <w:spacing w:after="0" w:line="21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Comcast Corporation 2005 Deferred Compensation Plan, as amended and restated effective May 13, 2008.</w:t>
      </w:r>
    </w:p>
    <w:p>
      <w:pPr>
        <w:spacing w:after="0" w:line="1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5"/>
          <w:szCs w:val="15"/>
          <w:color w:val="auto"/>
        </w:rPr>
        <w:t>2002 Employee Stock Purchase Plan, as amended and restated effective January 1, 2008.</w:t>
      </w:r>
    </w:p>
    <w:p>
      <w:pPr>
        <w:spacing w:after="0" w:line="9" w:lineRule="exact"/>
        <w:rPr>
          <w:sz w:val="20"/>
          <w:szCs w:val="20"/>
          <w:color w:val="auto"/>
        </w:rPr>
      </w:pPr>
    </w:p>
    <w:p>
      <w:pPr>
        <w:ind w:left="700" w:hanging="692"/>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Certifications of Chief Executive Officer and Chief Financial Officer pursuant to Section 302 of the Sarbanes-Oxley Act of 2002.</w:t>
      </w:r>
    </w:p>
    <w:p>
      <w:pPr>
        <w:spacing w:after="0" w:line="9" w:lineRule="exact"/>
        <w:rPr>
          <w:rFonts w:ascii="Arial" w:cs="Arial" w:eastAsia="Arial" w:hAnsi="Arial"/>
          <w:sz w:val="18"/>
          <w:szCs w:val="18"/>
          <w:color w:val="auto"/>
        </w:rPr>
      </w:pPr>
    </w:p>
    <w:p>
      <w:pPr>
        <w:ind w:left="700" w:hanging="692"/>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Certifications of Chief Executive Officer and Chief Financial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2" w:lineRule="exact"/>
        <w:rPr>
          <w:sz w:val="20"/>
          <w:szCs w:val="20"/>
          <w:color w:val="auto"/>
        </w:rPr>
      </w:pPr>
    </w:p>
    <w:p>
      <w:pPr>
        <w:ind w:left="5620" w:right="5600" w:hanging="5612"/>
        <w:spacing w:after="0" w:line="525" w:lineRule="auto"/>
        <w:tabs>
          <w:tab w:leader="none" w:pos="458"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Constitutes a management contract or compensatory plan or arrangement. 32</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13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Lawrence J. Salva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 Chief Accounting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and Controller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Accounting Officer)</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July 30, 2008</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10.1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2005 DEFERRED COMPENSATION PLAN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 – BACKGROUND AND COVERAGE OF PLAN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Background and Adoption of Plan</w:t>
      </w:r>
      <w:r>
        <w:rPr>
          <w:rFonts w:ascii="Arial" w:cs="Arial" w:eastAsia="Arial" w:hAnsi="Arial"/>
          <w:sz w:val="18"/>
          <w:szCs w:val="18"/>
          <w:color w:val="auto"/>
        </w:rPr>
        <w:t>.</w:t>
      </w:r>
    </w:p>
    <w:p>
      <w:pPr>
        <w:spacing w:after="0" w:line="90" w:lineRule="exact"/>
        <w:rPr>
          <w:sz w:val="20"/>
          <w:szCs w:val="20"/>
          <w:color w:val="auto"/>
        </w:rPr>
      </w:pPr>
    </w:p>
    <w:p>
      <w:pPr>
        <w:ind w:right="140" w:firstLine="913"/>
        <w:spacing w:after="0" w:line="291"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Amendment and Restatement of the Plan</w:t>
      </w:r>
      <w:r>
        <w:rPr>
          <w:rFonts w:ascii="Arial" w:cs="Arial" w:eastAsia="Arial" w:hAnsi="Arial"/>
          <w:sz w:val="16"/>
          <w:szCs w:val="16"/>
          <w:color w:val="auto"/>
        </w:rPr>
        <w:t>. In recognition of the services provided by certain key employees and in order to make additional retirement benefits and increased financial security available on a tax-favored basis to those individuals, the Board of Directors of Comcast Corporation, a Pennsylvania corporation (the “Board”), hereby amends and restates the Comcast Corporation 2005 Deferred Compensation Plan (the “Plan”), on December 12, 2007 in light of the enactment of section 409A of the Internal Revenue Code of 1986, as amended (the “Code”) as part of the American Jobs Creation Act of 2004, and the issuance of various Notices, Announcements, Proposed Regulations and Final Regulations thereunder (collectively, “Section 409A”), the rules of the Plan as amended and restated generally apply as of January 1, 2008, except as otherwise specifically stated.</w:t>
      </w:r>
    </w:p>
    <w:p>
      <w:pPr>
        <w:spacing w:after="0" w:line="120"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Prior Plan</w:t>
      </w:r>
      <w:r>
        <w:rPr>
          <w:rFonts w:ascii="Arial" w:cs="Arial" w:eastAsia="Arial" w:hAnsi="Arial"/>
          <w:sz w:val="18"/>
          <w:szCs w:val="18"/>
          <w:color w:val="auto"/>
        </w:rPr>
        <w:t>. Prior to the Effective Date, the Comcast Corporation 2002 Deferred Compensation Plan (the “Prior Plan”) was in effect. In order to preserve the favorable tax treatment available to deferrals under the Prior Plan in light of the enactment of Section 409A, the Board has prohibited future deferrals under the Prior Plan of amounts earned and vested on and after January 1, 2005. Amounts earned and vested prior to January 1, 2005 are and will remain subject to the terms of the Prior Plan. Amounts earned and vested on and after the Effective Date will be available to be deferred pursuant to the Plan, subject to its terms and conditions.</w:t>
      </w:r>
    </w:p>
    <w:p>
      <w:pPr>
        <w:spacing w:after="0" w:line="143" w:lineRule="exact"/>
        <w:rPr>
          <w:sz w:val="20"/>
          <w:szCs w:val="20"/>
          <w:color w:val="auto"/>
        </w:rPr>
      </w:pPr>
    </w:p>
    <w:p>
      <w:pPr>
        <w:ind w:right="20" w:firstLine="913"/>
        <w:spacing w:after="0" w:line="289" w:lineRule="auto"/>
        <w:rPr>
          <w:sz w:val="20"/>
          <w:szCs w:val="20"/>
          <w:color w:val="auto"/>
        </w:rPr>
      </w:pPr>
      <w:r>
        <w:rPr>
          <w:rFonts w:ascii="Arial" w:cs="Arial" w:eastAsia="Arial" w:hAnsi="Arial"/>
          <w:sz w:val="16"/>
          <w:szCs w:val="16"/>
          <w:color w:val="auto"/>
        </w:rPr>
        <w:t xml:space="preserve">1.1.3. </w:t>
      </w:r>
      <w:r>
        <w:rPr>
          <w:rFonts w:ascii="Arial" w:cs="Arial" w:eastAsia="Arial" w:hAnsi="Arial"/>
          <w:sz w:val="16"/>
          <w:szCs w:val="16"/>
          <w:u w:val="single" w:color="auto"/>
          <w:color w:val="auto"/>
        </w:rPr>
        <w:t>Merger of E! Grandfathered Plan with Prior Plan</w:t>
      </w:r>
      <w:r>
        <w:rPr>
          <w:rFonts w:ascii="Arial" w:cs="Arial" w:eastAsia="Arial" w:hAnsi="Arial"/>
          <w:sz w:val="16"/>
          <w:szCs w:val="16"/>
          <w:color w:val="auto"/>
        </w:rPr>
        <w:t xml:space="preserve">. The Company’s controlled subsidiary, E! Entertainment Television, Inc., (“E!”) has maintained the E! Entertainment Television, Inc. 2002 Deferred Compensation Plan (the “E! Plan”), a non-qualified deferred compensation plan pursuant to which eligible employees have been credited with certain account balances that are credited with earnings at the same rate as the earnings rate for active participants in the Plan. Under the E! Plan, to the extent participants’ account balances are treated as earned and vested as of December 31, 2004 under </w:t>
      </w:r>
      <w:r>
        <w:rPr>
          <w:rFonts w:ascii="Arial" w:cs="Arial" w:eastAsia="Arial" w:hAnsi="Arial"/>
          <w:sz w:val="16"/>
          <w:szCs w:val="16"/>
          <w:i w:val="1"/>
          <w:iCs w:val="1"/>
          <w:color w:val="auto"/>
        </w:rPr>
        <w:t>IRS Notice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2005-1 </w:t>
      </w:r>
      <w:r>
        <w:rPr>
          <w:rFonts w:ascii="Arial" w:cs="Arial" w:eastAsia="Arial" w:hAnsi="Arial"/>
          <w:sz w:val="16"/>
          <w:szCs w:val="16"/>
          <w:color w:val="auto"/>
        </w:rPr>
        <w:t>(the “E! Grandfathered Accounts”), the rules of the E! Plan, as amended and restated, effective May 26, 2004 apply. Effective as of January 1, 2008, that</w:t>
      </w:r>
      <w:r>
        <w:rPr>
          <w:rFonts w:ascii="Arial" w:cs="Arial" w:eastAsia="Arial" w:hAnsi="Arial"/>
          <w:sz w:val="16"/>
          <w:szCs w:val="16"/>
          <w:i w:val="1"/>
          <w:iCs w:val="1"/>
          <w:color w:val="auto"/>
        </w:rPr>
        <w:t xml:space="preserve"> </w:t>
      </w:r>
      <w:r>
        <w:rPr>
          <w:rFonts w:ascii="Arial" w:cs="Arial" w:eastAsia="Arial" w:hAnsi="Arial"/>
          <w:sz w:val="16"/>
          <w:szCs w:val="16"/>
          <w:color w:val="auto"/>
        </w:rPr>
        <w:t>portion of the E! Plan that includes the E! Grandfathered Accounts (the “E! Grandfathered Plan”) is merged with and into the Prior Plan and the separate existence of the E! Grandfathered Plan shall cease, and all undistributed participants’ accounts that had previously been administered pursuant to the E! Grandfathered Plan shall be held under the Prior Plan.</w:t>
      </w:r>
    </w:p>
    <w:p>
      <w:pPr>
        <w:spacing w:after="0" w:line="118" w:lineRule="exact"/>
        <w:rPr>
          <w:sz w:val="20"/>
          <w:szCs w:val="20"/>
          <w:color w:val="auto"/>
        </w:rPr>
      </w:pPr>
    </w:p>
    <w:p>
      <w:pPr>
        <w:ind w:right="40" w:firstLine="913"/>
        <w:spacing w:after="0" w:line="256"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Merger of E! Non-Grandfathered Plan into Plan</w:t>
      </w:r>
      <w:r>
        <w:rPr>
          <w:rFonts w:ascii="Arial" w:cs="Arial" w:eastAsia="Arial" w:hAnsi="Arial"/>
          <w:sz w:val="18"/>
          <w:szCs w:val="18"/>
          <w:color w:val="auto"/>
        </w:rPr>
        <w:t>. Effective as of January 1, 2008, that portion of the E! Plan that includes all participants’ account balances other than the E! Grandfathered Accounts (the “E! Non-Grandfathered Plan”) is merged with and into the Plan, and the separate existence of the E! Non-Grandfathered Plan shall cease, and all undistributed participants’ accounts that had previously been administered pursuant to the E! Non-Grandfathered Plan shall be held under the Plan. Participants’ accounts previously held</w:t>
      </w:r>
    </w:p>
    <w:p>
      <w:pPr>
        <w:sectPr>
          <w:pgSz w:w="11900" w:h="16838" w:orient="portrait"/>
          <w:cols w:equalWidth="0" w:num="1">
            <w:col w:w="11420"/>
          </w:cols>
          <w:pgMar w:left="240" w:top="125" w:right="239" w:bottom="1440" w:gutter="0" w:footer="0" w:header="0"/>
        </w:sectPr>
      </w:pPr>
    </w:p>
    <w:bookmarkStart w:id="35" w:name="page36"/>
    <w:bookmarkEnd w:id="35"/>
    <w:p>
      <w:pPr>
        <w:jc w:val="both"/>
        <w:ind w:right="140"/>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under the E! Non-Grandfathered Plan shall be subject to the terms and conditions of this Plan. An individual whose E! Non-Grandfathered Plan Account is held under the Plan as a result of the merger of the E! Non-Grandfathered Plan with and into this Plan shall be a participant in this Plan only for purposes of the such Account, unless such individual is otherwise eligible to participate in the Plan and an Account under the Plan has been established for such individual’s benefit.</w:t>
      </w:r>
    </w:p>
    <w:p>
      <w:pPr>
        <w:spacing w:after="0" w:line="8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Reservation of Right to Amend to Comply with Section 409A</w:t>
      </w:r>
      <w:r>
        <w:rPr>
          <w:rFonts w:ascii="Arial" w:cs="Arial" w:eastAsia="Arial" w:hAnsi="Arial"/>
          <w:sz w:val="18"/>
          <w:szCs w:val="18"/>
          <w:color w:val="auto"/>
        </w:rPr>
        <w:t>. In addition to the powers reserved to the Board and the Committee under Article 10 of the Plan, the Board and the Committee reserve the right to amend the Plan, either retroactively or prospectively, in whatever respect is required to achieve and maintain compliance with the requirements of the Section 409A.</w:t>
      </w:r>
    </w:p>
    <w:p>
      <w:pPr>
        <w:spacing w:after="0" w:line="14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u w:val="single" w:color="auto"/>
          <w:color w:val="auto"/>
        </w:rPr>
        <w:t>Plan Unfunded and Limited to Outside Directors and Select Group of Management or Highly Compensated Employees</w:t>
      </w:r>
      <w:r>
        <w:rPr>
          <w:rFonts w:ascii="Arial" w:cs="Arial" w:eastAsia="Arial" w:hAnsi="Arial"/>
          <w:sz w:val="16"/>
          <w:szCs w:val="16"/>
          <w:color w:val="auto"/>
        </w:rPr>
        <w:t>. The Plan is unfunded and is maintained primarily for the purpose of providing outside directors and a select group of management or highly compensated employees the opportunity to defer the receipt of compensation otherwise payable to such outside directors and eligible employees in accordance with the terms of the Plan.</w:t>
      </w: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2 – DEFINITIONS</w:t>
      </w:r>
    </w:p>
    <w:p>
      <w:pPr>
        <w:spacing w:after="0" w:line="177"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2.1. “</w:t>
      </w:r>
      <w:r>
        <w:rPr>
          <w:rFonts w:ascii="Arial" w:cs="Arial" w:eastAsia="Arial" w:hAnsi="Arial"/>
          <w:sz w:val="18"/>
          <w:szCs w:val="18"/>
          <w:u w:val="single" w:color="auto"/>
          <w:color w:val="auto"/>
        </w:rPr>
        <w:t>Account</w:t>
      </w:r>
      <w:r>
        <w:rPr>
          <w:rFonts w:ascii="Arial" w:cs="Arial" w:eastAsia="Arial" w:hAnsi="Arial"/>
          <w:sz w:val="18"/>
          <w:szCs w:val="18"/>
          <w:color w:val="auto"/>
        </w:rPr>
        <w:t>” means the bookkeeping accounts established pursuant to Section 5.1 and maintained by the Administrator in the names of the respective Participants, to which all amounts deferred and earnings allocated under the Plan shall be credited, and from which all amounts distributed pursuant to the Plan shall be debited.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 “</w:t>
      </w:r>
      <w:r>
        <w:rPr>
          <w:rFonts w:ascii="Arial" w:cs="Arial" w:eastAsia="Arial" w:hAnsi="Arial"/>
          <w:sz w:val="18"/>
          <w:szCs w:val="18"/>
          <w:u w:val="single" w:color="auto"/>
          <w:color w:val="auto"/>
        </w:rPr>
        <w:t>Active Participant</w:t>
      </w:r>
      <w:r>
        <w:rPr>
          <w:rFonts w:ascii="Arial" w:cs="Arial" w:eastAsia="Arial" w:hAnsi="Arial"/>
          <w:sz w:val="18"/>
          <w:szCs w:val="18"/>
          <w:color w:val="auto"/>
        </w:rPr>
        <w:t>” means:</w:t>
      </w:r>
    </w:p>
    <w:p>
      <w:pPr>
        <w:spacing w:after="0" w:line="90" w:lineRule="exact"/>
        <w:rPr>
          <w:sz w:val="20"/>
          <w:szCs w:val="20"/>
          <w:color w:val="auto"/>
        </w:rPr>
      </w:pPr>
    </w:p>
    <w:p>
      <w:pPr>
        <w:ind w:left="1160" w:hanging="239"/>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Each Participant who is in active service as an Outside Director; and</w:t>
      </w:r>
    </w:p>
    <w:p>
      <w:pPr>
        <w:spacing w:after="0" w:line="90" w:lineRule="exact"/>
        <w:rPr>
          <w:rFonts w:ascii="Arial" w:cs="Arial" w:eastAsia="Arial" w:hAnsi="Arial"/>
          <w:sz w:val="18"/>
          <w:szCs w:val="18"/>
          <w:color w:val="auto"/>
        </w:rPr>
      </w:pPr>
    </w:p>
    <w:p>
      <w:pPr>
        <w:ind w:left="1160" w:hanging="239"/>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Each Participant who is actively employed by a Participating Company as an Eligible Employee.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 “</w:t>
      </w:r>
      <w:r>
        <w:rPr>
          <w:rFonts w:ascii="Arial" w:cs="Arial" w:eastAsia="Arial" w:hAnsi="Arial"/>
          <w:sz w:val="18"/>
          <w:szCs w:val="18"/>
          <w:u w:val="single" w:color="auto"/>
          <w:color w:val="auto"/>
        </w:rPr>
        <w:t>Administrator</w:t>
      </w:r>
      <w:r>
        <w:rPr>
          <w:rFonts w:ascii="Arial" w:cs="Arial" w:eastAsia="Arial" w:hAnsi="Arial"/>
          <w:sz w:val="18"/>
          <w:szCs w:val="18"/>
          <w:color w:val="auto"/>
        </w:rPr>
        <w:t>” means the Committee.</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2.4. “</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43"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2.5. “</w:t>
      </w:r>
      <w:r>
        <w:rPr>
          <w:rFonts w:ascii="Arial" w:cs="Arial" w:eastAsia="Arial" w:hAnsi="Arial"/>
          <w:sz w:val="18"/>
          <w:szCs w:val="18"/>
          <w:u w:val="single" w:color="auto"/>
          <w:color w:val="auto"/>
        </w:rPr>
        <w:t>Annual Rate of Pay</w:t>
      </w:r>
      <w:r>
        <w:rPr>
          <w:rFonts w:ascii="Arial" w:cs="Arial" w:eastAsia="Arial" w:hAnsi="Arial"/>
          <w:sz w:val="18"/>
          <w:szCs w:val="18"/>
          <w:color w:val="auto"/>
        </w:rPr>
        <w:t>” means, as of any date, an employee’s annualized base pay rate. An employee’s Annual Rate of Pay shall not include sales commissions or other similar payments or awards.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2.6. “</w:t>
      </w:r>
      <w:r>
        <w:rPr>
          <w:rFonts w:ascii="Arial" w:cs="Arial" w:eastAsia="Arial" w:hAnsi="Arial"/>
          <w:sz w:val="18"/>
          <w:szCs w:val="18"/>
          <w:u w:val="single" w:color="auto"/>
          <w:color w:val="auto"/>
        </w:rPr>
        <w:t>Applicable Interest Rate</w:t>
      </w:r>
      <w:r>
        <w:rPr>
          <w:rFonts w:ascii="Arial" w:cs="Arial" w:eastAsia="Arial" w:hAnsi="Arial"/>
          <w:sz w:val="18"/>
          <w:szCs w:val="18"/>
          <w:color w:val="auto"/>
        </w:rPr>
        <w:t>” means: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36" w:name="page37"/>
    <w:bookmarkEnd w:id="36"/>
    <w:p>
      <w:pPr>
        <w:ind w:right="200" w:firstLine="921"/>
        <w:spacing w:after="0" w:line="332" w:lineRule="auto"/>
        <w:tabs>
          <w:tab w:leader="none" w:pos="1152" w:val="left"/>
        </w:tabs>
        <w:numPr>
          <w:ilvl w:val="0"/>
          <w:numId w:val="1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Except as otherwise provided in Sections 2.6(b), the Applicable Interest Rate means the interest rate that, when compounded daily pursuant to rules established by the Administrator from time to time, is mathematically equivalent to 12% per annum, compounded annually.</w:t>
      </w:r>
    </w:p>
    <w:p>
      <w:pPr>
        <w:spacing w:after="0" w:line="85" w:lineRule="exact"/>
        <w:rPr>
          <w:rFonts w:ascii="Arial" w:cs="Arial" w:eastAsia="Arial" w:hAnsi="Arial"/>
          <w:sz w:val="16"/>
          <w:szCs w:val="16"/>
          <w:color w:val="auto"/>
        </w:rPr>
      </w:pPr>
    </w:p>
    <w:p>
      <w:pPr>
        <w:ind w:right="60" w:firstLine="921"/>
        <w:spacing w:after="0" w:line="255" w:lineRule="auto"/>
        <w:tabs>
          <w:tab w:leader="none" w:pos="1162" w:val="left"/>
        </w:tabs>
        <w:numPr>
          <w:ilvl w:val="0"/>
          <w:numId w:val="12"/>
        </w:numPr>
        <w:rPr>
          <w:rFonts w:ascii="Arial" w:cs="Arial" w:eastAsia="Arial" w:hAnsi="Arial"/>
          <w:sz w:val="18"/>
          <w:szCs w:val="18"/>
          <w:color w:val="auto"/>
        </w:rPr>
      </w:pPr>
      <w:r>
        <w:rPr>
          <w:rFonts w:ascii="Arial" w:cs="Arial" w:eastAsia="Arial" w:hAnsi="Arial"/>
          <w:sz w:val="18"/>
          <w:szCs w:val="18"/>
          <w:color w:val="auto"/>
        </w:rPr>
        <w:t>Effective for the period beginning as soon as administratively practicable following a Participant’s employment termination date to the date the Participant’s Account is distributed in full, the Administrator, in its sole discretion, may designate the term “Applicable Interest Rate” for such Participant’s Account to mean the lesser of (i) the rate in effect under Section 2.6(a) or (ii) the Prime Rate plus one percent. Notwithstanding the foregoing, the Administrator may delegate its authority to determine the Applicable Interest Rate under this Section 2.6(b) to an officer of the Company or committee of two or more officers of the Company.</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2.7. “</w:t>
      </w:r>
      <w:r>
        <w:rPr>
          <w:rFonts w:ascii="Arial" w:cs="Arial" w:eastAsia="Arial" w:hAnsi="Arial"/>
          <w:sz w:val="16"/>
          <w:szCs w:val="16"/>
          <w:u w:val="single" w:color="auto"/>
          <w:color w:val="auto"/>
        </w:rPr>
        <w:t>Beneficiary</w:t>
      </w:r>
      <w:r>
        <w:rPr>
          <w:rFonts w:ascii="Arial" w:cs="Arial" w:eastAsia="Arial" w:hAnsi="Arial"/>
          <w:sz w:val="16"/>
          <w:szCs w:val="16"/>
          <w:color w:val="auto"/>
        </w:rPr>
        <w:t>” means such person or persons or legal entity or entities, including, but not limited to, an organization exempt from federal income tax under section 501(c)(3) of the Code, designated by a Participant or Beneficiary to receive benefits pursuant to the terms of the Plan after such Participant’s or Beneficiary’s death. If no Beneficiary is designated by the Participant or Beneficiary, or if no Beneficiary survives the Participant or Beneficiary (as the case may be), the Participant’s Beneficiary shall be the Participant’s Surviving Spouse if the Participant has a Surviving Spouse and otherwise the Participant’s estate, and the Beneficiary of a Beneficiary shall be the Beneficiary’s Surviving Spouse if the Beneficiary has a Surviving Spouse and otherwise the Beneficiary’s estate.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2.8. “</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2.9. “</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any transaction or series of transactions that constitutes a change in the ownership or effective control or a change in the ownership of a substantial portion of the assets of the Company, within the meaning of Section 409A.</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2.10. “</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2.11. “</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 of Directors of the Company.</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2.12. “</w:t>
      </w:r>
      <w:r>
        <w:rPr>
          <w:rFonts w:ascii="Arial" w:cs="Arial" w:eastAsia="Arial" w:hAnsi="Arial"/>
          <w:sz w:val="18"/>
          <w:szCs w:val="18"/>
          <w:u w:val="single" w:color="auto"/>
          <w:color w:val="auto"/>
        </w:rPr>
        <w:t>Company</w:t>
      </w:r>
      <w:r>
        <w:rPr>
          <w:rFonts w:ascii="Arial" w:cs="Arial" w:eastAsia="Arial" w:hAnsi="Arial"/>
          <w:sz w:val="18"/>
          <w:szCs w:val="18"/>
          <w:color w:val="auto"/>
        </w:rPr>
        <w:t>” means Comcast Corporation, a Pennsylvania corporation, including any successor thereto by merger, consolidation, acquisition of all or substantially all the assets thereof, or otherwise.</w:t>
      </w:r>
    </w:p>
    <w:p>
      <w:pPr>
        <w:spacing w:after="0" w:line="132"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2.13. “</w:t>
      </w:r>
      <w:r>
        <w:rPr>
          <w:rFonts w:ascii="Arial" w:cs="Arial" w:eastAsia="Arial" w:hAnsi="Arial"/>
          <w:sz w:val="16"/>
          <w:szCs w:val="16"/>
          <w:u w:val="single" w:color="auto"/>
          <w:color w:val="auto"/>
        </w:rPr>
        <w:t>Company Stock</w:t>
      </w:r>
      <w:r>
        <w:rPr>
          <w:rFonts w:ascii="Arial" w:cs="Arial" w:eastAsia="Arial" w:hAnsi="Arial"/>
          <w:sz w:val="16"/>
          <w:szCs w:val="16"/>
          <w:color w:val="auto"/>
        </w:rPr>
        <w:t>” means with respect to amounts credited to the Company Stock Fund pursuant to deferral elections by Outside Directors made pursuant to Section 3.1(a), Comcast Corporation Class A Common Stock, par value $0.01, including a fractional share, and such other securities issued by Comcast Corporation as may be subject to adjustment in the event that shares of either class of Company Stock are changed into, or exchanged for, a different number or kind of shares of stock or other securities of the Company, whether through merger, consolidation, reorganization, recapitalization, stock dividend, stock split-up or other substitution of securities of the Company. In such event, the Committee shall make appropriate equitable</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280" w:right="319" w:bottom="1440" w:gutter="0" w:footer="0" w:header="0"/>
        </w:sectPr>
      </w:pPr>
    </w:p>
    <w:bookmarkStart w:id="37" w:name="page38"/>
    <w:bookmarkEnd w:id="37"/>
    <w:p>
      <w:pPr>
        <w:jc w:val="both"/>
        <w:ind w:right="2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anti-dilution adjustments to the number and class of hypothetical shares of Company Stock credited to Participants’ Accounts under the Company Stock Fund. Any reference to the term “Company Stock” in the Plan shall be a reference to the appropriate number and class of shares of stock as adjusted pursuant to this Section 2.13. The Committee’s adjustment shall be effective and binding for all purposes of the Plan.</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2.14. “</w:t>
      </w:r>
      <w:r>
        <w:rPr>
          <w:rFonts w:ascii="Arial" w:cs="Arial" w:eastAsia="Arial" w:hAnsi="Arial"/>
          <w:sz w:val="16"/>
          <w:szCs w:val="16"/>
          <w:u w:val="single" w:color="auto"/>
          <w:color w:val="auto"/>
        </w:rPr>
        <w:t>Company Stock Fund</w:t>
      </w:r>
      <w:r>
        <w:rPr>
          <w:rFonts w:ascii="Arial" w:cs="Arial" w:eastAsia="Arial" w:hAnsi="Arial"/>
          <w:sz w:val="16"/>
          <w:szCs w:val="16"/>
          <w:color w:val="auto"/>
        </w:rPr>
        <w:t>” means a hypothetical investment fund pursuant to which income, gains and losses are credited to a Participant’s Account as if the Account, to the extent deemed invested in the Company Stock Fund, were invested in hypothetical shares of Company Stock, and all dividends and other distributions paid with respect to Company Stock were held uninvested in cash, and reinvested in additional hypothetical shares of Company Stock as of the next succeeding December 31, based on the Fair Market Value of the Company Stock for such December 31, provided that dividends and other distributions paid with respect to Company Stock after December 31, 2007 shall be deemed to be reinvested in additional hypothetical shares of Company Stock as of the payment date for such dividends and other distributions, based on the Fair Market Value of Company Stock as of such payment date.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2.15. “</w:t>
      </w:r>
      <w:r>
        <w:rPr>
          <w:rFonts w:ascii="Arial" w:cs="Arial" w:eastAsia="Arial" w:hAnsi="Arial"/>
          <w:sz w:val="18"/>
          <w:szCs w:val="18"/>
          <w:u w:val="single" w:color="auto"/>
          <w:color w:val="auto"/>
        </w:rPr>
        <w:t>Compensation</w:t>
      </w:r>
      <w:r>
        <w:rPr>
          <w:rFonts w:ascii="Arial" w:cs="Arial" w:eastAsia="Arial" w:hAnsi="Arial"/>
          <w:sz w:val="18"/>
          <w:szCs w:val="18"/>
          <w:color w:val="auto"/>
        </w:rPr>
        <w:t>” means:</w:t>
      </w:r>
    </w:p>
    <w:p>
      <w:pPr>
        <w:spacing w:after="0" w:line="90" w:lineRule="exact"/>
        <w:rPr>
          <w:sz w:val="20"/>
          <w:szCs w:val="20"/>
          <w:color w:val="auto"/>
        </w:rPr>
      </w:pPr>
    </w:p>
    <w:p>
      <w:pPr>
        <w:ind w:right="80" w:firstLine="921"/>
        <w:spacing w:after="0" w:line="259" w:lineRule="auto"/>
        <w:tabs>
          <w:tab w:leader="none" w:pos="11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the case of an Outside Director, the total remuneration payable in cash or payable in Company Stock (as elected by the Outside Director pursuant to the Comcast Corporation 2002 Director Compensation Plan) for services as a member of the Board and as a member of any Committee of the Board; and</w:t>
      </w:r>
    </w:p>
    <w:p>
      <w:pPr>
        <w:spacing w:after="0" w:line="140" w:lineRule="exact"/>
        <w:rPr>
          <w:rFonts w:ascii="Arial" w:cs="Arial" w:eastAsia="Arial" w:hAnsi="Arial"/>
          <w:sz w:val="18"/>
          <w:szCs w:val="18"/>
          <w:color w:val="auto"/>
        </w:rPr>
      </w:pPr>
    </w:p>
    <w:p>
      <w:pPr>
        <w:ind w:right="220" w:firstLine="921"/>
        <w:spacing w:after="0" w:line="268" w:lineRule="auto"/>
        <w:tabs>
          <w:tab w:leader="none" w:pos="1162"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the case of an Eligible Employee, the total cash remuneration for services payable by a Participating Company, excluding (i) Severance Pay and (ii) sales commissions or other similar payments or awards.</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2.16. “</w:t>
      </w:r>
      <w:r>
        <w:rPr>
          <w:rFonts w:ascii="Arial" w:cs="Arial" w:eastAsia="Arial" w:hAnsi="Arial"/>
          <w:sz w:val="16"/>
          <w:szCs w:val="16"/>
          <w:u w:val="single" w:color="auto"/>
          <w:color w:val="auto"/>
        </w:rPr>
        <w:t>Death Tax Clearance Date</w:t>
      </w:r>
      <w:r>
        <w:rPr>
          <w:rFonts w:ascii="Arial" w:cs="Arial" w:eastAsia="Arial" w:hAnsi="Arial"/>
          <w:sz w:val="16"/>
          <w:szCs w:val="16"/>
          <w:color w:val="auto"/>
        </w:rPr>
        <w:t>” means the date upon which a Deceased Participant’s or a deceased Beneficiary’s Personal Representative certifies to the Administrator that (i) such Deceased Participant’s or deceased Beneficiary’s Death Taxes have been finally determined, (ii) all of such Deceased Participant’s or deceased Beneficiary’s Death Taxes apportioned against the Deceased Participant’s or deceased Beneficiary’s Account have been paid in full and (iii) all potential liability for Death Taxes with respect to the Deceased Participant’s or deceased Beneficiary’s Account has been satisfied.</w:t>
      </w:r>
    </w:p>
    <w:p>
      <w:pPr>
        <w:spacing w:after="0" w:line="11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2.17. “</w:t>
      </w:r>
      <w:r>
        <w:rPr>
          <w:rFonts w:ascii="Arial" w:cs="Arial" w:eastAsia="Arial" w:hAnsi="Arial"/>
          <w:sz w:val="16"/>
          <w:szCs w:val="16"/>
          <w:u w:val="single" w:color="auto"/>
          <w:color w:val="auto"/>
        </w:rPr>
        <w:t>Death Taxes</w:t>
      </w:r>
      <w:r>
        <w:rPr>
          <w:rFonts w:ascii="Arial" w:cs="Arial" w:eastAsia="Arial" w:hAnsi="Arial"/>
          <w:sz w:val="16"/>
          <w:szCs w:val="16"/>
          <w:color w:val="auto"/>
        </w:rPr>
        <w:t>” means any and all estate, inheritance, generation-skipping transfer, and other death taxes as well as any interest and penalties thereon imposed by any governmental entity (a “taxing authority”) as a result of the death of the Participant or the Participant’s Beneficiary.</w:t>
      </w:r>
    </w:p>
    <w:p>
      <w:pPr>
        <w:spacing w:after="0" w:line="85"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2.18. “</w:t>
      </w:r>
      <w:r>
        <w:rPr>
          <w:rFonts w:ascii="Arial" w:cs="Arial" w:eastAsia="Arial" w:hAnsi="Arial"/>
          <w:sz w:val="18"/>
          <w:szCs w:val="18"/>
          <w:u w:val="single" w:color="auto"/>
          <w:color w:val="auto"/>
        </w:rPr>
        <w:t>Deceased Participant</w:t>
      </w:r>
      <w:r>
        <w:rPr>
          <w:rFonts w:ascii="Arial" w:cs="Arial" w:eastAsia="Arial" w:hAnsi="Arial"/>
          <w:sz w:val="18"/>
          <w:szCs w:val="18"/>
          <w:color w:val="auto"/>
        </w:rPr>
        <w:t>” means a Participant whose employment, or, in the case of a Participant who was an Outside Director, a Participant whose service as an Outside Director, is terminated by death.</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2.19. “</w:t>
      </w:r>
      <w:r>
        <w:rPr>
          <w:rFonts w:ascii="Arial" w:cs="Arial" w:eastAsia="Arial" w:hAnsi="Arial"/>
          <w:sz w:val="18"/>
          <w:szCs w:val="18"/>
          <w:u w:val="single" w:color="auto"/>
          <w:color w:val="auto"/>
        </w:rPr>
        <w:t>Disability</w:t>
      </w:r>
      <w:r>
        <w:rPr>
          <w:rFonts w:ascii="Arial" w:cs="Arial" w:eastAsia="Arial" w:hAnsi="Arial"/>
          <w:sz w:val="18"/>
          <w:szCs w:val="18"/>
          <w:color w:val="auto"/>
        </w:rPr>
        <w:t>” means: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38" w:name="page39"/>
    <w:bookmarkEnd w:id="38"/>
    <w:p>
      <w:pPr>
        <w:ind w:right="340" w:firstLine="921"/>
        <w:spacing w:after="0" w:line="332" w:lineRule="auto"/>
        <w:tabs>
          <w:tab w:leader="none" w:pos="1152" w:val="left"/>
        </w:tabs>
        <w:numPr>
          <w:ilvl w:val="0"/>
          <w:numId w:val="1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 individual’s inability to engage in any substantial gainful activity by reason of any medically determinable physical or mental impairment which can be expected to result in death or can be expected to last for a continuous period of not less than 12 months; or</w:t>
      </w:r>
    </w:p>
    <w:p>
      <w:pPr>
        <w:spacing w:after="0" w:line="85" w:lineRule="exact"/>
        <w:rPr>
          <w:rFonts w:ascii="Arial" w:cs="Arial" w:eastAsia="Arial" w:hAnsi="Arial"/>
          <w:sz w:val="16"/>
          <w:szCs w:val="16"/>
          <w:color w:val="auto"/>
        </w:rPr>
      </w:pPr>
    </w:p>
    <w:p>
      <w:pPr>
        <w:ind w:right="100" w:firstLine="921"/>
        <w:spacing w:after="0" w:line="259" w:lineRule="auto"/>
        <w:tabs>
          <w:tab w:leader="none" w:pos="1162" w:val="left"/>
        </w:tabs>
        <w:numPr>
          <w:ilvl w:val="0"/>
          <w:numId w:val="14"/>
        </w:numPr>
        <w:rPr>
          <w:rFonts w:ascii="Arial" w:cs="Arial" w:eastAsia="Arial" w:hAnsi="Arial"/>
          <w:sz w:val="18"/>
          <w:szCs w:val="18"/>
          <w:color w:val="auto"/>
        </w:rPr>
      </w:pPr>
      <w:r>
        <w:rPr>
          <w:rFonts w:ascii="Arial" w:cs="Arial" w:eastAsia="Arial" w:hAnsi="Arial"/>
          <w:sz w:val="18"/>
          <w:szCs w:val="18"/>
          <w:color w:val="auto"/>
        </w:rPr>
        <w:t>circumstances under which, by reason of any medically determinable physical or mental impairment which can be expected to result in death or can be expected to last for a continuous period of not less than 12 months, an individual is receiving income replacement benefits for a period of not less than three months under an accident or health plan covering employees of the individual’s employer.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2.20. “</w:t>
      </w:r>
      <w:r>
        <w:rPr>
          <w:rFonts w:ascii="Arial" w:cs="Arial" w:eastAsia="Arial" w:hAnsi="Arial"/>
          <w:sz w:val="18"/>
          <w:szCs w:val="18"/>
          <w:u w:val="single" w:color="auto"/>
          <w:color w:val="auto"/>
        </w:rPr>
        <w:t>Disabled Participant</w:t>
      </w:r>
      <w:r>
        <w:rPr>
          <w:rFonts w:ascii="Arial" w:cs="Arial" w:eastAsia="Arial" w:hAnsi="Arial"/>
          <w:sz w:val="18"/>
          <w:szCs w:val="18"/>
          <w:color w:val="auto"/>
        </w:rPr>
        <w:t>” means:</w:t>
      </w:r>
    </w:p>
    <w:p>
      <w:pPr>
        <w:spacing w:after="0" w:line="90" w:lineRule="exact"/>
        <w:rPr>
          <w:sz w:val="20"/>
          <w:szCs w:val="20"/>
          <w:color w:val="auto"/>
        </w:rPr>
      </w:pPr>
    </w:p>
    <w:p>
      <w:pPr>
        <w:ind w:firstLine="921"/>
        <w:spacing w:after="0" w:line="268" w:lineRule="auto"/>
        <w:tabs>
          <w:tab w:leader="none" w:pos="1152"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Participant whose employment or, in the case of a Participant who is an Outside Director, a Participant whose service as an Outside Director, is terminated by reason of Disability;</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duly-appointed legal guardian of an individual described in Section 2.20(a) acting on behalf of such individual.</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2.21. “</w:t>
      </w:r>
      <w:r>
        <w:rPr>
          <w:rFonts w:ascii="Arial" w:cs="Arial" w:eastAsia="Arial" w:hAnsi="Arial"/>
          <w:sz w:val="18"/>
          <w:szCs w:val="18"/>
          <w:u w:val="single" w:color="auto"/>
          <w:color w:val="auto"/>
        </w:rPr>
        <w:t>Eligible Employee</w:t>
      </w:r>
      <w:r>
        <w:rPr>
          <w:rFonts w:ascii="Arial" w:cs="Arial" w:eastAsia="Arial" w:hAnsi="Arial"/>
          <w:sz w:val="18"/>
          <w:szCs w:val="18"/>
          <w:color w:val="auto"/>
        </w:rPr>
        <w:t>” means:</w:t>
      </w:r>
    </w:p>
    <w:p>
      <w:pPr>
        <w:spacing w:after="0" w:line="90" w:lineRule="exact"/>
        <w:rPr>
          <w:sz w:val="20"/>
          <w:szCs w:val="20"/>
          <w:color w:val="auto"/>
        </w:rPr>
      </w:pPr>
    </w:p>
    <w:p>
      <w:pPr>
        <w:ind w:left="1160" w:hanging="239"/>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Each Grandfathered Employee;</w:t>
      </w:r>
    </w:p>
    <w:p>
      <w:pPr>
        <w:spacing w:after="0" w:line="171" w:lineRule="exact"/>
        <w:rPr>
          <w:rFonts w:ascii="Arial" w:cs="Arial" w:eastAsia="Arial" w:hAnsi="Arial"/>
          <w:sz w:val="18"/>
          <w:szCs w:val="18"/>
          <w:color w:val="auto"/>
        </w:rPr>
      </w:pPr>
    </w:p>
    <w:p>
      <w:pPr>
        <w:ind w:right="80" w:firstLine="921"/>
        <w:spacing w:after="0" w:line="268" w:lineRule="auto"/>
        <w:tabs>
          <w:tab w:leader="none" w:pos="1162"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Each employee of a Participating Company whose Annual Rate of Pay is $200,000 or more as of both (i) the date on which an Initial Election is filed with the Administrator and (ii) the first day of the calendar year in which such Initial Election is filed;</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Each New Key Employee; and</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Each other employee of a Participating Company who is designated by the Committee, in its discretion, as an Eligible Employee;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provided, in each case, that such individual’s Compensation is administered under the Company’s common payroll system.</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2.22. “</w:t>
      </w:r>
      <w:r>
        <w:rPr>
          <w:rFonts w:ascii="Arial" w:cs="Arial" w:eastAsia="Arial" w:hAnsi="Arial"/>
          <w:sz w:val="18"/>
          <w:szCs w:val="18"/>
          <w:u w:val="single" w:color="auto"/>
          <w:color w:val="auto"/>
        </w:rPr>
        <w:t>Fair Market Value</w:t>
      </w:r>
      <w:r>
        <w:rPr>
          <w:rFonts w:ascii="Arial" w:cs="Arial" w:eastAsia="Arial" w:hAnsi="Arial"/>
          <w:sz w:val="18"/>
          <w:szCs w:val="18"/>
          <w:color w:val="auto"/>
        </w:rPr>
        <w:t>”</w:t>
      </w:r>
    </w:p>
    <w:p>
      <w:pPr>
        <w:spacing w:after="0" w:line="90" w:lineRule="exact"/>
        <w:rPr>
          <w:sz w:val="20"/>
          <w:szCs w:val="20"/>
          <w:color w:val="auto"/>
        </w:rPr>
      </w:pPr>
    </w:p>
    <w:p>
      <w:pPr>
        <w:ind w:right="60" w:firstLine="921"/>
        <w:spacing w:after="0" w:line="332" w:lineRule="auto"/>
        <w:tabs>
          <w:tab w:leader="none" w:pos="1152" w:val="left"/>
        </w:tabs>
        <w:numPr>
          <w:ilvl w:val="0"/>
          <w:numId w:val="17"/>
        </w:numPr>
        <w:rPr>
          <w:rFonts w:ascii="Arial" w:cs="Arial" w:eastAsia="Arial" w:hAnsi="Arial"/>
          <w:sz w:val="16"/>
          <w:szCs w:val="16"/>
          <w:color w:val="auto"/>
        </w:rPr>
      </w:pPr>
      <w:r>
        <w:rPr>
          <w:rFonts w:ascii="Arial" w:cs="Arial" w:eastAsia="Arial" w:hAnsi="Arial"/>
          <w:sz w:val="16"/>
          <w:szCs w:val="16"/>
          <w:color w:val="auto"/>
        </w:rPr>
        <w:t>If shares of Company Stock are listed on a stock exchange, Fair Market Value shall be determined based on the last reported sale price of a share on the principal exchange on which shares are listed on the date of determination, or if such date is not a trading day, the next trading date.</w:t>
      </w:r>
    </w:p>
    <w:p>
      <w:pPr>
        <w:spacing w:after="0" w:line="85" w:lineRule="exact"/>
        <w:rPr>
          <w:rFonts w:ascii="Arial" w:cs="Arial" w:eastAsia="Arial" w:hAnsi="Arial"/>
          <w:sz w:val="16"/>
          <w:szCs w:val="16"/>
          <w:color w:val="auto"/>
        </w:rPr>
      </w:pPr>
    </w:p>
    <w:p>
      <w:pPr>
        <w:ind w:right="20" w:firstLine="921"/>
        <w:spacing w:after="0" w:line="259" w:lineRule="auto"/>
        <w:tabs>
          <w:tab w:leader="none" w:pos="1162"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shares of Company Stock are not so listed, but trades of shares are reported on the Nasdaq National Market, Fair Market Value shall be determined based on the last quoted sale price of a share on the Nasdaq National Market on the date of determination, or if such date is not a trading day, the next trading date.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39" w:name="page40"/>
    <w:bookmarkEnd w:id="39"/>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 If shares of Company Stock are not so listed nor trades of shares so reported, Fair Market Value shall be determined by the Committee in good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faith.</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2.23. “</w:t>
      </w:r>
      <w:r>
        <w:rPr>
          <w:rFonts w:ascii="Arial" w:cs="Arial" w:eastAsia="Arial" w:hAnsi="Arial"/>
          <w:sz w:val="18"/>
          <w:szCs w:val="18"/>
          <w:u w:val="single" w:color="auto"/>
          <w:color w:val="auto"/>
        </w:rPr>
        <w:t>Grandfathered Employee</w:t>
      </w:r>
      <w:r>
        <w:rPr>
          <w:rFonts w:ascii="Arial" w:cs="Arial" w:eastAsia="Arial" w:hAnsi="Arial"/>
          <w:sz w:val="18"/>
          <w:szCs w:val="18"/>
          <w:color w:val="auto"/>
        </w:rPr>
        <w:t>” means:</w:t>
      </w:r>
    </w:p>
    <w:p>
      <w:pPr>
        <w:spacing w:after="0" w:line="90" w:lineRule="exact"/>
        <w:rPr>
          <w:sz w:val="20"/>
          <w:szCs w:val="20"/>
          <w:color w:val="auto"/>
        </w:rPr>
      </w:pPr>
    </w:p>
    <w:p>
      <w:pPr>
        <w:ind w:right="420" w:firstLine="921"/>
        <w:spacing w:after="0" w:line="268" w:lineRule="auto"/>
        <w:tabs>
          <w:tab w:leader="none" w:pos="1152"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Each employee of a Participating Company who, as of December 31, 1989, was eligible to participate in the Prior Plan and who has been in continuous service to the Company or an Affiliate since December 31, 1989.</w:t>
      </w:r>
    </w:p>
    <w:p>
      <w:pPr>
        <w:spacing w:after="0" w:line="131" w:lineRule="exact"/>
        <w:rPr>
          <w:rFonts w:ascii="Arial" w:cs="Arial" w:eastAsia="Arial" w:hAnsi="Arial"/>
          <w:sz w:val="18"/>
          <w:szCs w:val="18"/>
          <w:color w:val="auto"/>
        </w:rPr>
      </w:pPr>
    </w:p>
    <w:p>
      <w:pPr>
        <w:ind w:right="80" w:firstLine="921"/>
        <w:spacing w:after="0" w:line="259" w:lineRule="auto"/>
        <w:tabs>
          <w:tab w:leader="none" w:pos="1162"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Each employee of a Participating Company who was, at any time before January 1, 1995, eligible to participate in the Comcast Corporation Deferred Compensation Plan and whose Annual Rate of Pay is $90,000 or more as of both (i) the date on which an Initial Election is filed with the Administrator and (ii) the first day of each calendar year beginning after December 31, 1994.</w:t>
      </w:r>
    </w:p>
    <w:p>
      <w:pPr>
        <w:spacing w:after="0" w:line="140" w:lineRule="exact"/>
        <w:rPr>
          <w:rFonts w:ascii="Arial" w:cs="Arial" w:eastAsia="Arial" w:hAnsi="Arial"/>
          <w:sz w:val="18"/>
          <w:szCs w:val="18"/>
          <w:color w:val="auto"/>
        </w:rPr>
      </w:pPr>
    </w:p>
    <w:p>
      <w:pPr>
        <w:ind w:firstLine="921"/>
        <w:spacing w:after="0" w:line="259" w:lineRule="auto"/>
        <w:tabs>
          <w:tab w:leader="none" w:pos="1152"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Each individual who was an employee of an entity that was a Participating Company in the Prior Plan as of June 30, 2002 and who has an Annual Rate of Pay of $125,000 as of each of (i) June 30, 2002; (ii) the date on which an Initial Election is filed with the Administrator and (iii) the first day of each calendar year beginning after December 31, 2002.</w:t>
      </w:r>
    </w:p>
    <w:p>
      <w:pPr>
        <w:spacing w:after="0" w:line="140" w:lineRule="exact"/>
        <w:rPr>
          <w:rFonts w:ascii="Arial" w:cs="Arial" w:eastAsia="Arial" w:hAnsi="Arial"/>
          <w:sz w:val="18"/>
          <w:szCs w:val="18"/>
          <w:color w:val="auto"/>
        </w:rPr>
      </w:pPr>
    </w:p>
    <w:p>
      <w:pPr>
        <w:ind w:right="20" w:firstLine="921"/>
        <w:spacing w:after="0" w:line="256" w:lineRule="auto"/>
        <w:tabs>
          <w:tab w:leader="none" w:pos="1162"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Each employee of a Participating Company who (i) as of December 31, 2002, was an “Eligible Employee” within the meaning of Section 2.34 of the AT&amp;T Broadband Deferred Compensation Plan (as amended and restated, effective November 18, 2002) with respect to whom an account was maintained, and (ii) for the period beginning on December 31, 2002 and extending through any date of determination, has been actively and continuously in service to the Company or an Affiliate.</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2.24. “</w:t>
      </w:r>
      <w:r>
        <w:rPr>
          <w:rFonts w:ascii="Arial" w:cs="Arial" w:eastAsia="Arial" w:hAnsi="Arial"/>
          <w:sz w:val="16"/>
          <w:szCs w:val="16"/>
          <w:u w:val="single" w:color="auto"/>
          <w:color w:val="auto"/>
        </w:rPr>
        <w:t>Hardship</w:t>
      </w:r>
      <w:r>
        <w:rPr>
          <w:rFonts w:ascii="Arial" w:cs="Arial" w:eastAsia="Arial" w:hAnsi="Arial"/>
          <w:sz w:val="16"/>
          <w:szCs w:val="16"/>
          <w:color w:val="auto"/>
        </w:rPr>
        <w:t>” means “</w:t>
      </w:r>
      <w:r>
        <w:rPr>
          <w:rFonts w:ascii="Arial" w:cs="Arial" w:eastAsia="Arial" w:hAnsi="Arial"/>
          <w:sz w:val="16"/>
          <w:szCs w:val="16"/>
          <w:u w:val="single" w:color="auto"/>
          <w:color w:val="auto"/>
        </w:rPr>
        <w:t>Hardship</w:t>
      </w:r>
      <w:r>
        <w:rPr>
          <w:rFonts w:ascii="Arial" w:cs="Arial" w:eastAsia="Arial" w:hAnsi="Arial"/>
          <w:sz w:val="16"/>
          <w:szCs w:val="16"/>
          <w:color w:val="auto"/>
        </w:rPr>
        <w:t>” means an “unforeseeable emergency,” as defined in Section 409A. The Committee shall determine whether the circumstances of the Participant constitute an unforeseeable emergency and thus a Hardship within the meaning of this Paragraph 2.24. Following a uniform procedure, the Committee’s determination shall consider any facts or conditions deemed necessary or advisable by the Committee, and the Participant shall be required to submit any evidence of the Participant’s circumstances that the Committee requires. The determination as to whether the Participant’s circumstances are a case of Hardship shall be based on the facts of each case; provided however, that all determinations as to Hardship shall be uniformly and consistently made according to the provisions of this Paragraph 2.24 for all Participants in similar circumstances.</w:t>
      </w:r>
    </w:p>
    <w:p>
      <w:pPr>
        <w:spacing w:after="0" w:line="12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2.25. “</w:t>
      </w:r>
      <w:r>
        <w:rPr>
          <w:rFonts w:ascii="Arial" w:cs="Arial" w:eastAsia="Arial" w:hAnsi="Arial"/>
          <w:sz w:val="18"/>
          <w:szCs w:val="18"/>
          <w:u w:val="single" w:color="auto"/>
          <w:color w:val="auto"/>
        </w:rPr>
        <w:t>Inactive Participant</w:t>
      </w:r>
      <w:r>
        <w:rPr>
          <w:rFonts w:ascii="Arial" w:cs="Arial" w:eastAsia="Arial" w:hAnsi="Arial"/>
          <w:sz w:val="18"/>
          <w:szCs w:val="18"/>
          <w:color w:val="auto"/>
        </w:rPr>
        <w:t>” means each Participant (other than a Retired Participant, Deceased Participant or Disabled Participant) who is not in active service as an Outside Director and is not actively employed by a Participating Company.</w:t>
      </w:r>
    </w:p>
    <w:p>
      <w:pPr>
        <w:spacing w:after="0" w:line="132"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2.26. “</w:t>
      </w:r>
      <w:r>
        <w:rPr>
          <w:rFonts w:ascii="Arial" w:cs="Arial" w:eastAsia="Arial" w:hAnsi="Arial"/>
          <w:sz w:val="16"/>
          <w:szCs w:val="16"/>
          <w:u w:val="single" w:color="auto"/>
          <w:color w:val="auto"/>
        </w:rPr>
        <w:t>Income Fund</w:t>
      </w:r>
      <w:r>
        <w:rPr>
          <w:rFonts w:ascii="Arial" w:cs="Arial" w:eastAsia="Arial" w:hAnsi="Arial"/>
          <w:sz w:val="16"/>
          <w:szCs w:val="16"/>
          <w:color w:val="auto"/>
        </w:rPr>
        <w:t>” means a hypothetical investment fund pursuant to which income, gains and losses are credited to a Participant’s Account as if the Account, to the extent deemed invested in the Income Fund, were credited with interest at the Applicable Interest Rate.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40" w:name="page41"/>
    <w:bookmarkEnd w:id="40"/>
    <w:p>
      <w:pPr>
        <w:ind w:right="5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2.27. “</w:t>
      </w:r>
      <w:r>
        <w:rPr>
          <w:rFonts w:ascii="Arial" w:cs="Arial" w:eastAsia="Arial" w:hAnsi="Arial"/>
          <w:sz w:val="18"/>
          <w:szCs w:val="18"/>
          <w:u w:val="single" w:color="auto"/>
          <w:color w:val="auto"/>
        </w:rPr>
        <w:t>Initial Election</w:t>
      </w:r>
      <w:r>
        <w:rPr>
          <w:rFonts w:ascii="Arial" w:cs="Arial" w:eastAsia="Arial" w:hAnsi="Arial"/>
          <w:sz w:val="18"/>
          <w:szCs w:val="18"/>
          <w:color w:val="auto"/>
        </w:rPr>
        <w:t>” means a written election on a form provided by the Administrator, filed with the Administrator in accordance with Article 3, pursuant to which an Outside Director or an Eligible Employee may:</w:t>
      </w:r>
    </w:p>
    <w:p>
      <w:pPr>
        <w:spacing w:after="0" w:line="51" w:lineRule="exact"/>
        <w:rPr>
          <w:sz w:val="20"/>
          <w:szCs w:val="20"/>
          <w:color w:val="auto"/>
        </w:rPr>
      </w:pPr>
    </w:p>
    <w:p>
      <w:pPr>
        <w:ind w:right="120" w:firstLine="921"/>
        <w:spacing w:after="0" w:line="268" w:lineRule="auto"/>
        <w:tabs>
          <w:tab w:leader="none" w:pos="1152" w:val="left"/>
        </w:tabs>
        <w:numPr>
          <w:ilvl w:val="0"/>
          <w:numId w:val="19"/>
        </w:numPr>
        <w:rPr>
          <w:rFonts w:ascii="Arial" w:cs="Arial" w:eastAsia="Arial" w:hAnsi="Arial"/>
          <w:sz w:val="18"/>
          <w:szCs w:val="18"/>
          <w:color w:val="auto"/>
        </w:rPr>
      </w:pPr>
      <w:r>
        <w:rPr>
          <w:rFonts w:ascii="Arial" w:cs="Arial" w:eastAsia="Arial" w:hAnsi="Arial"/>
          <w:sz w:val="18"/>
          <w:szCs w:val="18"/>
          <w:color w:val="auto"/>
        </w:rPr>
        <w:t>Elect to defer all or any portion of the Compensation payable for the performance of services as an Outside Director or as an Eligible Employee following the time that such election is filed; and</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Designate the time of payment of the amount of deferred Compensation to which the Initial Election relates.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2.28. “</w:t>
      </w:r>
      <w:r>
        <w:rPr>
          <w:rFonts w:ascii="Arial" w:cs="Arial" w:eastAsia="Arial" w:hAnsi="Arial"/>
          <w:sz w:val="18"/>
          <w:szCs w:val="18"/>
          <w:u w:val="single" w:color="auto"/>
          <w:color w:val="auto"/>
        </w:rPr>
        <w:t>New Key Employee</w:t>
      </w:r>
      <w:r>
        <w:rPr>
          <w:rFonts w:ascii="Arial" w:cs="Arial" w:eastAsia="Arial" w:hAnsi="Arial"/>
          <w:sz w:val="18"/>
          <w:szCs w:val="18"/>
          <w:color w:val="auto"/>
        </w:rPr>
        <w:t>” means each employee of a Participating Company:</w:t>
      </w:r>
    </w:p>
    <w:p>
      <w:pPr>
        <w:spacing w:after="0" w:line="90" w:lineRule="exact"/>
        <w:rPr>
          <w:sz w:val="20"/>
          <w:szCs w:val="20"/>
          <w:color w:val="auto"/>
        </w:rPr>
      </w:pPr>
    </w:p>
    <w:p>
      <w:pPr>
        <w:ind w:right="1100" w:firstLine="921"/>
        <w:spacing w:after="0" w:line="268" w:lineRule="auto"/>
        <w:tabs>
          <w:tab w:leader="none" w:pos="1152"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who becomes an employee of a Participating Company and has an Annual Rate of Pay of $200,000 or more as of his employment commencement date, or</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who has an Annual Rate of Pay that is increased to $200,000 or more and who, immediately preceding such increase, was not an Eligible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Employee.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2.29. “</w:t>
      </w:r>
      <w:r>
        <w:rPr>
          <w:rFonts w:ascii="Arial" w:cs="Arial" w:eastAsia="Arial" w:hAnsi="Arial"/>
          <w:sz w:val="18"/>
          <w:szCs w:val="18"/>
          <w:u w:val="single" w:color="auto"/>
          <w:color w:val="auto"/>
        </w:rPr>
        <w:t>Normal Retirement</w:t>
      </w:r>
      <w:r>
        <w:rPr>
          <w:rFonts w:ascii="Arial" w:cs="Arial" w:eastAsia="Arial" w:hAnsi="Arial"/>
          <w:sz w:val="18"/>
          <w:szCs w:val="18"/>
          <w:color w:val="auto"/>
        </w:rPr>
        <w:t>” means:</w:t>
      </w:r>
    </w:p>
    <w:p>
      <w:pPr>
        <w:spacing w:after="0" w:line="90" w:lineRule="exact"/>
        <w:rPr>
          <w:sz w:val="20"/>
          <w:szCs w:val="20"/>
          <w:color w:val="auto"/>
        </w:rPr>
      </w:pPr>
    </w:p>
    <w:p>
      <w:pPr>
        <w:ind w:right="540" w:firstLine="921"/>
        <w:spacing w:after="0" w:line="332" w:lineRule="auto"/>
        <w:tabs>
          <w:tab w:leader="none" w:pos="1152" w:val="left"/>
        </w:tabs>
        <w:numPr>
          <w:ilvl w:val="0"/>
          <w:numId w:val="21"/>
        </w:numPr>
        <w:rPr>
          <w:rFonts w:ascii="Arial" w:cs="Arial" w:eastAsia="Arial" w:hAnsi="Arial"/>
          <w:sz w:val="16"/>
          <w:szCs w:val="16"/>
          <w:color w:val="auto"/>
        </w:rPr>
      </w:pPr>
      <w:r>
        <w:rPr>
          <w:rFonts w:ascii="Arial" w:cs="Arial" w:eastAsia="Arial" w:hAnsi="Arial"/>
          <w:sz w:val="16"/>
          <w:szCs w:val="16"/>
          <w:color w:val="auto"/>
        </w:rPr>
        <w:t>For a Participant who is an employee of a Participating Company immediately preceding his termination of employment, a termination of employment that is treated by the Participating Company as a retirement under its employment policies and practices as in effect from time to time; and</w:t>
      </w:r>
    </w:p>
    <w:p>
      <w:pPr>
        <w:spacing w:after="0" w:line="85" w:lineRule="exact"/>
        <w:rPr>
          <w:rFonts w:ascii="Arial" w:cs="Arial" w:eastAsia="Arial" w:hAnsi="Arial"/>
          <w:sz w:val="16"/>
          <w:szCs w:val="16"/>
          <w:color w:val="auto"/>
        </w:rPr>
      </w:pPr>
    </w:p>
    <w:p>
      <w:pPr>
        <w:ind w:left="1160" w:hanging="239"/>
        <w:spacing w:after="0"/>
        <w:tabs>
          <w:tab w:leader="none" w:pos="11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For a Participant who is an Outside Director immediately preceding his termination of service, his normal retirement from the Board.</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2.30. “</w:t>
      </w:r>
      <w:r>
        <w:rPr>
          <w:rFonts w:ascii="Arial" w:cs="Arial" w:eastAsia="Arial" w:hAnsi="Arial"/>
          <w:sz w:val="18"/>
          <w:szCs w:val="18"/>
          <w:u w:val="single" w:color="auto"/>
          <w:color w:val="auto"/>
        </w:rPr>
        <w:t>Outside Director</w:t>
      </w:r>
      <w:r>
        <w:rPr>
          <w:rFonts w:ascii="Arial" w:cs="Arial" w:eastAsia="Arial" w:hAnsi="Arial"/>
          <w:sz w:val="18"/>
          <w:szCs w:val="18"/>
          <w:color w:val="auto"/>
        </w:rPr>
        <w:t>” means a member of the Board, who is not an employee of a Participating Company.</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2.31. “</w:t>
      </w:r>
      <w:r>
        <w:rPr>
          <w:rFonts w:ascii="Arial" w:cs="Arial" w:eastAsia="Arial" w:hAnsi="Arial"/>
          <w:sz w:val="16"/>
          <w:szCs w:val="16"/>
          <w:u w:val="single" w:color="auto"/>
          <w:color w:val="auto"/>
        </w:rPr>
        <w:t>Participant</w:t>
      </w:r>
      <w:r>
        <w:rPr>
          <w:rFonts w:ascii="Arial" w:cs="Arial" w:eastAsia="Arial" w:hAnsi="Arial"/>
          <w:sz w:val="16"/>
          <w:szCs w:val="16"/>
          <w:color w:val="auto"/>
        </w:rPr>
        <w:t>” means each individual who has made an Initial Election, or for whom an Account is established pursuant to Section 5.1, and who has an undistributed amount credited to an Account under the Plan, including an Active Participant, a Deceased Participant and an Inactive Participant.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2.32. “</w:t>
      </w:r>
      <w:r>
        <w:rPr>
          <w:rFonts w:ascii="Arial" w:cs="Arial" w:eastAsia="Arial" w:hAnsi="Arial"/>
          <w:sz w:val="18"/>
          <w:szCs w:val="18"/>
          <w:u w:val="single" w:color="auto"/>
          <w:color w:val="auto"/>
        </w:rPr>
        <w:t>Participating Company</w:t>
      </w:r>
      <w:r>
        <w:rPr>
          <w:rFonts w:ascii="Arial" w:cs="Arial" w:eastAsia="Arial" w:hAnsi="Arial"/>
          <w:sz w:val="18"/>
          <w:szCs w:val="18"/>
          <w:color w:val="auto"/>
        </w:rPr>
        <w:t>” means:</w:t>
      </w:r>
    </w:p>
    <w:p>
      <w:pPr>
        <w:spacing w:after="0" w:line="90" w:lineRule="exact"/>
        <w:rPr>
          <w:sz w:val="20"/>
          <w:szCs w:val="20"/>
          <w:color w:val="auto"/>
        </w:rPr>
      </w:pPr>
    </w:p>
    <w:p>
      <w:pPr>
        <w:ind w:left="1160" w:hanging="239"/>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Comcast Business Communications, Inc.;</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Comcast Cable Communications Holdings, Inc. and its subsidiaries;</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Comcast Cable Communications, LLC, and its subsidiaries;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80" w:right="279" w:bottom="1440" w:gutter="0" w:footer="0" w:header="0"/>
        </w:sectPr>
      </w:pPr>
    </w:p>
    <w:bookmarkStart w:id="41" w:name="page42"/>
    <w:bookmarkEnd w:id="41"/>
    <w:p>
      <w:pPr>
        <w:ind w:left="1160" w:hanging="239"/>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Capital Corporation;</w:t>
      </w:r>
    </w:p>
    <w:p>
      <w:pPr>
        <w:spacing w:after="0" w:line="171" w:lineRule="exact"/>
        <w:rPr>
          <w:rFonts w:ascii="Arial" w:cs="Arial" w:eastAsia="Arial" w:hAnsi="Arial"/>
          <w:sz w:val="18"/>
          <w:szCs w:val="18"/>
          <w:color w:val="auto"/>
        </w:rPr>
      </w:pPr>
    </w:p>
    <w:p>
      <w:pPr>
        <w:ind w:left="1140" w:hanging="219"/>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Comcast Holdings Corporation;</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Comcast International Holdings, Inc.;</w:t>
      </w:r>
    </w:p>
    <w:p>
      <w:pPr>
        <w:spacing w:after="0" w:line="171" w:lineRule="exact"/>
        <w:rPr>
          <w:rFonts w:ascii="Arial" w:cs="Arial" w:eastAsia="Arial" w:hAnsi="Arial"/>
          <w:sz w:val="18"/>
          <w:szCs w:val="18"/>
          <w:color w:val="auto"/>
        </w:rPr>
      </w:pPr>
    </w:p>
    <w:p>
      <w:pPr>
        <w:ind w:firstLine="921"/>
        <w:spacing w:after="0" w:line="268" w:lineRule="auto"/>
        <w:tabs>
          <w:tab w:leader="none" w:pos="1162"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Comcast Shared Services Corporation (“CSSC”), to the extent individual employees of CSSC or groups of CSSC employees, categorized by their secondment, are designated as eligible to participate by the Committee or its delegate;</w:t>
      </w:r>
    </w:p>
    <w:p>
      <w:pPr>
        <w:spacing w:after="0" w:line="131" w:lineRule="exact"/>
        <w:rPr>
          <w:rFonts w:ascii="Arial" w:cs="Arial" w:eastAsia="Arial" w:hAnsi="Arial"/>
          <w:sz w:val="18"/>
          <w:szCs w:val="18"/>
          <w:color w:val="auto"/>
        </w:rPr>
      </w:pPr>
    </w:p>
    <w:p>
      <w:pPr>
        <w:ind w:left="1140" w:hanging="219"/>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Comcast Sports Management Services, LLC;</w:t>
      </w:r>
    </w:p>
    <w:p>
      <w:pPr>
        <w:spacing w:after="0" w:line="171" w:lineRule="exact"/>
        <w:rPr>
          <w:rFonts w:ascii="Arial" w:cs="Arial" w:eastAsia="Arial" w:hAnsi="Arial"/>
          <w:sz w:val="18"/>
          <w:szCs w:val="18"/>
          <w:color w:val="auto"/>
        </w:rPr>
      </w:pPr>
    </w:p>
    <w:p>
      <w:pPr>
        <w:ind w:left="1140" w:hanging="219"/>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Comcast SportsNet Mid-Atlantic GP, LLC and its subsidiaries;</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 Entertainment, Inc. and its subsidiaries;</w:t>
      </w:r>
    </w:p>
    <w:p>
      <w:pPr>
        <w:spacing w:after="0" w:line="171" w:lineRule="exact"/>
        <w:rPr>
          <w:rFonts w:ascii="Arial" w:cs="Arial" w:eastAsia="Arial" w:hAnsi="Arial"/>
          <w:sz w:val="18"/>
          <w:szCs w:val="18"/>
          <w:color w:val="auto"/>
        </w:rPr>
      </w:pPr>
    </w:p>
    <w:p>
      <w:pPr>
        <w:ind w:left="1140" w:hanging="219"/>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SportsChannel Pacific Associates; and</w:t>
      </w:r>
    </w:p>
    <w:p>
      <w:pPr>
        <w:spacing w:after="0" w:line="171" w:lineRule="exact"/>
        <w:rPr>
          <w:rFonts w:ascii="Arial" w:cs="Arial" w:eastAsia="Arial" w:hAnsi="Arial"/>
          <w:sz w:val="18"/>
          <w:szCs w:val="18"/>
          <w:color w:val="auto"/>
        </w:rPr>
      </w:pPr>
    </w:p>
    <w:p>
      <w:pPr>
        <w:ind w:left="1220" w:hanging="299"/>
        <w:spacing w:after="0"/>
        <w:tabs>
          <w:tab w:leader="none" w:pos="1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other entities that are subsidiaries of the Company as designated by the Committee or its delegate.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2.33. “</w:t>
      </w:r>
      <w:r>
        <w:rPr>
          <w:rFonts w:ascii="Arial" w:cs="Arial" w:eastAsia="Arial" w:hAnsi="Arial"/>
          <w:sz w:val="18"/>
          <w:szCs w:val="18"/>
          <w:u w:val="single" w:color="auto"/>
          <w:color w:val="auto"/>
        </w:rPr>
        <w:t>Performance-Based Compensation</w:t>
      </w:r>
      <w:r>
        <w:rPr>
          <w:rFonts w:ascii="Arial" w:cs="Arial" w:eastAsia="Arial" w:hAnsi="Arial"/>
          <w:sz w:val="18"/>
          <w:szCs w:val="18"/>
          <w:color w:val="auto"/>
        </w:rPr>
        <w:t>” means “Performance-Based Compensation” within the meaning of Section 409A.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2.34. “</w:t>
      </w:r>
      <w:r>
        <w:rPr>
          <w:rFonts w:ascii="Arial" w:cs="Arial" w:eastAsia="Arial" w:hAnsi="Arial"/>
          <w:sz w:val="16"/>
          <w:szCs w:val="16"/>
          <w:u w:val="single" w:color="auto"/>
          <w:color w:val="auto"/>
        </w:rPr>
        <w:t>Performance Period</w:t>
      </w:r>
      <w:r>
        <w:rPr>
          <w:rFonts w:ascii="Arial" w:cs="Arial" w:eastAsia="Arial" w:hAnsi="Arial"/>
          <w:sz w:val="16"/>
          <w:szCs w:val="16"/>
          <w:color w:val="auto"/>
        </w:rPr>
        <w:t>” means a period of at least 12 months during which a Participant may earn Performance-Based Compensation.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2.35. “</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 partnership, an association, a trust or any other entity or organization.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2.36. “</w:t>
      </w:r>
      <w:r>
        <w:rPr>
          <w:rFonts w:ascii="Arial" w:cs="Arial" w:eastAsia="Arial" w:hAnsi="Arial"/>
          <w:sz w:val="18"/>
          <w:szCs w:val="18"/>
          <w:u w:val="single" w:color="auto"/>
          <w:color w:val="auto"/>
        </w:rPr>
        <w:t>Plan</w:t>
      </w:r>
      <w:r>
        <w:rPr>
          <w:rFonts w:ascii="Arial" w:cs="Arial" w:eastAsia="Arial" w:hAnsi="Arial"/>
          <w:sz w:val="18"/>
          <w:szCs w:val="18"/>
          <w:color w:val="auto"/>
        </w:rPr>
        <w:t>” means the Comcast Corporation 2005 Deferred Compensation Plan, as set forth herein, and as amended from time to time.</w:t>
      </w:r>
    </w:p>
    <w:p>
      <w:pPr>
        <w:spacing w:after="0" w:line="171"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2.37. “</w:t>
      </w:r>
      <w:r>
        <w:rPr>
          <w:rFonts w:ascii="Arial" w:cs="Arial" w:eastAsia="Arial" w:hAnsi="Arial"/>
          <w:sz w:val="18"/>
          <w:szCs w:val="18"/>
          <w:u w:val="single" w:color="auto"/>
          <w:color w:val="auto"/>
        </w:rPr>
        <w:t>Prime Rate</w:t>
      </w:r>
      <w:r>
        <w:rPr>
          <w:rFonts w:ascii="Arial" w:cs="Arial" w:eastAsia="Arial" w:hAnsi="Arial"/>
          <w:sz w:val="18"/>
          <w:szCs w:val="18"/>
          <w:color w:val="auto"/>
        </w:rPr>
        <w:t xml:space="preserve">” means, for any calendar year, the interest rate that, when compounded daily pursuant to rules established by the Administrator from time to time, is mathematically equivalent to the prime rate of interest (compounded annually) as published in the Eastern Edition of </w:t>
      </w:r>
      <w:r>
        <w:rPr>
          <w:rFonts w:ascii="Arial" w:cs="Arial" w:eastAsia="Arial" w:hAnsi="Arial"/>
          <w:sz w:val="18"/>
          <w:szCs w:val="18"/>
          <w:u w:val="single" w:color="auto"/>
          <w:color w:val="auto"/>
        </w:rPr>
        <w:t>The Wall Street Journal</w:t>
      </w:r>
      <w:r>
        <w:rPr>
          <w:rFonts w:ascii="Arial" w:cs="Arial" w:eastAsia="Arial" w:hAnsi="Arial"/>
          <w:sz w:val="18"/>
          <w:szCs w:val="18"/>
          <w:color w:val="auto"/>
        </w:rPr>
        <w:t xml:space="preserve"> on the last business day preceding the first day of such calendar year, and as adjusted as of the last business day preceding the first day of each calendar year beginning thereafter.</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2.38. “</w:t>
      </w:r>
      <w:r>
        <w:rPr>
          <w:rFonts w:ascii="Arial" w:cs="Arial" w:eastAsia="Arial" w:hAnsi="Arial"/>
          <w:sz w:val="18"/>
          <w:szCs w:val="18"/>
          <w:u w:val="single" w:color="auto"/>
          <w:color w:val="auto"/>
        </w:rPr>
        <w:t>Prior Plan</w:t>
      </w:r>
      <w:r>
        <w:rPr>
          <w:rFonts w:ascii="Arial" w:cs="Arial" w:eastAsia="Arial" w:hAnsi="Arial"/>
          <w:sz w:val="18"/>
          <w:szCs w:val="18"/>
          <w:color w:val="auto"/>
        </w:rPr>
        <w:t>” means the Comcast Corporation 2002 Deferred Compensation Plan.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2.39. “</w:t>
      </w:r>
      <w:r>
        <w:rPr>
          <w:rFonts w:ascii="Arial" w:cs="Arial" w:eastAsia="Arial" w:hAnsi="Arial"/>
          <w:sz w:val="18"/>
          <w:szCs w:val="18"/>
          <w:u w:val="single" w:color="auto"/>
          <w:color w:val="auto"/>
        </w:rPr>
        <w:t>Retired Participant</w:t>
      </w:r>
      <w:r>
        <w:rPr>
          <w:rFonts w:ascii="Arial" w:cs="Arial" w:eastAsia="Arial" w:hAnsi="Arial"/>
          <w:sz w:val="18"/>
          <w:szCs w:val="18"/>
          <w:color w:val="auto"/>
        </w:rPr>
        <w:t>” means a Participant who has terminated service pursuant to a Normal Retirement.</w:t>
      </w:r>
    </w:p>
    <w:p>
      <w:pPr>
        <w:spacing w:after="0" w:line="17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2.40. “</w:t>
      </w:r>
      <w:r>
        <w:rPr>
          <w:rFonts w:ascii="Arial" w:cs="Arial" w:eastAsia="Arial" w:hAnsi="Arial"/>
          <w:sz w:val="18"/>
          <w:szCs w:val="18"/>
          <w:u w:val="single" w:color="auto"/>
          <w:color w:val="auto"/>
        </w:rPr>
        <w:t>Severance Pay</w:t>
      </w:r>
      <w:r>
        <w:rPr>
          <w:rFonts w:ascii="Arial" w:cs="Arial" w:eastAsia="Arial" w:hAnsi="Arial"/>
          <w:sz w:val="18"/>
          <w:szCs w:val="18"/>
          <w:color w:val="auto"/>
        </w:rPr>
        <w:t>” means any amount that is payable in cash and is identified by a Participating Company as severance pay, or any amount which is payable on account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periods beginning after the last date on which an employee (or former employee) is required to report for work for a Participating Company.</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2.41. “</w:t>
      </w:r>
      <w:r>
        <w:rPr>
          <w:rFonts w:ascii="Arial" w:cs="Arial" w:eastAsia="Arial" w:hAnsi="Arial"/>
          <w:sz w:val="18"/>
          <w:szCs w:val="18"/>
          <w:u w:val="single" w:color="auto"/>
          <w:color w:val="auto"/>
        </w:rPr>
        <w:t>Subsequent Election</w:t>
      </w:r>
      <w:r>
        <w:rPr>
          <w:rFonts w:ascii="Arial" w:cs="Arial" w:eastAsia="Arial" w:hAnsi="Arial"/>
          <w:sz w:val="18"/>
          <w:szCs w:val="18"/>
          <w:color w:val="auto"/>
        </w:rPr>
        <w:t>” means a written election on a form provided by the Administrator, filed with the Administrator in accordance with Article 3, pursuant to which a Participant or Beneficiary may elect to defer the time of payment of amounts previously deferred in accordance with the terms of a previously made Initial Election or Subsequent Election.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2.42. “</w:t>
      </w:r>
      <w:r>
        <w:rPr>
          <w:rFonts w:ascii="Arial" w:cs="Arial" w:eastAsia="Arial" w:hAnsi="Arial"/>
          <w:sz w:val="16"/>
          <w:szCs w:val="16"/>
          <w:u w:val="single" w:color="auto"/>
          <w:color w:val="auto"/>
        </w:rPr>
        <w:t>Surviving Spouse</w:t>
      </w:r>
      <w:r>
        <w:rPr>
          <w:rFonts w:ascii="Arial" w:cs="Arial" w:eastAsia="Arial" w:hAnsi="Arial"/>
          <w:sz w:val="16"/>
          <w:szCs w:val="16"/>
          <w:color w:val="auto"/>
        </w:rPr>
        <w:t>” means the widow or widower, as the case may be, of a Deceased Participant or a Deceased Beneficiary (as applicable).</w:t>
      </w:r>
    </w:p>
    <w:p>
      <w:pPr>
        <w:spacing w:after="0" w:line="194"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2.43. “</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together with such Person’s Affiliates, provided that the term “Third Party” shall not include the Company or an Affiliate of the Company.</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 – INITIAL AND SUBSEQUENT ELECTIONS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Elections.</w:t>
      </w:r>
    </w:p>
    <w:p>
      <w:pPr>
        <w:spacing w:after="0" w:line="90" w:lineRule="exact"/>
        <w:rPr>
          <w:sz w:val="20"/>
          <w:szCs w:val="20"/>
          <w:color w:val="auto"/>
        </w:rPr>
      </w:pPr>
    </w:p>
    <w:p>
      <w:pPr>
        <w:ind w:right="80" w:firstLine="921"/>
        <w:spacing w:after="0" w:line="289" w:lineRule="auto"/>
        <w:tabs>
          <w:tab w:leader="none" w:pos="1152"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Initial Elections</w:t>
      </w:r>
      <w:r>
        <w:rPr>
          <w:rFonts w:ascii="Arial" w:cs="Arial" w:eastAsia="Arial" w:hAnsi="Arial"/>
          <w:sz w:val="16"/>
          <w:szCs w:val="16"/>
          <w:color w:val="auto"/>
        </w:rPr>
        <w:t>. Each Outside Director and Eligible Employee shall have the right to defer all or any portion of the Compensation that he would otherwise be entitled to receive for a calendar year (net of applicable withholdings) by filing an Initial Election at the time and in the manner described in this Article 3. The Compensation of such Outside Director or Eligible Employee for a calendar year shall be reduced in an amount equal to the portion of the Compensation deferred by such Outside Director or Eligible Employee for such calendar year pursuant to such Outside Director’s or Eligible Employee’s Initial Election. Such reduction shall be effected on a pro rata basis from each periodic installment payment of such Outside Director’s or Eligible Employee’s Compensation for the calendar year (in accordance with the general pay practices of the Participating Company), and credited, as a bookkeeping entry, to such Outside Director’s or Eligible Employee’s Account in accordance with Section 5.1. Amounts credited to the Accounts of Outside Directors in the form of Company Stock shall be credited to the Company Stock Fund and credited with income, gains and losses in accordance with Section 5.2(c).</w:t>
      </w:r>
    </w:p>
    <w:p>
      <w:pPr>
        <w:spacing w:after="0" w:line="118" w:lineRule="exact"/>
        <w:rPr>
          <w:rFonts w:ascii="Arial" w:cs="Arial" w:eastAsia="Arial" w:hAnsi="Arial"/>
          <w:sz w:val="16"/>
          <w:szCs w:val="16"/>
          <w:color w:val="auto"/>
        </w:rPr>
      </w:pPr>
    </w:p>
    <w:p>
      <w:pPr>
        <w:ind w:right="520" w:firstLine="921"/>
        <w:spacing w:after="0" w:line="259" w:lineRule="auto"/>
        <w:tabs>
          <w:tab w:leader="none" w:pos="1161"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Subsequent Elections</w:t>
      </w:r>
      <w:r>
        <w:rPr>
          <w:rFonts w:ascii="Arial" w:cs="Arial" w:eastAsia="Arial" w:hAnsi="Arial"/>
          <w:sz w:val="18"/>
          <w:szCs w:val="18"/>
          <w:color w:val="auto"/>
        </w:rPr>
        <w:t>. Each Participant or Beneficiary shall have the right to elect to defer the time of payment or to change the manner of payment of amounts previously deferred in accordance with the terms of a previously made Initial Election pursuant to the terms of the Plan by filing a Subsequent Election at the time, to the extent, and in the manner described in this Article 3.</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Filing of Initial Election: General</w:t>
      </w:r>
      <w:r>
        <w:rPr>
          <w:rFonts w:ascii="Arial" w:cs="Arial" w:eastAsia="Arial" w:hAnsi="Arial"/>
          <w:sz w:val="18"/>
          <w:szCs w:val="18"/>
          <w:color w:val="auto"/>
        </w:rPr>
        <w:t>. An Initial Election shall be made on the form provided by the Administrator for this purpose. Except as provided in Section 3.3, no such Initial Election shall be effective with respect to Compensation other than Performance-Based Compensation unless it is filed with the Administrator on or before December 31 of the calendar year preceding the calendar year to which the Initial Election applies. No such Initial Election shall be effective with respect to Performance-Based Compensation unless it is filed with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43" w:name="page44"/>
    <w:bookmarkEnd w:id="4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Administrator at least six months before the end of the Performance Period during which such Performance-Based Compensation may be earned.</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Filing of Initial Election by New Key Employees and New Outside Directors</w:t>
      </w:r>
      <w:r>
        <w:rPr>
          <w:rFonts w:ascii="Arial" w:cs="Arial" w:eastAsia="Arial" w:hAnsi="Arial"/>
          <w:sz w:val="18"/>
          <w:szCs w:val="18"/>
          <w:color w:val="auto"/>
        </w:rPr>
        <w:t>.</w:t>
      </w:r>
    </w:p>
    <w:p>
      <w:pPr>
        <w:spacing w:after="0" w:line="171" w:lineRule="exact"/>
        <w:rPr>
          <w:sz w:val="20"/>
          <w:szCs w:val="20"/>
          <w:color w:val="auto"/>
        </w:rPr>
      </w:pPr>
    </w:p>
    <w:p>
      <w:pPr>
        <w:ind w:right="40" w:firstLine="921"/>
        <w:spacing w:after="0" w:line="289" w:lineRule="auto"/>
        <w:tabs>
          <w:tab w:leader="none" w:pos="1152"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New Key Employees</w:t>
      </w:r>
      <w:r>
        <w:rPr>
          <w:rFonts w:ascii="Arial" w:cs="Arial" w:eastAsia="Arial" w:hAnsi="Arial"/>
          <w:sz w:val="16"/>
          <w:szCs w:val="16"/>
          <w:color w:val="auto"/>
        </w:rPr>
        <w:t>. Notwithstanding Section 3.1 and Section 3.2, a New Key Employee may elect to defer (i) all or any portion of the base salary portion of his Compensation that he would otherwise be entitled to receive based on services performed in the calendar year in which the New Key Employee was hired or promoted, beginning with the payroll period next following the filing of an Initial Election with the Administrator and before the close of such calendar year, and (ii) all or any portion of the Performance-Based Compensation that he would otherwise be entitled to receive based on services performed for Performance Periods that include the calendar year in which the New Key Employee was hired or promoted and after the filing of the Initial Election, by making and filing the Initial Election with the Administrator within 30 days of such New Key Employee’s date of hire or within 30 days of the date such New Key Employee first becomes eligible to participate in the Plan. Any Initial Election by such New Key Employee for succeeding calendar years shall be made in accordance with Section 3.1 and Section 3.2.</w:t>
      </w:r>
    </w:p>
    <w:p>
      <w:pPr>
        <w:spacing w:after="0" w:line="118" w:lineRule="exact"/>
        <w:rPr>
          <w:rFonts w:ascii="Arial" w:cs="Arial" w:eastAsia="Arial" w:hAnsi="Arial"/>
          <w:sz w:val="16"/>
          <w:szCs w:val="16"/>
          <w:color w:val="auto"/>
        </w:rPr>
      </w:pPr>
    </w:p>
    <w:p>
      <w:pPr>
        <w:ind w:firstLine="921"/>
        <w:spacing w:after="0" w:line="254" w:lineRule="auto"/>
        <w:tabs>
          <w:tab w:leader="none" w:pos="1161"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New Outside Directors</w:t>
      </w:r>
      <w:r>
        <w:rPr>
          <w:rFonts w:ascii="Arial" w:cs="Arial" w:eastAsia="Arial" w:hAnsi="Arial"/>
          <w:sz w:val="18"/>
          <w:szCs w:val="18"/>
          <w:color w:val="auto"/>
        </w:rPr>
        <w:t>. Notwithstanding Section 3.1 and Section 3.2, an Outside Director may elect to defer all or any portion of his Compensation that he would otherwise be entitled to receive in the calendar year in which an Outside Director’s election as a member of the Board becomes effective (provided that such Outside Director is not a member of the Board immediately preceding such effective date), beginning with Compensation payable following the filing of an Initial Election with the Administrator and before the close of such calendar year by making and filing the Initial Election with the Administrator within 30 days of the effective date of such Outside Director’s election. Any Initial Election by such Outside Director for succeeding calendar years shall be made in accordance with Section 3.1 and Section 3.2</w:t>
      </w:r>
    </w:p>
    <w:p>
      <w:pPr>
        <w:spacing w:after="0" w:line="14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Calendar Years to which Initial Election May Apply</w:t>
      </w:r>
      <w:r>
        <w:rPr>
          <w:rFonts w:ascii="Arial" w:cs="Arial" w:eastAsia="Arial" w:hAnsi="Arial"/>
          <w:sz w:val="18"/>
          <w:szCs w:val="18"/>
          <w:color w:val="auto"/>
        </w:rPr>
        <w:t>. A separate Initial Election may be made for each calendar year as to which an Outside Director or Eligible Employee desires to defer all or any portion of such Outside Director’s or Eligible Employee’s Compensation. The failure of an Outside Director or Eligible Employee to make an Initial Election for any calendar year shall not affect such Outside Director’s or Eligible Employee’s right to make an Initial Election for any other calendar year.</w:t>
      </w:r>
    </w:p>
    <w:p>
      <w:pPr>
        <w:spacing w:after="0" w:line="143" w:lineRule="exact"/>
        <w:rPr>
          <w:sz w:val="20"/>
          <w:szCs w:val="20"/>
          <w:color w:val="auto"/>
        </w:rPr>
      </w:pPr>
    </w:p>
    <w:p>
      <w:pPr>
        <w:ind w:right="40" w:firstLine="921"/>
        <w:spacing w:after="0" w:line="254" w:lineRule="auto"/>
        <w:tabs>
          <w:tab w:leader="none" w:pos="1152"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Initial Election of Distribution Date</w:t>
      </w:r>
      <w:r>
        <w:rPr>
          <w:rFonts w:ascii="Arial" w:cs="Arial" w:eastAsia="Arial" w:hAnsi="Arial"/>
          <w:sz w:val="18"/>
          <w:szCs w:val="18"/>
          <w:color w:val="auto"/>
        </w:rPr>
        <w:t>. Each Outside Director or Eligible Employee shall, contemporaneously with an Initial Election, also elect the time of payment of the amount of the deferred Compensation to which such Initial Election relates; provided, however, that, subject to acceleration (to the extent permitted under Section 409A) pursuant to Section 3.5(e), Section 3.7, Section 7.1, Section 7.2, or Article 8, no distribution may commence earlier than January 2nd of the second calendar year beginning after the date the compensation subject to the Initial Election would be paid but for the Initial Election, nor later than January 2nd of the tenth calendar year beginning after the date the date the compensation subject to the Initial Election would be paid but for the Initial Election. Further, each Outside Director or</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Eligible Employee may select with each Initial Election the manner of distribution in accordance with Article 4.</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Subsequent Elections and Elections to Accelerate Payment on Death or Disability</w:t>
      </w:r>
      <w:r>
        <w:rPr>
          <w:rFonts w:ascii="Arial" w:cs="Arial" w:eastAsia="Arial" w:hAnsi="Arial"/>
          <w:sz w:val="18"/>
          <w:szCs w:val="18"/>
          <w:color w:val="auto"/>
        </w:rPr>
        <w:t>. No Subsequent Election shall be effective until 12 months after the date on which such Subsequent Election is made.</w:t>
      </w:r>
    </w:p>
    <w:p>
      <w:pPr>
        <w:spacing w:after="0" w:line="51" w:lineRule="exact"/>
        <w:rPr>
          <w:sz w:val="20"/>
          <w:szCs w:val="20"/>
          <w:color w:val="auto"/>
        </w:rPr>
      </w:pPr>
    </w:p>
    <w:p>
      <w:pPr>
        <w:ind w:right="260" w:firstLine="921"/>
        <w:spacing w:after="0" w:line="298" w:lineRule="auto"/>
        <w:tabs>
          <w:tab w:leader="none" w:pos="1152"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Active Participants</w:t>
      </w:r>
      <w:r>
        <w:rPr>
          <w:rFonts w:ascii="Arial" w:cs="Arial" w:eastAsia="Arial" w:hAnsi="Arial"/>
          <w:sz w:val="16"/>
          <w:szCs w:val="16"/>
          <w:color w:val="auto"/>
        </w:rPr>
        <w:t>. Each Active Participant, who has made an Initial Election, or who has made a Subsequent Election, may elect to defer the time of payment of any part or all of such Participant’s Account for a minimum of five and a maximum of ten additional years from the previously-elected payment date, by filing a Subsequent Election with the Administrator at least 12 months before the lump-sum distribution or initial installment payment would otherwise be made. The number of Subsequent Elections under this Section 3.5(a) shall not be limited.</w:t>
      </w:r>
    </w:p>
    <w:p>
      <w:pPr>
        <w:spacing w:after="0" w:line="112" w:lineRule="exact"/>
        <w:rPr>
          <w:rFonts w:ascii="Arial" w:cs="Arial" w:eastAsia="Arial" w:hAnsi="Arial"/>
          <w:sz w:val="16"/>
          <w:szCs w:val="16"/>
          <w:color w:val="auto"/>
        </w:rPr>
      </w:pPr>
    </w:p>
    <w:p>
      <w:pPr>
        <w:ind w:right="40" w:firstLine="921"/>
        <w:spacing w:after="0" w:line="255" w:lineRule="auto"/>
        <w:tabs>
          <w:tab w:leader="none" w:pos="1161"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Inactive Participants</w:t>
      </w:r>
      <w:r>
        <w:rPr>
          <w:rFonts w:ascii="Arial" w:cs="Arial" w:eastAsia="Arial" w:hAnsi="Arial"/>
          <w:sz w:val="18"/>
          <w:szCs w:val="18"/>
          <w:color w:val="auto"/>
        </w:rPr>
        <w:t>. The Committee may, in its sole and absolute discretion, permit an Inactive Participant to make a Subsequent Election defer the time of payment of any part or all of such Inactive Participant’s Account for a minimum of five years and a maximum of ten additional years from the previously-elected payment date, by filing a Subsequent Election with the Administrator at least 12 months before the lump-sum distribution or initial installment payment would otherwise be made. The number of Subsequent Elections under this Section 3.5(b) shall be determined by the Committee in its sole and absolute discretion.</w:t>
      </w:r>
    </w:p>
    <w:p>
      <w:pPr>
        <w:spacing w:after="0" w:line="61" w:lineRule="exact"/>
        <w:rPr>
          <w:rFonts w:ascii="Arial" w:cs="Arial" w:eastAsia="Arial" w:hAnsi="Arial"/>
          <w:sz w:val="18"/>
          <w:szCs w:val="18"/>
          <w:color w:val="auto"/>
        </w:rPr>
      </w:pPr>
    </w:p>
    <w:p>
      <w:pPr>
        <w:ind w:left="1160" w:hanging="239"/>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Surviving Spouses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160" w:firstLine="1492"/>
        <w:spacing w:after="0" w:line="306" w:lineRule="auto"/>
        <w:tabs>
          <w:tab w:leader="none" w:pos="1693" w:val="left"/>
        </w:tabs>
        <w:numPr>
          <w:ilvl w:val="1"/>
          <w:numId w:val="27"/>
        </w:numPr>
        <w:rPr>
          <w:rFonts w:ascii="Arial" w:cs="Arial" w:eastAsia="Arial" w:hAnsi="Arial"/>
          <w:sz w:val="16"/>
          <w:szCs w:val="16"/>
          <w:color w:val="auto"/>
        </w:rPr>
      </w:pPr>
      <w:r>
        <w:rPr>
          <w:rFonts w:ascii="Arial" w:cs="Arial" w:eastAsia="Arial" w:hAnsi="Arial"/>
          <w:sz w:val="16"/>
          <w:szCs w:val="16"/>
          <w:u w:val="single" w:color="auto"/>
          <w:color w:val="auto"/>
        </w:rPr>
        <w:t>Acceleration Election</w:t>
      </w:r>
      <w:r>
        <w:rPr>
          <w:rFonts w:ascii="Arial" w:cs="Arial" w:eastAsia="Arial" w:hAnsi="Arial"/>
          <w:sz w:val="16"/>
          <w:szCs w:val="16"/>
          <w:color w:val="auto"/>
        </w:rPr>
        <w:t>. To the extent permitted under Section 409A (except to the extent that Section 3.7(b) applies), a Surviving Spouse who is a Deceased Participant’s Beneficiary may elect to accelerate the time of payment of the Deceased Participant’s Account from the date payment would otherwise be made to a time that is as soon as reasonably practicable following the Deceased Participant’s date of death.</w:t>
      </w:r>
    </w:p>
    <w:p>
      <w:pPr>
        <w:spacing w:after="0" w:line="106" w:lineRule="exact"/>
        <w:rPr>
          <w:rFonts w:ascii="Arial" w:cs="Arial" w:eastAsia="Arial" w:hAnsi="Arial"/>
          <w:sz w:val="16"/>
          <w:szCs w:val="16"/>
          <w:color w:val="auto"/>
        </w:rPr>
      </w:pPr>
    </w:p>
    <w:p>
      <w:pPr>
        <w:ind w:firstLine="1492"/>
        <w:spacing w:after="0" w:line="253" w:lineRule="auto"/>
        <w:tabs>
          <w:tab w:leader="none" w:pos="1742"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t>Subsequent Election</w:t>
      </w:r>
      <w:r>
        <w:rPr>
          <w:rFonts w:ascii="Arial" w:cs="Arial" w:eastAsia="Arial" w:hAnsi="Arial"/>
          <w:sz w:val="18"/>
          <w:szCs w:val="18"/>
          <w:color w:val="auto"/>
        </w:rPr>
        <w:t>. A Surviving Spouse who is a Deceased Participant’s Beneficiary may elect to defer the time of payment of any part or all of such Deceased Participant’s Account the payment of which would be made more than 12 months after the date of such election. Such election shall be made by filing a Subsequent Election with the Administrator in which the Surviving Spouse shall specify the change in the time of payment, which shall be no less than five (5) years nor more than ten (10) years from the previously-elected payment date, or such Surviving Spouse may elect to defer payment until such Surviving Spouse’s death. A Surviving Spouse may make a total of two (2) Subsequent Elections under this Section 3.5(c)(ii), with respect to all or any part of the Deceased Participant’s Account. Subsequent Elections pursuant to this Section 3.5(c)(ii) may specify different changes with respect to different parts of the Deceased Participant’s Account.</w:t>
      </w:r>
    </w:p>
    <w:p>
      <w:pPr>
        <w:spacing w:after="0" w:line="147" w:lineRule="exact"/>
        <w:rPr>
          <w:rFonts w:ascii="Arial" w:cs="Arial" w:eastAsia="Arial" w:hAnsi="Arial"/>
          <w:sz w:val="18"/>
          <w:szCs w:val="18"/>
          <w:color w:val="auto"/>
        </w:rPr>
      </w:pPr>
    </w:p>
    <w:p>
      <w:pPr>
        <w:ind w:left="1160" w:hanging="239"/>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Beneficiary of a Deceased Participant Other Than a Surviving Spouse.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45" w:name="page46"/>
    <w:bookmarkEnd w:id="45"/>
    <w:p>
      <w:pPr>
        <w:jc w:val="both"/>
        <w:ind w:right="220" w:firstLine="1492"/>
        <w:spacing w:after="0" w:line="306" w:lineRule="auto"/>
        <w:tabs>
          <w:tab w:leader="none" w:pos="1693" w:val="left"/>
        </w:tabs>
        <w:numPr>
          <w:ilvl w:val="1"/>
          <w:numId w:val="2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Acceleration Election</w:t>
      </w:r>
      <w:r>
        <w:rPr>
          <w:rFonts w:ascii="Arial" w:cs="Arial" w:eastAsia="Arial" w:hAnsi="Arial"/>
          <w:sz w:val="16"/>
          <w:szCs w:val="16"/>
          <w:color w:val="auto"/>
        </w:rPr>
        <w:t>. To the extent permitted under Section 409A (except to the extent that Section 3.7(b) applies), a Beneficiary of a Deceased Participant other than a Surviving Spouse may elect to accelerate the time of payment of the Deceased Participant’s Account from the date payment would otherwise be made to a time that is as soon as reasonably practicable following the Deceased Participant’s date of death.</w:t>
      </w:r>
    </w:p>
    <w:p>
      <w:pPr>
        <w:spacing w:after="0" w:line="106" w:lineRule="exact"/>
        <w:rPr>
          <w:rFonts w:ascii="Arial" w:cs="Arial" w:eastAsia="Arial" w:hAnsi="Arial"/>
          <w:sz w:val="16"/>
          <w:szCs w:val="16"/>
          <w:color w:val="auto"/>
        </w:rPr>
      </w:pPr>
    </w:p>
    <w:p>
      <w:pPr>
        <w:ind w:firstLine="1492"/>
        <w:spacing w:after="0" w:line="291" w:lineRule="auto"/>
        <w:tabs>
          <w:tab w:leader="none" w:pos="1742" w:val="left"/>
        </w:tabs>
        <w:numPr>
          <w:ilvl w:val="1"/>
          <w:numId w:val="28"/>
        </w:numPr>
        <w:rPr>
          <w:rFonts w:ascii="Arial" w:cs="Arial" w:eastAsia="Arial" w:hAnsi="Arial"/>
          <w:sz w:val="16"/>
          <w:szCs w:val="16"/>
          <w:color w:val="auto"/>
        </w:rPr>
      </w:pPr>
      <w:r>
        <w:rPr>
          <w:rFonts w:ascii="Arial" w:cs="Arial" w:eastAsia="Arial" w:hAnsi="Arial"/>
          <w:sz w:val="16"/>
          <w:szCs w:val="16"/>
          <w:u w:val="single" w:color="auto"/>
          <w:color w:val="auto"/>
        </w:rPr>
        <w:t>Subsequent Election</w:t>
      </w:r>
      <w:r>
        <w:rPr>
          <w:rFonts w:ascii="Arial" w:cs="Arial" w:eastAsia="Arial" w:hAnsi="Arial"/>
          <w:sz w:val="16"/>
          <w:szCs w:val="16"/>
          <w:color w:val="auto"/>
        </w:rPr>
        <w:t>. A Beneficiary of a Deceased Participant other than a Surviving Spouse may elect to defer the time of payment, of any part or all of such Deceased Participant’s Account the payment of which would be made more than 12 months after the date of such election. Such election shall be made by filing a Subsequent Election with the Administrator in which the Beneficiary shall specify the deferral of the time of payment, which shall be no less than five (5) years nor more than ten (10) years from the previously-elected payment date. A Beneficiary may make one (1) Subsequent Election under this Section 3.5(d)(i), with respect to all or any part of the Deceased Participant’s Account. Subsequent Elections pursuant to this Section 3.5(d)(i) may specify different changes with respect to different parts of the Deceased Participant’s Account.</w:t>
      </w:r>
    </w:p>
    <w:p>
      <w:pPr>
        <w:spacing w:after="0" w:line="120" w:lineRule="exact"/>
        <w:rPr>
          <w:rFonts w:ascii="Arial" w:cs="Arial" w:eastAsia="Arial" w:hAnsi="Arial"/>
          <w:sz w:val="16"/>
          <w:szCs w:val="16"/>
          <w:color w:val="auto"/>
        </w:rPr>
      </w:pPr>
    </w:p>
    <w:p>
      <w:pPr>
        <w:ind w:right="440" w:firstLine="921"/>
        <w:spacing w:after="0" w:line="259" w:lineRule="auto"/>
        <w:tabs>
          <w:tab w:leader="none" w:pos="1152"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Disabled Participant</w:t>
      </w:r>
      <w:r>
        <w:rPr>
          <w:rFonts w:ascii="Arial" w:cs="Arial" w:eastAsia="Arial" w:hAnsi="Arial"/>
          <w:sz w:val="18"/>
          <w:szCs w:val="18"/>
          <w:color w:val="auto"/>
        </w:rPr>
        <w:t>. To the extent permitted under Section 409A, a Disabled Participant may elect to accelerate the time of payment of the Disabled Participant’s Account from the date payment would otherwise be made to a time that is as soon as reasonably practicable following the time the Disability occurred.</w:t>
      </w:r>
    </w:p>
    <w:p>
      <w:pPr>
        <w:spacing w:after="0" w:line="140" w:lineRule="exact"/>
        <w:rPr>
          <w:rFonts w:ascii="Arial" w:cs="Arial" w:eastAsia="Arial" w:hAnsi="Arial"/>
          <w:sz w:val="18"/>
          <w:szCs w:val="18"/>
          <w:color w:val="auto"/>
        </w:rPr>
      </w:pPr>
    </w:p>
    <w:p>
      <w:pPr>
        <w:ind w:right="60" w:firstLine="921"/>
        <w:spacing w:after="0" w:line="291" w:lineRule="auto"/>
        <w:tabs>
          <w:tab w:leader="none" w:pos="1132"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Retired Participants and Disabled Participants</w:t>
      </w:r>
      <w:r>
        <w:rPr>
          <w:rFonts w:ascii="Arial" w:cs="Arial" w:eastAsia="Arial" w:hAnsi="Arial"/>
          <w:sz w:val="16"/>
          <w:szCs w:val="16"/>
          <w:color w:val="auto"/>
        </w:rPr>
        <w:t>. The Committee may, in its sole and absolute discretion, permit a Retired Participant or a Disabled Participant to make a Subsequent Election to defer the time of payment of any part or all of such Retired or Disabled Participant’s Account that would not otherwise become payable within twelve (12) months of such Subsequent Election for a minimum of five (5) years and a maximum of ten (10) additional years from the previously-elected payment date, by filing a Subsequent Election with the Administrator on or before the close of business on the date that is at least twelve (12) months before the date on which the lump-sum distribution or initial installment payment would otherwise be made. The number of Subsequent Elections under this Section 3.5(f) shall be determined by the Committee in its sole and absolute discretion.</w:t>
      </w:r>
    </w:p>
    <w:p>
      <w:pPr>
        <w:spacing w:after="0" w:line="120" w:lineRule="exact"/>
        <w:rPr>
          <w:rFonts w:ascii="Arial" w:cs="Arial" w:eastAsia="Arial" w:hAnsi="Arial"/>
          <w:sz w:val="16"/>
          <w:szCs w:val="16"/>
          <w:color w:val="auto"/>
        </w:rPr>
      </w:pPr>
    </w:p>
    <w:p>
      <w:pPr>
        <w:ind w:right="20" w:firstLine="921"/>
        <w:spacing w:after="0" w:line="335" w:lineRule="auto"/>
        <w:tabs>
          <w:tab w:leader="none" w:pos="1161" w:val="left"/>
        </w:tabs>
        <w:numPr>
          <w:ilvl w:val="0"/>
          <w:numId w:val="29"/>
        </w:numPr>
        <w:rPr>
          <w:rFonts w:ascii="Arial" w:cs="Arial" w:eastAsia="Arial" w:hAnsi="Arial"/>
          <w:sz w:val="15"/>
          <w:szCs w:val="15"/>
          <w:color w:val="auto"/>
        </w:rPr>
      </w:pPr>
      <w:r>
        <w:rPr>
          <w:rFonts w:ascii="Arial" w:cs="Arial" w:eastAsia="Arial" w:hAnsi="Arial"/>
          <w:sz w:val="15"/>
          <w:szCs w:val="15"/>
          <w:u w:val="single" w:color="auto"/>
          <w:color w:val="auto"/>
        </w:rPr>
        <w:t>Most Recently Filed Initial Election or Subsequent Election Controlling</w:t>
      </w:r>
      <w:r>
        <w:rPr>
          <w:rFonts w:ascii="Arial" w:cs="Arial" w:eastAsia="Arial" w:hAnsi="Arial"/>
          <w:sz w:val="15"/>
          <w:szCs w:val="15"/>
          <w:color w:val="auto"/>
        </w:rPr>
        <w:t>. Subject to acceleration pursuant to Section 3.5(e), Section 3.7 or Section 7.1 (to the extent permitted under Section 409A), no distribution of the amounts deferred by a Participant for any calendar year shall be made before the payment date designated by the Participant or Beneficiary on the most recently filed Initial Election or Subsequent Election with respect to each deferred amount.</w:t>
      </w:r>
    </w:p>
    <w:p>
      <w:pPr>
        <w:spacing w:after="0" w:line="88"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u w:val="single" w:color="auto"/>
          <w:color w:val="auto"/>
        </w:rPr>
        <w:t>Discretion to Provide for Distribution in Full Upon or Following a Change of Control</w:t>
      </w:r>
      <w:r>
        <w:rPr>
          <w:rFonts w:ascii="Arial" w:cs="Arial" w:eastAsia="Arial" w:hAnsi="Arial"/>
          <w:sz w:val="16"/>
          <w:szCs w:val="16"/>
          <w:color w:val="auto"/>
        </w:rPr>
        <w:t xml:space="preserve">. To the extent permitted by </w:t>
      </w:r>
      <w:r>
        <w:rPr>
          <w:rFonts w:ascii="Arial" w:cs="Arial" w:eastAsia="Arial" w:hAnsi="Arial"/>
          <w:sz w:val="16"/>
          <w:szCs w:val="16"/>
          <w:i w:val="1"/>
          <w:iCs w:val="1"/>
          <w:color w:val="auto"/>
        </w:rPr>
        <w:t>IRS Notice 2005-1</w:t>
      </w:r>
      <w:r>
        <w:rPr>
          <w:rFonts w:ascii="Arial" w:cs="Arial" w:eastAsia="Arial" w:hAnsi="Arial"/>
          <w:sz w:val="16"/>
          <w:szCs w:val="16"/>
          <w:color w:val="auto"/>
        </w:rPr>
        <w:t>, in connection with a Change of Control, and for the 12-month period following a Change of Control, the Committee may exercise its discretion to terminate the Plan and, notwithstanding any other provision of the Plan or the terms of any Initial Election or Subsequent Election, distribute the Account balance of each Participant in full and thereby effect the revocation of any outstanding Initial Elections or Subsequent Elections.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80" w:right="279" w:bottom="1440" w:gutter="0" w:footer="0" w:header="0"/>
        </w:sectPr>
      </w:pPr>
    </w:p>
    <w:bookmarkStart w:id="46" w:name="page47"/>
    <w:bookmarkEnd w:id="46"/>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3.7. </w:t>
      </w:r>
      <w:r>
        <w:rPr>
          <w:rFonts w:ascii="Arial" w:cs="Arial" w:eastAsia="Arial" w:hAnsi="Arial"/>
          <w:sz w:val="18"/>
          <w:szCs w:val="18"/>
          <w:u w:val="single" w:color="auto"/>
          <w:color w:val="auto"/>
        </w:rPr>
        <w:t>Withholding and Payment of Death Taxes</w:t>
      </w:r>
      <w:r>
        <w:rPr>
          <w:rFonts w:ascii="Arial" w:cs="Arial" w:eastAsia="Arial" w:hAnsi="Arial"/>
          <w:sz w:val="18"/>
          <w:szCs w:val="18"/>
          <w:color w:val="auto"/>
        </w:rPr>
        <w:t>.</w:t>
      </w:r>
    </w:p>
    <w:p>
      <w:pPr>
        <w:spacing w:after="0" w:line="90" w:lineRule="exact"/>
        <w:rPr>
          <w:sz w:val="20"/>
          <w:szCs w:val="20"/>
          <w:color w:val="auto"/>
        </w:rPr>
      </w:pPr>
    </w:p>
    <w:p>
      <w:pPr>
        <w:ind w:left="-40" w:right="20" w:firstLine="921"/>
        <w:spacing w:after="0" w:line="298" w:lineRule="auto"/>
        <w:tabs>
          <w:tab w:leader="none" w:pos="1112"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Notwithstanding any other provisions of this Plan to the contrary, including but not limited to the provisions of Article 3 and Article 7, or any Initial or Subsequent Election filed by a Deceased Participant or a Deceased Participant’s Beneficiary (for purposes of this Section, the “Decedent”), and to the extent permitted by </w:t>
      </w:r>
      <w:r>
        <w:rPr>
          <w:rFonts w:ascii="Arial" w:cs="Arial" w:eastAsia="Arial" w:hAnsi="Arial"/>
          <w:sz w:val="16"/>
          <w:szCs w:val="16"/>
          <w:i w:val="1"/>
          <w:iCs w:val="1"/>
          <w:color w:val="auto"/>
        </w:rPr>
        <w:t>IRS Notice 2005-1</w:t>
      </w:r>
      <w:r>
        <w:rPr>
          <w:rFonts w:ascii="Arial" w:cs="Arial" w:eastAsia="Arial" w:hAnsi="Arial"/>
          <w:sz w:val="16"/>
          <w:szCs w:val="16"/>
          <w:color w:val="auto"/>
        </w:rPr>
        <w:t>, the Administrator shall apply the terms of Section 3.7(b) to the Decedent’s Account unless the Decedent affirmatively has elected, in writing, filed with the Administrator, to waive the application of Section 3.7(b).</w:t>
      </w:r>
    </w:p>
    <w:p>
      <w:pPr>
        <w:spacing w:after="0" w:line="112" w:lineRule="exact"/>
        <w:rPr>
          <w:rFonts w:ascii="Arial" w:cs="Arial" w:eastAsia="Arial" w:hAnsi="Arial"/>
          <w:sz w:val="16"/>
          <w:szCs w:val="16"/>
          <w:color w:val="auto"/>
        </w:rPr>
      </w:pPr>
    </w:p>
    <w:p>
      <w:pPr>
        <w:ind w:left="-40" w:right="240" w:firstLine="921"/>
        <w:spacing w:after="0" w:line="268" w:lineRule="auto"/>
        <w:tabs>
          <w:tab w:leader="none" w:pos="1122"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Unless the Decedent affirmatively has elected, pursuant to Section 3.7(a), that the terms of this Section 3.7(b) not apply, but only to the extent permitted under Section 409A:</w:t>
      </w:r>
    </w:p>
    <w:p>
      <w:pPr>
        <w:spacing w:after="0" w:line="50" w:lineRule="exact"/>
        <w:rPr>
          <w:rFonts w:ascii="Arial" w:cs="Arial" w:eastAsia="Arial" w:hAnsi="Arial"/>
          <w:sz w:val="18"/>
          <w:szCs w:val="18"/>
          <w:color w:val="auto"/>
        </w:rPr>
      </w:pPr>
    </w:p>
    <w:p>
      <w:pPr>
        <w:ind w:left="-40" w:right="20" w:firstLine="1492"/>
        <w:spacing w:after="0" w:line="268" w:lineRule="auto"/>
        <w:tabs>
          <w:tab w:leader="none" w:pos="1653"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Administrator shall prohibit the Decedent’s Beneficiary from taking any action under any of the provisions of the Plan with regard to the Decedent’s Account other than the Beneficiary’s making of a Subsequent Election pursuant to Section 3.5;</w:t>
      </w:r>
    </w:p>
    <w:p>
      <w:pPr>
        <w:spacing w:after="0" w:line="131" w:lineRule="exact"/>
        <w:rPr>
          <w:rFonts w:ascii="Arial" w:cs="Arial" w:eastAsia="Arial" w:hAnsi="Arial"/>
          <w:sz w:val="18"/>
          <w:szCs w:val="18"/>
          <w:color w:val="auto"/>
        </w:rPr>
      </w:pPr>
    </w:p>
    <w:p>
      <w:pPr>
        <w:ind w:left="-40" w:right="140" w:firstLine="1492"/>
        <w:spacing w:after="0" w:line="268" w:lineRule="auto"/>
        <w:tabs>
          <w:tab w:leader="none" w:pos="1702"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Administrator shall defer payment of the Decedent’s Account until the later of the Death Tax Clearance Date and the payment date designated in the Decedent’s Initial Election or Subsequent Election;</w:t>
      </w:r>
    </w:p>
    <w:p>
      <w:pPr>
        <w:spacing w:after="0" w:line="131" w:lineRule="exact"/>
        <w:rPr>
          <w:rFonts w:ascii="Arial" w:cs="Arial" w:eastAsia="Arial" w:hAnsi="Arial"/>
          <w:sz w:val="18"/>
          <w:szCs w:val="18"/>
          <w:color w:val="auto"/>
        </w:rPr>
      </w:pPr>
    </w:p>
    <w:p>
      <w:pPr>
        <w:ind w:left="-40" w:right="300" w:firstLine="1492"/>
        <w:spacing w:after="0" w:line="298" w:lineRule="auto"/>
        <w:tabs>
          <w:tab w:leader="none" w:pos="1751" w:val="left"/>
        </w:tabs>
        <w:numPr>
          <w:ilvl w:val="1"/>
          <w:numId w:val="30"/>
        </w:numPr>
        <w:rPr>
          <w:rFonts w:ascii="Arial" w:cs="Arial" w:eastAsia="Arial" w:hAnsi="Arial"/>
          <w:sz w:val="16"/>
          <w:szCs w:val="16"/>
          <w:color w:val="auto"/>
        </w:rPr>
      </w:pPr>
      <w:r>
        <w:rPr>
          <w:rFonts w:ascii="Arial" w:cs="Arial" w:eastAsia="Arial" w:hAnsi="Arial"/>
          <w:sz w:val="16"/>
          <w:szCs w:val="16"/>
          <w:color w:val="auto"/>
        </w:rPr>
        <w:t>The Administrator shall withdraw from the Decedent’s Account such amount or amounts as the Decedent’s Personal Representative shall certify to the Administrator as being necessary to pay the Death Taxes apportioned against the Decedent’s Account; the Administrator shall remit the amounts so withdrawn to the Personal Representative, who shall apply the same to the payment of the Decedent’s Death Taxes, or the Administrator may pay such amounts directly to any taxing authority as payment on account of Decedent’s Death Taxes, as the Administrator elects;</w:t>
      </w:r>
    </w:p>
    <w:p>
      <w:pPr>
        <w:spacing w:after="0" w:line="112" w:lineRule="exact"/>
        <w:rPr>
          <w:rFonts w:ascii="Arial" w:cs="Arial" w:eastAsia="Arial" w:hAnsi="Arial"/>
          <w:sz w:val="16"/>
          <w:szCs w:val="16"/>
          <w:color w:val="auto"/>
        </w:rPr>
      </w:pPr>
    </w:p>
    <w:p>
      <w:pPr>
        <w:ind w:left="-40" w:right="160" w:firstLine="1492"/>
        <w:spacing w:after="0" w:line="291" w:lineRule="auto"/>
        <w:tabs>
          <w:tab w:leader="none" w:pos="1741" w:val="left"/>
        </w:tabs>
        <w:numPr>
          <w:ilvl w:val="1"/>
          <w:numId w:val="30"/>
        </w:numPr>
        <w:rPr>
          <w:rFonts w:ascii="Arial" w:cs="Arial" w:eastAsia="Arial" w:hAnsi="Arial"/>
          <w:sz w:val="16"/>
          <w:szCs w:val="16"/>
          <w:color w:val="auto"/>
        </w:rPr>
      </w:pPr>
      <w:r>
        <w:rPr>
          <w:rFonts w:ascii="Arial" w:cs="Arial" w:eastAsia="Arial" w:hAnsi="Arial"/>
          <w:sz w:val="16"/>
          <w:szCs w:val="16"/>
          <w:color w:val="auto"/>
        </w:rPr>
        <w:t>If the Administrator makes a withdrawal from the Decedent’s Account to pay the Decedent’s Death Taxes and such withdrawal causes the recognition of income to the Beneficiary, the Administrator shall pay to the Beneficiary from the Decedent’s Account, within thirty (30) days of the Beneficiary’s request, the amount necessary to enable the Beneficiary to pay the Beneficiary’s income tax liability resulting from such recognition of income; additionally, the Administrator shall pay to the Beneficiary from the Decedent’s Account, within thirty (30) days of the Beneficiary’s request, such additional amounts as are required to enable the Beneficiary to pay the Beneficiary’s income tax liability attributable to the Beneficiary’s recognition of income resulting from a distribution from the Decedent’s Account pursuant to this Section 3.7(b)(iv);</w:t>
      </w:r>
    </w:p>
    <w:p>
      <w:pPr>
        <w:spacing w:after="0" w:line="120" w:lineRule="exact"/>
        <w:rPr>
          <w:rFonts w:ascii="Arial" w:cs="Arial" w:eastAsia="Arial" w:hAnsi="Arial"/>
          <w:sz w:val="16"/>
          <w:szCs w:val="16"/>
          <w:color w:val="auto"/>
        </w:rPr>
      </w:pPr>
    </w:p>
    <w:p>
      <w:pPr>
        <w:ind w:left="-40" w:firstLine="1492"/>
        <w:spacing w:after="0" w:line="332" w:lineRule="auto"/>
        <w:tabs>
          <w:tab w:leader="none" w:pos="1692" w:val="left"/>
        </w:tabs>
        <w:numPr>
          <w:ilvl w:val="1"/>
          <w:numId w:val="30"/>
        </w:numPr>
        <w:rPr>
          <w:rFonts w:ascii="Arial" w:cs="Arial" w:eastAsia="Arial" w:hAnsi="Arial"/>
          <w:sz w:val="16"/>
          <w:szCs w:val="16"/>
          <w:color w:val="auto"/>
        </w:rPr>
      </w:pPr>
      <w:r>
        <w:rPr>
          <w:rFonts w:ascii="Arial" w:cs="Arial" w:eastAsia="Arial" w:hAnsi="Arial"/>
          <w:sz w:val="16"/>
          <w:szCs w:val="16"/>
          <w:color w:val="auto"/>
        </w:rPr>
        <w:t>Amounts withdrawn from the Decedent’s Account by the Administrator pursuant to Sections 3.7(b)(iii) and 3.7(b)(iv) shall be withdrawn from the portions of Decedent’s Account having the earliest distribution dates as specified in Decedent’s Initial Election or Subsequent Election; and</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80" w:top="280" w:right="279" w:bottom="1440" w:gutter="0" w:footer="0" w:header="0"/>
        </w:sectPr>
      </w:pPr>
    </w:p>
    <w:bookmarkStart w:id="47" w:name="page48"/>
    <w:bookmarkEnd w:id="47"/>
    <w:p>
      <w:pPr>
        <w:ind w:right="240" w:firstLine="1492"/>
        <w:spacing w:after="0" w:line="268" w:lineRule="auto"/>
        <w:tabs>
          <w:tab w:leader="none" w:pos="1781" w:val="left"/>
        </w:tabs>
        <w:numPr>
          <w:ilvl w:val="0"/>
          <w:numId w:val="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Within a reasonable time after the later to occur of the Death Tax Clearance Date and the payment date designated in the Decedent’s Initial Election or Subsequent Election, the Administrator shall pay the Decedent’s Account to the Beneficiary.</w:t>
      </w:r>
    </w:p>
    <w:p>
      <w:pPr>
        <w:spacing w:after="0" w:line="132" w:lineRule="exact"/>
        <w:rPr>
          <w:sz w:val="20"/>
          <w:szCs w:val="20"/>
          <w:color w:val="auto"/>
        </w:rPr>
      </w:pPr>
    </w:p>
    <w:p>
      <w:pPr>
        <w:ind w:firstLine="456"/>
        <w:spacing w:after="0" w:line="286" w:lineRule="auto"/>
        <w:rPr>
          <w:sz w:val="20"/>
          <w:szCs w:val="20"/>
          <w:color w:val="auto"/>
        </w:rPr>
      </w:pPr>
      <w:r>
        <w:rPr>
          <w:rFonts w:ascii="Arial" w:cs="Arial" w:eastAsia="Arial" w:hAnsi="Arial"/>
          <w:sz w:val="15"/>
          <w:szCs w:val="15"/>
          <w:color w:val="auto"/>
        </w:rPr>
        <w:t xml:space="preserve">3.8. </w:t>
      </w:r>
      <w:r>
        <w:rPr>
          <w:rFonts w:ascii="Arial" w:cs="Arial" w:eastAsia="Arial" w:hAnsi="Arial"/>
          <w:sz w:val="15"/>
          <w:szCs w:val="15"/>
          <w:u w:val="single" w:color="auto"/>
          <w:color w:val="auto"/>
        </w:rPr>
        <w:t>Company Credits</w:t>
      </w:r>
      <w:r>
        <w:rPr>
          <w:rFonts w:ascii="Arial" w:cs="Arial" w:eastAsia="Arial" w:hAnsi="Arial"/>
          <w:sz w:val="15"/>
          <w:szCs w:val="15"/>
          <w:color w:val="auto"/>
        </w:rPr>
        <w:t>. In addition to the amounts credited to Participants’ Accounts pursuant to Initial Elections with respect to Compensation, the Committee may provide for additional amounts to be credited to the Accounts of one or more designated Eligible Employees (“Company Credits”) for any year. A Participant whose Account is designated to receive Company Credits may not elect to receive any portion of the Company Credits as additional Compensation in lieu of deferral as provided by this Section 3.8. The total amount of Company Credits designated with respect to an Eligible Employee’s Account for any Plan Year shall be credited to such Eligible Employee’s Account as of the time or times designated by the Committee, as a bookkeeping entry to such Eligible Employee’s Account in accordance with Section 5.1. From and after the date Company Credits are allocated as designated by the Committee, Company Credits shall be credited with income, gains and losses on the same basis as all other amounts credited to the Participant’s Account pursuant to Section 5.2. Company Credits and income, gains and losses credited with respect to Company Credits shall be distributable to the Participant on the same basis as if the Participant had</w:t>
      </w:r>
    </w:p>
    <w:p>
      <w:pPr>
        <w:spacing w:after="0" w:line="3"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made an Initial Election to receive a lump sum distribution of such amount on January 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of the third calendar year beginning after the Plan Year with respect to which the Company Credits were authorized, unless on or before the Participant timely designates another time and form of payment that is a permissible time and form of payment for amounts subject to an Initial Election under Section 3.4(a) and Section 4.1. In addition, the Participant may make one or more Subsequent Elections with respect to such Company Credits (and income, gains and losses credited with respect to Company Credits) on the same basis as all other amounts credited to such Participant’s Account.</w:t>
      </w:r>
    </w:p>
    <w:p>
      <w:pPr>
        <w:spacing w:after="0" w:line="18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3.9. </w:t>
      </w:r>
      <w:r>
        <w:rPr>
          <w:rFonts w:ascii="Arial" w:cs="Arial" w:eastAsia="Arial" w:hAnsi="Arial"/>
          <w:sz w:val="16"/>
          <w:szCs w:val="16"/>
          <w:u w:val="single" w:color="auto"/>
          <w:color w:val="auto"/>
        </w:rPr>
        <w:t>Required Suspension of Payment of Benefits</w:t>
      </w:r>
      <w:r>
        <w:rPr>
          <w:rFonts w:ascii="Arial" w:cs="Arial" w:eastAsia="Arial" w:hAnsi="Arial"/>
          <w:sz w:val="16"/>
          <w:szCs w:val="16"/>
          <w:color w:val="auto"/>
        </w:rPr>
        <w:t>. To the extent compliance with the requirements of Treas. Reg. § 1.409A-3(i)(2) (or any successor provision) is necessary to avoid the application of an additional tax under Section 409A to payments due to a Participant upon or following his separation from service, then notwithstanding any other provision of this Plan, any such payments that are otherwise due within six months following the Participant’s separation from service will be deferred and paid to the Participant in a lump sum immediately following that six-month period.</w:t>
      </w:r>
    </w:p>
    <w:p>
      <w:pPr>
        <w:spacing w:after="0" w:line="26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4 – MANNER OF DISTRIBUTION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Manner of Distribution</w:t>
      </w:r>
      <w:r>
        <w:rPr>
          <w:rFonts w:ascii="Arial" w:cs="Arial" w:eastAsia="Arial" w:hAnsi="Arial"/>
          <w:sz w:val="18"/>
          <w:szCs w:val="18"/>
          <w:color w:val="auto"/>
        </w:rPr>
        <w:t>.</w:t>
      </w:r>
    </w:p>
    <w:p>
      <w:pPr>
        <w:spacing w:after="0" w:line="90" w:lineRule="exact"/>
        <w:rPr>
          <w:sz w:val="20"/>
          <w:szCs w:val="20"/>
          <w:color w:val="auto"/>
        </w:rPr>
      </w:pPr>
    </w:p>
    <w:p>
      <w:pPr>
        <w:ind w:left="1160" w:hanging="239"/>
        <w:spacing w:after="0"/>
        <w:tabs>
          <w:tab w:leader="none" w:pos="116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Amounts credited to an Account shall be distributed, pursuant to an Initial Election or Subsequent Election in either (i) a lump sum payment or</w:t>
      </w:r>
    </w:p>
    <w:p>
      <w:pPr>
        <w:spacing w:after="0" w:line="38" w:lineRule="exact"/>
        <w:rPr>
          <w:rFonts w:ascii="Arial" w:cs="Arial" w:eastAsia="Arial" w:hAnsi="Arial"/>
          <w:sz w:val="16"/>
          <w:szCs w:val="16"/>
          <w:color w:val="auto"/>
        </w:rPr>
      </w:pPr>
    </w:p>
    <w:p>
      <w:pPr>
        <w:ind w:right="80" w:firstLine="8"/>
        <w:spacing w:after="0" w:line="261" w:lineRule="auto"/>
        <w:tabs>
          <w:tab w:leader="none" w:pos="258"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substantially equal monthly or annual installments over a five (5), ten (10) or fifteen (15) year period. Installment distributions payable in the form of shares of Company Stock shall be rounded to the nearest whole share.</w:t>
      </w:r>
    </w:p>
    <w:p>
      <w:pPr>
        <w:spacing w:after="0" w:line="137" w:lineRule="exact"/>
        <w:rPr>
          <w:rFonts w:ascii="Arial" w:cs="Arial" w:eastAsia="Arial" w:hAnsi="Arial"/>
          <w:sz w:val="18"/>
          <w:szCs w:val="18"/>
          <w:color w:val="auto"/>
        </w:rPr>
      </w:pPr>
    </w:p>
    <w:p>
      <w:pPr>
        <w:ind w:right="80" w:firstLine="921"/>
        <w:spacing w:after="0" w:line="268" w:lineRule="auto"/>
        <w:tabs>
          <w:tab w:leader="none" w:pos="1162" w:val="left"/>
        </w:tabs>
        <w:numPr>
          <w:ilvl w:val="1"/>
          <w:numId w:val="33"/>
        </w:numPr>
        <w:rPr>
          <w:rFonts w:ascii="Arial" w:cs="Arial" w:eastAsia="Arial" w:hAnsi="Arial"/>
          <w:sz w:val="18"/>
          <w:szCs w:val="18"/>
          <w:color w:val="auto"/>
        </w:rPr>
      </w:pPr>
      <w:r>
        <w:rPr>
          <w:rFonts w:ascii="Arial" w:cs="Arial" w:eastAsia="Arial" w:hAnsi="Arial"/>
          <w:sz w:val="18"/>
          <w:szCs w:val="18"/>
          <w:color w:val="auto"/>
        </w:rPr>
        <w:t xml:space="preserve">To the extent permitted by Q-A 15(e) of </w:t>
      </w:r>
      <w:r>
        <w:rPr>
          <w:rFonts w:ascii="Arial" w:cs="Arial" w:eastAsia="Arial" w:hAnsi="Arial"/>
          <w:sz w:val="18"/>
          <w:szCs w:val="18"/>
          <w:i w:val="1"/>
          <w:iCs w:val="1"/>
          <w:color w:val="auto"/>
        </w:rPr>
        <w:t>IRS Notice 2005-1</w:t>
      </w:r>
      <w:r>
        <w:rPr>
          <w:rFonts w:ascii="Arial" w:cs="Arial" w:eastAsia="Arial" w:hAnsi="Arial"/>
          <w:sz w:val="18"/>
          <w:szCs w:val="18"/>
          <w:color w:val="auto"/>
        </w:rPr>
        <w:t>, notwithstanding any Initial Election, Subsequent Election or any other provision of the Plan to the contrary:</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20"/>
          </w:cols>
          <w:pgMar w:left="240" w:top="280" w:right="339" w:bottom="1440" w:gutter="0" w:footer="0" w:header="0"/>
        </w:sectPr>
      </w:pPr>
    </w:p>
    <w:bookmarkStart w:id="48" w:name="page49"/>
    <w:bookmarkEnd w:id="48"/>
    <w:p>
      <w:pPr>
        <w:ind w:right="80" w:firstLine="1492"/>
        <w:spacing w:after="0" w:line="259" w:lineRule="auto"/>
        <w:tabs>
          <w:tab w:leader="none" w:pos="1693" w:val="left"/>
        </w:tabs>
        <w:numPr>
          <w:ilvl w:val="0"/>
          <w:numId w:val="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distributions pursuant to Initial Elections or Subsequent Elections shall be made in one lump sum payment unless the portion of a Participant’s Account subject to distribution, as of both the date of the Initial Election or Subsequent Election and the benefit commencement date, has a value of more than $10,000;</w:t>
      </w:r>
    </w:p>
    <w:p>
      <w:pPr>
        <w:spacing w:after="0" w:line="140" w:lineRule="exact"/>
        <w:rPr>
          <w:rFonts w:ascii="Arial" w:cs="Arial" w:eastAsia="Arial" w:hAnsi="Arial"/>
          <w:sz w:val="18"/>
          <w:szCs w:val="18"/>
          <w:color w:val="auto"/>
        </w:rPr>
      </w:pPr>
    </w:p>
    <w:p>
      <w:pPr>
        <w:ind w:left="1760" w:hanging="268"/>
        <w:spacing w:after="0"/>
        <w:tabs>
          <w:tab w:leader="none" w:pos="17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following a Participant’s termination of employment for any reason, if the amount credited to the Participant’s Account has a value of</w:t>
      </w:r>
    </w:p>
    <w:p>
      <w:pPr>
        <w:spacing w:after="0" w:line="3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$10,000 or less, the Administrator may, in its sole discretion, direct that such amount be distributed to the Participant (or Beneficiary, as applicable) in one lump sum payment, provided that the payment is made on or before the later of (i) December 31 of the calendar year in which the Participant terminates employment or (ii) the date two and one-half months after the Participant terminates employment.</w:t>
      </w:r>
    </w:p>
    <w:p>
      <w:pPr>
        <w:spacing w:after="0" w:line="144"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Determination of Account Balances for Purposes of Distribution</w:t>
      </w:r>
      <w:r>
        <w:rPr>
          <w:rFonts w:ascii="Arial" w:cs="Arial" w:eastAsia="Arial" w:hAnsi="Arial"/>
          <w:sz w:val="18"/>
          <w:szCs w:val="18"/>
          <w:color w:val="auto"/>
        </w:rPr>
        <w:t>. The amount of any distribution made pursuant to Section 4.1 shall be based on the balances in the Participant’s Account on the date the recordkeeper appointed by the Administrator transmits the distribution request for a Participant to the Administrator for payment and processing, provided that payment with respect to such distribution shall be made as soon as reasonably practicable following the date the distribution request is transmitted to the Administrator. For this purpose, the balance in a Participant’s Account shall be calculated by crediting income, gains and losses under the Company Stock Fund and Income Fund, as applicable, through the date immediately preceding the date on which the distribution request is transmitted to the recordkeeper.</w:t>
      </w:r>
    </w:p>
    <w:p>
      <w:pPr>
        <w:spacing w:after="0" w:line="144"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Plan-to-Plan Transfers; Change in Time and Form of Election Pursuant to Special Section 409A Transition Rules</w:t>
      </w:r>
      <w:r>
        <w:rPr>
          <w:rFonts w:ascii="Arial" w:cs="Arial" w:eastAsia="Arial" w:hAnsi="Arial"/>
          <w:sz w:val="18"/>
          <w:szCs w:val="18"/>
          <w:color w:val="auto"/>
        </w:rPr>
        <w:t>. The Administrator may delegate its authority to arrange for plan-to-plan transfers or to permit benefit elections as described in this Section 4.3 to an officer of the Company or committee of two or more officers of the Company.</w:t>
      </w:r>
    </w:p>
    <w:p>
      <w:pPr>
        <w:spacing w:after="0" w:line="140" w:lineRule="exact"/>
        <w:rPr>
          <w:sz w:val="20"/>
          <w:szCs w:val="20"/>
          <w:color w:val="auto"/>
        </w:rPr>
      </w:pPr>
    </w:p>
    <w:p>
      <w:pPr>
        <w:ind w:firstLine="921"/>
        <w:spacing w:after="0" w:line="255" w:lineRule="auto"/>
        <w:tabs>
          <w:tab w:leader="none" w:pos="1152"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Administrator may, with a Participant’s consent, make such arrangements as it may deem appropriate to transfer the Company’s obligation to pay benefits with respect to such Participant which have not become payable under this Plan, to another employer, whether through a deferred compensation plan, program or arrangement sponsored by such other employer or otherwise, or to another deferred compensation plan, program or arrangement sponsored by the Company or an Affiliate. Following the completion of such transfer, with respect to the benefit transferred, the Participant shall have no further right to payment under this Plan.</w:t>
      </w:r>
    </w:p>
    <w:p>
      <w:pPr>
        <w:spacing w:after="0" w:line="142" w:lineRule="exact"/>
        <w:rPr>
          <w:rFonts w:ascii="Arial" w:cs="Arial" w:eastAsia="Arial" w:hAnsi="Arial"/>
          <w:sz w:val="18"/>
          <w:szCs w:val="18"/>
          <w:color w:val="auto"/>
        </w:rPr>
      </w:pPr>
    </w:p>
    <w:p>
      <w:pPr>
        <w:ind w:right="120" w:firstLine="921"/>
        <w:spacing w:after="0" w:line="294" w:lineRule="auto"/>
        <w:tabs>
          <w:tab w:leader="none" w:pos="1162"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Administrator may, with a Participant’s consent, make such arrangements as it may deem appropriate to assume another employer’s obligation to pay benefits with respect to such Participant which have not become payable under the deferred compensation plan, program or arrangement under which such future right to payment arose, to the Plan, or to assume a future payment obligation of the Company or an Affiliate under another plan, program or arrangement sponsored by the Company or an Affiliate. Upon the completion of the Plan’s assumption of such payment obligation, the Administrator shall establish an Account for such Participant, and the Account shall be subject to the rules of this Plan, as in effect from time to time.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49" w:name="page50"/>
    <w:bookmarkEnd w:id="49"/>
    <w:p>
      <w:pPr>
        <w:ind w:left="1160" w:hanging="239"/>
        <w:spacing w:after="0"/>
        <w:tabs>
          <w:tab w:leader="none" w:pos="1160" w:val="left"/>
        </w:tabs>
        <w:numPr>
          <w:ilvl w:val="0"/>
          <w:numId w:val="3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Pursuant to Final Treasury Regulations issued under section 409A of the Code, to the extent provided by the Committee or its delegate:</w:t>
      </w:r>
    </w:p>
    <w:p>
      <w:pPr>
        <w:spacing w:after="0" w:line="113" w:lineRule="exact"/>
        <w:rPr>
          <w:rFonts w:ascii="Arial" w:cs="Arial" w:eastAsia="Arial" w:hAnsi="Arial"/>
          <w:sz w:val="16"/>
          <w:szCs w:val="16"/>
          <w:color w:val="auto"/>
        </w:rPr>
      </w:pPr>
    </w:p>
    <w:p>
      <w:pPr>
        <w:ind w:right="20" w:firstLine="1492"/>
        <w:spacing w:after="0" w:line="291" w:lineRule="auto"/>
        <w:tabs>
          <w:tab w:leader="none" w:pos="1693" w:val="left"/>
        </w:tabs>
        <w:numPr>
          <w:ilvl w:val="1"/>
          <w:numId w:val="36"/>
        </w:numPr>
        <w:rPr>
          <w:rFonts w:ascii="Arial" w:cs="Arial" w:eastAsia="Arial" w:hAnsi="Arial"/>
          <w:sz w:val="16"/>
          <w:szCs w:val="16"/>
          <w:color w:val="auto"/>
        </w:rPr>
      </w:pPr>
      <w:r>
        <w:rPr>
          <w:rFonts w:ascii="Arial" w:cs="Arial" w:eastAsia="Arial" w:hAnsi="Arial"/>
          <w:sz w:val="16"/>
          <w:szCs w:val="16"/>
          <w:color w:val="auto"/>
        </w:rPr>
        <w:t>a Participant may, during the period extending from January 1, 2007 to December 31, 2007, with respect to all or any portion of his or her account under the 2005 Plan that is scheduled to be paid after December 31, 2007, and with respect to all or any portion of his or her account under the Prior Plan that is scheduled to be paid after December 31, 2007, make new payment elections as to the form and timing of payment of such amounts as may be permitted under this Plan, provided that following the completion of such new payment election, amounts previously credited under the Prior Plan shall not be treated as grandfathered benefits under the Prior Plan, but instead shall be treated as non-grandfathered benefits, subject to the rules of this Plan, and provided that no portion of the benefit subject to such an election shall be payable before January 1, 2008.</w:t>
      </w:r>
    </w:p>
    <w:p>
      <w:pPr>
        <w:spacing w:after="0" w:line="120" w:lineRule="exact"/>
        <w:rPr>
          <w:rFonts w:ascii="Arial" w:cs="Arial" w:eastAsia="Arial" w:hAnsi="Arial"/>
          <w:sz w:val="16"/>
          <w:szCs w:val="16"/>
          <w:color w:val="auto"/>
        </w:rPr>
      </w:pPr>
    </w:p>
    <w:p>
      <w:pPr>
        <w:ind w:firstLine="1492"/>
        <w:spacing w:after="0" w:line="291" w:lineRule="auto"/>
        <w:tabs>
          <w:tab w:leader="none" w:pos="1742" w:val="left"/>
        </w:tabs>
        <w:numPr>
          <w:ilvl w:val="1"/>
          <w:numId w:val="36"/>
        </w:numPr>
        <w:rPr>
          <w:rFonts w:ascii="Arial" w:cs="Arial" w:eastAsia="Arial" w:hAnsi="Arial"/>
          <w:sz w:val="16"/>
          <w:szCs w:val="16"/>
          <w:color w:val="auto"/>
        </w:rPr>
      </w:pPr>
      <w:r>
        <w:rPr>
          <w:rFonts w:ascii="Arial" w:cs="Arial" w:eastAsia="Arial" w:hAnsi="Arial"/>
          <w:sz w:val="16"/>
          <w:szCs w:val="16"/>
          <w:color w:val="auto"/>
        </w:rPr>
        <w:t>a Participant may, during the period extending from January 1, 2008 to December 31, 2008, with respect to all or any portion of his or her account under the 2005 Plan that is scheduled to be paid after December 31, 2008, and with respect to all or any portion of his or her account under the Prior Plan that is scheduled to be paid after December 31, 2008, make new payment elections as to the form and timing of payment of such amounts as may be permitted under this Plan, provided that following the completion of such new payment election, amounts previously credited under the Prior Plan shall not be treated as grandfathered benefits under the Prior Plan, but instead shall be treated as non-grandfathered benefits, subject to the rules of this Plan, and provided that no portion of the benefit subject to such an election shall be payable before January 1, 2009.</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 – BOOK ACCOUNTS</w:t>
      </w:r>
    </w:p>
    <w:p>
      <w:pPr>
        <w:spacing w:after="0" w:line="1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Deferred Compensation Account</w:t>
      </w:r>
      <w:r>
        <w:rPr>
          <w:rFonts w:ascii="Arial" w:cs="Arial" w:eastAsia="Arial" w:hAnsi="Arial"/>
          <w:sz w:val="18"/>
          <w:szCs w:val="18"/>
          <w:color w:val="auto"/>
        </w:rPr>
        <w:t>. A deferred Compensation Account shall be established for each Outside Director and Eligible Employee when such Outside Director or Eligible Employee becomes a Participant. Compensation deferred pursuant to the Plan shall be credited to the Account on the date such Compensation would otherwise have been payable to the Participant.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Crediting of Income, Gains and Losses on Accounts</w:t>
      </w:r>
      <w:r>
        <w:rPr>
          <w:rFonts w:ascii="Arial" w:cs="Arial" w:eastAsia="Arial" w:hAnsi="Arial"/>
          <w:sz w:val="18"/>
          <w:szCs w:val="18"/>
          <w:color w:val="auto"/>
        </w:rPr>
        <w:t>.</w:t>
      </w:r>
    </w:p>
    <w:p>
      <w:pPr>
        <w:spacing w:after="0" w:line="90" w:lineRule="exact"/>
        <w:rPr>
          <w:sz w:val="20"/>
          <w:szCs w:val="20"/>
          <w:color w:val="auto"/>
        </w:rPr>
      </w:pPr>
    </w:p>
    <w:p>
      <w:pPr>
        <w:ind w:right="640" w:firstLine="921"/>
        <w:spacing w:after="0" w:line="268" w:lineRule="auto"/>
        <w:tabs>
          <w:tab w:leader="none" w:pos="1152"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Except as otherwise provided in this Section 5.2, the Administrator shall credit income, gains and losses with respect to each Participant’s Account as if it were invested in the Income Fund.</w:t>
      </w:r>
    </w:p>
    <w:p>
      <w:pPr>
        <w:spacing w:after="0" w:line="131" w:lineRule="exact"/>
        <w:rPr>
          <w:rFonts w:ascii="Arial" w:cs="Arial" w:eastAsia="Arial" w:hAnsi="Arial"/>
          <w:sz w:val="18"/>
          <w:szCs w:val="18"/>
          <w:color w:val="auto"/>
        </w:rPr>
      </w:pPr>
    </w:p>
    <w:p>
      <w:pPr>
        <w:jc w:val="both"/>
        <w:ind w:right="40" w:firstLine="921"/>
        <w:spacing w:after="0" w:line="259" w:lineRule="auto"/>
        <w:tabs>
          <w:tab w:leader="none" w:pos="1161"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Investment Fund Elections</w:t>
      </w:r>
      <w:r>
        <w:rPr>
          <w:rFonts w:ascii="Arial" w:cs="Arial" w:eastAsia="Arial" w:hAnsi="Arial"/>
          <w:sz w:val="18"/>
          <w:szCs w:val="18"/>
          <w:color w:val="auto"/>
        </w:rPr>
        <w:t>. Except for amounts credited to the Accounts of Participants who are Outside Directors who have elected to defer the receipt of Compensation payable in the form of Company Stock, all amounts credited to Participants’ Accounts shall be credited with income, gains and losses as if it were invested in the Income Fund.</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Outside Director Stock Fund Credits</w:t>
      </w:r>
      <w:r>
        <w:rPr>
          <w:rFonts w:ascii="Arial" w:cs="Arial" w:eastAsia="Arial" w:hAnsi="Arial"/>
          <w:sz w:val="16"/>
          <w:szCs w:val="16"/>
          <w:color w:val="auto"/>
        </w:rPr>
        <w:t>. Amounts credited to the Accounts of Outside Directors in the form of Company Stock shall be credited</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with income,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50" w:name="page51"/>
    <w:bookmarkEnd w:id="50"/>
    <w:p>
      <w:pPr>
        <w:jc w:val="both"/>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gains and losses as if they were invested in the Company Stock Fund. No portion of such Participant’s Account may be deemed transferred to the Income Fund. Distributions of amounts credited to the Company Stock Fund with respect to Outside Directors’ Accounts shall be distributable in the form of Company Stock, rounded to the nearest whole share.</w:t>
      </w:r>
    </w:p>
    <w:p>
      <w:pPr>
        <w:spacing w:after="0" w:line="140" w:lineRule="exact"/>
        <w:rPr>
          <w:sz w:val="20"/>
          <w:szCs w:val="20"/>
          <w:color w:val="auto"/>
        </w:rPr>
      </w:pPr>
    </w:p>
    <w:p>
      <w:pPr>
        <w:ind w:right="200" w:firstLine="921"/>
        <w:spacing w:after="0" w:line="298" w:lineRule="auto"/>
        <w:tabs>
          <w:tab w:leader="none" w:pos="1161"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Timing of Credits</w:t>
      </w:r>
      <w:r>
        <w:rPr>
          <w:rFonts w:ascii="Arial" w:cs="Arial" w:eastAsia="Arial" w:hAnsi="Arial"/>
          <w:sz w:val="16"/>
          <w:szCs w:val="16"/>
          <w:color w:val="auto"/>
        </w:rPr>
        <w:t>. Compensation deferred pursuant to the Plan shall be deemed invested in the Income Fund on the date such Compensation would otherwise have been payable to the Participant. Accumulated Account balances subject to an investment fund election under Section 5.2(b) shall be deemed invested in the applicable investment fund as of the effective date of such election. The value of amounts deemed invested in the Company Stock Fund shall be based on hypothetical purchases and sales of Company Stock at Fair Market Value as of the effective date of an investment election</w:t>
      </w:r>
    </w:p>
    <w:p>
      <w:pPr>
        <w:spacing w:after="0" w:line="11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Status of Deferred Amounts</w:t>
      </w:r>
      <w:r>
        <w:rPr>
          <w:rFonts w:ascii="Arial" w:cs="Arial" w:eastAsia="Arial" w:hAnsi="Arial"/>
          <w:sz w:val="18"/>
          <w:szCs w:val="18"/>
          <w:color w:val="auto"/>
        </w:rPr>
        <w:t>. Regardless of whether or not the Company is a Participant’s employer, all Compensation deferred under this Plan shall continue for all purposes to be a part of the general funds of the Company.</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Participants’ Status as General Creditors</w:t>
      </w:r>
      <w:r>
        <w:rPr>
          <w:rFonts w:ascii="Arial" w:cs="Arial" w:eastAsia="Arial" w:hAnsi="Arial"/>
          <w:sz w:val="18"/>
          <w:szCs w:val="18"/>
          <w:color w:val="auto"/>
        </w:rPr>
        <w:t>. Regardless of whether or not the Company is a Participant’s employer, an Account shall at all times represent a general obligation of the Company. The Participant shall be a general creditor of the Company with respect to this obligation, and shall not have a secured or preferred position with respect to the Participant’s Accounts. Nothing contained herein shall be deemed to create an escrow, trust, custodial account or fiduciary relationship of any kind. Nothing contained herein shall be construed to eliminate any priority or preferred position of a Participant in a bankruptcy matter with respect to claims for wages.</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6 – NO ALIENATION OF BENEFITS; PAYEE DESIGNATION</w:t>
      </w:r>
    </w:p>
    <w:p>
      <w:pPr>
        <w:spacing w:after="0" w:line="17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Except as otherwise required by applicable law, the right of any Participant or Beneficiary to any benefit or interest under any of the provisions of this Plan shall not be subject to encumbrance, attachment, execution, garnishment, assignment, pledge, alienation, sale, transfer, or anticipation, either by the voluntary or involuntary act of any Participant or any Participant’s Beneficiary or by operation of law, nor shall such payment, right, or interest be subject to any other legal or equitable process. However, subject to the terms and conditions of the Plan, a Participant or Beneficiary may direct that any amount payable pursuant to an Initial Election or a Subsequent Election on any date designated for payment be paid to any person or persons or legal entity or entities, including, but not limited to, an organization exempt from federal income tax under section 501(c)(3) of the Code, instead of to the Participant or Beneficiary. Such a payee designation shall be provided to the Administrator by the Participant or Beneficiary in writing on a form provided by the Administrator, and shall not be effective unless it is provided immediately preceding the time of payment. The Company’s payment pursuant to such a payee designation shall relieve the Company and its Affiliates of all liability for such payment.</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7 – DEATH OF PARTICIPANT</w:t>
      </w:r>
    </w:p>
    <w:p>
      <w:pPr>
        <w:spacing w:after="0" w:line="1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Death of Participant</w:t>
      </w:r>
      <w:r>
        <w:rPr>
          <w:rFonts w:ascii="Arial" w:cs="Arial" w:eastAsia="Arial" w:hAnsi="Arial"/>
          <w:sz w:val="18"/>
          <w:szCs w:val="18"/>
          <w:color w:val="auto"/>
        </w:rPr>
        <w:t>. A Deceased Participant’s Account shall be distributed in accordance with the last Initial Election or Subsequent Election made by the Deceased Participant before the Deceased Participant’s death, unless the Deceased Participant’s Surviving Spouse or other Beneficiary timely elects to accelerate or defer the time of payment pursuant to Section 3.5.</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Designation of Beneficiaries</w:t>
      </w:r>
      <w:r>
        <w:rPr>
          <w:rFonts w:ascii="Arial" w:cs="Arial" w:eastAsia="Arial" w:hAnsi="Arial"/>
          <w:sz w:val="16"/>
          <w:szCs w:val="16"/>
          <w:color w:val="auto"/>
        </w:rPr>
        <w:t>. Each Participant and Beneficiary shall have the right to designate one or more Beneficiaries to receive distributions in the event of the Participant’s or Beneficiary’s death by filing with the Administrator a Beneficiary designation on the form provided by the Administrator for such purpose. The designation of a Beneficiary or Beneficiaries may be changed by a Participant or Beneficiary at any time prior to such Participant’s or Beneficiary’s death by the delivery to the Administrator of a new Beneficiary designation form.</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 – HARDSHIP AND OTHER ACCELERATION EVENTS</w:t>
      </w:r>
    </w:p>
    <w:p>
      <w:pPr>
        <w:spacing w:after="0" w:line="177"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Hardship</w:t>
      </w:r>
      <w:r>
        <w:rPr>
          <w:rFonts w:ascii="Arial" w:cs="Arial" w:eastAsia="Arial" w:hAnsi="Arial"/>
          <w:sz w:val="16"/>
          <w:szCs w:val="16"/>
          <w:color w:val="auto"/>
        </w:rPr>
        <w:t>. Notwithstanding the terms of an Initial Election or Subsequent Election, if, at the Participant’s request, the Board determines that the Participant has incurred a Hardship, the Board may, in its discretion, authorize the immediate distribution of all or any portion of the Participant’s Account.</w:t>
      </w:r>
    </w:p>
    <w:p>
      <w:pPr>
        <w:spacing w:after="0" w:line="85"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Other Acceleration Events</w:t>
      </w:r>
      <w:r>
        <w:rPr>
          <w:rFonts w:ascii="Arial" w:cs="Arial" w:eastAsia="Arial" w:hAnsi="Arial"/>
          <w:sz w:val="18"/>
          <w:szCs w:val="18"/>
          <w:color w:val="auto"/>
        </w:rPr>
        <w:t>. To the extent permitted by Section 409A, notwithstanding the terms of an Initial Election or Subsequent Election, distribution of all or part of a Participant’s Account may be made:</w:t>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8.2.1. To fulfill a domestic relations order (as defined in section 414(p)(1)(B) of the Code) to the extent permitted by Treasury Regulations section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1.409A-3(j)(4)(ii) or any successor provision of law).</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8.2.2. To the extent necessary to comply with laws relating to avoidance of conflicts of interest, as provided in Treasury Regulation section 1.409A-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3(j)(4)(iii) (or any successor provision of law).</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8.2.3. To pay employment taxes to the extent permitted by Treasury Regulation section 1.409A-3(j)(4)(vi) (or any successor provision of law).</w:t>
      </w:r>
    </w:p>
    <w:p>
      <w:pPr>
        <w:spacing w:after="0" w:line="194" w:lineRule="exact"/>
        <w:rPr>
          <w:sz w:val="20"/>
          <w:szCs w:val="20"/>
          <w:color w:val="auto"/>
        </w:rPr>
      </w:pPr>
    </w:p>
    <w:p>
      <w:pPr>
        <w:ind w:right="520" w:firstLine="913"/>
        <w:spacing w:after="0" w:line="268" w:lineRule="auto"/>
        <w:rPr>
          <w:sz w:val="20"/>
          <w:szCs w:val="20"/>
          <w:color w:val="auto"/>
        </w:rPr>
      </w:pPr>
      <w:r>
        <w:rPr>
          <w:rFonts w:ascii="Arial" w:cs="Arial" w:eastAsia="Arial" w:hAnsi="Arial"/>
          <w:sz w:val="18"/>
          <w:szCs w:val="18"/>
          <w:color w:val="auto"/>
        </w:rPr>
        <w:t>8.2.4. In connection with the recognition of income as the result of a failure to comply with Section 409A, to the extent permitted by Treasury Regulation section 1.409A-3(j)(4)(vii) (or any successor provision of law).</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8.2.5. To pay state, local or foreign taxes to the extent permitted by Treasury Regulation section 1.409A-3(j)(4)(xi) (or any successor provision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law).</w:t>
      </w:r>
    </w:p>
    <w:p>
      <w:pPr>
        <w:spacing w:after="0" w:line="165" w:lineRule="exact"/>
        <w:rPr>
          <w:sz w:val="20"/>
          <w:szCs w:val="20"/>
          <w:color w:val="auto"/>
        </w:rPr>
      </w:pPr>
    </w:p>
    <w:p>
      <w:pPr>
        <w:ind w:right="780" w:firstLine="913"/>
        <w:spacing w:after="0" w:line="268" w:lineRule="auto"/>
        <w:rPr>
          <w:sz w:val="20"/>
          <w:szCs w:val="20"/>
          <w:color w:val="auto"/>
        </w:rPr>
      </w:pPr>
      <w:r>
        <w:rPr>
          <w:rFonts w:ascii="Arial" w:cs="Arial" w:eastAsia="Arial" w:hAnsi="Arial"/>
          <w:sz w:val="18"/>
          <w:szCs w:val="18"/>
          <w:color w:val="auto"/>
        </w:rPr>
        <w:t>8.2.6. In satisfaction of a debt of a Participant to a Participating Company where such debt is incurred in the ordinary course of the service relationship between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52" w:name="page53"/>
    <w:bookmarkEnd w:id="5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Participant and the Participating Company, to the extent permitted by Treasury Regulation section 1.409A-3(j)(4)(xiii) (or any successor provision of law).</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8.2.7. In connection with a bona fide dispute as to a Participant’s right to payment, to the extent permitted by Treasury Regulation section 1.409A-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3(j)(4)(xiv) (or any successor provision of law).</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 – INTERPRETATION</w:t>
      </w:r>
    </w:p>
    <w:p>
      <w:pPr>
        <w:spacing w:after="0" w:line="17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Authority of Committee</w:t>
      </w:r>
      <w:r>
        <w:rPr>
          <w:rFonts w:ascii="Arial" w:cs="Arial" w:eastAsia="Arial" w:hAnsi="Arial"/>
          <w:sz w:val="18"/>
          <w:szCs w:val="18"/>
          <w:color w:val="auto"/>
        </w:rPr>
        <w:t>. The Committee shall have full and exclusive authority to construe, interpret and administer this Plan and the Committee’s construction and interpretation thereof shall be binding and conclusive on all persons for all purposes.</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Claims Procedure</w:t>
      </w:r>
      <w:r>
        <w:rPr>
          <w:rFonts w:ascii="Arial" w:cs="Arial" w:eastAsia="Arial" w:hAnsi="Arial"/>
          <w:sz w:val="18"/>
          <w:szCs w:val="18"/>
          <w:color w:val="auto"/>
        </w:rPr>
        <w:t>. If an individual (hereinafter referred to as the “Applicant,” which reference shall include the legal representative, if any, of the individual) does not receive timely payment of benefits to which the Applicant believes he is entitled under the Plan, the Applicant may make a claim for benefits in the manner hereinafter provided.</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An Applicant may file a claim for benefits with the Administrator on a form supplied by the Administrator. If the Administrator wholly or partially denies a claim, the Administrator shall provide the Applicant with a written notice stating:</w:t>
      </w:r>
    </w:p>
    <w:p>
      <w:pPr>
        <w:spacing w:after="0" w:line="51" w:lineRule="exact"/>
        <w:rPr>
          <w:sz w:val="20"/>
          <w:szCs w:val="20"/>
          <w:color w:val="auto"/>
        </w:rPr>
      </w:pPr>
    </w:p>
    <w:p>
      <w:pPr>
        <w:ind w:left="1160" w:hanging="239"/>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specific reason or reasons for the denial;</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Specific reference to pertinent Plan provisions on which the denial is based;</w:t>
      </w:r>
    </w:p>
    <w:p>
      <w:pPr>
        <w:spacing w:after="0" w:line="171" w:lineRule="exact"/>
        <w:rPr>
          <w:rFonts w:ascii="Arial" w:cs="Arial" w:eastAsia="Arial" w:hAnsi="Arial"/>
          <w:sz w:val="18"/>
          <w:szCs w:val="18"/>
          <w:color w:val="auto"/>
        </w:rPr>
      </w:pPr>
    </w:p>
    <w:p>
      <w:pPr>
        <w:ind w:right="100" w:firstLine="921"/>
        <w:spacing w:after="0" w:line="268" w:lineRule="auto"/>
        <w:tabs>
          <w:tab w:leader="none" w:pos="1152"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description of any additional material or information necessary for the Applicant to perfect the claim and an explanation of why such material or information is necessary; and</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Appropriate information as to the steps to be taken in order to submit a claim for review.</w:t>
      </w:r>
    </w:p>
    <w:p>
      <w:pPr>
        <w:spacing w:after="0" w:line="17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Written notice of a denial of a claim shall be provided within 90 days of the receipt of the claim, provided that if special circumstances require an extension of time for processing the claim, the Administrator may notify the Applicant in writing that an additional period of up to 90 days will be required to process the claim.</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the Applicant’s claim is denied, the Applicant shall have 60 days from the date of receipt of written notice of the denial of the claim to request a review of the denial of the claim by the Administrator. Request for review of the denial of a claim must be submitted in writing. The Applicant shall have the right to review pertinent documents and submit issues and comments to the Administrator in writing. The Administrator shall provide a written decision within 60 days of its receipt of the Applicant’s request for review, provided that if special circumstances require an extension of time for processing the review of the Applicant’s claim,</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53" w:name="page54"/>
    <w:bookmarkEnd w:id="5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Administrator may notify the Applicant in writing that an additional period of up to 60 days shall be required to process the Applicant’s request for review.</w:t>
      </w:r>
    </w:p>
    <w:p>
      <w:pPr>
        <w:spacing w:after="0" w:line="194"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It is intended that the claims procedures of this Plan be administered in accordance with the claims procedure regulations of the Department of Labor set forth in 29 CFR § 2560.503-1.</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Claims for benefits under the Plan must be filed with the Administrator at the following address: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1500 Market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Philadelphia, PA 19102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General Counsel</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 – AMENDMENT OR TERMINATION</w:t>
      </w:r>
    </w:p>
    <w:p>
      <w:pPr>
        <w:spacing w:after="0" w:line="17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Amendment or Termination</w:t>
      </w:r>
      <w:r>
        <w:rPr>
          <w:rFonts w:ascii="Arial" w:cs="Arial" w:eastAsia="Arial" w:hAnsi="Arial"/>
          <w:sz w:val="18"/>
          <w:szCs w:val="18"/>
          <w:color w:val="auto"/>
        </w:rPr>
        <w:t>. Except as otherwise provided by Section 10.2, the Company, by action of the Board or by action of the Committee, shall have the right at any time, or from time to time, to amend or modify this Plan. The Company, by action of the Board, shall have the right to terminate this Plan at any time.</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Amendment of Rate of Credited Earnings</w:t>
      </w:r>
      <w:r>
        <w:rPr>
          <w:rFonts w:ascii="Arial" w:cs="Arial" w:eastAsia="Arial" w:hAnsi="Arial"/>
          <w:sz w:val="16"/>
          <w:szCs w:val="16"/>
          <w:color w:val="auto"/>
        </w:rPr>
        <w:t>. No amendment shall change the Applicable Interest Rate with respect to the portion of a Participant’s Account that is attributable to an Initial Election or Subsequent Election made with respect to Compensation earned in a calendar year and filed with the Administrator before the date of adoption of such amendment by the Board. For purposes of this Section 10.2, a Subsequent Election to defer the payment of part or all of an Account for an additional period after a previously-elected payment date (as described in Section 3.5) shall be treated as a separate Subsequent Election from any previous Initial Election or Subsequent Election with respect to such Account.</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11 – WITHHOLDING OF TAXES</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Whenever the Participating Company is required to credit deferred Compensation to the Account of a Participant, the Participating Company shall have the right to require the Participant to remit to the Participating Company an amount sufficient to satisfy any federal, state and local withholding tax requirements prior to the date on which the deferred Compensation shall be deemed credited to the Account of the Participant, or take any action whatever that it deems necessary to protect its interests with respect to tax liabilities. The Participating Company’s obligation to credit deferred Compensation to an Account shall be conditioned on the Participant’s compliance, to the Participating Company’s satisfaction, with any withholding requirement. To the maximum extent possible, the Participating Company shall satisfy all applicable withholding tax requirements by withholding tax from other Compensation payable by the Participating Company to the Participant, or by the Participant’s delivery of cash to the Participating Company in an amount equal to the applicable withholding tax.</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54" w:name="page55"/>
    <w:bookmarkEnd w:id="54"/>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12 – MISCELLANEOUS PROVISIONS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No Right to Continued Employment</w:t>
      </w:r>
      <w:r>
        <w:rPr>
          <w:rFonts w:ascii="Arial" w:cs="Arial" w:eastAsia="Arial" w:hAnsi="Arial"/>
          <w:sz w:val="18"/>
          <w:szCs w:val="18"/>
          <w:color w:val="auto"/>
        </w:rPr>
        <w:t>. Nothing contained herein shall be construed as conferring upon any Participant the right to remain in service as an Outside Director or in the employment of a Participating Company as an executive or in any other capacity.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Expenses of Plan</w:t>
      </w:r>
      <w:r>
        <w:rPr>
          <w:rFonts w:ascii="Arial" w:cs="Arial" w:eastAsia="Arial" w:hAnsi="Arial"/>
          <w:sz w:val="18"/>
          <w:szCs w:val="18"/>
          <w:color w:val="auto"/>
        </w:rPr>
        <w:t>. All expenses of the Plan shall be paid by the Participating Companies.</w:t>
      </w:r>
    </w:p>
    <w:p>
      <w:pPr>
        <w:spacing w:after="0" w:line="171"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 xml:space="preserve">12.3. </w:t>
      </w:r>
      <w:r>
        <w:rPr>
          <w:rFonts w:ascii="Arial" w:cs="Arial" w:eastAsia="Arial" w:hAnsi="Arial"/>
          <w:sz w:val="16"/>
          <w:szCs w:val="16"/>
          <w:u w:val="single" w:color="auto"/>
          <w:color w:val="auto"/>
        </w:rPr>
        <w:t>Gender and Number</w:t>
      </w:r>
      <w:r>
        <w:rPr>
          <w:rFonts w:ascii="Arial" w:cs="Arial" w:eastAsia="Arial" w:hAnsi="Arial"/>
          <w:sz w:val="16"/>
          <w:szCs w:val="16"/>
          <w:color w:val="auto"/>
        </w:rPr>
        <w:t xml:space="preserve">. Whenever any words are used herein in any specific gender, they shall be construed as though they were also used in any other applicable gender. The singular form, whenever used herein, shall mean or include the plural form, and </w:t>
      </w:r>
      <w:r>
        <w:rPr>
          <w:rFonts w:ascii="Arial" w:cs="Arial" w:eastAsia="Arial" w:hAnsi="Arial"/>
          <w:sz w:val="16"/>
          <w:szCs w:val="16"/>
          <w:i w:val="1"/>
          <w:iCs w:val="1"/>
          <w:color w:val="auto"/>
        </w:rPr>
        <w:t>vice versa</w:t>
      </w:r>
      <w:r>
        <w:rPr>
          <w:rFonts w:ascii="Arial" w:cs="Arial" w:eastAsia="Arial" w:hAnsi="Arial"/>
          <w:sz w:val="16"/>
          <w:szCs w:val="16"/>
          <w:color w:val="auto"/>
        </w:rPr>
        <w:t>, as the context may require.</w:t>
      </w:r>
    </w:p>
    <w:p>
      <w:pPr>
        <w:spacing w:after="0" w:line="8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Law Governing Construction</w:t>
      </w:r>
      <w:r>
        <w:rPr>
          <w:rFonts w:ascii="Arial" w:cs="Arial" w:eastAsia="Arial" w:hAnsi="Arial"/>
          <w:sz w:val="18"/>
          <w:szCs w:val="18"/>
          <w:color w:val="auto"/>
        </w:rPr>
        <w:t>. The construction and administration of the Plan and all questions pertaining thereto, shall be governed by the Employee Retirement Income Security Act of 1974, as amended (“ERISA”), and other applicable federal law and, to the extent not governed by federal law, by the laws of the Commonwealth of Pennsylvania.</w:t>
      </w:r>
    </w:p>
    <w:p>
      <w:pPr>
        <w:spacing w:after="0" w:line="14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 xml:space="preserve">12.5. </w:t>
      </w:r>
      <w:r>
        <w:rPr>
          <w:rFonts w:ascii="Arial" w:cs="Arial" w:eastAsia="Arial" w:hAnsi="Arial"/>
          <w:sz w:val="16"/>
          <w:szCs w:val="16"/>
          <w:u w:val="single" w:color="auto"/>
          <w:color w:val="auto"/>
        </w:rPr>
        <w:t>Headings Not a Part Hereof</w:t>
      </w:r>
      <w:r>
        <w:rPr>
          <w:rFonts w:ascii="Arial" w:cs="Arial" w:eastAsia="Arial" w:hAnsi="Arial"/>
          <w:sz w:val="16"/>
          <w:szCs w:val="16"/>
          <w:color w:val="auto"/>
        </w:rPr>
        <w:t>. Any headings preceding the text of the several Articles, Sections, subsections, or paragraphs hereof are inserted solely for convenience of reference and shall not constitute a part of the Plan, nor shall they affect its meaning, construction, or effect.</w:t>
      </w:r>
    </w:p>
    <w:p>
      <w:pPr>
        <w:spacing w:after="0" w:line="85"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 xml:space="preserve">12.6. </w:t>
      </w:r>
      <w:r>
        <w:rPr>
          <w:rFonts w:ascii="Arial" w:cs="Arial" w:eastAsia="Arial" w:hAnsi="Arial"/>
          <w:sz w:val="16"/>
          <w:szCs w:val="16"/>
          <w:u w:val="single" w:color="auto"/>
          <w:color w:val="auto"/>
        </w:rPr>
        <w:t>Severability of Provisions</w:t>
      </w:r>
      <w:r>
        <w:rPr>
          <w:rFonts w:ascii="Arial" w:cs="Arial" w:eastAsia="Arial" w:hAnsi="Arial"/>
          <w:sz w:val="16"/>
          <w:szCs w:val="16"/>
          <w:color w:val="auto"/>
        </w:rPr>
        <w:t>. If any provision of this Plan is determined to be void by any court of competent jurisdiction, the Plan shall continue to operate and, for the purposes of the jurisdiction of that court only, shall be deemed not to include the provision determined to be void.</w:t>
      </w: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13 – EFFECTIVE DATE</w:t>
      </w:r>
    </w:p>
    <w:p>
      <w:pPr>
        <w:spacing w:after="0" w:line="177"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Committee of the Board adopted this amendment and restatement of the Plan on May 13, 2008. The effective date of this amendment and restatement of the Plan shall be January 1, 2008, except to the extent otherwise provided in the Plan. The original effective date of the Plan is January 1, 2005.</w:t>
      </w:r>
    </w:p>
    <w:p>
      <w:pPr>
        <w:spacing w:after="0" w:line="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20"/>
          </w:cols>
          <w:pgMar w:left="240" w:top="274" w:right="339" w:bottom="1440" w:gutter="0" w:footer="0" w:header="0"/>
        </w:sectPr>
      </w:pPr>
    </w:p>
    <w:bookmarkStart w:id="55" w:name="page56"/>
    <w:bookmarkEnd w:id="55"/>
    <w:p>
      <w:pPr>
        <w:ind w:firstLine="456"/>
        <w:spacing w:after="0" w:line="30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COMCAST CORPORATION has caused this Plan to be executed by its officers thereunto duly authorized, and its corporate seal to be affixed hereto, as of the 13</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of May, 2008.</w:t>
      </w:r>
    </w:p>
    <w:p>
      <w:pPr>
        <w:spacing w:after="0" w:line="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tabs>
          <w:tab w:leader="none" w:pos="7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4807585</wp:posOffset>
            </wp:positionH>
            <wp:positionV relativeFrom="paragraph">
              <wp:posOffset>10795</wp:posOffset>
            </wp:positionV>
            <wp:extent cx="244411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ATTEST: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4807585</wp:posOffset>
            </wp:positionH>
            <wp:positionV relativeFrom="paragraph">
              <wp:posOffset>10795</wp:posOffset>
            </wp:positionV>
            <wp:extent cx="244411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16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60"/>
          </w:cols>
          <w:pgMar w:left="240" w:top="280" w:right="49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10.2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2002 EMPLOYEE STOCK PURCHASE PLAN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Effective January 1, 2008)</w:t>
      </w:r>
    </w:p>
    <w:p>
      <w:pPr>
        <w:spacing w:after="0" w:line="212"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Purpose</w:t>
      </w:r>
      <w:r>
        <w:rPr>
          <w:rFonts w:ascii="Arial" w:cs="Arial" w:eastAsia="Arial" w:hAnsi="Arial"/>
          <w:sz w:val="18"/>
          <w:szCs w:val="18"/>
          <w:b w:val="1"/>
          <w:bCs w:val="1"/>
          <w:color w:val="auto"/>
        </w:rPr>
        <w:t>.</w:t>
      </w:r>
    </w:p>
    <w:p>
      <w:pPr>
        <w:spacing w:after="0" w:line="96" w:lineRule="exact"/>
        <w:rPr>
          <w:sz w:val="20"/>
          <w:szCs w:val="20"/>
          <w:color w:val="auto"/>
        </w:rPr>
      </w:pPr>
    </w:p>
    <w:p>
      <w:pPr>
        <w:ind w:right="100" w:firstLine="913"/>
        <w:spacing w:after="0" w:line="294" w:lineRule="auto"/>
        <w:rPr>
          <w:sz w:val="20"/>
          <w:szCs w:val="20"/>
          <w:color w:val="auto"/>
        </w:rPr>
      </w:pPr>
      <w:r>
        <w:rPr>
          <w:rFonts w:ascii="Arial" w:cs="Arial" w:eastAsia="Arial" w:hAnsi="Arial"/>
          <w:sz w:val="16"/>
          <w:szCs w:val="16"/>
          <w:color w:val="auto"/>
        </w:rPr>
        <w:t>COMCAST CORPORATION, a Pennsylvania corporation, hereby amends and restates the Comcast Corporation 2002 Employee Stock Purchase Plan (the “Plan”), effective January 1, 2008. The Plan is intended to encourage and facilitate the purchase of shares of common stock of Comcast Corporation by Eligible Employees of the Company and any Participating Companies, thereby providing such Eligible Employees with a personal stake in the Company and a long-range inducement to remain in the employ of the Company and Participating Companies. It is the intention of the Company that the Plan qualify as an “employee stock purchase plan” within the meaning of section 423 of the Code.</w:t>
      </w:r>
    </w:p>
    <w:p>
      <w:pPr>
        <w:spacing w:after="0" w:line="231"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left="700" w:hanging="236"/>
        <w:spacing w:after="0"/>
        <w:tabs>
          <w:tab w:leader="none" w:pos="7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w:t>
      </w:r>
      <w:r>
        <w:rPr>
          <w:rFonts w:ascii="Arial" w:cs="Arial" w:eastAsia="Arial" w:hAnsi="Arial"/>
          <w:sz w:val="18"/>
          <w:szCs w:val="18"/>
          <w:color w:val="auto"/>
        </w:rPr>
        <w:t>” means a bookkeeping account established by the Committee on behalf of a Participant to hold Payroll Deductions.</w:t>
      </w:r>
    </w:p>
    <w:p>
      <w:pPr>
        <w:spacing w:after="0" w:line="171" w:lineRule="exact"/>
        <w:rPr>
          <w:rFonts w:ascii="Arial" w:cs="Arial" w:eastAsia="Arial" w:hAnsi="Arial"/>
          <w:sz w:val="18"/>
          <w:szCs w:val="18"/>
          <w:color w:val="auto"/>
        </w:rPr>
      </w:pPr>
    </w:p>
    <w:p>
      <w:pPr>
        <w:ind w:right="100" w:firstLine="464"/>
        <w:spacing w:after="0" w:line="256" w:lineRule="auto"/>
        <w:tabs>
          <w:tab w:leader="none" w:pos="705" w:val="left"/>
        </w:tabs>
        <w:numPr>
          <w:ilvl w:val="1"/>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43" w:lineRule="exact"/>
        <w:rPr>
          <w:rFonts w:ascii="Arial" w:cs="Arial" w:eastAsia="Arial" w:hAnsi="Arial"/>
          <w:sz w:val="18"/>
          <w:szCs w:val="18"/>
          <w:color w:val="auto"/>
        </w:rPr>
      </w:pPr>
    </w:p>
    <w:p>
      <w:pPr>
        <w:ind w:left="700" w:hanging="236"/>
        <w:spacing w:after="0"/>
        <w:tabs>
          <w:tab w:leader="none" w:pos="7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71" w:lineRule="exact"/>
        <w:rPr>
          <w:rFonts w:ascii="Arial" w:cs="Arial" w:eastAsia="Arial" w:hAnsi="Arial"/>
          <w:sz w:val="18"/>
          <w:szCs w:val="18"/>
          <w:color w:val="auto"/>
        </w:rPr>
      </w:pPr>
    </w:p>
    <w:p>
      <w:pPr>
        <w:ind w:right="180" w:firstLine="464"/>
        <w:spacing w:after="0" w:line="268" w:lineRule="auto"/>
        <w:tabs>
          <w:tab w:leader="none" w:pos="705" w:val="left"/>
        </w:tabs>
        <w:numPr>
          <w:ilvl w:val="1"/>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Brokerage Account</w:t>
      </w:r>
      <w:r>
        <w:rPr>
          <w:rFonts w:ascii="Arial" w:cs="Arial" w:eastAsia="Arial" w:hAnsi="Arial"/>
          <w:sz w:val="18"/>
          <w:szCs w:val="18"/>
          <w:color w:val="auto"/>
        </w:rPr>
        <w:t>” means the brokerage account established under the Plan by the Company for each Participant, to which Shares purchased under the Plan shall be credited.</w:t>
      </w:r>
    </w:p>
    <w:p>
      <w:pPr>
        <w:spacing w:after="0" w:line="131" w:lineRule="exact"/>
        <w:rPr>
          <w:rFonts w:ascii="Arial" w:cs="Arial" w:eastAsia="Arial" w:hAnsi="Arial"/>
          <w:sz w:val="18"/>
          <w:szCs w:val="18"/>
          <w:color w:val="auto"/>
        </w:rPr>
      </w:pPr>
    </w:p>
    <w:p>
      <w:pPr>
        <w:ind w:right="180" w:firstLine="464"/>
        <w:spacing w:after="0" w:line="298" w:lineRule="auto"/>
        <w:tabs>
          <w:tab w:leader="none" w:pos="695" w:val="left"/>
        </w:tabs>
        <w:numPr>
          <w:ilvl w:val="1"/>
          <w:numId w:val="4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means any transaction or series of transactions as a result of which any Person who was a Third Party immediately before such transaction or series of transactions owns then-outstanding securities of the Company such that such Person has the ability to direct the management of the Company, as determined by the Board in its discretion. The Board may also determine that a Change of Control shall occur upon the completion of one or more proposed transactions. The Board’s determination shall be final and binding.</w:t>
      </w:r>
    </w:p>
    <w:p>
      <w:pPr>
        <w:spacing w:after="0" w:line="112" w:lineRule="exact"/>
        <w:rPr>
          <w:rFonts w:ascii="Arial" w:cs="Arial" w:eastAsia="Arial" w:hAnsi="Arial"/>
          <w:sz w:val="16"/>
          <w:szCs w:val="16"/>
          <w:color w:val="auto"/>
        </w:rPr>
      </w:pPr>
    </w:p>
    <w:p>
      <w:pPr>
        <w:ind w:left="680" w:hanging="216"/>
        <w:spacing w:after="0"/>
        <w:tabs>
          <w:tab w:leader="none" w:pos="6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w:t>
      </w:r>
    </w:p>
    <w:p>
      <w:pPr>
        <w:spacing w:after="0" w:line="171" w:lineRule="exact"/>
        <w:rPr>
          <w:rFonts w:ascii="Arial" w:cs="Arial" w:eastAsia="Arial" w:hAnsi="Arial"/>
          <w:sz w:val="18"/>
          <w:szCs w:val="18"/>
          <w:color w:val="auto"/>
        </w:rPr>
      </w:pPr>
    </w:p>
    <w:p>
      <w:pPr>
        <w:ind w:right="280" w:firstLine="464"/>
        <w:spacing w:after="0" w:line="268" w:lineRule="auto"/>
        <w:tabs>
          <w:tab w:leader="none" w:pos="705" w:val="left"/>
        </w:tabs>
        <w:numPr>
          <w:ilvl w:val="1"/>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Comcast Corporation, a Pennsylvania corporation, including any successor thereto by merger, consolidation, acquisition of all or substantially all the assets thereof, or otherwise.</w:t>
      </w:r>
    </w:p>
    <w:p>
      <w:pPr>
        <w:sectPr>
          <w:pgSz w:w="11900" w:h="16838" w:orient="portrait"/>
          <w:cols w:equalWidth="0" w:num="1">
            <w:col w:w="11420"/>
          </w:cols>
          <w:pgMar w:left="240" w:top="125" w:right="239" w:bottom="1440" w:gutter="0" w:footer="0" w:header="0"/>
        </w:sectPr>
      </w:pPr>
    </w:p>
    <w:bookmarkStart w:id="57" w:name="page58"/>
    <w:bookmarkEnd w:id="57"/>
    <w:p>
      <w:pPr>
        <w:ind w:firstLine="464"/>
        <w:spacing w:after="0" w:line="255" w:lineRule="auto"/>
        <w:tabs>
          <w:tab w:leader="none" w:pos="666" w:val="left"/>
        </w:tabs>
        <w:numPr>
          <w:ilvl w:val="0"/>
          <w:numId w:val="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Compensation</w:t>
      </w:r>
      <w:r>
        <w:rPr>
          <w:rFonts w:ascii="Arial" w:cs="Arial" w:eastAsia="Arial" w:hAnsi="Arial"/>
          <w:sz w:val="18"/>
          <w:szCs w:val="18"/>
          <w:color w:val="auto"/>
        </w:rPr>
        <w:t>” means an Eligible Employee’s wages as reported on Form W-2 (</w:t>
      </w:r>
      <w:r>
        <w:rPr>
          <w:rFonts w:ascii="Arial" w:cs="Arial" w:eastAsia="Arial" w:hAnsi="Arial"/>
          <w:sz w:val="18"/>
          <w:szCs w:val="18"/>
          <w:u w:val="single" w:color="auto"/>
          <w:color w:val="auto"/>
        </w:rPr>
        <w:t>i.e.</w:t>
      </w:r>
      <w:r>
        <w:rPr>
          <w:rFonts w:ascii="Arial" w:cs="Arial" w:eastAsia="Arial" w:hAnsi="Arial"/>
          <w:sz w:val="18"/>
          <w:szCs w:val="18"/>
          <w:color w:val="auto"/>
        </w:rPr>
        <w:t>, wages as defined in section 3401(a) of the Code and all other payments of compensation for which the Participating Company is required to furnish the employee a written statement under sections 6041(d) and 6051(a)(3) of the Code) from a Participating Company, reduced by reimbursements or other expense allowances, fringe benefits (cash and non-cash), moving expenses, deferred compensation, and welfare benefits, but including salary reduction contributions and elective contributions that are not includible in gross income under sections 125 or 402(a)(8) of the Code.</w:t>
      </w:r>
    </w:p>
    <w:p>
      <w:pPr>
        <w:spacing w:after="0" w:line="142" w:lineRule="exact"/>
        <w:rPr>
          <w:rFonts w:ascii="Arial" w:cs="Arial" w:eastAsia="Arial" w:hAnsi="Arial"/>
          <w:sz w:val="18"/>
          <w:szCs w:val="18"/>
          <w:color w:val="auto"/>
        </w:rPr>
      </w:pPr>
    </w:p>
    <w:p>
      <w:pPr>
        <w:ind w:right="580" w:firstLine="464"/>
        <w:spacing w:after="0" w:line="268" w:lineRule="auto"/>
        <w:tabs>
          <w:tab w:leader="none" w:pos="666" w:val="left"/>
        </w:tabs>
        <w:numPr>
          <w:ilvl w:val="0"/>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Election Form</w:t>
      </w:r>
      <w:r>
        <w:rPr>
          <w:rFonts w:ascii="Arial" w:cs="Arial" w:eastAsia="Arial" w:hAnsi="Arial"/>
          <w:sz w:val="18"/>
          <w:szCs w:val="18"/>
          <w:color w:val="auto"/>
        </w:rPr>
        <w:t>” means the written or electronic form acceptable to the Committee which an Eligible Employee shall use to make an election to purchase Shares through Payroll Deductions pursuant to the Plan.</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Employee</w:t>
      </w:r>
      <w:r>
        <w:rPr>
          <w:rFonts w:ascii="Arial" w:cs="Arial" w:eastAsia="Arial" w:hAnsi="Arial"/>
          <w:sz w:val="18"/>
          <w:szCs w:val="18"/>
          <w:color w:val="auto"/>
        </w:rPr>
        <w:t>” means an Employee who is not an Ineligible Employee.</w:t>
      </w:r>
    </w:p>
    <w:p>
      <w:pPr>
        <w:spacing w:after="0" w:line="171" w:lineRule="exact"/>
        <w:rPr>
          <w:rFonts w:ascii="Arial" w:cs="Arial" w:eastAsia="Arial" w:hAnsi="Arial"/>
          <w:sz w:val="18"/>
          <w:szCs w:val="18"/>
          <w:color w:val="auto"/>
        </w:rPr>
      </w:pPr>
    </w:p>
    <w:p>
      <w:pPr>
        <w:ind w:left="680" w:hanging="216"/>
        <w:spacing w:after="0"/>
        <w:tabs>
          <w:tab w:leader="none" w:pos="6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Employer</w:t>
      </w:r>
      <w:r>
        <w:rPr>
          <w:rFonts w:ascii="Arial" w:cs="Arial" w:eastAsia="Arial" w:hAnsi="Arial"/>
          <w:sz w:val="18"/>
          <w:szCs w:val="18"/>
          <w:color w:val="auto"/>
        </w:rPr>
        <w:t>” means the Company and any subsidiary of the Company, within the meaning of section 424(f) of the Code.</w:t>
      </w:r>
    </w:p>
    <w:p>
      <w:pPr>
        <w:spacing w:after="0" w:line="171" w:lineRule="exact"/>
        <w:rPr>
          <w:rFonts w:ascii="Arial" w:cs="Arial" w:eastAsia="Arial" w:hAnsi="Arial"/>
          <w:sz w:val="18"/>
          <w:szCs w:val="18"/>
          <w:color w:val="auto"/>
        </w:rPr>
      </w:pPr>
    </w:p>
    <w:p>
      <w:pPr>
        <w:ind w:left="760" w:hanging="296"/>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w:t>
      </w:r>
      <w:r>
        <w:rPr>
          <w:rFonts w:ascii="Arial" w:cs="Arial" w:eastAsia="Arial" w:hAnsi="Arial"/>
          <w:sz w:val="18"/>
          <w:szCs w:val="18"/>
          <w:color w:val="auto"/>
        </w:rPr>
        <w:t>” means a person who is an employee of a Participating Company.</w:t>
      </w:r>
    </w:p>
    <w:p>
      <w:pPr>
        <w:spacing w:after="0" w:line="171" w:lineRule="exact"/>
        <w:rPr>
          <w:rFonts w:ascii="Arial" w:cs="Arial" w:eastAsia="Arial" w:hAnsi="Arial"/>
          <w:sz w:val="18"/>
          <w:szCs w:val="18"/>
          <w:color w:val="auto"/>
        </w:rPr>
      </w:pPr>
    </w:p>
    <w:p>
      <w:pPr>
        <w:ind w:right="80" w:firstLine="464"/>
        <w:spacing w:after="0" w:line="256" w:lineRule="auto"/>
        <w:tabs>
          <w:tab w:leader="none" w:pos="705" w:val="left"/>
        </w:tabs>
        <w:numPr>
          <w:ilvl w:val="0"/>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the closing price per Share on the principal national securities exchange on which the Shares are listed or admitted to trading or, if not listed or traded on any such exchange, on the National Market System of the National Association of Securities Dealers Automated Quotation System (“NASDAQ”), or if not listed or traded on any such exchange or system, the fair market value as reasonably determined by the Board or the Committee, which determination shall be conclusive.</w:t>
      </w:r>
    </w:p>
    <w:p>
      <w:pPr>
        <w:spacing w:after="0" w:line="143" w:lineRule="exact"/>
        <w:rPr>
          <w:rFonts w:ascii="Arial" w:cs="Arial" w:eastAsia="Arial" w:hAnsi="Arial"/>
          <w:sz w:val="18"/>
          <w:szCs w:val="18"/>
          <w:color w:val="auto"/>
        </w:rPr>
      </w:pPr>
    </w:p>
    <w:p>
      <w:pPr>
        <w:ind w:left="720" w:hanging="256"/>
        <w:spacing w:after="0"/>
        <w:tabs>
          <w:tab w:leader="none" w:pos="7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Five Percent Owner</w:t>
      </w:r>
      <w:r>
        <w:rPr>
          <w:rFonts w:ascii="Arial" w:cs="Arial" w:eastAsia="Arial" w:hAnsi="Arial"/>
          <w:sz w:val="16"/>
          <w:szCs w:val="16"/>
          <w:color w:val="auto"/>
        </w:rPr>
        <w:t>” means an Employee who, with respect to a Participating Company, is described in section 423(b)(3) of the Code.</w:t>
      </w:r>
    </w:p>
    <w:p>
      <w:pPr>
        <w:spacing w:after="0" w:line="194" w:lineRule="exact"/>
        <w:rPr>
          <w:rFonts w:ascii="Arial" w:cs="Arial" w:eastAsia="Arial" w:hAnsi="Arial"/>
          <w:sz w:val="16"/>
          <w:szCs w:val="16"/>
          <w:color w:val="auto"/>
        </w:rPr>
      </w:pPr>
    </w:p>
    <w:p>
      <w:pPr>
        <w:ind w:left="720" w:hanging="256"/>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Ineligible Employee</w:t>
      </w:r>
      <w:r>
        <w:rPr>
          <w:rFonts w:ascii="Arial" w:cs="Arial" w:eastAsia="Arial" w:hAnsi="Arial"/>
          <w:sz w:val="18"/>
          <w:szCs w:val="18"/>
          <w:color w:val="auto"/>
        </w:rPr>
        <w:t>” means an Employee who, as of an Offering Commencement Date:</w:t>
      </w:r>
    </w:p>
    <w:p>
      <w:pPr>
        <w:spacing w:after="0" w:line="90" w:lineRule="exact"/>
        <w:rPr>
          <w:rFonts w:ascii="Arial" w:cs="Arial" w:eastAsia="Arial" w:hAnsi="Arial"/>
          <w:sz w:val="18"/>
          <w:szCs w:val="18"/>
          <w:color w:val="auto"/>
        </w:rPr>
      </w:pPr>
    </w:p>
    <w:p>
      <w:pPr>
        <w:ind w:left="1160" w:hanging="239"/>
        <w:spacing w:after="0"/>
        <w:tabs>
          <w:tab w:leader="none" w:pos="11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is a Five Percent Owner;</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has been continuously employed by a Participating Company on a full-time basis for less than 90 days;</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has been continuously employed by a Participating Company on a part-time basis for less than one year; or</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is restricted from participating under Paragraph 3(b).</w:t>
      </w:r>
    </w:p>
    <w:p>
      <w:pPr>
        <w:spacing w:after="0" w:line="171"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For purposes of this Paragraph 2(p), an Employee is employed on a part-time basis if the Employee customarily works less than 20 hours per week. For purposes of this Paragraph 2(p), an Employee is employed on a full-time basis if the Employee customarily works 20 or more hours per week.</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80" w:right="299" w:bottom="1440" w:gutter="0" w:footer="0" w:header="0"/>
        </w:sectPr>
      </w:pPr>
    </w:p>
    <w:bookmarkStart w:id="58" w:name="page59"/>
    <w:bookmarkEnd w:id="58"/>
    <w:p>
      <w:pPr>
        <w:ind w:left="720" w:hanging="256"/>
        <w:spacing w:after="0"/>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Offering</w:t>
      </w:r>
      <w:r>
        <w:rPr>
          <w:rFonts w:ascii="Arial" w:cs="Arial" w:eastAsia="Arial" w:hAnsi="Arial"/>
          <w:sz w:val="18"/>
          <w:szCs w:val="18"/>
          <w:color w:val="auto"/>
        </w:rPr>
        <w:t>” means an offering of Shares by the Company to Eligible Employees pursuant to the Plan.</w:t>
      </w:r>
    </w:p>
    <w:p>
      <w:pPr>
        <w:spacing w:after="0" w:line="171" w:lineRule="exact"/>
        <w:rPr>
          <w:rFonts w:ascii="Arial" w:cs="Arial" w:eastAsia="Arial" w:hAnsi="Arial"/>
          <w:sz w:val="18"/>
          <w:szCs w:val="18"/>
          <w:color w:val="auto"/>
        </w:rPr>
      </w:pPr>
    </w:p>
    <w:p>
      <w:pPr>
        <w:ind w:firstLine="464"/>
        <w:spacing w:after="0" w:line="332" w:lineRule="auto"/>
        <w:tabs>
          <w:tab w:leader="none" w:pos="676" w:val="left"/>
        </w:tabs>
        <w:numPr>
          <w:ilvl w:val="0"/>
          <w:numId w:val="4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Offering Commencement Date</w:t>
      </w:r>
      <w:r>
        <w:rPr>
          <w:rFonts w:ascii="Arial" w:cs="Arial" w:eastAsia="Arial" w:hAnsi="Arial"/>
          <w:sz w:val="16"/>
          <w:szCs w:val="16"/>
          <w:color w:val="auto"/>
        </w:rPr>
        <w:t>” means the first day of each January 1, April 1, July 1 and October 1 beginning on or after Offerings are authorized by the Board or the Committee, until the Plan Termination Date, provided that the first Offering Commencement Date shall be on the Effective Date.</w:t>
      </w:r>
    </w:p>
    <w:p>
      <w:pPr>
        <w:spacing w:after="0" w:line="85" w:lineRule="exact"/>
        <w:rPr>
          <w:rFonts w:ascii="Arial" w:cs="Arial" w:eastAsia="Arial" w:hAnsi="Arial"/>
          <w:sz w:val="16"/>
          <w:szCs w:val="16"/>
          <w:color w:val="auto"/>
        </w:rPr>
      </w:pPr>
    </w:p>
    <w:p>
      <w:pPr>
        <w:ind w:left="700" w:hanging="236"/>
        <w:spacing w:after="0"/>
        <w:tabs>
          <w:tab w:leader="none" w:pos="7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Offering Period</w:t>
      </w:r>
      <w:r>
        <w:rPr>
          <w:rFonts w:ascii="Arial" w:cs="Arial" w:eastAsia="Arial" w:hAnsi="Arial"/>
          <w:sz w:val="16"/>
          <w:szCs w:val="16"/>
          <w:color w:val="auto"/>
        </w:rPr>
        <w:t>” means the period extending from an Offering Commencement Date through the following Offering Termination Date.</w:t>
      </w:r>
    </w:p>
    <w:p>
      <w:pPr>
        <w:spacing w:after="0" w:line="194" w:lineRule="exact"/>
        <w:rPr>
          <w:rFonts w:ascii="Arial" w:cs="Arial" w:eastAsia="Arial" w:hAnsi="Arial"/>
          <w:sz w:val="16"/>
          <w:szCs w:val="16"/>
          <w:color w:val="auto"/>
        </w:rPr>
      </w:pPr>
    </w:p>
    <w:p>
      <w:pPr>
        <w:ind w:right="140" w:firstLine="464"/>
        <w:spacing w:after="0" w:line="268" w:lineRule="auto"/>
        <w:tabs>
          <w:tab w:leader="none" w:pos="666"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 Termination Date</w:t>
      </w:r>
      <w:r>
        <w:rPr>
          <w:rFonts w:ascii="Arial" w:cs="Arial" w:eastAsia="Arial" w:hAnsi="Arial"/>
          <w:sz w:val="18"/>
          <w:szCs w:val="18"/>
          <w:color w:val="auto"/>
        </w:rPr>
        <w:t>” means the last day of each March, June, September and December following an Offering Commencement Date, or such other Offering Termination Date established in connection with a Terminating Event.</w:t>
      </w:r>
    </w:p>
    <w:p>
      <w:pPr>
        <w:spacing w:after="0" w:line="131" w:lineRule="exact"/>
        <w:rPr>
          <w:rFonts w:ascii="Arial" w:cs="Arial" w:eastAsia="Arial" w:hAnsi="Arial"/>
          <w:sz w:val="18"/>
          <w:szCs w:val="18"/>
          <w:color w:val="auto"/>
        </w:rPr>
      </w:pPr>
    </w:p>
    <w:p>
      <w:pPr>
        <w:ind w:right="40" w:firstLine="464"/>
        <w:spacing w:after="0" w:line="268" w:lineRule="auto"/>
        <w:tabs>
          <w:tab w:leader="none" w:pos="705"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an Eligible Employee who has timely delivered an Election Form to the Committee in accordance with procedures established by the Committee.</w:t>
      </w:r>
    </w:p>
    <w:p>
      <w:pPr>
        <w:spacing w:after="0" w:line="131" w:lineRule="exact"/>
        <w:rPr>
          <w:rFonts w:ascii="Arial" w:cs="Arial" w:eastAsia="Arial" w:hAnsi="Arial"/>
          <w:sz w:val="18"/>
          <w:szCs w:val="18"/>
          <w:color w:val="auto"/>
        </w:rPr>
      </w:pPr>
    </w:p>
    <w:p>
      <w:pPr>
        <w:ind w:right="680" w:firstLine="464"/>
        <w:spacing w:after="0" w:line="268" w:lineRule="auto"/>
        <w:tabs>
          <w:tab w:leader="none" w:pos="705"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Company</w:t>
      </w:r>
      <w:r>
        <w:rPr>
          <w:rFonts w:ascii="Arial" w:cs="Arial" w:eastAsia="Arial" w:hAnsi="Arial"/>
          <w:sz w:val="18"/>
          <w:szCs w:val="18"/>
          <w:color w:val="auto"/>
        </w:rPr>
        <w:t>” means, as provided in Schedule A to the Plan, the Eligible Employers, if any, that are approved by the Board or the Committee from time to time.</w:t>
      </w:r>
    </w:p>
    <w:p>
      <w:pPr>
        <w:spacing w:after="0" w:line="131" w:lineRule="exact"/>
        <w:rPr>
          <w:rFonts w:ascii="Arial" w:cs="Arial" w:eastAsia="Arial" w:hAnsi="Arial"/>
          <w:sz w:val="18"/>
          <w:szCs w:val="18"/>
          <w:color w:val="auto"/>
        </w:rPr>
      </w:pPr>
    </w:p>
    <w:p>
      <w:pPr>
        <w:ind w:left="760" w:hanging="296"/>
        <w:spacing w:after="0"/>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Payroll Deductions</w:t>
      </w:r>
      <w:r>
        <w:rPr>
          <w:rFonts w:ascii="Arial" w:cs="Arial" w:eastAsia="Arial" w:hAnsi="Arial"/>
          <w:sz w:val="18"/>
          <w:szCs w:val="18"/>
          <w:color w:val="auto"/>
        </w:rPr>
        <w:t>” means amounts withheld from a Participant’s Compensation pursuant to the Plan, as described in Paragraph 5.</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 partnership, an association, a trust or any other entity or organization.</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4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Plan</w:t>
      </w:r>
      <w:r>
        <w:rPr>
          <w:rFonts w:ascii="Arial" w:cs="Arial" w:eastAsia="Arial" w:hAnsi="Arial"/>
          <w:sz w:val="15"/>
          <w:szCs w:val="15"/>
          <w:color w:val="auto"/>
        </w:rPr>
        <w:t>” means the Comcast Corporation 2002 Employee Stock Purchase Plan, as set forth in this document, and as may be amended from time to time.</w:t>
      </w:r>
    </w:p>
    <w:p>
      <w:pPr>
        <w:spacing w:after="0" w:line="205" w:lineRule="exact"/>
        <w:rPr>
          <w:rFonts w:ascii="Arial" w:cs="Arial" w:eastAsia="Arial" w:hAnsi="Arial"/>
          <w:sz w:val="15"/>
          <w:szCs w:val="15"/>
          <w:color w:val="auto"/>
        </w:rPr>
      </w:pPr>
    </w:p>
    <w:p>
      <w:pPr>
        <w:ind w:left="700" w:hanging="236"/>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 Termination Date</w:t>
      </w:r>
      <w:r>
        <w:rPr>
          <w:rFonts w:ascii="Arial" w:cs="Arial" w:eastAsia="Arial" w:hAnsi="Arial"/>
          <w:sz w:val="18"/>
          <w:szCs w:val="18"/>
          <w:color w:val="auto"/>
        </w:rPr>
        <w:t>” means the earlier of:</w:t>
      </w:r>
    </w:p>
    <w:p>
      <w:pPr>
        <w:spacing w:after="0" w:line="90" w:lineRule="exact"/>
        <w:rPr>
          <w:rFonts w:ascii="Arial" w:cs="Arial" w:eastAsia="Arial" w:hAnsi="Arial"/>
          <w:sz w:val="18"/>
          <w:szCs w:val="18"/>
          <w:color w:val="auto"/>
        </w:rPr>
      </w:pPr>
    </w:p>
    <w:p>
      <w:pPr>
        <w:ind w:left="1160" w:hanging="239"/>
        <w:spacing w:after="0"/>
        <w:tabs>
          <w:tab w:leader="none" w:pos="1160" w:val="left"/>
        </w:tabs>
        <w:numPr>
          <w:ilvl w:val="1"/>
          <w:numId w:val="43"/>
        </w:numPr>
        <w:rPr>
          <w:rFonts w:ascii="Arial" w:cs="Arial" w:eastAsia="Arial" w:hAnsi="Arial"/>
          <w:sz w:val="16"/>
          <w:szCs w:val="16"/>
          <w:color w:val="auto"/>
        </w:rPr>
      </w:pPr>
      <w:r>
        <w:rPr>
          <w:rFonts w:ascii="Arial" w:cs="Arial" w:eastAsia="Arial" w:hAnsi="Arial"/>
          <w:sz w:val="16"/>
          <w:szCs w:val="16"/>
          <w:color w:val="auto"/>
        </w:rPr>
        <w:t>the Offering Termination Date for the Offering in which the maximum number of Shares specified in Paragraph 9 have been issued pursuant to</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Plan; or</w:t>
      </w:r>
    </w:p>
    <w:p>
      <w:pPr>
        <w:spacing w:after="0" w:line="164" w:lineRule="exact"/>
        <w:rPr>
          <w:rFonts w:ascii="Arial" w:cs="Arial" w:eastAsia="Arial" w:hAnsi="Arial"/>
          <w:sz w:val="16"/>
          <w:szCs w:val="16"/>
          <w:color w:val="auto"/>
        </w:rPr>
      </w:pPr>
    </w:p>
    <w:p>
      <w:pPr>
        <w:ind w:left="1160" w:hanging="239"/>
        <w:spacing w:after="0"/>
        <w:tabs>
          <w:tab w:leader="none" w:pos="11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date as of which the Board or the Committee chooses to terminate the Plan as provided in Paragraph 14.</w:t>
      </w:r>
    </w:p>
    <w:p>
      <w:pPr>
        <w:spacing w:after="0" w:line="171" w:lineRule="exact"/>
        <w:rPr>
          <w:sz w:val="20"/>
          <w:szCs w:val="20"/>
          <w:color w:val="auto"/>
        </w:rPr>
      </w:pPr>
    </w:p>
    <w:p>
      <w:pPr>
        <w:jc w:val="both"/>
        <w:ind w:right="40" w:firstLine="464"/>
        <w:spacing w:after="0" w:line="306" w:lineRule="auto"/>
        <w:tabs>
          <w:tab w:leader="none" w:pos="773" w:val="left"/>
        </w:tabs>
        <w:numPr>
          <w:ilvl w:val="0"/>
          <w:numId w:val="4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Purchase Price</w:t>
      </w:r>
      <w:r>
        <w:rPr>
          <w:rFonts w:ascii="Arial" w:cs="Arial" w:eastAsia="Arial" w:hAnsi="Arial"/>
          <w:sz w:val="16"/>
          <w:szCs w:val="16"/>
          <w:color w:val="auto"/>
        </w:rPr>
        <w:t>” means 85 percent of the lesser of: (1) the Fair Market Value per Share on the Offering Commencement Date, or if such date is not a trading day, then on the next trading day thereafter or (2) the Fair Market Value per Share on the Offering Termination Date, or if such date is not a trading day, then on the trading day immediately preceding the Offering Termination Date.</w:t>
      </w:r>
    </w:p>
    <w:p>
      <w:pPr>
        <w:spacing w:after="0" w:line="106" w:lineRule="exact"/>
        <w:rPr>
          <w:rFonts w:ascii="Arial" w:cs="Arial" w:eastAsia="Arial" w:hAnsi="Arial"/>
          <w:sz w:val="16"/>
          <w:szCs w:val="16"/>
          <w:color w:val="auto"/>
        </w:rPr>
      </w:pPr>
    </w:p>
    <w:p>
      <w:pPr>
        <w:ind w:left="800" w:hanging="336"/>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means:</w:t>
      </w:r>
    </w:p>
    <w:p>
      <w:pPr>
        <w:spacing w:after="0" w:line="90" w:lineRule="exact"/>
        <w:rPr>
          <w:rFonts w:ascii="Arial" w:cs="Arial" w:eastAsia="Arial" w:hAnsi="Arial"/>
          <w:sz w:val="18"/>
          <w:szCs w:val="18"/>
          <w:color w:val="auto"/>
        </w:rPr>
      </w:pPr>
    </w:p>
    <w:p>
      <w:pPr>
        <w:ind w:left="1160" w:hanging="239"/>
        <w:spacing w:after="0"/>
        <w:tabs>
          <w:tab w:leader="none" w:pos="11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except as otherwise provided in Paragraph 2(bb)(2), shares of Comcast Corporation Class A Common Stock, par value $0.01.</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00"/>
          </w:cols>
          <w:pgMar w:left="240" w:top="280" w:right="359" w:bottom="1440" w:gutter="0" w:footer="0" w:header="0"/>
        </w:sectPr>
      </w:pPr>
    </w:p>
    <w:bookmarkStart w:id="59" w:name="page60"/>
    <w:bookmarkEnd w:id="59"/>
    <w:p>
      <w:pPr>
        <w:ind w:left="1152" w:hanging="239"/>
        <w:spacing w:after="0"/>
        <w:tabs>
          <w:tab w:leader="none" w:pos="1152" w:val="left"/>
        </w:tabs>
        <w:numPr>
          <w:ilvl w:val="2"/>
          <w:numId w:val="4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the Offering Period commencing on October 1, 2002, shares of Comcast Corporation Class A Special Common Stock, par value $0.01.</w:t>
      </w:r>
    </w:p>
    <w:p>
      <w:pPr>
        <w:spacing w:after="0" w:line="194" w:lineRule="exact"/>
        <w:rPr>
          <w:rFonts w:ascii="Arial" w:cs="Arial" w:eastAsia="Arial" w:hAnsi="Arial"/>
          <w:sz w:val="16"/>
          <w:szCs w:val="16"/>
          <w:color w:val="auto"/>
        </w:rPr>
      </w:pPr>
    </w:p>
    <w:p>
      <w:pPr>
        <w:ind w:left="-8" w:firstLine="464"/>
        <w:spacing w:after="0" w:line="268" w:lineRule="auto"/>
        <w:tabs>
          <w:tab w:leader="none" w:pos="765" w:val="left"/>
        </w:tabs>
        <w:numPr>
          <w:ilvl w:val="1"/>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Successor-in-Interest</w:t>
      </w:r>
      <w:r>
        <w:rPr>
          <w:rFonts w:ascii="Arial" w:cs="Arial" w:eastAsia="Arial" w:hAnsi="Arial"/>
          <w:sz w:val="18"/>
          <w:szCs w:val="18"/>
          <w:color w:val="auto"/>
        </w:rPr>
        <w:t>” means the Participant’s executor or administrator, or such other person or entity to which the Participant’s rights under the Plan shall have passed by will or the laws of descent and distribution.</w:t>
      </w:r>
    </w:p>
    <w:p>
      <w:pPr>
        <w:spacing w:after="0" w:line="131" w:lineRule="exact"/>
        <w:rPr>
          <w:rFonts w:ascii="Arial" w:cs="Arial" w:eastAsia="Arial" w:hAnsi="Arial"/>
          <w:sz w:val="18"/>
          <w:szCs w:val="18"/>
          <w:color w:val="auto"/>
        </w:rPr>
      </w:pPr>
    </w:p>
    <w:p>
      <w:pPr>
        <w:ind w:left="792" w:hanging="336"/>
        <w:spacing w:after="0"/>
        <w:tabs>
          <w:tab w:leader="none" w:pos="792" w:val="left"/>
        </w:tabs>
        <w:numPr>
          <w:ilvl w:val="1"/>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Terminating Event</w:t>
      </w:r>
      <w:r>
        <w:rPr>
          <w:rFonts w:ascii="Arial" w:cs="Arial" w:eastAsia="Arial" w:hAnsi="Arial"/>
          <w:sz w:val="18"/>
          <w:szCs w:val="18"/>
          <w:color w:val="auto"/>
        </w:rPr>
        <w:t>” means any of the following events:</w:t>
      </w:r>
    </w:p>
    <w:p>
      <w:pPr>
        <w:spacing w:after="0" w:line="90" w:lineRule="exact"/>
        <w:rPr>
          <w:rFonts w:ascii="Arial" w:cs="Arial" w:eastAsia="Arial" w:hAnsi="Arial"/>
          <w:sz w:val="18"/>
          <w:szCs w:val="18"/>
          <w:color w:val="auto"/>
        </w:rPr>
      </w:pPr>
    </w:p>
    <w:p>
      <w:pPr>
        <w:ind w:left="1152" w:hanging="239"/>
        <w:spacing w:after="0"/>
        <w:tabs>
          <w:tab w:leader="none" w:pos="1152" w:val="left"/>
        </w:tabs>
        <w:numPr>
          <w:ilvl w:val="2"/>
          <w:numId w:val="46"/>
        </w:numPr>
        <w:rPr>
          <w:rFonts w:ascii="Arial" w:cs="Arial" w:eastAsia="Arial" w:hAnsi="Arial"/>
          <w:sz w:val="18"/>
          <w:szCs w:val="18"/>
          <w:color w:val="auto"/>
        </w:rPr>
      </w:pPr>
      <w:r>
        <w:rPr>
          <w:rFonts w:ascii="Arial" w:cs="Arial" w:eastAsia="Arial" w:hAnsi="Arial"/>
          <w:sz w:val="18"/>
          <w:szCs w:val="18"/>
          <w:color w:val="auto"/>
        </w:rPr>
        <w:t>the liquidation of the Company; or</w:t>
      </w:r>
    </w:p>
    <w:p>
      <w:pPr>
        <w:spacing w:after="0" w:line="171" w:lineRule="exact"/>
        <w:rPr>
          <w:rFonts w:ascii="Arial" w:cs="Arial" w:eastAsia="Arial" w:hAnsi="Arial"/>
          <w:sz w:val="18"/>
          <w:szCs w:val="18"/>
          <w:color w:val="auto"/>
        </w:rPr>
      </w:pPr>
    </w:p>
    <w:p>
      <w:pPr>
        <w:ind w:left="1152" w:hanging="239"/>
        <w:spacing w:after="0"/>
        <w:tabs>
          <w:tab w:leader="none" w:pos="1152" w:val="left"/>
        </w:tabs>
        <w:numPr>
          <w:ilvl w:val="2"/>
          <w:numId w:val="46"/>
        </w:numPr>
        <w:rPr>
          <w:rFonts w:ascii="Arial" w:cs="Arial" w:eastAsia="Arial" w:hAnsi="Arial"/>
          <w:sz w:val="18"/>
          <w:szCs w:val="18"/>
          <w:color w:val="auto"/>
        </w:rPr>
      </w:pPr>
      <w:r>
        <w:rPr>
          <w:rFonts w:ascii="Arial" w:cs="Arial" w:eastAsia="Arial" w:hAnsi="Arial"/>
          <w:sz w:val="18"/>
          <w:szCs w:val="18"/>
          <w:color w:val="auto"/>
        </w:rPr>
        <w:t>a Change of Control.</w:t>
      </w:r>
    </w:p>
    <w:p>
      <w:pPr>
        <w:spacing w:after="0" w:line="171" w:lineRule="exact"/>
        <w:rPr>
          <w:rFonts w:ascii="Arial" w:cs="Arial" w:eastAsia="Arial" w:hAnsi="Arial"/>
          <w:sz w:val="18"/>
          <w:szCs w:val="18"/>
          <w:color w:val="auto"/>
        </w:rPr>
      </w:pPr>
    </w:p>
    <w:p>
      <w:pPr>
        <w:ind w:left="-8" w:right="360" w:firstLine="464"/>
        <w:spacing w:after="0" w:line="332" w:lineRule="auto"/>
        <w:tabs>
          <w:tab w:leader="none" w:pos="765" w:val="left"/>
        </w:tabs>
        <w:numPr>
          <w:ilvl w:val="1"/>
          <w:numId w:val="4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Third Party</w:t>
      </w:r>
      <w:r>
        <w:rPr>
          <w:rFonts w:ascii="Arial" w:cs="Arial" w:eastAsia="Arial" w:hAnsi="Arial"/>
          <w:sz w:val="16"/>
          <w:szCs w:val="16"/>
          <w:color w:val="auto"/>
        </w:rPr>
        <w:t>” means any Person, together with such Person’s Affiliates, provided that the term “Third Party” shall not include the Company or an Affiliate of the Company.</w:t>
      </w:r>
    </w:p>
    <w:p>
      <w:pPr>
        <w:spacing w:after="0" w:line="85" w:lineRule="exact"/>
        <w:rPr>
          <w:rFonts w:ascii="Arial" w:cs="Arial" w:eastAsia="Arial" w:hAnsi="Arial"/>
          <w:sz w:val="16"/>
          <w:szCs w:val="16"/>
          <w:color w:val="auto"/>
        </w:rPr>
      </w:pPr>
    </w:p>
    <w:p>
      <w:pPr>
        <w:ind w:left="-8" w:firstLine="464"/>
        <w:spacing w:after="0" w:line="268" w:lineRule="auto"/>
        <w:tabs>
          <w:tab w:leader="none" w:pos="723" w:val="left"/>
        </w:tabs>
        <w:numPr>
          <w:ilvl w:val="1"/>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Form</w:t>
      </w:r>
      <w:r>
        <w:rPr>
          <w:rFonts w:ascii="Arial" w:cs="Arial" w:eastAsia="Arial" w:hAnsi="Arial"/>
          <w:sz w:val="18"/>
          <w:szCs w:val="18"/>
          <w:color w:val="auto"/>
        </w:rPr>
        <w:t>” means the written or electronic form acceptable to the Committee which an Employee shall use to discontinue participation during an Offering Period pursuant to Paragraph 7(b).</w:t>
      </w:r>
    </w:p>
    <w:p>
      <w:pPr>
        <w:spacing w:after="0" w:line="247" w:lineRule="exact"/>
        <w:rPr>
          <w:rFonts w:ascii="Arial" w:cs="Arial" w:eastAsia="Arial" w:hAnsi="Arial"/>
          <w:sz w:val="18"/>
          <w:szCs w:val="18"/>
          <w:color w:val="auto"/>
        </w:rPr>
      </w:pPr>
    </w:p>
    <w:p>
      <w:pPr>
        <w:ind w:left="452" w:hanging="452"/>
        <w:spacing w:after="0"/>
        <w:tabs>
          <w:tab w:leader="none" w:pos="452"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Eligibility and Participation</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left="692" w:hanging="236"/>
        <w:spacing w:after="0"/>
        <w:tabs>
          <w:tab w:leader="none" w:pos="692" w:val="left"/>
        </w:tabs>
        <w:numPr>
          <w:ilvl w:val="1"/>
          <w:numId w:val="47"/>
        </w:numPr>
        <w:rPr>
          <w:rFonts w:ascii="Arial" w:cs="Arial" w:eastAsia="Arial" w:hAnsi="Arial"/>
          <w:sz w:val="16"/>
          <w:szCs w:val="16"/>
          <w:color w:val="auto"/>
        </w:rPr>
      </w:pPr>
      <w:r>
        <w:rPr>
          <w:rFonts w:ascii="Arial" w:cs="Arial" w:eastAsia="Arial" w:hAnsi="Arial"/>
          <w:sz w:val="16"/>
          <w:szCs w:val="16"/>
          <w:u w:val="single" w:color="auto"/>
          <w:color w:val="auto"/>
        </w:rPr>
        <w:t>Eligibility</w:t>
      </w:r>
      <w:r>
        <w:rPr>
          <w:rFonts w:ascii="Arial" w:cs="Arial" w:eastAsia="Arial" w:hAnsi="Arial"/>
          <w:sz w:val="16"/>
          <w:szCs w:val="16"/>
          <w:color w:val="auto"/>
        </w:rPr>
        <w:t>. Except to the extent participation is restricted under Paragraph 3(b), each Eligible Employee shall be eligible to participate in the Plan.</w:t>
      </w:r>
    </w:p>
    <w:p>
      <w:pPr>
        <w:spacing w:after="0" w:line="194" w:lineRule="exact"/>
        <w:rPr>
          <w:rFonts w:ascii="Arial" w:cs="Arial" w:eastAsia="Arial" w:hAnsi="Arial"/>
          <w:sz w:val="16"/>
          <w:szCs w:val="16"/>
          <w:color w:val="auto"/>
        </w:rPr>
      </w:pPr>
    </w:p>
    <w:p>
      <w:pPr>
        <w:ind w:left="-8" w:right="560" w:firstLine="464"/>
        <w:spacing w:after="0" w:line="268" w:lineRule="auto"/>
        <w:tabs>
          <w:tab w:leader="none" w:pos="697"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Restrictions on Participation</w:t>
      </w:r>
      <w:r>
        <w:rPr>
          <w:rFonts w:ascii="Arial" w:cs="Arial" w:eastAsia="Arial" w:hAnsi="Arial"/>
          <w:sz w:val="18"/>
          <w:szCs w:val="18"/>
          <w:color w:val="auto"/>
        </w:rPr>
        <w:t>. Notwithstanding any provisions of the Plan to the contrary, no Employee shall be eligible to purchase Shares in an Offering to the extent that:</w:t>
      </w:r>
    </w:p>
    <w:p>
      <w:pPr>
        <w:spacing w:after="0" w:line="50" w:lineRule="exact"/>
        <w:rPr>
          <w:rFonts w:ascii="Arial" w:cs="Arial" w:eastAsia="Arial" w:hAnsi="Arial"/>
          <w:sz w:val="18"/>
          <w:szCs w:val="18"/>
          <w:color w:val="auto"/>
        </w:rPr>
      </w:pPr>
    </w:p>
    <w:p>
      <w:pPr>
        <w:ind w:left="1152" w:hanging="239"/>
        <w:spacing w:after="0"/>
        <w:tabs>
          <w:tab w:leader="none" w:pos="1152" w:val="left"/>
        </w:tabs>
        <w:numPr>
          <w:ilvl w:val="2"/>
          <w:numId w:val="47"/>
        </w:numPr>
        <w:rPr>
          <w:rFonts w:ascii="Arial" w:cs="Arial" w:eastAsia="Arial" w:hAnsi="Arial"/>
          <w:sz w:val="18"/>
          <w:szCs w:val="18"/>
          <w:color w:val="auto"/>
        </w:rPr>
      </w:pPr>
      <w:r>
        <w:rPr>
          <w:rFonts w:ascii="Arial" w:cs="Arial" w:eastAsia="Arial" w:hAnsi="Arial"/>
          <w:sz w:val="18"/>
          <w:szCs w:val="18"/>
          <w:color w:val="auto"/>
        </w:rPr>
        <w:t>immediately after the purchase of Shares, such Employee would be a Five Percent Owner; or</w:t>
      </w:r>
    </w:p>
    <w:p>
      <w:pPr>
        <w:spacing w:after="0" w:line="171" w:lineRule="exact"/>
        <w:rPr>
          <w:rFonts w:ascii="Arial" w:cs="Arial" w:eastAsia="Arial" w:hAnsi="Arial"/>
          <w:sz w:val="18"/>
          <w:szCs w:val="18"/>
          <w:color w:val="auto"/>
        </w:rPr>
      </w:pPr>
    </w:p>
    <w:p>
      <w:pPr>
        <w:ind w:left="-8" w:right="100" w:firstLine="921"/>
        <w:spacing w:after="0" w:line="259" w:lineRule="auto"/>
        <w:tabs>
          <w:tab w:leader="none" w:pos="1154" w:val="left"/>
        </w:tabs>
        <w:numPr>
          <w:ilvl w:val="2"/>
          <w:numId w:val="47"/>
        </w:numPr>
        <w:rPr>
          <w:rFonts w:ascii="Arial" w:cs="Arial" w:eastAsia="Arial" w:hAnsi="Arial"/>
          <w:sz w:val="18"/>
          <w:szCs w:val="18"/>
          <w:color w:val="auto"/>
        </w:rPr>
      </w:pPr>
      <w:r>
        <w:rPr>
          <w:rFonts w:ascii="Arial" w:cs="Arial" w:eastAsia="Arial" w:hAnsi="Arial"/>
          <w:sz w:val="18"/>
          <w:szCs w:val="18"/>
          <w:color w:val="auto"/>
        </w:rPr>
        <w:t>a purchase of Shares would permit such Employee’s rights to purchase stock under all employee stock purchase plans of the Participating Companies which meet the requirements of section 423(b) of the Code to accrue at a rate which exceeds $25,000 in fair market value (as determined pursuant to section 423(b)(8) of the Code) for each calendar year in which such right to purchase Shares is outstanding.</w:t>
      </w:r>
    </w:p>
    <w:p>
      <w:pPr>
        <w:spacing w:after="0" w:line="140" w:lineRule="exact"/>
        <w:rPr>
          <w:rFonts w:ascii="Arial" w:cs="Arial" w:eastAsia="Arial" w:hAnsi="Arial"/>
          <w:sz w:val="18"/>
          <w:szCs w:val="18"/>
          <w:color w:val="auto"/>
        </w:rPr>
      </w:pPr>
    </w:p>
    <w:p>
      <w:pPr>
        <w:jc w:val="both"/>
        <w:ind w:left="-8" w:firstLine="464"/>
        <w:spacing w:after="0" w:line="298" w:lineRule="auto"/>
        <w:tabs>
          <w:tab w:leader="none" w:pos="687" w:val="left"/>
        </w:tabs>
        <w:numPr>
          <w:ilvl w:val="1"/>
          <w:numId w:val="47"/>
        </w:numPr>
        <w:rPr>
          <w:rFonts w:ascii="Arial" w:cs="Arial" w:eastAsia="Arial" w:hAnsi="Arial"/>
          <w:sz w:val="16"/>
          <w:szCs w:val="16"/>
          <w:color w:val="auto"/>
        </w:rPr>
      </w:pPr>
      <w:r>
        <w:rPr>
          <w:rFonts w:ascii="Arial" w:cs="Arial" w:eastAsia="Arial" w:hAnsi="Arial"/>
          <w:sz w:val="16"/>
          <w:szCs w:val="16"/>
          <w:u w:val="single" w:color="auto"/>
          <w:color w:val="auto"/>
        </w:rPr>
        <w:t>Commencement of Participation</w:t>
      </w:r>
      <w:r>
        <w:rPr>
          <w:rFonts w:ascii="Arial" w:cs="Arial" w:eastAsia="Arial" w:hAnsi="Arial"/>
          <w:sz w:val="16"/>
          <w:szCs w:val="16"/>
          <w:color w:val="auto"/>
        </w:rPr>
        <w:t>. An Eligible Employee shall become a Participant by completing an Election Form and filing it with the Committee on or before the 15th day of the month immediately preceding the Offering Commencement Date for the first Offering to which such Election Form applies. Payroll Deductions for a Participant shall commence on first payroll period ending after the applicable Offering Commencement Date when his or her authorization for Payroll Deductions becomes effective, and shall end on the Plan Termination Date, unless sooner terminated by the Participant pursuant to Paragraph 7(b).</w:t>
      </w:r>
    </w:p>
    <w:p>
      <w:pPr>
        <w:spacing w:after="0" w:line="9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72"/>
          </w:cols>
          <w:pgMar w:left="248" w:top="280" w:right="279" w:bottom="1440" w:gutter="0" w:footer="0" w:header="0"/>
        </w:sectPr>
      </w:pPr>
    </w:p>
    <w:bookmarkStart w:id="60" w:name="page61"/>
    <w:bookmarkEnd w:id="60"/>
    <w:p>
      <w:pPr>
        <w:ind w:left="460" w:hanging="452"/>
        <w:spacing w:after="0"/>
        <w:tabs>
          <w:tab w:leader="none" w:pos="4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Shares Per Offering</w:t>
      </w:r>
      <w:r>
        <w:rPr>
          <w:rFonts w:ascii="Arial" w:cs="Arial" w:eastAsia="Arial" w:hAnsi="Arial"/>
          <w:sz w:val="18"/>
          <w:szCs w:val="18"/>
          <w:b w:val="1"/>
          <w:bCs w:val="1"/>
          <w:color w:val="auto"/>
        </w:rPr>
        <w:t>.</w:t>
      </w:r>
    </w:p>
    <w:p>
      <w:pPr>
        <w:spacing w:after="0" w:line="96" w:lineRule="exact"/>
        <w:rPr>
          <w:sz w:val="20"/>
          <w:szCs w:val="20"/>
          <w:color w:val="auto"/>
        </w:rPr>
      </w:pPr>
    </w:p>
    <w:p>
      <w:pPr>
        <w:ind w:firstLine="913"/>
        <w:spacing w:after="0" w:line="310" w:lineRule="auto"/>
        <w:rPr>
          <w:sz w:val="20"/>
          <w:szCs w:val="20"/>
          <w:color w:val="auto"/>
        </w:rPr>
      </w:pPr>
      <w:r>
        <w:rPr>
          <w:rFonts w:ascii="Arial" w:cs="Arial" w:eastAsia="Arial" w:hAnsi="Arial"/>
          <w:sz w:val="15"/>
          <w:szCs w:val="15"/>
          <w:color w:val="auto"/>
        </w:rPr>
        <w:t>The Plan shall be implemented by a series of Offerings that shall commence after Offerings have been authorized by the Board or the Committee, and terminate on the Plan Termination Date. Offerings shall be made with respect to Compensation accumulated during each Offering Period for the period commencing with the first day of the first Offering Period (when such Offering Period is authorized by the Board or the Committee) and ending with the Plan Termination Date. Shares available for any Offering shall be the difference between the maximum number of Shares that may be issued under the Plan, as determined pursuant to Paragraph 8(a), for all of the Offerings, less the actual number of Shares purchased by Participants pursuant to prior Offerings. If the total number of Shares subject to purchase under the Plan on any Offering Termination Date exceeds the maximum number of Shares available, the Board or the Committee shall make a pro rata allocation of Shares available for delivery and distribution in as nearly a uniform manner as practicable, and as it shall determine to be fair and equitable, and the unapplied Account balances shall be returned to Participants as soon as practicable following the Offering Termination Date.</w:t>
      </w:r>
    </w:p>
    <w:p>
      <w:pPr>
        <w:spacing w:after="0" w:line="224"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Payroll Deductions</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firstLine="464"/>
        <w:spacing w:after="0" w:line="256" w:lineRule="auto"/>
        <w:tabs>
          <w:tab w:leader="none" w:pos="695"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Amount of Payroll Deductions</w:t>
      </w:r>
      <w:r>
        <w:rPr>
          <w:rFonts w:ascii="Arial" w:cs="Arial" w:eastAsia="Arial" w:hAnsi="Arial"/>
          <w:sz w:val="18"/>
          <w:szCs w:val="18"/>
          <w:color w:val="auto"/>
        </w:rPr>
        <w:t>. On the Election Form, an Eligible Employee may elect to have Payroll Deductions of not more than 15 percent of Compensation earned for each payroll period ending within the Offering Period, subject to the limitation that the maximum amount of Payroll Deductions for any Eligible Employee for any calendar year shall not exceed $10,000. The rules established by the Committee regarding Payroll Deductions, as reflected on the Election Form, shall be consistent with section 423(b)(5) of the Code.</w:t>
      </w:r>
    </w:p>
    <w:p>
      <w:pPr>
        <w:spacing w:after="0" w:line="143" w:lineRule="exact"/>
        <w:rPr>
          <w:rFonts w:ascii="Arial" w:cs="Arial" w:eastAsia="Arial" w:hAnsi="Arial"/>
          <w:sz w:val="18"/>
          <w:szCs w:val="18"/>
          <w:color w:val="auto"/>
        </w:rPr>
      </w:pPr>
    </w:p>
    <w:p>
      <w:pPr>
        <w:ind w:right="260" w:firstLine="464"/>
        <w:spacing w:after="0" w:line="268" w:lineRule="auto"/>
        <w:tabs>
          <w:tab w:leader="none" w:pos="705"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Participants’ Accounts</w:t>
      </w:r>
      <w:r>
        <w:rPr>
          <w:rFonts w:ascii="Arial" w:cs="Arial" w:eastAsia="Arial" w:hAnsi="Arial"/>
          <w:sz w:val="18"/>
          <w:szCs w:val="18"/>
          <w:color w:val="auto"/>
        </w:rPr>
        <w:t>. All Payroll Deductions with respect to a Participant pursuant to Paragraph 5(a) shall be credited to the Participant’s Account under the Plan.</w:t>
      </w:r>
    </w:p>
    <w:p>
      <w:pPr>
        <w:spacing w:after="0" w:line="131" w:lineRule="exact"/>
        <w:rPr>
          <w:rFonts w:ascii="Arial" w:cs="Arial" w:eastAsia="Arial" w:hAnsi="Arial"/>
          <w:sz w:val="18"/>
          <w:szCs w:val="18"/>
          <w:color w:val="auto"/>
        </w:rPr>
      </w:pPr>
    </w:p>
    <w:p>
      <w:pPr>
        <w:ind w:right="80" w:firstLine="464"/>
        <w:spacing w:after="0" w:line="294" w:lineRule="auto"/>
        <w:tabs>
          <w:tab w:leader="none" w:pos="695" w:val="left"/>
        </w:tabs>
        <w:numPr>
          <w:ilvl w:val="1"/>
          <w:numId w:val="49"/>
        </w:numPr>
        <w:rPr>
          <w:rFonts w:ascii="Arial" w:cs="Arial" w:eastAsia="Arial" w:hAnsi="Arial"/>
          <w:sz w:val="16"/>
          <w:szCs w:val="16"/>
          <w:color w:val="auto"/>
        </w:rPr>
      </w:pPr>
      <w:r>
        <w:rPr>
          <w:rFonts w:ascii="Arial" w:cs="Arial" w:eastAsia="Arial" w:hAnsi="Arial"/>
          <w:sz w:val="16"/>
          <w:szCs w:val="16"/>
          <w:u w:val="single" w:color="auto"/>
          <w:color w:val="auto"/>
        </w:rPr>
        <w:t>Changes in Payroll Deductions</w:t>
      </w:r>
      <w:r>
        <w:rPr>
          <w:rFonts w:ascii="Arial" w:cs="Arial" w:eastAsia="Arial" w:hAnsi="Arial"/>
          <w:sz w:val="16"/>
          <w:szCs w:val="16"/>
          <w:color w:val="auto"/>
        </w:rPr>
        <w:t>. A Participant may discontinue Payroll Deductions during an Offering Period by providing a Termination Form to the Committee at any time before the Offering Termination Date applicable to any Offering. No other change can be made during an Offering, including, but not limited to, changes in the amount of Payroll Deductions for such Offering. A Participant may change the amount of Payroll Deductions for subsequent Offerings by giving written notice (or notice in another form pursuant to procedures established by the Committee) of such change to the Committee on or before the 15th day of the month immediately preceding the Offering Commencement Date for the Offering for which such change is effective.</w:t>
      </w:r>
    </w:p>
    <w:p>
      <w:pPr>
        <w:spacing w:after="0" w:line="231" w:lineRule="exact"/>
        <w:rPr>
          <w:rFonts w:ascii="Arial" w:cs="Arial" w:eastAsia="Arial" w:hAnsi="Arial"/>
          <w:sz w:val="16"/>
          <w:szCs w:val="16"/>
          <w:color w:val="auto"/>
        </w:rPr>
      </w:pPr>
    </w:p>
    <w:p>
      <w:pPr>
        <w:ind w:left="460" w:hanging="452"/>
        <w:spacing w:after="0"/>
        <w:tabs>
          <w:tab w:leader="none" w:pos="4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Purchase of Shares</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right="120" w:firstLine="464"/>
        <w:spacing w:after="0" w:line="256" w:lineRule="auto"/>
        <w:tabs>
          <w:tab w:leader="none" w:pos="695"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On each Offering Termination Date, each Participant shall be deemed to have purchased a number of whole Shares equal to the quotient obtained by dividing the balance credited to the Participant’s Account as of the Offering Termination Date, by the Purchase Price, rounded to the next lowest whole Share. Shares deemed purchased by a Participant under the Plan shall be credited to the Participant’s Brokerage Account as soon as practicable following the Offering Termination Date.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4" w:right="279" w:bottom="1440" w:gutter="0" w:footer="0" w:header="0"/>
        </w:sectPr>
      </w:pPr>
    </w:p>
    <w:bookmarkStart w:id="61" w:name="page62"/>
    <w:bookmarkEnd w:id="61"/>
    <w:p>
      <w:pPr>
        <w:ind w:right="300" w:firstLine="464"/>
        <w:spacing w:after="0" w:line="306" w:lineRule="auto"/>
        <w:tabs>
          <w:tab w:leader="none" w:pos="705" w:val="left"/>
        </w:tabs>
        <w:numPr>
          <w:ilvl w:val="1"/>
          <w:numId w:val="5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Terminating Events</w:t>
      </w:r>
      <w:r>
        <w:rPr>
          <w:rFonts w:ascii="Arial" w:cs="Arial" w:eastAsia="Arial" w:hAnsi="Arial"/>
          <w:sz w:val="16"/>
          <w:szCs w:val="16"/>
          <w:color w:val="auto"/>
        </w:rPr>
        <w:t>. The Company shall give Participants at least 30 days’ notice (or, if not practicable, such shorter notice as may be reasonably practicable) prior to the anticipated date of the consummation of a Terminating Event. The 20th day following the issuance of such notice by the Company (or such earlier date as the Board or the Committee may reasonably determine) shall constitute the Offering Termination Date for any outstanding Offering.</w:t>
      </w:r>
    </w:p>
    <w:p>
      <w:pPr>
        <w:spacing w:after="0" w:line="106" w:lineRule="exact"/>
        <w:rPr>
          <w:rFonts w:ascii="Arial" w:cs="Arial" w:eastAsia="Arial" w:hAnsi="Arial"/>
          <w:sz w:val="16"/>
          <w:szCs w:val="16"/>
          <w:color w:val="auto"/>
        </w:rPr>
      </w:pPr>
    </w:p>
    <w:p>
      <w:pPr>
        <w:ind w:right="160" w:firstLine="464"/>
        <w:spacing w:after="0" w:line="306" w:lineRule="auto"/>
        <w:tabs>
          <w:tab w:leader="none" w:pos="695" w:val="left"/>
        </w:tabs>
        <w:numPr>
          <w:ilvl w:val="1"/>
          <w:numId w:val="50"/>
        </w:numPr>
        <w:rPr>
          <w:rFonts w:ascii="Arial" w:cs="Arial" w:eastAsia="Arial" w:hAnsi="Arial"/>
          <w:sz w:val="16"/>
          <w:szCs w:val="16"/>
          <w:color w:val="auto"/>
        </w:rPr>
      </w:pPr>
      <w:r>
        <w:rPr>
          <w:rFonts w:ascii="Arial" w:cs="Arial" w:eastAsia="Arial" w:hAnsi="Arial"/>
          <w:sz w:val="16"/>
          <w:szCs w:val="16"/>
          <w:u w:val="single" w:color="auto"/>
          <w:color w:val="auto"/>
        </w:rPr>
        <w:t>Fractional Shares and Minimum Number of Shares</w:t>
      </w:r>
      <w:r>
        <w:rPr>
          <w:rFonts w:ascii="Arial" w:cs="Arial" w:eastAsia="Arial" w:hAnsi="Arial"/>
          <w:sz w:val="16"/>
          <w:szCs w:val="16"/>
          <w:color w:val="auto"/>
        </w:rPr>
        <w:t>. Fractional Shares shall not be issued under the Plan. Amounts credited to an Account remaining after the application of such Account to the purchase of Shares under the Plan shall be credited to the Participant’s Account for the next succeeding Offering, or, at the Participant’s election, returned to the Participant as soon as practicable following the Offering Termination Date, without interest.</w:t>
      </w:r>
    </w:p>
    <w:p>
      <w:pPr>
        <w:spacing w:after="0" w:line="106" w:lineRule="exact"/>
        <w:rPr>
          <w:rFonts w:ascii="Arial" w:cs="Arial" w:eastAsia="Arial" w:hAnsi="Arial"/>
          <w:sz w:val="16"/>
          <w:szCs w:val="16"/>
          <w:color w:val="auto"/>
        </w:rPr>
      </w:pPr>
    </w:p>
    <w:p>
      <w:pPr>
        <w:ind w:right="160" w:firstLine="464"/>
        <w:spacing w:after="0" w:line="259" w:lineRule="auto"/>
        <w:tabs>
          <w:tab w:leader="none" w:pos="705"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Transferability of Rights to Purchase Shares</w:t>
      </w:r>
      <w:r>
        <w:rPr>
          <w:rFonts w:ascii="Arial" w:cs="Arial" w:eastAsia="Arial" w:hAnsi="Arial"/>
          <w:sz w:val="18"/>
          <w:szCs w:val="18"/>
          <w:color w:val="auto"/>
        </w:rPr>
        <w:t>. No right to purchase Shares pursuant to the Plan shall be transferable other than by will or by the laws of descent and distribution, and no such right to purchase Shares pursuant to the Plan shall be exercisable during the Participant’s lifetime other than by the Participant.</w:t>
      </w:r>
    </w:p>
    <w:p>
      <w:pPr>
        <w:spacing w:after="0" w:line="255" w:lineRule="exact"/>
        <w:rPr>
          <w:rFonts w:ascii="Arial" w:cs="Arial" w:eastAsia="Arial" w:hAnsi="Arial"/>
          <w:sz w:val="18"/>
          <w:szCs w:val="18"/>
          <w:color w:val="auto"/>
        </w:rPr>
      </w:pPr>
    </w:p>
    <w:p>
      <w:pPr>
        <w:ind w:left="460" w:hanging="452"/>
        <w:spacing w:after="0"/>
        <w:tabs>
          <w:tab w:leader="none" w:pos="4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of Participation</w:t>
      </w:r>
      <w:r>
        <w:rPr>
          <w:rFonts w:ascii="Arial" w:cs="Arial" w:eastAsia="Arial" w:hAnsi="Arial"/>
          <w:sz w:val="18"/>
          <w:szCs w:val="18"/>
          <w:color w:val="auto"/>
        </w:rPr>
        <w:t>.</w:t>
      </w:r>
    </w:p>
    <w:p>
      <w:pPr>
        <w:spacing w:after="0" w:line="96" w:lineRule="exact"/>
        <w:rPr>
          <w:rFonts w:ascii="Arial" w:cs="Arial" w:eastAsia="Arial" w:hAnsi="Arial"/>
          <w:sz w:val="18"/>
          <w:szCs w:val="18"/>
          <w:b w:val="1"/>
          <w:bCs w:val="1"/>
          <w:color w:val="auto"/>
        </w:rPr>
      </w:pPr>
    </w:p>
    <w:p>
      <w:pPr>
        <w:ind w:left="700" w:hanging="236"/>
        <w:spacing w:after="0"/>
        <w:tabs>
          <w:tab w:leader="none" w:pos="700" w:val="left"/>
        </w:tabs>
        <w:numPr>
          <w:ilvl w:val="1"/>
          <w:numId w:val="51"/>
        </w:numPr>
        <w:rPr>
          <w:rFonts w:ascii="Arial" w:cs="Arial" w:eastAsia="Arial" w:hAnsi="Arial"/>
          <w:sz w:val="18"/>
          <w:szCs w:val="18"/>
          <w:color w:val="auto"/>
        </w:rPr>
      </w:pPr>
      <w:r>
        <w:rPr>
          <w:rFonts w:ascii="Arial" w:cs="Arial" w:eastAsia="Arial" w:hAnsi="Arial"/>
          <w:sz w:val="18"/>
          <w:szCs w:val="18"/>
          <w:u w:val="single" w:color="auto"/>
          <w:color w:val="auto"/>
        </w:rPr>
        <w:t>Account</w:t>
      </w:r>
      <w:r>
        <w:rPr>
          <w:rFonts w:ascii="Arial" w:cs="Arial" w:eastAsia="Arial" w:hAnsi="Arial"/>
          <w:sz w:val="18"/>
          <w:szCs w:val="18"/>
          <w:color w:val="auto"/>
        </w:rPr>
        <w:t>. Except as provided in Paragraph 7(c), no amounts shall be distributed from Participants’ Accounts during an Offering Period.</w:t>
      </w:r>
    </w:p>
    <w:p>
      <w:pPr>
        <w:spacing w:after="0" w:line="171" w:lineRule="exact"/>
        <w:rPr>
          <w:rFonts w:ascii="Arial" w:cs="Arial" w:eastAsia="Arial" w:hAnsi="Arial"/>
          <w:sz w:val="18"/>
          <w:szCs w:val="18"/>
          <w:color w:val="auto"/>
        </w:rPr>
      </w:pPr>
    </w:p>
    <w:p>
      <w:pPr>
        <w:ind w:firstLine="464"/>
        <w:spacing w:after="0" w:line="298" w:lineRule="auto"/>
        <w:tabs>
          <w:tab w:leader="none" w:pos="705" w:val="left"/>
        </w:tabs>
        <w:numPr>
          <w:ilvl w:val="1"/>
          <w:numId w:val="51"/>
        </w:numPr>
        <w:rPr>
          <w:rFonts w:ascii="Arial" w:cs="Arial" w:eastAsia="Arial" w:hAnsi="Arial"/>
          <w:sz w:val="16"/>
          <w:szCs w:val="16"/>
          <w:color w:val="auto"/>
        </w:rPr>
      </w:pPr>
      <w:r>
        <w:rPr>
          <w:rFonts w:ascii="Arial" w:cs="Arial" w:eastAsia="Arial" w:hAnsi="Arial"/>
          <w:sz w:val="16"/>
          <w:szCs w:val="16"/>
          <w:u w:val="single" w:color="auto"/>
          <w:color w:val="auto"/>
        </w:rPr>
        <w:t>Suspension of Participation</w:t>
      </w:r>
      <w:r>
        <w:rPr>
          <w:rFonts w:ascii="Arial" w:cs="Arial" w:eastAsia="Arial" w:hAnsi="Arial"/>
          <w:sz w:val="16"/>
          <w:szCs w:val="16"/>
          <w:color w:val="auto"/>
        </w:rPr>
        <w:t>. A Participant may discontinue Payroll Deductions during an Offering Period by providing a Termination Form to the Committee at any time before the Offering Termination Date applicable to any Offering. All amounts credited to such Participant’s Account shall be applied to the purchase of Shares pursuant to Paragraph 6. A Participant who discontinues Payroll Deductions during an Offering Period shall not be eligible to participate in the Offering next following the date on which the Participant delivers the Termination Form to the Committee.</w:t>
      </w:r>
    </w:p>
    <w:p>
      <w:pPr>
        <w:spacing w:after="0" w:line="112" w:lineRule="exact"/>
        <w:rPr>
          <w:rFonts w:ascii="Arial" w:cs="Arial" w:eastAsia="Arial" w:hAnsi="Arial"/>
          <w:sz w:val="16"/>
          <w:szCs w:val="16"/>
          <w:color w:val="auto"/>
        </w:rPr>
      </w:pPr>
    </w:p>
    <w:p>
      <w:pPr>
        <w:ind w:right="200" w:firstLine="464"/>
        <w:spacing w:after="0" w:line="268" w:lineRule="auto"/>
        <w:tabs>
          <w:tab w:leader="none" w:pos="695" w:val="left"/>
        </w:tabs>
        <w:numPr>
          <w:ilvl w:val="1"/>
          <w:numId w:val="51"/>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Upon termination of a Participant’s employment for any reason, all amounts credited to such Participant’s Account shall be returned to the Participant, or, following the Participant’s death, to the Participant’s Successor-in-Interest.</w:t>
      </w:r>
    </w:p>
    <w:p>
      <w:pPr>
        <w:spacing w:after="0" w:line="247" w:lineRule="exact"/>
        <w:rPr>
          <w:rFonts w:ascii="Arial" w:cs="Arial" w:eastAsia="Arial" w:hAnsi="Arial"/>
          <w:sz w:val="18"/>
          <w:szCs w:val="18"/>
          <w:color w:val="auto"/>
        </w:rPr>
      </w:pPr>
    </w:p>
    <w:p>
      <w:pPr>
        <w:ind w:left="460" w:hanging="452"/>
        <w:spacing w:after="0"/>
        <w:tabs>
          <w:tab w:leader="none" w:pos="4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Interest</w:t>
      </w:r>
      <w:r>
        <w:rPr>
          <w:rFonts w:ascii="Arial" w:cs="Arial" w:eastAsia="Arial" w:hAnsi="Arial"/>
          <w:sz w:val="18"/>
          <w:szCs w:val="18"/>
          <w:b w:val="1"/>
          <w:bCs w:val="1"/>
          <w:color w:val="auto"/>
        </w:rPr>
        <w:t>.</w:t>
      </w:r>
    </w:p>
    <w:p>
      <w:pPr>
        <w:spacing w:after="0" w:line="9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No interest shall be paid or allowed with respect to Payroll Deductions paid into the Plan or credited to any Participant’s Account.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62" w:name="page63"/>
    <w:bookmarkEnd w:id="62"/>
    <w:p>
      <w:pPr>
        <w:ind w:left="460" w:hanging="452"/>
        <w:spacing w:after="0"/>
        <w:tabs>
          <w:tab w:leader="none" w:pos="4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Shares</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right="20" w:firstLine="464"/>
        <w:spacing w:after="0" w:line="301" w:lineRule="auto"/>
        <w:tabs>
          <w:tab w:leader="none" w:pos="695" w:val="left"/>
        </w:tabs>
        <w:numPr>
          <w:ilvl w:val="1"/>
          <w:numId w:val="52"/>
        </w:numPr>
        <w:rPr>
          <w:rFonts w:ascii="Arial" w:cs="Arial" w:eastAsia="Arial" w:hAnsi="Arial"/>
          <w:sz w:val="15"/>
          <w:szCs w:val="15"/>
          <w:color w:val="auto"/>
        </w:rPr>
      </w:pPr>
      <w:r>
        <w:rPr>
          <w:rFonts w:ascii="Arial" w:cs="Arial" w:eastAsia="Arial" w:hAnsi="Arial"/>
          <w:sz w:val="15"/>
          <w:szCs w:val="15"/>
          <w:u w:val="single" w:color="auto"/>
          <w:color w:val="auto"/>
        </w:rPr>
        <w:t>Maximum Number of Shares; Adjustments</w:t>
      </w:r>
      <w:r>
        <w:rPr>
          <w:rFonts w:ascii="Arial" w:cs="Arial" w:eastAsia="Arial" w:hAnsi="Arial"/>
          <w:sz w:val="15"/>
          <w:szCs w:val="15"/>
          <w:color w:val="auto"/>
        </w:rPr>
        <w:t>. Subject to adjustment as provided in this Paragraph 9, not more than 15,375,000 Shares in the aggregate may be issued pursuant to the Plan pursuant to Offerings under the Plan, including Offerings commenced since the Plan first became effective as the Comcast Corporation 2001 Employee Stock Purchase Plan. Shares delivered pursuant to the Plan may, at the Company’s option, be either treasury Shares or Shares originally issued for such purpose. In the event that Shares are changed into or exchanged for a different number or kind of shares of stock or other securities of the Company, whether through merger, consolidation, reorganization, recapitalization, stock dividend, stock split-up or other substitution of securities of the Company, the Board or the Committee shall make appropriate equitable anti-dilution adjustments to the number and class of shares of stock available for issuance under the Plan, to the number and class of shares of stock subject to outstanding Offerings and to the Purchase Price. Any reference to the Purchase Price in the Plan and in any related documents shall be a reference to the Purchase Price as so adjusted. Any reference to the term “Shares” in the Plan and in any related documents shall be a reference to the appropriate number and class of shares of stock available for issuance under the Plan, as adjusted pursuant to this Paragraph</w:t>
      </w:r>
    </w:p>
    <w:p>
      <w:pPr>
        <w:spacing w:after="0" w:line="4" w:lineRule="exact"/>
        <w:rPr>
          <w:rFonts w:ascii="Arial" w:cs="Arial" w:eastAsia="Arial" w:hAnsi="Arial"/>
          <w:sz w:val="15"/>
          <w:szCs w:val="15"/>
          <w:color w:val="auto"/>
        </w:rPr>
      </w:pPr>
    </w:p>
    <w:p>
      <w:pPr>
        <w:ind w:right="200" w:firstLine="8"/>
        <w:spacing w:after="0" w:line="261" w:lineRule="auto"/>
        <w:tabs>
          <w:tab w:leader="none" w:pos="176"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Board’s or the Committee’s adjustment shall be effective and binding for all purposes of this Plan. All Shares issued pursuant to the Plan shall be validly issued, fully paid and nonassessable.</w:t>
      </w:r>
    </w:p>
    <w:p>
      <w:pPr>
        <w:spacing w:after="0" w:line="137" w:lineRule="exact"/>
        <w:rPr>
          <w:rFonts w:ascii="Arial" w:cs="Arial" w:eastAsia="Arial" w:hAnsi="Arial"/>
          <w:sz w:val="18"/>
          <w:szCs w:val="18"/>
          <w:color w:val="auto"/>
        </w:rPr>
      </w:pPr>
    </w:p>
    <w:p>
      <w:pPr>
        <w:ind w:right="620" w:firstLine="464"/>
        <w:spacing w:after="0" w:line="268" w:lineRule="auto"/>
        <w:tabs>
          <w:tab w:leader="none" w:pos="705"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Participant’s Interest in Shares</w:t>
      </w:r>
      <w:r>
        <w:rPr>
          <w:rFonts w:ascii="Arial" w:cs="Arial" w:eastAsia="Arial" w:hAnsi="Arial"/>
          <w:sz w:val="18"/>
          <w:szCs w:val="18"/>
          <w:color w:val="auto"/>
        </w:rPr>
        <w:t>. A Participant shall have no interest in Shares offered under the Plan until Shares are credited to the Participant’s Brokerage Account.</w:t>
      </w:r>
    </w:p>
    <w:p>
      <w:pPr>
        <w:spacing w:after="0" w:line="131" w:lineRule="exact"/>
        <w:rPr>
          <w:rFonts w:ascii="Arial" w:cs="Arial" w:eastAsia="Arial" w:hAnsi="Arial"/>
          <w:sz w:val="18"/>
          <w:szCs w:val="18"/>
          <w:color w:val="auto"/>
        </w:rPr>
      </w:pPr>
    </w:p>
    <w:p>
      <w:pPr>
        <w:ind w:right="660" w:firstLine="464"/>
        <w:spacing w:after="0" w:line="268" w:lineRule="auto"/>
        <w:tabs>
          <w:tab w:leader="none" w:pos="695"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Crediting of Shares to Brokerage Account</w:t>
      </w:r>
      <w:r>
        <w:rPr>
          <w:rFonts w:ascii="Arial" w:cs="Arial" w:eastAsia="Arial" w:hAnsi="Arial"/>
          <w:sz w:val="18"/>
          <w:szCs w:val="18"/>
          <w:color w:val="auto"/>
        </w:rPr>
        <w:t>. Shares purchased under the Plan shall be credited to the Participant’s Brokerage Account as soon as practicable following the Offering Termination Date.</w:t>
      </w:r>
    </w:p>
    <w:p>
      <w:pPr>
        <w:spacing w:after="0" w:line="131" w:lineRule="exact"/>
        <w:rPr>
          <w:rFonts w:ascii="Arial" w:cs="Arial" w:eastAsia="Arial" w:hAnsi="Arial"/>
          <w:sz w:val="18"/>
          <w:szCs w:val="18"/>
          <w:color w:val="auto"/>
        </w:rPr>
      </w:pPr>
    </w:p>
    <w:p>
      <w:pPr>
        <w:ind w:right="280" w:firstLine="464"/>
        <w:spacing w:after="0" w:line="332" w:lineRule="auto"/>
        <w:tabs>
          <w:tab w:leader="none" w:pos="705" w:val="left"/>
        </w:tabs>
        <w:numPr>
          <w:ilvl w:val="1"/>
          <w:numId w:val="53"/>
        </w:numPr>
        <w:rPr>
          <w:rFonts w:ascii="Arial" w:cs="Arial" w:eastAsia="Arial" w:hAnsi="Arial"/>
          <w:sz w:val="16"/>
          <w:szCs w:val="16"/>
          <w:color w:val="auto"/>
        </w:rPr>
      </w:pPr>
      <w:r>
        <w:rPr>
          <w:rFonts w:ascii="Arial" w:cs="Arial" w:eastAsia="Arial" w:hAnsi="Arial"/>
          <w:sz w:val="16"/>
          <w:szCs w:val="16"/>
          <w:u w:val="single" w:color="auto"/>
          <w:color w:val="auto"/>
        </w:rPr>
        <w:t>Restrictions on Purchase</w:t>
      </w:r>
      <w:r>
        <w:rPr>
          <w:rFonts w:ascii="Arial" w:cs="Arial" w:eastAsia="Arial" w:hAnsi="Arial"/>
          <w:sz w:val="16"/>
          <w:szCs w:val="16"/>
          <w:color w:val="auto"/>
        </w:rPr>
        <w:t>. The Board or the Committee may, in its discretion, require as conditions to the purchase of any Shares under the Plan such conditions as it may deem necessary to assure that such purchase of Shares is in compliance with applicable securities laws.</w:t>
      </w:r>
    </w:p>
    <w:p>
      <w:pPr>
        <w:spacing w:after="0" w:line="200" w:lineRule="exact"/>
        <w:rPr>
          <w:rFonts w:ascii="Arial" w:cs="Arial" w:eastAsia="Arial" w:hAnsi="Arial"/>
          <w:sz w:val="16"/>
          <w:szCs w:val="16"/>
          <w:color w:val="auto"/>
        </w:rPr>
      </w:pPr>
    </w:p>
    <w:p>
      <w:pPr>
        <w:ind w:left="460" w:hanging="452"/>
        <w:spacing w:after="0"/>
        <w:tabs>
          <w:tab w:leader="none" w:pos="4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Expenses</w:t>
      </w:r>
      <w:r>
        <w:rPr>
          <w:rFonts w:ascii="Arial" w:cs="Arial" w:eastAsia="Arial" w:hAnsi="Arial"/>
          <w:sz w:val="18"/>
          <w:szCs w:val="18"/>
          <w:b w:val="1"/>
          <w:bCs w:val="1"/>
          <w:color w:val="auto"/>
        </w:rPr>
        <w:t>.</w:t>
      </w:r>
    </w:p>
    <w:p>
      <w:pPr>
        <w:spacing w:after="0" w:line="96"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The Participating Companies shall pay all fees and expenses incurred (excluding individual Federal, state, local or other taxes) in connection with the Plan. No charge or deduction for any such expenses will be made to a Participant upon the termination of his or her participation under the Plan or upon the distribution of certificates representing Shares purchased with his or her Payroll Deductions.</w:t>
      </w:r>
    </w:p>
    <w:p>
      <w:pPr>
        <w:spacing w:after="0" w:line="256"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Taxes</w:t>
      </w:r>
      <w:r>
        <w:rPr>
          <w:rFonts w:ascii="Arial" w:cs="Arial" w:eastAsia="Arial" w:hAnsi="Arial"/>
          <w:sz w:val="18"/>
          <w:szCs w:val="18"/>
          <w:b w:val="1"/>
          <w:bCs w:val="1"/>
          <w:color w:val="auto"/>
        </w:rPr>
        <w:t>.</w:t>
      </w:r>
    </w:p>
    <w:p>
      <w:pPr>
        <w:spacing w:after="0" w:line="96" w:lineRule="exact"/>
        <w:rPr>
          <w:sz w:val="20"/>
          <w:szCs w:val="20"/>
          <w:color w:val="auto"/>
        </w:rPr>
      </w:pPr>
    </w:p>
    <w:p>
      <w:pPr>
        <w:ind w:right="400" w:firstLine="913"/>
        <w:spacing w:after="0" w:line="268" w:lineRule="auto"/>
        <w:rPr>
          <w:sz w:val="20"/>
          <w:szCs w:val="20"/>
          <w:color w:val="auto"/>
        </w:rPr>
      </w:pPr>
      <w:r>
        <w:rPr>
          <w:rFonts w:ascii="Arial" w:cs="Arial" w:eastAsia="Arial" w:hAnsi="Arial"/>
          <w:sz w:val="18"/>
          <w:szCs w:val="18"/>
          <w:color w:val="auto"/>
        </w:rPr>
        <w:t>The Participating Companies shall have the right to withhold from each Participant’s Compensation an amount equal to all federal, state, city or other taxes as the Participating Companies shall determine are required to be withheld by them in connection with</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63" w:name="page64"/>
    <w:bookmarkEnd w:id="63"/>
    <w:p>
      <w:pPr>
        <w:ind w:right="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purchase of Shares under the Plan and in connection with the sale of Shares acquired under the Plan. In connection with such withholding, the Participating Companies may make any such arrangements as they may deem necessary or appropriate to protect their interests.</w:t>
      </w:r>
    </w:p>
    <w:p>
      <w:pPr>
        <w:spacing w:after="0" w:line="201"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Plan and Contributions Not to Affect Employment</w:t>
      </w:r>
      <w:r>
        <w:rPr>
          <w:rFonts w:ascii="Arial" w:cs="Arial" w:eastAsia="Arial" w:hAnsi="Arial"/>
          <w:sz w:val="18"/>
          <w:szCs w:val="18"/>
          <w:b w:val="1"/>
          <w:bCs w:val="1"/>
          <w:color w:val="auto"/>
        </w:rPr>
        <w:t>.</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Plan shall not confer upon any Eligible Employee any right to continue in the employ of the Participating Companies.</w:t>
      </w:r>
    </w:p>
    <w:p>
      <w:pPr>
        <w:spacing w:after="0" w:line="287"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Administration</w:t>
      </w:r>
      <w:r>
        <w:rPr>
          <w:rFonts w:ascii="Arial" w:cs="Arial" w:eastAsia="Arial" w:hAnsi="Arial"/>
          <w:sz w:val="18"/>
          <w:szCs w:val="18"/>
          <w:b w:val="1"/>
          <w:bCs w:val="1"/>
          <w:color w:val="auto"/>
        </w:rPr>
        <w:t>.</w:t>
      </w:r>
    </w:p>
    <w:p>
      <w:pPr>
        <w:spacing w:after="0" w:line="96" w:lineRule="exact"/>
        <w:rPr>
          <w:sz w:val="20"/>
          <w:szCs w:val="20"/>
          <w:color w:val="auto"/>
        </w:rPr>
      </w:pPr>
    </w:p>
    <w:p>
      <w:pPr>
        <w:ind w:right="40" w:firstLine="913"/>
        <w:spacing w:after="0" w:line="298" w:lineRule="auto"/>
        <w:rPr>
          <w:sz w:val="20"/>
          <w:szCs w:val="20"/>
          <w:color w:val="auto"/>
        </w:rPr>
      </w:pPr>
      <w:r>
        <w:rPr>
          <w:rFonts w:ascii="Arial" w:cs="Arial" w:eastAsia="Arial" w:hAnsi="Arial"/>
          <w:sz w:val="16"/>
          <w:szCs w:val="16"/>
          <w:color w:val="auto"/>
        </w:rPr>
        <w:t>The Plan shall be administered by the Committee. The Board and the Committee shall have authority to interpret the Plan, to prescribe, amend and rescind rules and regulations relating to it, and to make all other determinations deemed necessary or advisable in administering the Plan, with or without the advice of counsel. The Committee may delegate its administrative duties, subject to its review and supervision, to the appropriate officers and employees of the Company. The determinations of the Board and the Committee on the matters referred to in this Paragraph 13 shall be conclusive and binding.</w:t>
      </w:r>
    </w:p>
    <w:p>
      <w:pPr>
        <w:spacing w:after="0" w:line="228"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 and Termination</w:t>
      </w:r>
      <w:r>
        <w:rPr>
          <w:rFonts w:ascii="Arial" w:cs="Arial" w:eastAsia="Arial" w:hAnsi="Arial"/>
          <w:sz w:val="18"/>
          <w:szCs w:val="18"/>
          <w:b w:val="1"/>
          <w:bCs w:val="1"/>
          <w:color w:val="auto"/>
        </w:rPr>
        <w:t>.</w:t>
      </w:r>
    </w:p>
    <w:p>
      <w:pPr>
        <w:spacing w:after="0" w:line="96"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color w:val="auto"/>
        </w:rPr>
        <w:t>The Board or the Committee may terminate the Plan at any time and may amend the Plan from time to time in any respect; provided, however, that upon any termination of the Plan, all Shares or Payroll Deductions (to the extent not yet applied to the purchase of Shares) under the Plan shall be distributed to the Participants, provided further, that no amendment to the Plan shall affect the right of any Participant to receive his or her proportionate interest in the Shares or his or her Payroll Deductions (to the extent not yet applied to the purchase of Shares) under the Plan, and provided further that the Company may seek shareholder approval of an amendment to the Plan if such approval is determined to be required by or advisable under the regulations of the Securities and Exchange Commission or the Internal Revenue Service, the rules of any stock exchange or system on which the Shares are listed or other applicable law or regulation.</w:t>
      </w:r>
    </w:p>
    <w:p>
      <w:pPr>
        <w:spacing w:after="0" w:line="263"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Effective Date</w:t>
      </w:r>
      <w:r>
        <w:rPr>
          <w:rFonts w:ascii="Arial" w:cs="Arial" w:eastAsia="Arial" w:hAnsi="Arial"/>
          <w:sz w:val="18"/>
          <w:szCs w:val="18"/>
          <w:b w:val="1"/>
          <w:bCs w:val="1"/>
          <w:color w:val="auto"/>
        </w:rPr>
        <w:t>.</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original effective date of the Plan was December 20, 2000. This amendment and restatement of the Plan is effective on January 1, 2008.</w:t>
      </w:r>
    </w:p>
    <w:p>
      <w:pPr>
        <w:spacing w:after="0" w:line="310"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Government and Other Regulations</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right="680" w:firstLine="464"/>
        <w:spacing w:after="0" w:line="268" w:lineRule="auto"/>
        <w:tabs>
          <w:tab w:leader="none" w:pos="695" w:val="left"/>
        </w:tabs>
        <w:numPr>
          <w:ilvl w:val="1"/>
          <w:numId w:val="59"/>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The purchase of Shares under the Plan shall be subject to all applicable laws, rules and regulations, and to such approvals by any governmental agencies as may be required.</w:t>
      </w:r>
    </w:p>
    <w:p>
      <w:pPr>
        <w:spacing w:after="0" w:line="131" w:lineRule="exact"/>
        <w:rPr>
          <w:rFonts w:ascii="Arial" w:cs="Arial" w:eastAsia="Arial" w:hAnsi="Arial"/>
          <w:sz w:val="18"/>
          <w:szCs w:val="18"/>
          <w:color w:val="auto"/>
        </w:rPr>
      </w:pPr>
    </w:p>
    <w:p>
      <w:pPr>
        <w:ind w:right="540" w:firstLine="464"/>
        <w:spacing w:after="0" w:line="332" w:lineRule="auto"/>
        <w:tabs>
          <w:tab w:leader="none" w:pos="705" w:val="left"/>
        </w:tabs>
        <w:numPr>
          <w:ilvl w:val="1"/>
          <w:numId w:val="59"/>
        </w:numPr>
        <w:rPr>
          <w:rFonts w:ascii="Arial" w:cs="Arial" w:eastAsia="Arial" w:hAnsi="Arial"/>
          <w:sz w:val="16"/>
          <w:szCs w:val="16"/>
          <w:color w:val="auto"/>
        </w:rPr>
      </w:pPr>
      <w:r>
        <w:rPr>
          <w:rFonts w:ascii="Arial" w:cs="Arial" w:eastAsia="Arial" w:hAnsi="Arial"/>
          <w:sz w:val="16"/>
          <w:szCs w:val="16"/>
          <w:u w:val="single" w:color="auto"/>
          <w:color w:val="auto"/>
        </w:rPr>
        <w:t>Securities Law</w:t>
      </w:r>
      <w:r>
        <w:rPr>
          <w:rFonts w:ascii="Arial" w:cs="Arial" w:eastAsia="Arial" w:hAnsi="Arial"/>
          <w:sz w:val="16"/>
          <w:szCs w:val="16"/>
          <w:color w:val="auto"/>
        </w:rPr>
        <w:t>. The Committee shall have the power to make each Offering under the Plan subject to such conditions as it deems necessary or appropriate to comply with the then-existing requirements of the Securities Act of 1933, as amended, and the Securities</w:t>
      </w:r>
    </w:p>
    <w:p>
      <w:pPr>
        <w:spacing w:after="0" w:line="7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60"/>
          </w:cols>
          <w:pgMar w:left="240" w:top="280" w:right="399" w:bottom="1440" w:gutter="0" w:footer="0" w:header="0"/>
        </w:sectPr>
      </w:pPr>
    </w:p>
    <w:bookmarkStart w:id="64" w:name="page65"/>
    <w:bookmarkEnd w:id="6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Exchange Act of 1934, as amended, including Rule 16b-3 (or any similar rule) promulgated by the Securities and Exchange Commission thereunder.</w:t>
      </w:r>
    </w:p>
    <w:p>
      <w:pPr>
        <w:spacing w:after="0" w:line="310"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Non-Alienation</w:t>
      </w:r>
      <w:r>
        <w:rPr>
          <w:rFonts w:ascii="Arial" w:cs="Arial" w:eastAsia="Arial" w:hAnsi="Arial"/>
          <w:sz w:val="18"/>
          <w:szCs w:val="18"/>
          <w:b w:val="1"/>
          <w:bCs w:val="1"/>
          <w:color w:val="auto"/>
        </w:rPr>
        <w:t>.</w:t>
      </w:r>
    </w:p>
    <w:p>
      <w:pPr>
        <w:spacing w:after="0" w:line="96"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No Participant shall be permitted to assign, alienate, sell, transfer, pledge or otherwise encumber his right to purchase Shares under the Plan prior to time that Shares are credited to the Participant’s Brokerage Account. Any attempt at assignment, alienation, sale, transfer, pledge or other encumbrance shall be void and of no effect.</w:t>
      </w:r>
    </w:p>
    <w:p>
      <w:pPr>
        <w:spacing w:after="0" w:line="256"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w:t>
      </w:r>
    </w:p>
    <w:p>
      <w:pPr>
        <w:spacing w:after="0" w:line="96" w:lineRule="exact"/>
        <w:rPr>
          <w:sz w:val="20"/>
          <w:szCs w:val="20"/>
          <w:color w:val="auto"/>
        </w:rPr>
      </w:pPr>
    </w:p>
    <w:p>
      <w:pPr>
        <w:ind w:right="220" w:firstLine="913"/>
        <w:spacing w:after="0" w:line="268" w:lineRule="auto"/>
        <w:rPr>
          <w:sz w:val="20"/>
          <w:szCs w:val="20"/>
          <w:color w:val="auto"/>
        </w:rPr>
      </w:pPr>
      <w:r>
        <w:rPr>
          <w:rFonts w:ascii="Arial" w:cs="Arial" w:eastAsia="Arial" w:hAnsi="Arial"/>
          <w:sz w:val="18"/>
          <w:szCs w:val="18"/>
          <w:color w:val="auto"/>
        </w:rPr>
        <w:t>Any notice required or permitted hereunder shall be sufficiently given only if delivered personally, telecopied, or sent by first class mail, postage prepaid, and addressed:</w:t>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If to the Company</w:t>
      </w:r>
      <w:r>
        <w:rPr>
          <w:rFonts w:ascii="Arial" w:cs="Arial" w:eastAsia="Arial" w:hAnsi="Arial"/>
          <w:sz w:val="18"/>
          <w:szCs w:val="18"/>
          <w:color w:val="auto"/>
        </w:rPr>
        <w: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1701 JFK Boulevard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Philadelphia, PA 19103</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Fax: 215-286-7794</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General Counsel</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Or any other address provided pursuant to notice provided by the Committee.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If to the Participant</w:t>
      </w:r>
      <w:r>
        <w:rPr>
          <w:rFonts w:ascii="Arial" w:cs="Arial" w:eastAsia="Arial" w:hAnsi="Arial"/>
          <w:sz w:val="18"/>
          <w:szCs w:val="18"/>
          <w:color w:val="auto"/>
        </w:rPr>
        <w:t>:</w:t>
      </w:r>
    </w:p>
    <w:p>
      <w:pPr>
        <w:spacing w:after="0" w:line="90" w:lineRule="exact"/>
        <w:rPr>
          <w:sz w:val="20"/>
          <w:szCs w:val="20"/>
          <w:color w:val="auto"/>
        </w:rPr>
      </w:pPr>
    </w:p>
    <w:p>
      <w:pPr>
        <w:ind w:left="920" w:right="80"/>
        <w:spacing w:after="0" w:line="332" w:lineRule="auto"/>
        <w:rPr>
          <w:sz w:val="20"/>
          <w:szCs w:val="20"/>
          <w:color w:val="auto"/>
        </w:rPr>
      </w:pPr>
      <w:r>
        <w:rPr>
          <w:rFonts w:ascii="Arial" w:cs="Arial" w:eastAsia="Arial" w:hAnsi="Arial"/>
          <w:sz w:val="16"/>
          <w:szCs w:val="16"/>
          <w:color w:val="auto"/>
        </w:rPr>
        <w:t>At the address on file with the Participating Company from time to time, or to such other address as either party may hereafter designate in writing (or via such other means of communication permitted by the Committee) by notice similarly given by one party to the other.</w:t>
      </w:r>
    </w:p>
    <w:p>
      <w:pPr>
        <w:spacing w:after="0" w:line="201" w:lineRule="exact"/>
        <w:rPr>
          <w:sz w:val="20"/>
          <w:szCs w:val="20"/>
          <w:color w:val="auto"/>
        </w:rPr>
      </w:pPr>
    </w:p>
    <w:p>
      <w:pPr>
        <w:ind w:left="460" w:hanging="452"/>
        <w:spacing w:after="0"/>
        <w:tabs>
          <w:tab w:leader="none" w:pos="4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Successors</w:t>
      </w:r>
      <w:r>
        <w:rPr>
          <w:rFonts w:ascii="Arial" w:cs="Arial" w:eastAsia="Arial" w:hAnsi="Arial"/>
          <w:sz w:val="18"/>
          <w:szCs w:val="18"/>
          <w:b w:val="1"/>
          <w:bCs w:val="1"/>
          <w:color w:val="auto"/>
        </w:rPr>
        <w:t>.</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Plan shall be binding upon and inure to the benefit of any successors or assigns of the Company.</w:t>
      </w:r>
    </w:p>
    <w:p>
      <w:pPr>
        <w:spacing w:after="0" w:line="287"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w:t>
      </w:r>
    </w:p>
    <w:p>
      <w:pPr>
        <w:spacing w:after="0" w:line="96"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If any part of this Plan shall be determined to be invalid or void in any respect, such determination shall not affect, impair, invalidate or nullify the remaining provisions of this Plan which shall continue in full force and effect.</w:t>
      </w:r>
    </w:p>
    <w:p>
      <w:pPr>
        <w:spacing w:after="0" w:line="248"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Acceptance</w:t>
      </w:r>
      <w:r>
        <w:rPr>
          <w:rFonts w:ascii="Arial" w:cs="Arial" w:eastAsia="Arial" w:hAnsi="Arial"/>
          <w:sz w:val="18"/>
          <w:szCs w:val="18"/>
          <w:b w:val="1"/>
          <w:bCs w:val="1"/>
          <w:color w:val="auto"/>
        </w:rPr>
        <w:t>.</w:t>
      </w:r>
    </w:p>
    <w:p>
      <w:pPr>
        <w:spacing w:after="0" w:line="16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00"/>
          </w:cols>
          <w:pgMar w:left="240" w:top="280" w:right="359" w:bottom="1440" w:gutter="0" w:footer="0" w:header="0"/>
        </w:sectPr>
      </w:pPr>
    </w:p>
    <w:bookmarkStart w:id="65" w:name="page66"/>
    <w:bookmarkEnd w:id="65"/>
    <w:p>
      <w:pPr>
        <w:ind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election by any Eligible Employee to participate in this Plan constitutes his or her acceptance of the terms of the Plan and his or her agreement to be bound hereby.</w:t>
      </w:r>
    </w:p>
    <w:p>
      <w:pPr>
        <w:spacing w:after="0" w:line="248" w:lineRule="exact"/>
        <w:rPr>
          <w:sz w:val="20"/>
          <w:szCs w:val="20"/>
          <w:color w:val="auto"/>
        </w:rPr>
      </w:pPr>
    </w:p>
    <w:p>
      <w:pPr>
        <w:ind w:left="460" w:hanging="452"/>
        <w:spacing w:after="0"/>
        <w:tabs>
          <w:tab w:leader="none" w:pos="46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Applicable Law</w:t>
      </w:r>
      <w:r>
        <w:rPr>
          <w:rFonts w:ascii="Arial" w:cs="Arial" w:eastAsia="Arial" w:hAnsi="Arial"/>
          <w:sz w:val="18"/>
          <w:szCs w:val="18"/>
          <w:b w:val="1"/>
          <w:bCs w:val="1"/>
          <w:color w:val="auto"/>
        </w:rPr>
        <w:t>.</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5"/>
          <w:szCs w:val="15"/>
          <w:color w:val="auto"/>
        </w:rPr>
        <w:t>This Plan shall be construed in accordance with the laws of the Commonwealth of Pennsylvania, to the extent not preempted by applicable Federal</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law.</w:t>
      </w:r>
    </w:p>
    <w:p>
      <w:pPr>
        <w:spacing w:after="0" w:line="19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Executed as of the 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day of January, 2008.</w:t>
      </w:r>
    </w:p>
    <w:p>
      <w:pPr>
        <w:spacing w:after="0" w:line="18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COMCAST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 xml:space="preserve">BY: </w:t>
      </w:r>
      <w:r>
        <w:rPr>
          <w:rFonts w:ascii="Arial" w:cs="Arial" w:eastAsia="Arial" w:hAnsi="Arial"/>
          <w:sz w:val="18"/>
          <w:szCs w:val="18"/>
          <w:color w:val="auto"/>
        </w:rPr>
        <w:t>/s/ DAVID 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14605</wp:posOffset>
            </wp:positionV>
            <wp:extent cx="268414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 xml:space="preserve">ATTEST: </w:t>
      </w:r>
      <w:r>
        <w:rPr>
          <w:rFonts w:ascii="Arial" w:cs="Arial" w:eastAsia="Arial" w:hAnsi="Arial"/>
          <w:sz w:val="18"/>
          <w:szCs w:val="18"/>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4841875</wp:posOffset>
            </wp:positionH>
            <wp:positionV relativeFrom="paragraph">
              <wp:posOffset>14605</wp:posOffset>
            </wp:positionV>
            <wp:extent cx="240982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17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240" w:top="280" w:right="419" w:bottom="1440" w:gutter="0" w:footer="0" w:header="0"/>
        </w:sectPr>
      </w:pPr>
    </w:p>
    <w:bookmarkStart w:id="66" w:name="page67"/>
    <w:bookmarkEnd w:id="66"/>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A</w:t>
      </w:r>
    </w:p>
    <w:p>
      <w:pPr>
        <w:spacing w:after="0" w:line="177"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Participating Companies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Comcast Business Communications Holdings, Inc. and its subsidiaries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Comcast Cable Communications Holdings, Inc. and its subsidiaries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Comcast Cable Communications, LLC, and its subsidiaries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Comcast Holdings Corporation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Comcast HTS Holdings, Inc.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Comcast Online Communications, Inc.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Comcast Shared Services Corporation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Comcast Spectacor, 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Comcast Sports Management Services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Comcast SportsNet Philadelphia, 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Comcast SportsNet West, Inc.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G4 Media, LLC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Home Team Sports Limited Partnership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International Channel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Outdoor Life Network, LLC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Philadelphia Sports Media, 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TGC, Inc. d/b/a The Golf Channel</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219"/>
          </w:cols>
          <w:pgMar w:left="240" w:top="274" w:right="1440"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I, Brian L. Roberts, certify that:</w:t>
      </w:r>
    </w:p>
    <w:p>
      <w:pPr>
        <w:spacing w:after="0" w:line="144"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76"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hanging="446"/>
        <w:spacing w:after="0" w:line="325" w:lineRule="auto"/>
        <w:tabs>
          <w:tab w:leader="none" w:pos="900" w:val="left"/>
        </w:tabs>
        <w:numPr>
          <w:ilvl w:val="1"/>
          <w:numId w:val="6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2008</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 Michael J. Angelakis, certify that:</w:t>
      </w:r>
    </w:p>
    <w:p>
      <w:pPr>
        <w:spacing w:after="0" w:line="144" w:lineRule="exact"/>
        <w:rPr>
          <w:sz w:val="20"/>
          <w:szCs w:val="20"/>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76"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hanging="446"/>
        <w:spacing w:after="0" w:line="325" w:lineRule="auto"/>
        <w:tabs>
          <w:tab w:leader="none" w:pos="900" w:val="left"/>
        </w:tabs>
        <w:numPr>
          <w:ilvl w:val="1"/>
          <w:numId w:val="6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2008</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 MICHAEL J. ANGELAKIS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Michael J. Angelakis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280"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906 OF THE SARBANES-OXLEY ACT</w:t>
      </w:r>
    </w:p>
    <w:p>
      <w:pPr>
        <w:spacing w:after="0" w:line="1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July 30, 2008</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Washington, D.C. 20549</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certification set forth below is being submitted in connection with the quarterly report on Form 10-Q of Comcast Corporation (the “Report”) for the purpose of complying with Rule 13a-14(b) or Rule 15d-14(b) of the Securities Exchange Act of 1934 (the “Exchange Act”) and Section 1350 of Chapter 63 of Title 18 of the United States Code.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Brian L. Roberts, the Chief Executive Officer and Michael J. Angelakis, the Chief Financial Officer, each certifies that, to the best of his knowledge:</w:t>
      </w:r>
    </w:p>
    <w:p>
      <w:pPr>
        <w:spacing w:after="0" w:line="100" w:lineRule="exact"/>
        <w:rPr>
          <w:sz w:val="20"/>
          <w:szCs w:val="20"/>
          <w:color w:val="auto"/>
        </w:rPr>
      </w:pPr>
    </w:p>
    <w:p>
      <w:pPr>
        <w:ind w:left="460" w:hanging="452"/>
        <w:spacing w:after="0"/>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Comcast Corporation.</w:t>
      </w:r>
    </w:p>
    <w:p>
      <w:pPr>
        <w:spacing w:after="0" w:line="3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MICHAEL J. ANGELAKIS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Michael J. Angelakis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
      <w:numFmt w:val="bullet"/>
      <w:start w:val="1"/>
    </w:lvl>
  </w:abstractNum>
  <w:abstractNum w:abstractNumId="3">
    <w:nsid w:val="5072367"/>
    <w:multiLevelType w:val="hybridMultilevel"/>
    <w:lvl w:ilvl="0">
      <w:lvlJc w:val="left"/>
      <w:lvlText w:val="•"/>
      <w:numFmt w:val="bullet"/>
      <w:start w:val="1"/>
    </w:lvl>
  </w:abstractNum>
  <w:abstractNum w:abstractNumId="4">
    <w:nsid w:val="3804823E"/>
    <w:multiLevelType w:val="hybridMultilevel"/>
    <w:lvl w:ilvl="0">
      <w:lvlJc w:val="left"/>
      <w:lvlText w:val="(%1)"/>
      <w:numFmt w:val="lowerLetter"/>
      <w:start w:val="1"/>
    </w:lvl>
  </w:abstractNum>
  <w:abstractNum w:abstractNumId="5">
    <w:nsid w:val="77465F01"/>
    <w:multiLevelType w:val="hybridMultilevel"/>
    <w:lvl w:ilvl="0">
      <w:lvlJc w:val="left"/>
      <w:lvlText w:val="(%1)"/>
      <w:numFmt w:val="lowerLetter"/>
      <w:start w:val="2"/>
    </w:lvl>
    <w:lvl w:ilvl="1">
      <w:lvlJc w:val="left"/>
      <w:lvlText w:val="•"/>
      <w:numFmt w:val="bullet"/>
      <w:start w:val="1"/>
    </w:lvl>
  </w:abstractNum>
  <w:abstractNum w:abstractNumId="6">
    <w:nsid w:val="7724C67E"/>
    <w:multiLevelType w:val="hybridMultilevel"/>
    <w:lvl w:ilvl="0">
      <w:lvlJc w:val="left"/>
      <w:lvlText w:val="•"/>
      <w:numFmt w:val="bullet"/>
      <w:start w:val="1"/>
    </w:lvl>
  </w:abstractNum>
  <w:abstractNum w:abstractNumId="7">
    <w:nsid w:val="5C482A97"/>
    <w:multiLevelType w:val="hybridMultilevel"/>
    <w:lvl w:ilvl="0">
      <w:lvlJc w:val="left"/>
      <w:lvlText w:val="(%1)"/>
      <w:numFmt w:val="lowerLetter"/>
      <w:start w:val="1"/>
    </w:lvl>
  </w:abstractNum>
  <w:abstractNum w:abstractNumId="8">
    <w:nsid w:val="2463B9EA"/>
    <w:multiLevelType w:val="hybridMultilevel"/>
    <w:lvl w:ilvl="0">
      <w:lvlJc w:val="left"/>
      <w:lvlText w:val="%1"/>
      <w:numFmt w:val="decimal"/>
      <w:start w:val="31"/>
    </w:lvl>
  </w:abstractNum>
  <w:abstractNum w:abstractNumId="9">
    <w:nsid w:val="5E884ADC"/>
    <w:multiLevelType w:val="hybridMultilevel"/>
    <w:lvl w:ilvl="0">
      <w:lvlJc w:val="left"/>
      <w:lvlText w:val="*"/>
      <w:numFmt w:val="bullet"/>
      <w:start w:val="1"/>
    </w:lvl>
  </w:abstractNum>
  <w:abstractNum w:abstractNumId="10">
    <w:nsid w:val="51EAD36B"/>
    <w:multiLevelType w:val="hybridMultilevel"/>
    <w:lvl w:ilvl="0">
      <w:lvlJc w:val="left"/>
      <w:lvlText w:val="(%1)"/>
      <w:numFmt w:val="lowerLetter"/>
      <w:start w:val="1"/>
    </w:lvl>
  </w:abstractNum>
  <w:abstractNum w:abstractNumId="11">
    <w:nsid w:val="2D517796"/>
    <w:multiLevelType w:val="hybridMultilevel"/>
    <w:lvl w:ilvl="0">
      <w:lvlJc w:val="left"/>
      <w:lvlText w:val="(%1)"/>
      <w:numFmt w:val="lowerLetter"/>
      <w:start w:val="1"/>
    </w:lvl>
  </w:abstractNum>
  <w:abstractNum w:abstractNumId="12">
    <w:nsid w:val="580BD78F"/>
    <w:multiLevelType w:val="hybridMultilevel"/>
    <w:lvl w:ilvl="0">
      <w:lvlJc w:val="left"/>
      <w:lvlText w:val="(%1)"/>
      <w:numFmt w:val="lowerLetter"/>
      <w:start w:val="1"/>
    </w:lvl>
  </w:abstractNum>
  <w:abstractNum w:abstractNumId="13">
    <w:nsid w:val="153EA438"/>
    <w:multiLevelType w:val="hybridMultilevel"/>
    <w:lvl w:ilvl="0">
      <w:lvlJc w:val="left"/>
      <w:lvlText w:val="(%1)"/>
      <w:numFmt w:val="lowerLetter"/>
      <w:start w:val="1"/>
    </w:lvl>
  </w:abstractNum>
  <w:abstractNum w:abstractNumId="14">
    <w:nsid w:val="3855585C"/>
    <w:multiLevelType w:val="hybridMultilevel"/>
    <w:lvl w:ilvl="0">
      <w:lvlJc w:val="left"/>
      <w:lvlText w:val="(%1)"/>
      <w:numFmt w:val="lowerLetter"/>
      <w:start w:val="1"/>
    </w:lvl>
  </w:abstractNum>
  <w:abstractNum w:abstractNumId="15">
    <w:nsid w:val="70A64E2A"/>
    <w:multiLevelType w:val="hybridMultilevel"/>
    <w:lvl w:ilvl="0">
      <w:lvlJc w:val="left"/>
      <w:lvlText w:val="(%1)"/>
      <w:numFmt w:val="lowerLetter"/>
      <w:start w:val="1"/>
    </w:lvl>
  </w:abstractNum>
  <w:abstractNum w:abstractNumId="16">
    <w:nsid w:val="6A2342EC"/>
    <w:multiLevelType w:val="hybridMultilevel"/>
    <w:lvl w:ilvl="0">
      <w:lvlJc w:val="left"/>
      <w:lvlText w:val="(%1)"/>
      <w:numFmt w:val="lowerLetter"/>
      <w:start w:val="1"/>
    </w:lvl>
  </w:abstractNum>
  <w:abstractNum w:abstractNumId="17">
    <w:nsid w:val="2A487CB0"/>
    <w:multiLevelType w:val="hybridMultilevel"/>
    <w:lvl w:ilvl="0">
      <w:lvlJc w:val="left"/>
      <w:lvlText w:val="(%1)"/>
      <w:numFmt w:val="lowerLetter"/>
      <w:start w:val="1"/>
    </w:lvl>
  </w:abstractNum>
  <w:abstractNum w:abstractNumId="18">
    <w:nsid w:val="1D4ED43B"/>
    <w:multiLevelType w:val="hybridMultilevel"/>
    <w:lvl w:ilvl="0">
      <w:lvlJc w:val="left"/>
      <w:lvlText w:val="(%1)"/>
      <w:numFmt w:val="lowerLetter"/>
      <w:start w:val="1"/>
    </w:lvl>
  </w:abstractNum>
  <w:abstractNum w:abstractNumId="19">
    <w:nsid w:val="725A06FB"/>
    <w:multiLevelType w:val="hybridMultilevel"/>
    <w:lvl w:ilvl="0">
      <w:lvlJc w:val="left"/>
      <w:lvlText w:val="(%1)"/>
      <w:numFmt w:val="lowerLetter"/>
      <w:start w:val="1"/>
    </w:lvl>
  </w:abstractNum>
  <w:abstractNum w:abstractNumId="20">
    <w:nsid w:val="2CD89A32"/>
    <w:multiLevelType w:val="hybridMultilevel"/>
    <w:lvl w:ilvl="0">
      <w:lvlJc w:val="left"/>
      <w:lvlText w:val="(%1)"/>
      <w:numFmt w:val="lowerLetter"/>
      <w:start w:val="1"/>
    </w:lvl>
  </w:abstractNum>
  <w:abstractNum w:abstractNumId="21">
    <w:nsid w:val="57E4CCAF"/>
    <w:multiLevelType w:val="hybridMultilevel"/>
    <w:lvl w:ilvl="0">
      <w:lvlJc w:val="left"/>
      <w:lvlText w:val="(%1)"/>
      <w:numFmt w:val="lowerLetter"/>
      <w:start w:val="1"/>
    </w:lvl>
  </w:abstractNum>
  <w:abstractNum w:abstractNumId="22">
    <w:nsid w:val="7A6D8D3C"/>
    <w:multiLevelType w:val="hybridMultilevel"/>
    <w:lvl w:ilvl="0">
      <w:lvlJc w:val="left"/>
      <w:lvlText w:val="(%1)"/>
      <w:numFmt w:val="lowerLetter"/>
      <w:start w:val="5"/>
    </w:lvl>
  </w:abstractNum>
  <w:abstractNum w:abstractNumId="23">
    <w:nsid w:val="4B588F54"/>
    <w:multiLevelType w:val="hybridMultilevel"/>
    <w:lvl w:ilvl="0">
      <w:lvlJc w:val="left"/>
      <w:lvlText w:val="(%1)"/>
      <w:numFmt w:val="lowerLetter"/>
      <w:start w:val="1"/>
    </w:lvl>
  </w:abstractNum>
  <w:abstractNum w:abstractNumId="24">
    <w:nsid w:val="542289EC"/>
    <w:multiLevelType w:val="hybridMultilevel"/>
    <w:lvl w:ilvl="0">
      <w:lvlJc w:val="left"/>
      <w:lvlText w:val="(%1)"/>
      <w:numFmt w:val="lowerLetter"/>
      <w:start w:val="1"/>
    </w:lvl>
  </w:abstractNum>
  <w:abstractNum w:abstractNumId="25">
    <w:nsid w:val="6DE91B18"/>
    <w:multiLevelType w:val="hybridMultilevel"/>
    <w:lvl w:ilvl="0">
      <w:lvlJc w:val="left"/>
      <w:lvlText w:val="(%1)"/>
      <w:numFmt w:val="lowerLetter"/>
      <w:start w:val="1"/>
    </w:lvl>
  </w:abstractNum>
  <w:abstractNum w:abstractNumId="26">
    <w:nsid w:val="38437FDB"/>
    <w:multiLevelType w:val="hybridMultilevel"/>
    <w:lvl w:ilvl="0">
      <w:lvlJc w:val="left"/>
      <w:lvlText w:val="(%1)"/>
      <w:numFmt w:val="lowerLetter"/>
      <w:start w:val="1"/>
    </w:lvl>
    <w:lvl w:ilvl="1">
      <w:lvlJc w:val="left"/>
      <w:lvlText w:val="(%2)"/>
      <w:numFmt w:val="lowerRoman"/>
      <w:start w:val="1"/>
    </w:lvl>
  </w:abstractNum>
  <w:abstractNum w:abstractNumId="27">
    <w:nsid w:val="7644A45C"/>
    <w:multiLevelType w:val="hybridMultilevel"/>
    <w:lvl w:ilvl="0">
      <w:lvlJc w:val="left"/>
      <w:lvlText w:val="%1"/>
      <w:numFmt w:val="lowerLetter"/>
      <w:start w:val="1"/>
    </w:lvl>
    <w:lvl w:ilvl="1">
      <w:lvlJc w:val="left"/>
      <w:lvlText w:val="(%2)"/>
      <w:numFmt w:val="lowerRoman"/>
      <w:start w:val="1"/>
    </w:lvl>
  </w:abstractNum>
  <w:abstractNum w:abstractNumId="28">
    <w:nsid w:val="32FFF902"/>
    <w:multiLevelType w:val="hybridMultilevel"/>
    <w:lvl w:ilvl="0">
      <w:lvlJc w:val="left"/>
      <w:lvlText w:val="(%1)"/>
      <w:numFmt w:val="lowerLetter"/>
      <w:start w:val="5"/>
    </w:lvl>
    <w:lvl w:ilvl="1">
      <w:lvlJc w:val="left"/>
      <w:lvlText w:val="%2"/>
      <w:numFmt w:val="lowerRoman"/>
      <w:start w:val="1"/>
    </w:lvl>
  </w:abstractNum>
  <w:abstractNum w:abstractNumId="29">
    <w:nsid w:val="684A481A"/>
    <w:multiLevelType w:val="hybridMultilevel"/>
    <w:lvl w:ilvl="0">
      <w:lvlJc w:val="left"/>
      <w:lvlText w:val="(%1)"/>
      <w:numFmt w:val="lowerLetter"/>
      <w:start w:val="1"/>
    </w:lvl>
    <w:lvl w:ilvl="1">
      <w:lvlJc w:val="left"/>
      <w:lvlText w:val="(%2)"/>
      <w:numFmt w:val="lowerRoman"/>
      <w:start w:val="1"/>
    </w:lvl>
  </w:abstractNum>
  <w:abstractNum w:abstractNumId="30">
    <w:nsid w:val="579478FE"/>
    <w:multiLevelType w:val="hybridMultilevel"/>
    <w:lvl w:ilvl="0">
      <w:lvlJc w:val="left"/>
      <w:lvlText w:val="(%1)"/>
      <w:numFmt w:val="lowerRoman"/>
      <w:start w:val="6"/>
    </w:lvl>
  </w:abstractNum>
  <w:abstractNum w:abstractNumId="31">
    <w:nsid w:val="749ABB43"/>
    <w:multiLevelType w:val="hybridMultilevel"/>
    <w:lvl w:ilvl="0">
      <w:lvlJc w:val="left"/>
      <w:lvlText w:val="%1"/>
      <w:numFmt w:val="lowerLetter"/>
      <w:start w:val="1"/>
    </w:lvl>
    <w:lvl w:ilvl="1">
      <w:lvlJc w:val="left"/>
      <w:lvlText w:val="(%2)"/>
      <w:numFmt w:val="lowerLetter"/>
      <w:start w:val="1"/>
    </w:lvl>
  </w:abstractNum>
  <w:abstractNum w:abstractNumId="32">
    <w:nsid w:val="3DC240FB"/>
    <w:multiLevelType w:val="hybridMultilevel"/>
    <w:lvl w:ilvl="0">
      <w:lvlJc w:val="left"/>
      <w:lvlText w:val="(%1)"/>
      <w:numFmt w:val="lowerLetter"/>
      <w:start w:val="35"/>
    </w:lvl>
    <w:lvl w:ilvl="1">
      <w:lvlJc w:val="left"/>
      <w:lvlText w:val="(%2)"/>
      <w:numFmt w:val="lowerLetter"/>
      <w:start w:val="2"/>
    </w:lvl>
  </w:abstractNum>
  <w:abstractNum w:abstractNumId="33">
    <w:nsid w:val="1BA026FA"/>
    <w:multiLevelType w:val="hybridMultilevel"/>
    <w:lvl w:ilvl="0">
      <w:lvlJc w:val="left"/>
      <w:lvlText w:val="(%1)"/>
      <w:numFmt w:val="lowerRoman"/>
      <w:start w:val="1"/>
    </w:lvl>
  </w:abstractNum>
  <w:abstractNum w:abstractNumId="34">
    <w:nsid w:val="79A1DEAA"/>
    <w:multiLevelType w:val="hybridMultilevel"/>
    <w:lvl w:ilvl="0">
      <w:lvlJc w:val="left"/>
      <w:lvlText w:val="(%1)"/>
      <w:numFmt w:val="lowerLetter"/>
      <w:start w:val="1"/>
    </w:lvl>
  </w:abstractNum>
  <w:abstractNum w:abstractNumId="35">
    <w:nsid w:val="75C6C33A"/>
    <w:multiLevelType w:val="hybridMultilevel"/>
    <w:lvl w:ilvl="0">
      <w:lvlJc w:val="left"/>
      <w:lvlText w:val="(%1)"/>
      <w:numFmt w:val="lowerLetter"/>
      <w:start w:val="3"/>
    </w:lvl>
    <w:lvl w:ilvl="1">
      <w:lvlJc w:val="left"/>
      <w:lvlText w:val="(%2)"/>
      <w:numFmt w:val="lowerRoman"/>
      <w:start w:val="1"/>
    </w:lvl>
  </w:abstractNum>
  <w:abstractNum w:abstractNumId="36">
    <w:nsid w:val="12E685FB"/>
    <w:multiLevelType w:val="hybridMultilevel"/>
    <w:lvl w:ilvl="0">
      <w:lvlJc w:val="left"/>
      <w:lvlText w:val="(%1)"/>
      <w:numFmt w:val="lowerLetter"/>
      <w:start w:val="1"/>
    </w:lvl>
  </w:abstractNum>
  <w:abstractNum w:abstractNumId="37">
    <w:nsid w:val="70C6A529"/>
    <w:multiLevelType w:val="hybridMultilevel"/>
    <w:lvl w:ilvl="0">
      <w:lvlJc w:val="left"/>
      <w:lvlText w:val="(%1)"/>
      <w:numFmt w:val="lowerLetter"/>
      <w:start w:val="4"/>
    </w:lvl>
  </w:abstractNum>
  <w:abstractNum w:abstractNumId="38">
    <w:nsid w:val="520EEDD1"/>
    <w:multiLevelType w:val="hybridMultilevel"/>
    <w:lvl w:ilvl="0">
      <w:lvlJc w:val="left"/>
      <w:lvlText w:val="(%1)"/>
      <w:numFmt w:val="lowerLetter"/>
      <w:start w:val="1"/>
    </w:lvl>
  </w:abstractNum>
  <w:abstractNum w:abstractNumId="39">
    <w:nsid w:val="374A3FE6"/>
    <w:multiLevelType w:val="hybridMultilevel"/>
    <w:lvl w:ilvl="0">
      <w:lvlJc w:val="left"/>
      <w:lvlText w:val="%1."/>
      <w:numFmt w:val="decimal"/>
      <w:start w:val="1"/>
    </w:lvl>
  </w:abstractNum>
  <w:abstractNum w:abstractNumId="40">
    <w:nsid w:val="4F4EF005"/>
    <w:multiLevelType w:val="hybridMultilevel"/>
    <w:lvl w:ilvl="0">
      <w:lvlJc w:val="left"/>
      <w:lvlText w:val="%1."/>
      <w:numFmt w:val="decimal"/>
      <w:start w:val="2"/>
    </w:lvl>
    <w:lvl w:ilvl="1">
      <w:lvlJc w:val="left"/>
      <w:lvlText w:val="(%2)"/>
      <w:numFmt w:val="lowerLetter"/>
      <w:start w:val="1"/>
    </w:lvl>
  </w:abstractNum>
  <w:abstractNum w:abstractNumId="41">
    <w:nsid w:val="23F9C13C"/>
    <w:multiLevelType w:val="hybridMultilevel"/>
    <w:lvl w:ilvl="0">
      <w:lvlJc w:val="left"/>
      <w:lvlText w:val="(%1)"/>
      <w:numFmt w:val="lowerLetter"/>
      <w:start w:val="9"/>
    </w:lvl>
    <w:lvl w:ilvl="1">
      <w:lvlJc w:val="left"/>
      <w:lvlText w:val="(%2)"/>
      <w:numFmt w:val="decimal"/>
      <w:start w:val="1"/>
    </w:lvl>
  </w:abstractNum>
  <w:abstractNum w:abstractNumId="42">
    <w:nsid w:val="649BB77C"/>
    <w:multiLevelType w:val="hybridMultilevel"/>
    <w:lvl w:ilvl="0">
      <w:lvlJc w:val="left"/>
      <w:lvlText w:val="(%1)"/>
      <w:numFmt w:val="lowerLetter"/>
      <w:start w:val="17"/>
    </w:lvl>
    <w:lvl w:ilvl="1">
      <w:lvlJc w:val="left"/>
      <w:lvlText w:val="(%2)"/>
      <w:numFmt w:val="decimal"/>
      <w:start w:val="1"/>
    </w:lvl>
  </w:abstractNum>
  <w:abstractNum w:abstractNumId="43">
    <w:nsid w:val="275AC794"/>
    <w:multiLevelType w:val="hybridMultilevel"/>
    <w:lvl w:ilvl="0">
      <w:lvlJc w:val="left"/>
      <w:lvlText w:val="(%1)"/>
      <w:numFmt w:val="lowerLetter"/>
      <w:start w:val="27"/>
    </w:lvl>
    <w:lvl w:ilvl="1">
      <w:lvlJc w:val="left"/>
      <w:lvlText w:val="(%2)"/>
      <w:numFmt w:val="decimal"/>
      <w:start w:val="1"/>
    </w:lvl>
  </w:abstractNum>
  <w:abstractNum w:abstractNumId="44">
    <w:nsid w:val="39386575"/>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45">
    <w:nsid w:val="1CF10FD8"/>
    <w:multiLevelType w:val="hybridMultilevel"/>
    <w:lvl w:ilvl="0">
      <w:lvlJc w:val="left"/>
      <w:lvlText w:val="%1"/>
      <w:numFmt w:val="decimal"/>
      <w:start w:val="1"/>
    </w:lvl>
    <w:lvl w:ilvl="1">
      <w:lvlJc w:val="left"/>
      <w:lvlText w:val="(%2)"/>
      <w:numFmt w:val="lowerLetter"/>
      <w:start w:val="29"/>
    </w:lvl>
    <w:lvl w:ilvl="2">
      <w:lvlJc w:val="left"/>
      <w:lvlText w:val="(%3)"/>
      <w:numFmt w:val="decimal"/>
      <w:start w:val="1"/>
    </w:lvl>
  </w:abstractNum>
  <w:abstractNum w:abstractNumId="46">
    <w:nsid w:val="180115BE"/>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47">
    <w:nsid w:val="235BA861"/>
    <w:multiLevelType w:val="hybridMultilevel"/>
    <w:lvl w:ilvl="0">
      <w:lvlJc w:val="left"/>
      <w:lvlText w:val="%1."/>
      <w:numFmt w:val="decimal"/>
      <w:start w:val="4"/>
    </w:lvl>
  </w:abstractNum>
  <w:abstractNum w:abstractNumId="48">
    <w:nsid w:val="47398C89"/>
    <w:multiLevelType w:val="hybridMultilevel"/>
    <w:lvl w:ilvl="0">
      <w:lvlJc w:val="left"/>
      <w:lvlText w:val="%1."/>
      <w:numFmt w:val="decimal"/>
      <w:start w:val="5"/>
    </w:lvl>
    <w:lvl w:ilvl="1">
      <w:lvlJc w:val="left"/>
      <w:lvlText w:val="(%2)"/>
      <w:numFmt w:val="lowerLetter"/>
      <w:start w:val="1"/>
    </w:lvl>
  </w:abstractNum>
  <w:abstractNum w:abstractNumId="49">
    <w:nsid w:val="354FE9F9"/>
    <w:multiLevelType w:val="hybridMultilevel"/>
    <w:lvl w:ilvl="0">
      <w:lvlJc w:val="left"/>
      <w:lvlText w:val="%1"/>
      <w:numFmt w:val="decimal"/>
      <w:start w:val="1"/>
    </w:lvl>
    <w:lvl w:ilvl="1">
      <w:lvlJc w:val="left"/>
      <w:lvlText w:val="(%2)"/>
      <w:numFmt w:val="lowerLetter"/>
      <w:start w:val="2"/>
    </w:lvl>
  </w:abstractNum>
  <w:abstractNum w:abstractNumId="50">
    <w:nsid w:val="15B5AF5C"/>
    <w:multiLevelType w:val="hybridMultilevel"/>
    <w:lvl w:ilvl="0">
      <w:lvlJc w:val="left"/>
      <w:lvlText w:val="%1."/>
      <w:numFmt w:val="decimal"/>
      <w:start w:val="7"/>
    </w:lvl>
    <w:lvl w:ilvl="1">
      <w:lvlJc w:val="left"/>
      <w:lvlText w:val="(%2)"/>
      <w:numFmt w:val="lowerLetter"/>
      <w:start w:val="1"/>
    </w:lvl>
  </w:abstractNum>
  <w:abstractNum w:abstractNumId="51">
    <w:nsid w:val="741226BB"/>
    <w:multiLevelType w:val="hybridMultilevel"/>
    <w:lvl w:ilvl="0">
      <w:lvlJc w:val="left"/>
      <w:lvlText w:val="%1."/>
      <w:numFmt w:val="decimal"/>
      <w:start w:val="9"/>
    </w:lvl>
    <w:lvl w:ilvl="1">
      <w:lvlJc w:val="left"/>
      <w:lvlText w:val="(%2)"/>
      <w:numFmt w:val="lowerLetter"/>
      <w:start w:val="1"/>
    </w:lvl>
  </w:abstractNum>
  <w:abstractNum w:abstractNumId="52">
    <w:nsid w:val="D34B6A8"/>
    <w:multiLevelType w:val="hybridMultilevel"/>
    <w:lvl w:ilvl="0">
      <w:lvlJc w:val="left"/>
      <w:lvlText w:val="%1."/>
      <w:numFmt w:val="decimal"/>
      <w:start w:val="9"/>
    </w:lvl>
    <w:lvl w:ilvl="1">
      <w:lvlJc w:val="left"/>
      <w:lvlText w:val="(%2)"/>
      <w:numFmt w:val="lowerLetter"/>
      <w:start w:val="2"/>
    </w:lvl>
  </w:abstractNum>
  <w:abstractNum w:abstractNumId="53">
    <w:nsid w:val="10233C99"/>
    <w:multiLevelType w:val="hybridMultilevel"/>
    <w:lvl w:ilvl="0">
      <w:lvlJc w:val="left"/>
      <w:lvlText w:val="%1."/>
      <w:numFmt w:val="decimal"/>
      <w:start w:val="11"/>
    </w:lvl>
  </w:abstractNum>
  <w:abstractNum w:abstractNumId="54">
    <w:nsid w:val="3F6AB60F"/>
    <w:multiLevelType w:val="hybridMultilevel"/>
    <w:lvl w:ilvl="0">
      <w:lvlJc w:val="left"/>
      <w:lvlText w:val="%1."/>
      <w:numFmt w:val="decimal"/>
      <w:start w:val="12"/>
    </w:lvl>
  </w:abstractNum>
  <w:abstractNum w:abstractNumId="55">
    <w:nsid w:val="61574095"/>
    <w:multiLevelType w:val="hybridMultilevel"/>
    <w:lvl w:ilvl="0">
      <w:lvlJc w:val="left"/>
      <w:lvlText w:val="%1."/>
      <w:numFmt w:val="decimal"/>
      <w:start w:val="13"/>
    </w:lvl>
  </w:abstractNum>
  <w:abstractNum w:abstractNumId="56">
    <w:nsid w:val="7E0C57B1"/>
    <w:multiLevelType w:val="hybridMultilevel"/>
    <w:lvl w:ilvl="0">
      <w:lvlJc w:val="left"/>
      <w:lvlText w:val="%1."/>
      <w:numFmt w:val="decimal"/>
      <w:start w:val="14"/>
    </w:lvl>
  </w:abstractNum>
  <w:abstractNum w:abstractNumId="57">
    <w:nsid w:val="77AE35EB"/>
    <w:multiLevelType w:val="hybridMultilevel"/>
    <w:lvl w:ilvl="0">
      <w:lvlJc w:val="left"/>
      <w:lvlText w:val="%1."/>
      <w:numFmt w:val="decimal"/>
      <w:start w:val="15"/>
    </w:lvl>
  </w:abstractNum>
  <w:abstractNum w:abstractNumId="58">
    <w:nsid w:val="579BE4F1"/>
    <w:multiLevelType w:val="hybridMultilevel"/>
    <w:lvl w:ilvl="0">
      <w:lvlJc w:val="left"/>
      <w:lvlText w:val="%1."/>
      <w:numFmt w:val="decimal"/>
      <w:start w:val="16"/>
    </w:lvl>
    <w:lvl w:ilvl="1">
      <w:lvlJc w:val="left"/>
      <w:lvlText w:val="(%2)"/>
      <w:numFmt w:val="lowerLetter"/>
      <w:start w:val="1"/>
    </w:lvl>
  </w:abstractNum>
  <w:abstractNum w:abstractNumId="59">
    <w:nsid w:val="310C50B3"/>
    <w:multiLevelType w:val="hybridMultilevel"/>
    <w:lvl w:ilvl="0">
      <w:lvlJc w:val="left"/>
      <w:lvlText w:val="%1."/>
      <w:numFmt w:val="decimal"/>
      <w:start w:val="17"/>
    </w:lvl>
  </w:abstractNum>
  <w:abstractNum w:abstractNumId="60">
    <w:nsid w:val="5FF87E05"/>
    <w:multiLevelType w:val="hybridMultilevel"/>
    <w:lvl w:ilvl="0">
      <w:lvlJc w:val="left"/>
      <w:lvlText w:val="%1."/>
      <w:numFmt w:val="decimal"/>
      <w:start w:val="18"/>
    </w:lvl>
  </w:abstractNum>
  <w:abstractNum w:abstractNumId="61">
    <w:nsid w:val="2F305DEF"/>
    <w:multiLevelType w:val="hybridMultilevel"/>
    <w:lvl w:ilvl="0">
      <w:lvlJc w:val="left"/>
      <w:lvlText w:val="%1."/>
      <w:numFmt w:val="decimal"/>
      <w:start w:val="19"/>
    </w:lvl>
  </w:abstractNum>
  <w:abstractNum w:abstractNumId="62">
    <w:nsid w:val="25A70BF7"/>
    <w:multiLevelType w:val="hybridMultilevel"/>
    <w:lvl w:ilvl="0">
      <w:lvlJc w:val="left"/>
      <w:lvlText w:val="%1."/>
      <w:numFmt w:val="decimal"/>
      <w:start w:val="20"/>
    </w:lvl>
  </w:abstractNum>
  <w:abstractNum w:abstractNumId="63">
    <w:nsid w:val="1DBABF00"/>
    <w:multiLevelType w:val="hybridMultilevel"/>
    <w:lvl w:ilvl="0">
      <w:lvlJc w:val="left"/>
      <w:lvlText w:val="%1."/>
      <w:numFmt w:val="decimal"/>
      <w:start w:val="21"/>
    </w:lvl>
  </w:abstractNum>
  <w:abstractNum w:abstractNumId="64">
    <w:nsid w:val="4AD084E9"/>
    <w:multiLevelType w:val="hybridMultilevel"/>
    <w:lvl w:ilvl="0">
      <w:lvlJc w:val="left"/>
      <w:lvlText w:val="%1."/>
      <w:numFmt w:val="decimal"/>
      <w:start w:val="22"/>
    </w:lvl>
  </w:abstractNum>
  <w:abstractNum w:abstractNumId="65">
    <w:nsid w:val="1F48EAA1"/>
    <w:multiLevelType w:val="hybridMultilevel"/>
    <w:lvl w:ilvl="0">
      <w:lvlJc w:val="left"/>
      <w:lvlText w:val="%1."/>
      <w:numFmt w:val="decimal"/>
      <w:start w:val="1"/>
    </w:lvl>
    <w:lvl w:ilvl="1">
      <w:lvlJc w:val="left"/>
      <w:lvlText w:val="%2)"/>
      <w:numFmt w:val="lowerLetter"/>
      <w:start w:val="1"/>
    </w:lvl>
  </w:abstractNum>
  <w:abstractNum w:abstractNumId="66">
    <w:nsid w:val="1381823A"/>
    <w:multiLevelType w:val="hybridMultilevel"/>
    <w:lvl w:ilvl="0">
      <w:lvlJc w:val="left"/>
      <w:lvlText w:val="%1."/>
      <w:numFmt w:val="decimal"/>
      <w:start w:val="1"/>
    </w:lvl>
    <w:lvl w:ilvl="1">
      <w:lvlJc w:val="left"/>
      <w:lvlText w:val="%2)"/>
      <w:numFmt w:val="lowerLetter"/>
      <w:start w:val="1"/>
    </w:lvl>
  </w:abstractNum>
  <w:abstractNum w:abstractNumId="67">
    <w:nsid w:val="5DB70AE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2019-12-15T06:41:39Z</dcterms:created>
  <dcterms:modified xsi:type="dcterms:W3CDTF">2019-12-15T06:41:39Z</dcterms:modified>
</cp:coreProperties>
</file>