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605790</wp:posOffset>
            </wp:positionH>
            <wp:positionV relativeFrom="page">
              <wp:posOffset>471805</wp:posOffset>
            </wp:positionV>
            <wp:extent cx="67983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8310" cy="8255"/>
                    </a:xfrm>
                    <a:prstGeom prst="rect">
                      <a:avLst/>
                    </a:prstGeom>
                    <a:noFill/>
                  </pic:spPr>
                </pic:pic>
              </a:graphicData>
            </a:graphic>
          </wp:anchor>
        </w:drawing>
        <w:drawing>
          <wp:anchor simplePos="0" relativeHeight="251657728" behindDoc="1" locked="0" layoutInCell="0" allowOverlap="1">
            <wp:simplePos x="0" y="0"/>
            <wp:positionH relativeFrom="page">
              <wp:posOffset>605790</wp:posOffset>
            </wp:positionH>
            <wp:positionV relativeFrom="page">
              <wp:posOffset>438150</wp:posOffset>
            </wp:positionV>
            <wp:extent cx="6798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831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4" w:lineRule="exact"/>
        <w:rPr>
          <w:sz w:val="24"/>
          <w:szCs w:val="24"/>
          <w:color w:val="auto"/>
        </w:rPr>
      </w:pPr>
    </w:p>
    <w:p>
      <w:pPr>
        <w:ind w:left="1100" w:hanging="938"/>
        <w:spacing w:after="0"/>
        <w:tabs>
          <w:tab w:leader="none" w:pos="11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27" w:lineRule="exact"/>
        <w:rPr>
          <w:sz w:val="24"/>
          <w:szCs w:val="24"/>
          <w:color w:val="auto"/>
        </w:rPr>
      </w:pPr>
    </w:p>
    <w:p>
      <w:pPr>
        <w:ind w:left="1060" w:hanging="891"/>
        <w:spacing w:after="0"/>
        <w:tabs>
          <w:tab w:leader="none" w:pos="10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3" w:lineRule="exact"/>
        <w:rPr>
          <w:sz w:val="24"/>
          <w:szCs w:val="24"/>
          <w:color w:val="auto"/>
        </w:rPr>
      </w:pPr>
    </w:p>
    <w:p>
      <w:pPr>
        <w:ind w:left="3780"/>
        <w:spacing w:after="0"/>
        <w:tabs>
          <w:tab w:leader="none" w:pos="70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1957705</wp:posOffset>
            </wp:positionH>
            <wp:positionV relativeFrom="paragraph">
              <wp:posOffset>161925</wp:posOffset>
            </wp:positionV>
            <wp:extent cx="3185795" cy="507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5795" cy="507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7"/>
                <w:szCs w:val="17"/>
                <w:color w:val="auto"/>
                <w:w w:val="93"/>
              </w:rPr>
              <w:t>Exact Name of Registrant; State of</w:t>
            </w:r>
          </w:p>
        </w:tc>
        <w:tc>
          <w:tcPr>
            <w:tcW w:w="4100" w:type="dxa"/>
            <w:vAlign w:val="bottom"/>
          </w:tcPr>
          <w:p>
            <w:pPr>
              <w:spacing w:after="0"/>
              <w:rPr>
                <w:sz w:val="16"/>
                <w:szCs w:val="16"/>
                <w:color w:val="auto"/>
              </w:rPr>
            </w:pPr>
          </w:p>
        </w:tc>
      </w:tr>
      <w:tr>
        <w:trPr>
          <w:trHeight w:val="170"/>
        </w:trPr>
        <w:tc>
          <w:tcPr>
            <w:tcW w:w="4120" w:type="dxa"/>
            <w:vAlign w:val="bottom"/>
          </w:tcPr>
          <w:p>
            <w:pPr>
              <w:spacing w:after="0"/>
              <w:rPr>
                <w:sz w:val="14"/>
                <w:szCs w:val="14"/>
                <w:color w:val="auto"/>
              </w:rPr>
            </w:pPr>
          </w:p>
        </w:tc>
        <w:tc>
          <w:tcPr>
            <w:tcW w:w="2980" w:type="dxa"/>
            <w:vAlign w:val="bottom"/>
            <w:gridSpan w:val="6"/>
          </w:tcPr>
          <w:p>
            <w:pPr>
              <w:jc w:val="center"/>
              <w:ind w:right="20"/>
              <w:spacing w:after="0" w:line="171" w:lineRule="exact"/>
              <w:rPr>
                <w:sz w:val="20"/>
                <w:szCs w:val="20"/>
                <w:color w:val="auto"/>
              </w:rPr>
            </w:pPr>
            <w:r>
              <w:rPr>
                <w:rFonts w:ascii="Arial" w:cs="Arial" w:eastAsia="Arial" w:hAnsi="Arial"/>
                <w:sz w:val="17"/>
                <w:szCs w:val="17"/>
                <w:color w:val="auto"/>
                <w:w w:val="92"/>
              </w:rPr>
              <w:t>Incorporation; Address and Telephone</w:t>
            </w:r>
          </w:p>
        </w:tc>
        <w:tc>
          <w:tcPr>
            <w:tcW w:w="4100" w:type="dxa"/>
            <w:vAlign w:val="bottom"/>
          </w:tcPr>
          <w:p>
            <w:pPr>
              <w:spacing w:after="0"/>
              <w:rPr>
                <w:sz w:val="14"/>
                <w:szCs w:val="14"/>
                <w:color w:val="auto"/>
              </w:rPr>
            </w:pPr>
          </w:p>
        </w:tc>
      </w:tr>
      <w:tr>
        <w:trPr>
          <w:trHeight w:val="235"/>
        </w:trPr>
        <w:tc>
          <w:tcPr>
            <w:tcW w:w="4120" w:type="dxa"/>
            <w:vAlign w:val="bottom"/>
            <w:tcBorders>
              <w:bottom w:val="single" w:sz="8" w:color="auto"/>
            </w:tcBorders>
          </w:tcPr>
          <w:p>
            <w:pPr>
              <w:jc w:val="center"/>
              <w:ind w:right="933"/>
              <w:spacing w:after="0"/>
              <w:rPr>
                <w:sz w:val="20"/>
                <w:szCs w:val="20"/>
                <w:color w:val="auto"/>
              </w:rPr>
            </w:pPr>
            <w:r>
              <w:rPr>
                <w:rFonts w:ascii="Arial" w:cs="Arial" w:eastAsia="Arial" w:hAnsi="Arial"/>
                <w:sz w:val="17"/>
                <w:szCs w:val="17"/>
                <w:color w:val="auto"/>
                <w:w w:val="95"/>
              </w:rPr>
              <w:t>Commission File Number</w:t>
            </w:r>
          </w:p>
        </w:tc>
        <w:tc>
          <w:tcPr>
            <w:tcW w:w="29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7"/>
                <w:szCs w:val="17"/>
                <w:color w:val="auto"/>
                <w:w w:val="96"/>
              </w:rPr>
              <w:t>Number of Principal Executive Offices</w:t>
            </w:r>
          </w:p>
        </w:tc>
        <w:tc>
          <w:tcPr>
            <w:tcW w:w="4100" w:type="dxa"/>
            <w:vAlign w:val="bottom"/>
            <w:tcBorders>
              <w:bottom w:val="single" w:sz="8" w:color="auto"/>
            </w:tcBorders>
          </w:tcPr>
          <w:p>
            <w:pPr>
              <w:jc w:val="center"/>
              <w:ind w:left="913"/>
              <w:spacing w:after="0"/>
              <w:rPr>
                <w:sz w:val="20"/>
                <w:szCs w:val="20"/>
                <w:color w:val="auto"/>
              </w:rPr>
            </w:pPr>
            <w:r>
              <w:rPr>
                <w:rFonts w:ascii="Arial" w:cs="Arial" w:eastAsia="Arial" w:hAnsi="Arial"/>
                <w:sz w:val="17"/>
                <w:szCs w:val="17"/>
                <w:color w:val="auto"/>
                <w:w w:val="96"/>
              </w:rPr>
              <w:t>I.R.S. Employer Identification No.</w:t>
            </w:r>
          </w:p>
        </w:tc>
      </w:tr>
      <w:tr>
        <w:trPr>
          <w:trHeight w:val="221"/>
        </w:trPr>
        <w:tc>
          <w:tcPr>
            <w:tcW w:w="4120" w:type="dxa"/>
            <w:vAlign w:val="bottom"/>
          </w:tcPr>
          <w:p>
            <w:pPr>
              <w:jc w:val="right"/>
              <w:ind w:right="2113"/>
              <w:spacing w:after="0"/>
              <w:rPr>
                <w:sz w:val="20"/>
                <w:szCs w:val="20"/>
                <w:color w:val="auto"/>
              </w:rPr>
            </w:pPr>
            <w:r>
              <w:rPr>
                <w:rFonts w:ascii="Arial" w:cs="Arial" w:eastAsia="Arial" w:hAnsi="Arial"/>
                <w:sz w:val="17"/>
                <w:szCs w:val="17"/>
                <w:b w:val="1"/>
                <w:bCs w:val="1"/>
                <w:color w:val="auto"/>
              </w:rPr>
              <w:t>001-32871</w:t>
            </w:r>
          </w:p>
        </w:tc>
        <w:tc>
          <w:tcPr>
            <w:tcW w:w="200" w:type="dxa"/>
            <w:vAlign w:val="bottom"/>
          </w:tcPr>
          <w:p>
            <w:pPr>
              <w:spacing w:after="0"/>
              <w:rPr>
                <w:sz w:val="19"/>
                <w:szCs w:val="19"/>
                <w:color w:val="auto"/>
              </w:rPr>
            </w:pPr>
          </w:p>
        </w:tc>
        <w:tc>
          <w:tcPr>
            <w:tcW w:w="278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rPr>
              <w:t>COMCAST CORPORATION</w:t>
            </w:r>
          </w:p>
        </w:tc>
        <w:tc>
          <w:tcPr>
            <w:tcW w:w="4100" w:type="dxa"/>
            <w:vAlign w:val="bottom"/>
          </w:tcPr>
          <w:p>
            <w:pPr>
              <w:jc w:val="right"/>
              <w:ind w:right="1053"/>
              <w:spacing w:after="0"/>
              <w:rPr>
                <w:sz w:val="20"/>
                <w:szCs w:val="20"/>
                <w:color w:val="auto"/>
              </w:rPr>
            </w:pPr>
            <w:r>
              <w:rPr>
                <w:rFonts w:ascii="Arial" w:cs="Arial" w:eastAsia="Arial" w:hAnsi="Arial"/>
                <w:sz w:val="17"/>
                <w:szCs w:val="17"/>
                <w:b w:val="1"/>
                <w:bCs w:val="1"/>
                <w:color w:val="auto"/>
              </w:rPr>
              <w:t>27-0000798</w:t>
            </w:r>
          </w:p>
        </w:tc>
      </w:tr>
      <w:tr>
        <w:trPr>
          <w:trHeight w:val="265"/>
        </w:trPr>
        <w:tc>
          <w:tcPr>
            <w:tcW w:w="4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7"/>
                <w:szCs w:val="17"/>
                <w:b w:val="1"/>
                <w:bCs w:val="1"/>
                <w:color w:val="auto"/>
                <w:w w:val="91"/>
              </w:rPr>
              <w:t>Pennsylvania</w:t>
            </w:r>
          </w:p>
        </w:tc>
        <w:tc>
          <w:tcPr>
            <w:tcW w:w="4100" w:type="dxa"/>
            <w:vAlign w:val="bottom"/>
          </w:tcPr>
          <w:p>
            <w:pPr>
              <w:spacing w:after="0"/>
              <w:rPr>
                <w:sz w:val="23"/>
                <w:szCs w:val="23"/>
                <w:color w:val="auto"/>
              </w:rPr>
            </w:pP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7"/>
                <w:szCs w:val="17"/>
                <w:b w:val="1"/>
                <w:bCs w:val="1"/>
                <w:color w:val="auto"/>
                <w:w w:val="92"/>
              </w:rPr>
              <w:t>One Comcast Center</w:t>
            </w:r>
          </w:p>
        </w:tc>
        <w:tc>
          <w:tcPr>
            <w:tcW w:w="4100" w:type="dxa"/>
            <w:vAlign w:val="bottom"/>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5"/>
          </w:tcPr>
          <w:p>
            <w:pPr>
              <w:jc w:val="center"/>
              <w:ind w:right="160"/>
              <w:spacing w:after="0"/>
              <w:rPr>
                <w:sz w:val="20"/>
                <w:szCs w:val="20"/>
                <w:color w:val="auto"/>
              </w:rPr>
            </w:pPr>
            <w:r>
              <w:rPr>
                <w:rFonts w:ascii="Arial" w:cs="Arial" w:eastAsia="Arial" w:hAnsi="Arial"/>
                <w:sz w:val="17"/>
                <w:szCs w:val="17"/>
                <w:b w:val="1"/>
                <w:bCs w:val="1"/>
                <w:color w:val="auto"/>
                <w:w w:val="93"/>
              </w:rPr>
              <w:t>Philadelphia, PA 19103-2838</w:t>
            </w:r>
          </w:p>
        </w:tc>
        <w:tc>
          <w:tcPr>
            <w:tcW w:w="4100" w:type="dxa"/>
            <w:vAlign w:val="bottom"/>
          </w:tcPr>
          <w:p>
            <w:pPr>
              <w:spacing w:after="0"/>
              <w:rPr>
                <w:sz w:val="18"/>
                <w:szCs w:val="18"/>
                <w:color w:val="auto"/>
              </w:rPr>
            </w:pPr>
          </w:p>
        </w:tc>
      </w:tr>
      <w:tr>
        <w:trPr>
          <w:trHeight w:val="228"/>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3"/>
          </w:tcPr>
          <w:p>
            <w:pPr>
              <w:jc w:val="center"/>
              <w:ind w:left="373"/>
              <w:spacing w:after="0"/>
              <w:rPr>
                <w:sz w:val="20"/>
                <w:szCs w:val="20"/>
                <w:color w:val="auto"/>
              </w:rPr>
            </w:pPr>
            <w:r>
              <w:rPr>
                <w:rFonts w:ascii="Arial" w:cs="Arial" w:eastAsia="Arial" w:hAnsi="Arial"/>
                <w:sz w:val="17"/>
                <w:szCs w:val="17"/>
                <w:b w:val="1"/>
                <w:bCs w:val="1"/>
                <w:color w:val="auto"/>
                <w:w w:val="92"/>
              </w:rPr>
              <w:t>(215) 286-1700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445"/>
        </w:trPr>
        <w:tc>
          <w:tcPr>
            <w:tcW w:w="4120" w:type="dxa"/>
            <w:vAlign w:val="bottom"/>
          </w:tcPr>
          <w:p>
            <w:pPr>
              <w:spacing w:after="0"/>
              <w:rPr>
                <w:sz w:val="20"/>
                <w:szCs w:val="20"/>
                <w:color w:val="auto"/>
              </w:rPr>
            </w:pPr>
            <w:r>
              <w:rPr>
                <w:rFonts w:ascii="Arial" w:cs="Arial" w:eastAsia="Arial" w:hAnsi="Arial"/>
                <w:sz w:val="17"/>
                <w:szCs w:val="17"/>
                <w:color w:val="auto"/>
                <w:w w:val="94"/>
              </w:rPr>
              <w:t>Securities registered pursuant to Section 12(b) of the Act:</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41"/>
        </w:trPr>
        <w:tc>
          <w:tcPr>
            <w:tcW w:w="4120" w:type="dxa"/>
            <w:vAlign w:val="bottom"/>
            <w:tcBorders>
              <w:bottom w:val="single" w:sz="8" w:color="auto"/>
            </w:tcBorders>
          </w:tcPr>
          <w:p>
            <w:pPr>
              <w:jc w:val="center"/>
              <w:ind w:left="473"/>
              <w:spacing w:after="0"/>
              <w:rPr>
                <w:sz w:val="20"/>
                <w:szCs w:val="20"/>
                <w:color w:val="auto"/>
              </w:rPr>
            </w:pPr>
            <w:r>
              <w:rPr>
                <w:rFonts w:ascii="Arial" w:cs="Arial" w:eastAsia="Arial" w:hAnsi="Arial"/>
                <w:sz w:val="17"/>
                <w:szCs w:val="17"/>
                <w:b w:val="1"/>
                <w:bCs w:val="1"/>
                <w:color w:val="auto"/>
                <w:w w:val="90"/>
              </w:rPr>
              <w:t>Title of each class</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453"/>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16"/>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Class A Common Stock, $0.01 par value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rPr>
              <w:t>CMCSA</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0.000% Notes due 2026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CMCS26</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0.250% Notes due 2027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CMCS27</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1.500%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CMCS29</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0.250%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7"/>
              </w:rPr>
              <w:t>CMCS29A</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0.750% Notes due 2032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CMCS32</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1.875% Notes due 2036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CMCS36</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1.250% Notes due 2040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CMCS40</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5.50%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3"/>
              </w:rPr>
              <w:t>CCGBP29</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3"/>
              </w:rPr>
              <w:t>New York Stock Exchange</w:t>
            </w:r>
          </w:p>
        </w:tc>
      </w:tr>
      <w:tr>
        <w:trPr>
          <w:trHeight w:val="223"/>
        </w:trPr>
        <w:tc>
          <w:tcPr>
            <w:tcW w:w="4320" w:type="dxa"/>
            <w:vAlign w:val="bottom"/>
            <w:tcBorders>
              <w:bottom w:val="single" w:sz="8" w:color="auto"/>
            </w:tcBorders>
            <w:gridSpan w:val="2"/>
          </w:tcPr>
          <w:p>
            <w:pPr>
              <w:jc w:val="center"/>
              <w:ind w:left="273"/>
              <w:spacing w:after="0"/>
              <w:rPr>
                <w:sz w:val="20"/>
                <w:szCs w:val="20"/>
                <w:color w:val="auto"/>
              </w:rPr>
            </w:pPr>
            <w:r>
              <w:rPr>
                <w:rFonts w:ascii="Arial" w:cs="Arial" w:eastAsia="Arial" w:hAnsi="Arial"/>
                <w:sz w:val="17"/>
                <w:szCs w:val="17"/>
                <w:color w:val="auto"/>
                <w:w w:val="91"/>
              </w:rPr>
              <w:t>2.0% Exchangeable Subordinated Debentures due 2029</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CCZ</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jc w:val="center"/>
              <w:ind w:right="453"/>
              <w:spacing w:after="0"/>
              <w:rPr>
                <w:sz w:val="20"/>
                <w:szCs w:val="20"/>
                <w:color w:val="auto"/>
              </w:rPr>
            </w:pPr>
            <w:r>
              <w:rPr>
                <w:rFonts w:ascii="Arial" w:cs="Arial" w:eastAsia="Arial" w:hAnsi="Arial"/>
                <w:sz w:val="17"/>
                <w:szCs w:val="17"/>
                <w:color w:val="auto"/>
                <w:w w:val="93"/>
              </w:rPr>
              <w:t>New York Stock Exchange</w:t>
            </w:r>
          </w:p>
        </w:tc>
      </w:tr>
    </w:tbl>
    <w:p>
      <w:pPr>
        <w:spacing w:after="0" w:line="192"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6" w:lineRule="exact"/>
        <w:rPr>
          <w:sz w:val="24"/>
          <w:szCs w:val="24"/>
          <w:color w:val="auto"/>
        </w:rPr>
      </w:pPr>
    </w:p>
    <w:p>
      <w:pPr>
        <w:jc w:val="both"/>
        <w:spacing w:after="0" w:line="25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340" w:type="dxa"/>
            <w:vAlign w:val="bottom"/>
          </w:tcPr>
          <w:p>
            <w:pPr>
              <w:spacing w:after="0"/>
              <w:rPr>
                <w:sz w:val="20"/>
                <w:szCs w:val="20"/>
                <w:color w:val="auto"/>
              </w:rPr>
            </w:pPr>
            <w:r>
              <w:rPr>
                <w:rFonts w:ascii="Arial" w:cs="Arial" w:eastAsia="Arial" w:hAnsi="Arial"/>
                <w:sz w:val="17"/>
                <w:szCs w:val="17"/>
                <w:color w:val="auto"/>
                <w:w w:val="96"/>
              </w:rPr>
              <w:t>Large accelerated</w:t>
            </w:r>
          </w:p>
        </w:tc>
        <w:tc>
          <w:tcPr>
            <w:tcW w:w="48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360" w:type="dxa"/>
            <w:vAlign w:val="bottom"/>
            <w:vMerge w:val="restart"/>
          </w:tcPr>
          <w:p>
            <w:pPr>
              <w:ind w:left="180"/>
              <w:spacing w:after="0"/>
              <w:rPr>
                <w:sz w:val="20"/>
                <w:szCs w:val="20"/>
                <w:color w:val="auto"/>
              </w:rPr>
            </w:pPr>
            <w:r>
              <w:rPr>
                <w:rFonts w:ascii="Arial" w:cs="Arial" w:eastAsia="Arial" w:hAnsi="Arial"/>
                <w:sz w:val="17"/>
                <w:szCs w:val="17"/>
                <w:color w:val="auto"/>
                <w:w w:val="95"/>
              </w:rPr>
              <w:t>Accelerated filer</w:t>
            </w:r>
          </w:p>
        </w:tc>
        <w:tc>
          <w:tcPr>
            <w:tcW w:w="3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auto"/>
                <w:w w:val="91"/>
              </w:rPr>
              <w:t>Non-accelerated filer</w:t>
            </w:r>
          </w:p>
        </w:tc>
        <w:tc>
          <w:tcPr>
            <w:tcW w:w="40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700" w:type="dxa"/>
            <w:vAlign w:val="bottom"/>
          </w:tcPr>
          <w:p>
            <w:pPr>
              <w:ind w:left="200"/>
              <w:spacing w:after="0"/>
              <w:rPr>
                <w:sz w:val="20"/>
                <w:szCs w:val="20"/>
                <w:color w:val="auto"/>
              </w:rPr>
            </w:pPr>
            <w:r>
              <w:rPr>
                <w:rFonts w:ascii="Arial" w:cs="Arial" w:eastAsia="Arial" w:hAnsi="Arial"/>
                <w:sz w:val="17"/>
                <w:szCs w:val="17"/>
                <w:color w:val="auto"/>
              </w:rPr>
              <w:t>Smaller reporting</w:t>
            </w:r>
          </w:p>
        </w:tc>
        <w:tc>
          <w:tcPr>
            <w:tcW w:w="6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1620" w:type="dxa"/>
            <w:vAlign w:val="bottom"/>
          </w:tcPr>
          <w:p>
            <w:pPr>
              <w:ind w:left="120"/>
              <w:spacing w:after="0"/>
              <w:rPr>
                <w:sz w:val="20"/>
                <w:szCs w:val="20"/>
                <w:color w:val="auto"/>
              </w:rPr>
            </w:pPr>
            <w:r>
              <w:rPr>
                <w:rFonts w:ascii="Arial" w:cs="Arial" w:eastAsia="Arial" w:hAnsi="Arial"/>
                <w:sz w:val="17"/>
                <w:szCs w:val="17"/>
                <w:color w:val="auto"/>
              </w:rPr>
              <w:t>Emerging growth</w:t>
            </w:r>
          </w:p>
        </w:tc>
        <w:tc>
          <w:tcPr>
            <w:tcW w:w="48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20"/>
                <w:szCs w:val="20"/>
                <w:color w:val="auto"/>
              </w:rPr>
            </w:pPr>
            <w:r>
              <w:rPr>
                <w:rFonts w:ascii="Arial" w:cs="Arial" w:eastAsia="Arial" w:hAnsi="Arial"/>
                <w:sz w:val="17"/>
                <w:szCs w:val="17"/>
                <w:color w:val="auto"/>
              </w:rPr>
              <w:t>filer</w:t>
            </w:r>
          </w:p>
        </w:tc>
        <w:tc>
          <w:tcPr>
            <w:tcW w:w="4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7"/>
                <w:szCs w:val="17"/>
                <w:color w:val="auto"/>
              </w:rPr>
              <w:t>company</w:t>
            </w:r>
          </w:p>
        </w:tc>
        <w:tc>
          <w:tcPr>
            <w:tcW w:w="600" w:type="dxa"/>
            <w:vAlign w:val="bottom"/>
          </w:tcPr>
          <w:p>
            <w:pPr>
              <w:spacing w:after="0"/>
              <w:rPr>
                <w:sz w:val="18"/>
                <w:szCs w:val="18"/>
                <w:color w:val="auto"/>
              </w:rPr>
            </w:pPr>
          </w:p>
        </w:tc>
        <w:tc>
          <w:tcPr>
            <w:tcW w:w="1620" w:type="dxa"/>
            <w:vAlign w:val="bottom"/>
          </w:tcPr>
          <w:p>
            <w:pPr>
              <w:ind w:left="120"/>
              <w:spacing w:after="0"/>
              <w:rPr>
                <w:sz w:val="20"/>
                <w:szCs w:val="20"/>
                <w:color w:val="auto"/>
              </w:rPr>
            </w:pPr>
            <w:r>
              <w:rPr>
                <w:rFonts w:ascii="Arial" w:cs="Arial" w:eastAsia="Arial" w:hAnsi="Arial"/>
                <w:sz w:val="17"/>
                <w:szCs w:val="17"/>
                <w:color w:val="auto"/>
              </w:rPr>
              <w:t>company</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4"/>
          <w:szCs w:val="24"/>
          <w:color w:val="auto"/>
        </w:rPr>
      </w:pPr>
    </w:p>
    <w:p>
      <w:pPr>
        <w:spacing w:after="0" w:line="21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As of October 15, 2023, there were 4,015,635,374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520700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200660</wp:posOffset>
            </wp:positionV>
            <wp:extent cx="7019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167005</wp:posOffset>
            </wp:positionV>
            <wp:extent cx="7019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9925" cy="825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jc w:val="right"/>
              <w:ind w:right="194"/>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4"/>
        </w:trPr>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7"/>
                <w:szCs w:val="17"/>
                <w:b w:val="1"/>
                <w:bCs w:val="1"/>
                <w:color w:val="0000FF"/>
              </w:rPr>
              <w:t>PART I. FINANCIAL INFORMATION</w:t>
            </w:r>
          </w:p>
        </w:tc>
        <w:tc>
          <w:tcPr>
            <w:tcW w:w="6460" w:type="dxa"/>
            <w:vAlign w:val="bottom"/>
            <w:gridSpan w:val="19"/>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1.</w:t>
            </w:r>
          </w:p>
        </w:tc>
        <w:tc>
          <w:tcPr>
            <w:tcW w:w="146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0"/>
              </w:rPr>
              <w:t>Financial Statements</w:t>
            </w:r>
          </w:p>
        </w:tc>
        <w:tc>
          <w:tcPr>
            <w:tcW w:w="6580" w:type="dxa"/>
            <w:vAlign w:val="bottom"/>
            <w:gridSpan w:val="20"/>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2C2C2C"/>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27"/>
          </w:tcPr>
          <w:p>
            <w:pPr>
              <w:spacing w:after="0"/>
              <w:rPr>
                <w:sz w:val="20"/>
                <w:szCs w:val="20"/>
                <w:color w:val="auto"/>
              </w:rPr>
            </w:pPr>
            <w:r>
              <w:rPr>
                <w:rFonts w:ascii="Arial" w:cs="Arial" w:eastAsia="Arial" w:hAnsi="Arial"/>
                <w:sz w:val="17"/>
                <w:szCs w:val="17"/>
                <w:color w:val="0000FF"/>
              </w:rPr>
              <w:t>Condensed Consolidated Statements of Income (Unaudited)</w:t>
            </w:r>
          </w:p>
        </w:tc>
        <w:tc>
          <w:tcPr>
            <w:tcW w:w="1760" w:type="dxa"/>
            <w:vAlign w:val="bottom"/>
          </w:tcPr>
          <w:p>
            <w:pPr>
              <w:jc w:val="right"/>
              <w:spacing w:after="0"/>
              <w:rPr>
                <w:sz w:val="20"/>
                <w:szCs w:val="20"/>
                <w:color w:val="auto"/>
              </w:rPr>
            </w:pPr>
            <w:r>
              <w:rPr>
                <w:rFonts w:ascii="Arial" w:cs="Arial" w:eastAsia="Arial" w:hAnsi="Arial"/>
                <w:sz w:val="17"/>
                <w:szCs w:val="17"/>
                <w:color w:val="2C2C2C"/>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27"/>
          </w:tcPr>
          <w:p>
            <w:pPr>
              <w:spacing w:after="0"/>
              <w:rPr>
                <w:sz w:val="20"/>
                <w:szCs w:val="20"/>
                <w:color w:val="auto"/>
              </w:rPr>
            </w:pPr>
            <w:r>
              <w:rPr>
                <w:rFonts w:ascii="Arial" w:cs="Arial" w:eastAsia="Arial" w:hAnsi="Arial"/>
                <w:sz w:val="17"/>
                <w:szCs w:val="17"/>
                <w:color w:val="0000FF"/>
              </w:rPr>
              <w:t>Condensed Consolidated Statements of Comprehensive Income (Unaudited)</w:t>
            </w:r>
          </w:p>
        </w:tc>
        <w:tc>
          <w:tcPr>
            <w:tcW w:w="1760" w:type="dxa"/>
            <w:vAlign w:val="bottom"/>
          </w:tcPr>
          <w:p>
            <w:pPr>
              <w:jc w:val="right"/>
              <w:spacing w:after="0"/>
              <w:rPr>
                <w:sz w:val="20"/>
                <w:szCs w:val="20"/>
                <w:color w:val="auto"/>
              </w:rPr>
            </w:pPr>
            <w:r>
              <w:rPr>
                <w:rFonts w:ascii="Arial" w:cs="Arial" w:eastAsia="Arial" w:hAnsi="Arial"/>
                <w:sz w:val="17"/>
                <w:szCs w:val="17"/>
                <w:color w:val="2C2C2C"/>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320" w:type="dxa"/>
            <w:vAlign w:val="bottom"/>
            <w:tcBorders>
              <w:top w:val="single" w:sz="8" w:color="0000FF"/>
            </w:tcBorders>
            <w:gridSpan w:val="24"/>
          </w:tcPr>
          <w:p>
            <w:pPr>
              <w:spacing w:after="0"/>
              <w:rPr>
                <w:sz w:val="20"/>
                <w:szCs w:val="20"/>
                <w:color w:val="auto"/>
              </w:rPr>
            </w:pPr>
            <w:r>
              <w:rPr>
                <w:rFonts w:ascii="Arial" w:cs="Arial" w:eastAsia="Arial" w:hAnsi="Arial"/>
                <w:sz w:val="17"/>
                <w:szCs w:val="17"/>
                <w:color w:val="0000FF"/>
              </w:rPr>
              <w:t>Condensed Consolidated Statements of Cash Flows (Unaudited)</w:t>
            </w:r>
          </w:p>
        </w:tc>
        <w:tc>
          <w:tcPr>
            <w:tcW w:w="2720" w:type="dxa"/>
            <w:vAlign w:val="bottom"/>
            <w:gridSpan w:val="3"/>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2C2C2C"/>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4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7"/>
                <w:szCs w:val="17"/>
                <w:color w:val="0000FF"/>
                <w:w w:val="91"/>
              </w:rPr>
              <w:t>Condensed Consolidated Balance Sheets (Unaudited)</w:t>
            </w:r>
          </w:p>
        </w:tc>
        <w:tc>
          <w:tcPr>
            <w:tcW w:w="740" w:type="dxa"/>
            <w:vAlign w:val="bottom"/>
            <w:tcBorders>
              <w:top w:val="single" w:sz="8" w:color="0000FF"/>
            </w:tcBorders>
            <w:gridSpan w:val="4"/>
          </w:tcPr>
          <w:p>
            <w:pPr>
              <w:spacing w:after="0"/>
              <w:rPr>
                <w:sz w:val="17"/>
                <w:szCs w:val="17"/>
                <w:color w:val="auto"/>
              </w:rPr>
            </w:pPr>
          </w:p>
        </w:tc>
        <w:tc>
          <w:tcPr>
            <w:tcW w:w="3560" w:type="dxa"/>
            <w:vAlign w:val="bottom"/>
            <w:gridSpan w:val="6"/>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2C2C2C"/>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60" w:type="dxa"/>
            <w:vAlign w:val="bottom"/>
            <w:tcBorders>
              <w:bottom w:val="single" w:sz="8" w:color="0000FF"/>
            </w:tcBorders>
            <w:gridSpan w:val="23"/>
          </w:tcPr>
          <w:p>
            <w:pPr>
              <w:spacing w:after="0"/>
              <w:rPr>
                <w:sz w:val="20"/>
                <w:szCs w:val="20"/>
                <w:color w:val="auto"/>
              </w:rPr>
            </w:pPr>
            <w:r>
              <w:rPr>
                <w:rFonts w:ascii="Arial" w:cs="Arial" w:eastAsia="Arial" w:hAnsi="Arial"/>
                <w:sz w:val="17"/>
                <w:szCs w:val="17"/>
                <w:color w:val="0000FF"/>
                <w:w w:val="92"/>
              </w:rPr>
              <w:t>Condensed Consolidated Statements of Changes in Equity (Unaudited)</w:t>
            </w:r>
          </w:p>
        </w:tc>
        <w:tc>
          <w:tcPr>
            <w:tcW w:w="3080" w:type="dxa"/>
            <w:vAlign w:val="bottom"/>
            <w:gridSpan w:val="4"/>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2C2C2C"/>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27"/>
          </w:tcPr>
          <w:p>
            <w:pPr>
              <w:spacing w:after="0"/>
              <w:rPr>
                <w:sz w:val="20"/>
                <w:szCs w:val="20"/>
                <w:color w:val="auto"/>
              </w:rPr>
            </w:pPr>
            <w:r>
              <w:rPr>
                <w:rFonts w:ascii="Arial" w:cs="Arial" w:eastAsia="Arial" w:hAnsi="Arial"/>
                <w:sz w:val="17"/>
                <w:szCs w:val="17"/>
                <w:color w:val="0000FF"/>
              </w:rPr>
              <w:t>Notes to Condensed Consolidated Financial Statements (Unaudited)</w:t>
            </w:r>
          </w:p>
        </w:tc>
        <w:tc>
          <w:tcPr>
            <w:tcW w:w="1760" w:type="dxa"/>
            <w:vAlign w:val="bottom"/>
          </w:tcPr>
          <w:p>
            <w:pPr>
              <w:jc w:val="right"/>
              <w:spacing w:after="0"/>
              <w:rPr>
                <w:sz w:val="20"/>
                <w:szCs w:val="20"/>
                <w:color w:val="auto"/>
              </w:rPr>
            </w:pPr>
            <w:r>
              <w:rPr>
                <w:rFonts w:ascii="Arial" w:cs="Arial" w:eastAsia="Arial" w:hAnsi="Arial"/>
                <w:sz w:val="17"/>
                <w:szCs w:val="17"/>
                <w:color w:val="2C2C2C"/>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82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7"/>
                <w:szCs w:val="17"/>
                <w:color w:val="0000FF"/>
                <w:w w:val="91"/>
              </w:rPr>
              <w:t>Note 1: Condensed Consolidated Financial Statements</w:t>
            </w:r>
          </w:p>
        </w:tc>
        <w:tc>
          <w:tcPr>
            <w:tcW w:w="540" w:type="dxa"/>
            <w:vAlign w:val="bottom"/>
            <w:tcBorders>
              <w:top w:val="single" w:sz="8" w:color="0000FF"/>
            </w:tcBorders>
            <w:gridSpan w:val="2"/>
          </w:tcPr>
          <w:p>
            <w:pPr>
              <w:spacing w:after="0"/>
              <w:rPr>
                <w:sz w:val="17"/>
                <w:szCs w:val="17"/>
                <w:color w:val="auto"/>
              </w:rPr>
            </w:pPr>
          </w:p>
        </w:tc>
        <w:tc>
          <w:tcPr>
            <w:tcW w:w="3280" w:type="dxa"/>
            <w:vAlign w:val="bottom"/>
            <w:gridSpan w:val="5"/>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2C2C2C"/>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40" w:type="dxa"/>
            <w:vAlign w:val="bottom"/>
            <w:gridSpan w:val="25"/>
          </w:tcPr>
          <w:p>
            <w:pPr>
              <w:spacing w:after="0"/>
              <w:rPr>
                <w:sz w:val="20"/>
                <w:szCs w:val="20"/>
                <w:color w:val="auto"/>
              </w:rPr>
            </w:pPr>
            <w:r>
              <w:rPr>
                <w:rFonts w:ascii="Arial" w:cs="Arial" w:eastAsia="Arial" w:hAnsi="Arial"/>
                <w:sz w:val="17"/>
                <w:szCs w:val="17"/>
                <w:color w:val="0000FF"/>
              </w:rPr>
              <w:t>Note 2: Segment Information</w:t>
            </w:r>
          </w:p>
        </w:tc>
        <w:tc>
          <w:tcPr>
            <w:tcW w:w="1760" w:type="dxa"/>
            <w:vAlign w:val="bottom"/>
          </w:tcPr>
          <w:p>
            <w:pPr>
              <w:jc w:val="right"/>
              <w:spacing w:after="0"/>
              <w:rPr>
                <w:sz w:val="20"/>
                <w:szCs w:val="20"/>
                <w:color w:val="auto"/>
              </w:rPr>
            </w:pPr>
            <w:r>
              <w:rPr>
                <w:rFonts w:ascii="Arial" w:cs="Arial" w:eastAsia="Arial" w:hAnsi="Arial"/>
                <w:sz w:val="17"/>
                <w:szCs w:val="17"/>
                <w:color w:val="2C2C2C"/>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Borders>
              <w:top w:val="single" w:sz="8" w:color="0000FF"/>
            </w:tcBorders>
            <w:gridSpan w:val="9"/>
          </w:tcPr>
          <w:p>
            <w:pPr>
              <w:spacing w:after="0"/>
              <w:rPr>
                <w:sz w:val="20"/>
                <w:szCs w:val="20"/>
                <w:color w:val="auto"/>
              </w:rPr>
            </w:pPr>
            <w:r>
              <w:rPr>
                <w:rFonts w:ascii="Arial" w:cs="Arial" w:eastAsia="Arial" w:hAnsi="Arial"/>
                <w:sz w:val="17"/>
                <w:szCs w:val="17"/>
                <w:color w:val="0000FF"/>
              </w:rPr>
              <w:t>Note 3: Revenue</w:t>
            </w:r>
          </w:p>
        </w:tc>
        <w:tc>
          <w:tcPr>
            <w:tcW w:w="5580" w:type="dxa"/>
            <w:vAlign w:val="bottom"/>
            <w:gridSpan w:val="16"/>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2C2C2C"/>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40" w:type="dxa"/>
            <w:vAlign w:val="bottom"/>
            <w:gridSpan w:val="25"/>
          </w:tcPr>
          <w:p>
            <w:pPr>
              <w:spacing w:after="0"/>
              <w:rPr>
                <w:sz w:val="20"/>
                <w:szCs w:val="20"/>
                <w:color w:val="auto"/>
              </w:rPr>
            </w:pPr>
            <w:r>
              <w:rPr>
                <w:rFonts w:ascii="Arial" w:cs="Arial" w:eastAsia="Arial" w:hAnsi="Arial"/>
                <w:sz w:val="17"/>
                <w:szCs w:val="17"/>
                <w:color w:val="0000FF"/>
              </w:rPr>
              <w:t>Note 4: Programming and Production Costs</w:t>
            </w:r>
          </w:p>
        </w:tc>
        <w:tc>
          <w:tcPr>
            <w:tcW w:w="1760" w:type="dxa"/>
            <w:vAlign w:val="bottom"/>
          </w:tcPr>
          <w:p>
            <w:pPr>
              <w:jc w:val="right"/>
              <w:spacing w:after="0"/>
              <w:rPr>
                <w:sz w:val="20"/>
                <w:szCs w:val="20"/>
                <w:color w:val="auto"/>
              </w:rPr>
            </w:pPr>
            <w:r>
              <w:rPr>
                <w:rFonts w:ascii="Arial" w:cs="Arial" w:eastAsia="Arial" w:hAnsi="Arial"/>
                <w:sz w:val="17"/>
                <w:szCs w:val="17"/>
                <w:color w:val="2C2C2C"/>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tcBorders>
              <w:top w:val="single" w:sz="8" w:color="0000FF"/>
            </w:tcBorders>
            <w:gridSpan w:val="12"/>
          </w:tcPr>
          <w:p>
            <w:pPr>
              <w:spacing w:after="0"/>
              <w:rPr>
                <w:sz w:val="20"/>
                <w:szCs w:val="20"/>
                <w:color w:val="auto"/>
              </w:rPr>
            </w:pPr>
            <w:r>
              <w:rPr>
                <w:rFonts w:ascii="Arial" w:cs="Arial" w:eastAsia="Arial" w:hAnsi="Arial"/>
                <w:sz w:val="17"/>
                <w:szCs w:val="17"/>
                <w:color w:val="0000FF"/>
              </w:rPr>
              <w:t>Note 5: Long-Term Debt</w:t>
            </w:r>
          </w:p>
        </w:tc>
        <w:tc>
          <w:tcPr>
            <w:tcW w:w="4580" w:type="dxa"/>
            <w:vAlign w:val="bottom"/>
            <w:gridSpan w:val="13"/>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2C2C2C"/>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40" w:type="dxa"/>
            <w:vAlign w:val="bottom"/>
            <w:gridSpan w:val="25"/>
          </w:tcPr>
          <w:p>
            <w:pPr>
              <w:spacing w:after="0"/>
              <w:rPr>
                <w:sz w:val="20"/>
                <w:szCs w:val="20"/>
                <w:color w:val="auto"/>
              </w:rPr>
            </w:pPr>
            <w:r>
              <w:rPr>
                <w:rFonts w:ascii="Arial" w:cs="Arial" w:eastAsia="Arial" w:hAnsi="Arial"/>
                <w:sz w:val="17"/>
                <w:szCs w:val="17"/>
                <w:color w:val="0000FF"/>
              </w:rPr>
              <w:t>Note 6: Investments and Variable Interest Entities</w:t>
            </w:r>
          </w:p>
        </w:tc>
        <w:tc>
          <w:tcPr>
            <w:tcW w:w="1760" w:type="dxa"/>
            <w:vAlign w:val="bottom"/>
          </w:tcPr>
          <w:p>
            <w:pPr>
              <w:jc w:val="right"/>
              <w:spacing w:after="0"/>
              <w:rPr>
                <w:sz w:val="20"/>
                <w:szCs w:val="20"/>
                <w:color w:val="auto"/>
              </w:rPr>
            </w:pPr>
            <w:r>
              <w:rPr>
                <w:rFonts w:ascii="Arial" w:cs="Arial" w:eastAsia="Arial" w:hAnsi="Arial"/>
                <w:sz w:val="17"/>
                <w:szCs w:val="17"/>
                <w:color w:val="2C2C2C"/>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7"/>
                <w:szCs w:val="17"/>
                <w:color w:val="0000FF"/>
                <w:w w:val="94"/>
              </w:rPr>
              <w:t>Note 7: Goodwill and Intangible Assets</w:t>
            </w:r>
          </w:p>
        </w:tc>
        <w:tc>
          <w:tcPr>
            <w:tcW w:w="700" w:type="dxa"/>
            <w:vAlign w:val="bottom"/>
            <w:tcBorders>
              <w:top w:val="single" w:sz="8" w:color="0000FF"/>
            </w:tcBorders>
            <w:gridSpan w:val="6"/>
          </w:tcPr>
          <w:p>
            <w:pPr>
              <w:spacing w:after="0"/>
              <w:rPr>
                <w:sz w:val="17"/>
                <w:szCs w:val="17"/>
                <w:color w:val="auto"/>
              </w:rPr>
            </w:pPr>
          </w:p>
        </w:tc>
        <w:tc>
          <w:tcPr>
            <w:tcW w:w="4160" w:type="dxa"/>
            <w:vAlign w:val="bottom"/>
            <w:gridSpan w:val="9"/>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2C2C2C"/>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2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2"/>
              </w:rPr>
              <w:t>Note 8: Equity and Share-Based Compensation</w:t>
            </w:r>
          </w:p>
        </w:tc>
        <w:tc>
          <w:tcPr>
            <w:tcW w:w="4320" w:type="dxa"/>
            <w:vAlign w:val="bottom"/>
            <w:gridSpan w:val="11"/>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2C2C2C"/>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40" w:type="dxa"/>
            <w:vAlign w:val="bottom"/>
            <w:gridSpan w:val="25"/>
          </w:tcPr>
          <w:p>
            <w:pPr>
              <w:spacing w:after="0"/>
              <w:rPr>
                <w:sz w:val="20"/>
                <w:szCs w:val="20"/>
                <w:color w:val="auto"/>
              </w:rPr>
            </w:pPr>
            <w:r>
              <w:rPr>
                <w:rFonts w:ascii="Arial" w:cs="Arial" w:eastAsia="Arial" w:hAnsi="Arial"/>
                <w:sz w:val="17"/>
                <w:szCs w:val="17"/>
                <w:color w:val="0000FF"/>
              </w:rPr>
              <w:t>Note 9: Supplemental Financial Information</w:t>
            </w:r>
          </w:p>
        </w:tc>
        <w:tc>
          <w:tcPr>
            <w:tcW w:w="1760" w:type="dxa"/>
            <w:vAlign w:val="bottom"/>
          </w:tcPr>
          <w:p>
            <w:pPr>
              <w:jc w:val="right"/>
              <w:spacing w:after="0"/>
              <w:rPr>
                <w:sz w:val="20"/>
                <w:szCs w:val="20"/>
                <w:color w:val="auto"/>
              </w:rPr>
            </w:pPr>
            <w:r>
              <w:rPr>
                <w:rFonts w:ascii="Arial" w:cs="Arial" w:eastAsia="Arial" w:hAnsi="Arial"/>
                <w:sz w:val="17"/>
                <w:szCs w:val="17"/>
                <w:color w:val="2C2C2C"/>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Item 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00" w:type="dxa"/>
            <w:vAlign w:val="bottom"/>
            <w:tcBorders>
              <w:top w:val="single" w:sz="8" w:color="0000FF"/>
            </w:tcBorders>
            <w:gridSpan w:val="13"/>
          </w:tcPr>
          <w:p>
            <w:pPr>
              <w:spacing w:after="0"/>
              <w:rPr>
                <w:sz w:val="20"/>
                <w:szCs w:val="20"/>
                <w:color w:val="auto"/>
              </w:rPr>
            </w:pPr>
            <w:r>
              <w:rPr>
                <w:rFonts w:ascii="Arial" w:cs="Arial" w:eastAsia="Arial" w:hAnsi="Arial"/>
                <w:sz w:val="17"/>
                <w:szCs w:val="17"/>
                <w:color w:val="0000FF"/>
                <w:w w:val="96"/>
              </w:rPr>
              <w:t>Note 10: Commitments and Contingencies</w:t>
            </w:r>
          </w:p>
        </w:tc>
        <w:tc>
          <w:tcPr>
            <w:tcW w:w="4540" w:type="dxa"/>
            <w:vAlign w:val="bottom"/>
            <w:gridSpan w:val="12"/>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2C2C2C"/>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6260" w:type="dxa"/>
            <w:vAlign w:val="bottom"/>
            <w:tcBorders>
              <w:bottom w:val="single" w:sz="8" w:color="0000FF"/>
            </w:tcBorders>
            <w:gridSpan w:val="25"/>
          </w:tcPr>
          <w:p>
            <w:pPr>
              <w:spacing w:after="0"/>
              <w:rPr>
                <w:sz w:val="20"/>
                <w:szCs w:val="20"/>
                <w:color w:val="auto"/>
              </w:rPr>
            </w:pPr>
            <w:r>
              <w:rPr>
                <w:rFonts w:ascii="Arial" w:cs="Arial" w:eastAsia="Arial" w:hAnsi="Arial"/>
                <w:sz w:val="17"/>
                <w:szCs w:val="17"/>
                <w:color w:val="0000FF"/>
                <w:w w:val="93"/>
              </w:rPr>
              <w:t>Management’s Discussion and Analysis of Financial Condition and Results of Operations</w:t>
            </w:r>
          </w:p>
        </w:tc>
        <w:tc>
          <w:tcPr>
            <w:tcW w:w="1780" w:type="dxa"/>
            <w:vAlign w:val="bottom"/>
            <w:gridSpan w:val="2"/>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3.</w:t>
            </w:r>
          </w:p>
        </w:tc>
        <w:tc>
          <w:tcPr>
            <w:tcW w:w="422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w w:val="94"/>
              </w:rPr>
              <w:t>Quantitative and Qualitative Disclosures About Market Risk</w:t>
            </w:r>
          </w:p>
        </w:tc>
        <w:tc>
          <w:tcPr>
            <w:tcW w:w="3820" w:type="dxa"/>
            <w:vAlign w:val="bottom"/>
            <w:gridSpan w:val="7"/>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4.</w:t>
            </w:r>
          </w:p>
        </w:tc>
        <w:tc>
          <w:tcPr>
            <w:tcW w:w="8040" w:type="dxa"/>
            <w:vAlign w:val="bottom"/>
            <w:gridSpan w:val="27"/>
          </w:tcPr>
          <w:p>
            <w:pPr>
              <w:spacing w:after="0"/>
              <w:rPr>
                <w:sz w:val="20"/>
                <w:szCs w:val="20"/>
                <w:color w:val="auto"/>
              </w:rPr>
            </w:pPr>
            <w:r>
              <w:rPr>
                <w:rFonts w:ascii="Arial" w:cs="Arial" w:eastAsia="Arial" w:hAnsi="Arial"/>
                <w:sz w:val="17"/>
                <w:szCs w:val="17"/>
                <w:color w:val="0000FF"/>
              </w:rPr>
              <w:t>Controls and Procedures</w:t>
            </w:r>
          </w:p>
        </w:tc>
        <w:tc>
          <w:tcPr>
            <w:tcW w:w="176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220" w:type="dxa"/>
            <w:vAlign w:val="bottom"/>
            <w:gridSpan w:val="1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b w:val="1"/>
                <w:bCs w:val="1"/>
                <w:color w:val="0000FF"/>
              </w:rPr>
              <w:t>PART II. OTHER INFORMATION</w:t>
            </w:r>
          </w:p>
        </w:tc>
        <w:tc>
          <w:tcPr>
            <w:tcW w:w="6740" w:type="dxa"/>
            <w:vAlign w:val="bottom"/>
            <w:gridSpan w:val="21"/>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1.</w:t>
            </w:r>
          </w:p>
        </w:tc>
        <w:tc>
          <w:tcPr>
            <w:tcW w:w="8040" w:type="dxa"/>
            <w:vAlign w:val="bottom"/>
            <w:gridSpan w:val="27"/>
          </w:tcPr>
          <w:p>
            <w:pPr>
              <w:spacing w:after="0"/>
              <w:rPr>
                <w:sz w:val="20"/>
                <w:szCs w:val="20"/>
                <w:color w:val="auto"/>
              </w:rPr>
            </w:pPr>
            <w:r>
              <w:rPr>
                <w:rFonts w:ascii="Arial" w:cs="Arial" w:eastAsia="Arial" w:hAnsi="Arial"/>
                <w:sz w:val="17"/>
                <w:szCs w:val="17"/>
                <w:color w:val="0000FF"/>
              </w:rPr>
              <w:t>Legal Proceedings</w:t>
            </w:r>
          </w:p>
        </w:tc>
        <w:tc>
          <w:tcPr>
            <w:tcW w:w="176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1A.</w:t>
            </w:r>
          </w:p>
        </w:tc>
        <w:tc>
          <w:tcPr>
            <w:tcW w:w="128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Risk Factors</w:t>
            </w:r>
          </w:p>
        </w:tc>
        <w:tc>
          <w:tcPr>
            <w:tcW w:w="6760" w:type="dxa"/>
            <w:vAlign w:val="bottom"/>
            <w:gridSpan w:val="22"/>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Item 2.</w:t>
            </w: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60" w:type="dxa"/>
            <w:vAlign w:val="bottom"/>
            <w:gridSpan w:val="2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8040" w:type="dxa"/>
            <w:vAlign w:val="bottom"/>
            <w:gridSpan w:val="27"/>
          </w:tcPr>
          <w:p>
            <w:pPr>
              <w:spacing w:after="0"/>
              <w:rPr>
                <w:sz w:val="20"/>
                <w:szCs w:val="20"/>
                <w:color w:val="auto"/>
              </w:rPr>
            </w:pPr>
            <w:r>
              <w:rPr>
                <w:rFonts w:ascii="Arial" w:cs="Arial" w:eastAsia="Arial" w:hAnsi="Arial"/>
                <w:sz w:val="17"/>
                <w:szCs w:val="17"/>
                <w:color w:val="0000FF"/>
              </w:rPr>
              <w:t>Unregistered Sales of Equity Securities, Use of Proceeds, and Issuer Purchases of Equity Securities</w:t>
            </w:r>
          </w:p>
        </w:tc>
        <w:tc>
          <w:tcPr>
            <w:tcW w:w="176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6.</w:t>
            </w:r>
          </w:p>
        </w:tc>
        <w:tc>
          <w:tcPr>
            <w:tcW w:w="6920" w:type="dxa"/>
            <w:vAlign w:val="bottom"/>
            <w:tcBorders>
              <w:top w:val="single" w:sz="8" w:color="0000FF"/>
            </w:tcBorders>
            <w:gridSpan w:val="26"/>
          </w:tcPr>
          <w:p>
            <w:pPr>
              <w:spacing w:after="0"/>
              <w:rPr>
                <w:sz w:val="20"/>
                <w:szCs w:val="20"/>
                <w:color w:val="auto"/>
              </w:rPr>
            </w:pPr>
            <w:r>
              <w:rPr>
                <w:rFonts w:ascii="Arial" w:cs="Arial" w:eastAsia="Arial" w:hAnsi="Arial"/>
                <w:sz w:val="17"/>
                <w:szCs w:val="17"/>
                <w:color w:val="0000FF"/>
              </w:rPr>
              <w:t>Exhibits</w:t>
            </w:r>
          </w:p>
        </w:tc>
        <w:tc>
          <w:tcPr>
            <w:tcW w:w="1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7"/>
                <w:szCs w:val="17"/>
                <w:b w:val="1"/>
                <w:bCs w:val="1"/>
                <w:color w:val="0000FF"/>
              </w:rPr>
              <w:t>SIGNATURES</w:t>
            </w:r>
          </w:p>
        </w:tc>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This Quarterly Report on Form 10-Q is for the three and nine months ended September 30, 2023.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spacing w:after="0" w:line="3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527685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 CONCERNING FORWARD-LOOKING STATEMENTS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“goal,” “may,” “should,” “could,” “will,” “would,” “will be,” “will continue,” “will likely result” and similar expressions.</w:t>
      </w:r>
    </w:p>
    <w:p>
      <w:pPr>
        <w:spacing w:after="0" w:line="4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evaluating forward-looking statements, you should consider various factors, including the risks and uncertainties we describe in the “Risk Factors” sections of our Forms 10-K and 10-Q and other reports we file with the SEC. Any of these factors could cause our actual results to differ materially from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Our businesses may be affected by, among other things, the following:</w:t>
      </w:r>
    </w:p>
    <w:p>
      <w:pPr>
        <w:spacing w:after="0" w:line="66" w:lineRule="exact"/>
        <w:rPr>
          <w:sz w:val="20"/>
          <w:szCs w:val="20"/>
          <w:color w:val="auto"/>
        </w:rPr>
      </w:pP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operate in highly competitive and dynamic industries, and our businesses and results of operations could be adversely affected if we do not compete effectively</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consumer behavior continue to adversely affect our businesses and challenge existing business models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decline in advertisers’ expenditures or changes in advertising markets could negatively impact our businesses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programming expenses for our video services are increasing on a per subscriber basis, which could adversely affect our video businesses</w:t>
      </w:r>
    </w:p>
    <w:p>
      <w:pPr>
        <w:spacing w:after="0" w:line="66" w:lineRule="exact"/>
        <w:rPr>
          <w:rFonts w:ascii="Arial" w:cs="Arial" w:eastAsia="Arial" w:hAnsi="Arial"/>
          <w:sz w:val="17"/>
          <w:szCs w:val="17"/>
          <w:color w:val="auto"/>
        </w:rPr>
      </w:pP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our businesses depends on consumer acceptance of our content, and our businesses may be adversely affected if their content fails to achieve sufficient consumer acceptance</w:t>
      </w:r>
    </w:p>
    <w:p>
      <w:pPr>
        <w:ind w:left="640" w:right="96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programming distribution and licensing agreements, or the renewal of these agreements on less favorable terms, could adversely affect our businesses</w:t>
      </w:r>
    </w:p>
    <w:p>
      <w:pPr>
        <w:ind w:left="640" w:right="940" w:hanging="321"/>
        <w:spacing w:after="0" w:line="307"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favorable European telecommunications access regulations, the loss of international transmission access agreements with satellite or telecommunications providers or the renewal of these agreements on less favorable terms could adversely affect our businesses</w:t>
      </w: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unable to obtain necessary hardware, software and operational support</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keeping pace with technological developments</w:t>
      </w:r>
    </w:p>
    <w:p>
      <w:pPr>
        <w:spacing w:after="0" w:line="66" w:lineRule="exact"/>
        <w:rPr>
          <w:rFonts w:ascii="Arial" w:cs="Arial" w:eastAsia="Arial" w:hAnsi="Arial"/>
          <w:sz w:val="17"/>
          <w:szCs w:val="17"/>
          <w:color w:val="auto"/>
        </w:rPr>
      </w:pPr>
    </w:p>
    <w:p>
      <w:pPr>
        <w:jc w:val="both"/>
        <w:ind w:left="640" w:right="940" w:hanging="321"/>
        <w:spacing w:after="0" w:line="273"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weak economic conditions may have a negative impact on our businesses</w:t>
      </w:r>
    </w:p>
    <w:p>
      <w:pPr>
        <w:spacing w:after="0" w:line="66" w:lineRule="exact"/>
        <w:rPr>
          <w:rFonts w:ascii="Arial" w:cs="Arial" w:eastAsia="Arial" w:hAnsi="Arial"/>
          <w:sz w:val="17"/>
          <w:szCs w:val="17"/>
          <w:color w:val="auto"/>
        </w:rPr>
      </w:pP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acquisitions and other strategic initiatives present many risks, and we may not realize the financial and strategic goals that we had contemplated</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risks relating to doing business internationally that could adversely affect our businesses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natural disasters, severe weather and other uncontrollable events could adversely affect our business, reputation and results of operations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key management personnel or popular on-air and creative talent could have an adverse effect on our businesses</w:t>
      </w:r>
    </w:p>
    <w:p>
      <w:pPr>
        <w:spacing w:after="0" w:line="66" w:lineRule="exact"/>
        <w:rPr>
          <w:rFonts w:ascii="Arial" w:cs="Arial" w:eastAsia="Arial" w:hAnsi="Arial"/>
          <w:sz w:val="17"/>
          <w:szCs w:val="17"/>
          <w:color w:val="auto"/>
        </w:rPr>
      </w:pPr>
    </w:p>
    <w:p>
      <w:pPr>
        <w:ind w:left="640" w:right="96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unfavorable litigation or governmental investigation results could require us to pay significant amounts or lead to onerous operating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561340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3" w:name="page4"/>
    <w:bookmarkEnd w:id="3"/>
    <w:p>
      <w:pPr>
        <w:ind w:left="301" w:hanging="301"/>
        <w:spacing w:after="0"/>
        <w:tabs>
          <w:tab w:leader="none" w:pos="301" w:val="left"/>
        </w:tabs>
        <w:numPr>
          <w:ilvl w:val="0"/>
          <w:numId w:val="4"/>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77" w:lineRule="exact"/>
        <w:rPr>
          <w:rFonts w:ascii="Arial" w:cs="Arial" w:eastAsia="Arial" w:hAnsi="Arial"/>
          <w:sz w:val="16"/>
          <w:szCs w:val="16"/>
          <w:color w:val="auto"/>
        </w:rPr>
      </w:pPr>
    </w:p>
    <w:p>
      <w:pPr>
        <w:ind w:left="321" w:hanging="321"/>
        <w:spacing w:after="0" w:line="322" w:lineRule="auto"/>
        <w:tabs>
          <w:tab w:leader="none" w:pos="316"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729615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981"/>
          </w:cols>
          <w:pgMar w:left="639" w:top="1385" w:right="12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82"/>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5"/>
                <w:szCs w:val="15"/>
                <w:color w:val="auto"/>
              </w:rPr>
            </w:pPr>
          </w:p>
        </w:tc>
      </w:tr>
      <w:tr>
        <w:trPr>
          <w:trHeight w:val="190"/>
        </w:trPr>
        <w:tc>
          <w:tcPr>
            <w:tcW w:w="516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 except per share data)</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2022</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w w:val="96"/>
              </w:rPr>
              <w:t>2022</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30,115</w:t>
            </w:r>
          </w:p>
        </w:tc>
        <w:tc>
          <w:tcPr>
            <w:tcW w:w="6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29,849</w:t>
            </w:r>
          </w:p>
        </w:tc>
        <w:tc>
          <w:tcPr>
            <w:tcW w:w="4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90,319</w:t>
            </w:r>
          </w:p>
        </w:tc>
        <w:tc>
          <w:tcPr>
            <w:tcW w:w="6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90,874</w:t>
            </w:r>
          </w:p>
        </w:tc>
      </w:tr>
      <w:tr>
        <w:trPr>
          <w:trHeight w:val="222"/>
        </w:trPr>
        <w:tc>
          <w:tcPr>
            <w:tcW w:w="516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5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Programming and production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8,652</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8,949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26,506</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28,406</w:t>
            </w:r>
          </w:p>
        </w:tc>
      </w:tr>
      <w:tr>
        <w:trPr>
          <w:trHeight w:val="222"/>
        </w:trPr>
        <w:tc>
          <w:tcPr>
            <w:tcW w:w="5160" w:type="dxa"/>
            <w:vAlign w:val="bottom"/>
          </w:tcPr>
          <w:p>
            <w:pPr>
              <w:ind w:left="340"/>
              <w:spacing w:after="0"/>
              <w:rPr>
                <w:sz w:val="20"/>
                <w:szCs w:val="20"/>
                <w:color w:val="auto"/>
              </w:rPr>
            </w:pPr>
            <w:r>
              <w:rPr>
                <w:rFonts w:ascii="Arial" w:cs="Arial" w:eastAsia="Arial" w:hAnsi="Arial"/>
                <w:sz w:val="17"/>
                <w:szCs w:val="17"/>
                <w:color w:val="auto"/>
              </w:rPr>
              <w:t>Marketing and promotion</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1,866</w:t>
            </w:r>
          </w:p>
        </w:tc>
        <w:tc>
          <w:tcPr>
            <w:tcW w:w="640" w:type="dxa"/>
            <w:vAlign w:val="bottom"/>
          </w:tcPr>
          <w:p>
            <w:pPr>
              <w:spacing w:after="0"/>
              <w:rPr>
                <w:sz w:val="19"/>
                <w:szCs w:val="19"/>
                <w:color w:val="auto"/>
              </w:rPr>
            </w:pPr>
          </w:p>
        </w:tc>
        <w:tc>
          <w:tcPr>
            <w:tcW w:w="940" w:type="dxa"/>
            <w:vAlign w:val="bottom"/>
          </w:tcPr>
          <w:p>
            <w:pPr>
              <w:jc w:val="right"/>
              <w:ind w:right="94"/>
              <w:spacing w:after="0"/>
              <w:rPr>
                <w:sz w:val="20"/>
                <w:szCs w:val="20"/>
                <w:color w:val="auto"/>
              </w:rPr>
            </w:pPr>
            <w:r>
              <w:rPr>
                <w:rFonts w:ascii="Arial" w:cs="Arial" w:eastAsia="Arial" w:hAnsi="Arial"/>
                <w:sz w:val="17"/>
                <w:szCs w:val="17"/>
                <w:color w:val="auto"/>
              </w:rPr>
              <w:t>2,066</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5,929</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6,324</w:t>
            </w:r>
          </w:p>
        </w:tc>
      </w:tr>
      <w:tr>
        <w:trPr>
          <w:trHeight w:val="223"/>
        </w:trPr>
        <w:tc>
          <w:tcPr>
            <w:tcW w:w="5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operating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9,629</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9,344</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28,247</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27,701</w:t>
            </w:r>
          </w:p>
        </w:tc>
      </w:tr>
      <w:tr>
        <w:trPr>
          <w:trHeight w:val="222"/>
        </w:trPr>
        <w:tc>
          <w:tcPr>
            <w:tcW w:w="5160" w:type="dxa"/>
            <w:vAlign w:val="bottom"/>
          </w:tcPr>
          <w:p>
            <w:pPr>
              <w:ind w:left="340"/>
              <w:spacing w:after="0"/>
              <w:rPr>
                <w:sz w:val="20"/>
                <w:szCs w:val="20"/>
                <w:color w:val="auto"/>
              </w:rPr>
            </w:pPr>
            <w:r>
              <w:rPr>
                <w:rFonts w:ascii="Arial" w:cs="Arial" w:eastAsia="Arial" w:hAnsi="Arial"/>
                <w:sz w:val="17"/>
                <w:szCs w:val="17"/>
                <w:color w:val="auto"/>
              </w:rPr>
              <w:t>Depreciation</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2,203</w:t>
            </w:r>
          </w:p>
        </w:tc>
        <w:tc>
          <w:tcPr>
            <w:tcW w:w="640" w:type="dxa"/>
            <w:vAlign w:val="bottom"/>
          </w:tcPr>
          <w:p>
            <w:pPr>
              <w:spacing w:after="0"/>
              <w:rPr>
                <w:sz w:val="19"/>
                <w:szCs w:val="19"/>
                <w:color w:val="auto"/>
              </w:rPr>
            </w:pPr>
          </w:p>
        </w:tc>
        <w:tc>
          <w:tcPr>
            <w:tcW w:w="940" w:type="dxa"/>
            <w:vAlign w:val="bottom"/>
          </w:tcPr>
          <w:p>
            <w:pPr>
              <w:jc w:val="right"/>
              <w:ind w:right="94"/>
              <w:spacing w:after="0"/>
              <w:rPr>
                <w:sz w:val="20"/>
                <w:szCs w:val="20"/>
                <w:color w:val="auto"/>
              </w:rPr>
            </w:pPr>
            <w:r>
              <w:rPr>
                <w:rFonts w:ascii="Arial" w:cs="Arial" w:eastAsia="Arial" w:hAnsi="Arial"/>
                <w:sz w:val="17"/>
                <w:szCs w:val="17"/>
                <w:color w:val="auto"/>
              </w:rPr>
              <w:t>2,150</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6,662</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6,525</w:t>
            </w:r>
          </w:p>
        </w:tc>
      </w:tr>
      <w:tr>
        <w:trPr>
          <w:trHeight w:val="223"/>
        </w:trPr>
        <w:tc>
          <w:tcPr>
            <w:tcW w:w="5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1,290</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1,183</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4,146</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3,824</w:t>
            </w:r>
          </w:p>
        </w:tc>
      </w:tr>
      <w:tr>
        <w:trPr>
          <w:trHeight w:val="222"/>
        </w:trPr>
        <w:tc>
          <w:tcPr>
            <w:tcW w:w="5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Goodwill and long-lived asset impairments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8,583</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8,583</w:t>
            </w:r>
          </w:p>
        </w:tc>
      </w:tr>
      <w:tr>
        <w:trPr>
          <w:trHeight w:val="216"/>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23,640</w:t>
            </w:r>
          </w:p>
        </w:tc>
        <w:tc>
          <w:tcPr>
            <w:tcW w:w="6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32,274</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71,489</w:t>
            </w:r>
          </w:p>
        </w:tc>
        <w:tc>
          <w:tcPr>
            <w:tcW w:w="6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81,363</w:t>
            </w:r>
          </w:p>
        </w:tc>
      </w:tr>
      <w:tr>
        <w:trPr>
          <w:trHeight w:val="216"/>
        </w:trPr>
        <w:tc>
          <w:tcPr>
            <w:tcW w:w="5160" w:type="dxa"/>
            <w:vAlign w:val="bottom"/>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3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6,475</w:t>
            </w:r>
          </w:p>
        </w:tc>
        <w:tc>
          <w:tcPr>
            <w:tcW w:w="64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(2,425)</w:t>
            </w:r>
          </w:p>
        </w:tc>
        <w:tc>
          <w:tcPr>
            <w:tcW w:w="44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18,830</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9,511</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(1,060)</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(960)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(3,068)</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(2,922)</w:t>
            </w:r>
          </w:p>
        </w:tc>
      </w:tr>
      <w:tr>
        <w:trPr>
          <w:trHeight w:val="22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Investment and other income (loss),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50</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(266)</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672</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5,465</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(3,652)</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16,434</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5,614</w:t>
            </w:r>
          </w:p>
        </w:tc>
      </w:tr>
      <w:tr>
        <w:trPr>
          <w:trHeight w:val="22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(1,468)</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(1,014)</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(4,481)</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(3,562)</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3,997</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(4,665)</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11,954</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w:t>
            </w:r>
          </w:p>
        </w:tc>
      </w:tr>
      <w:tr>
        <w:trPr>
          <w:trHeight w:val="22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Net income (loss) attributable to noncontrolling interests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(49)</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(68)</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(175)</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r>
      <w:tr>
        <w:trPr>
          <w:trHeight w:val="222"/>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 attributable to Comcast Corporation</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4,046</w:t>
            </w:r>
          </w:p>
        </w:tc>
        <w:tc>
          <w:tcPr>
            <w:tcW w:w="6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(4,598)</w:t>
            </w:r>
          </w:p>
        </w:tc>
        <w:tc>
          <w:tcPr>
            <w:tcW w:w="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12,128</w:t>
            </w:r>
          </w:p>
        </w:tc>
        <w:tc>
          <w:tcPr>
            <w:tcW w:w="6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2,347</w:t>
            </w:r>
          </w:p>
        </w:tc>
      </w:tr>
      <w:tr>
        <w:trPr>
          <w:trHeight w:val="178"/>
        </w:trPr>
        <w:tc>
          <w:tcPr>
            <w:tcW w:w="5160" w:type="dxa"/>
            <w:vAlign w:val="bottom"/>
          </w:tcPr>
          <w:p>
            <w:pPr>
              <w:ind w:left="20"/>
              <w:spacing w:after="0" w:line="178" w:lineRule="exact"/>
              <w:rPr>
                <w:sz w:val="20"/>
                <w:szCs w:val="20"/>
                <w:color w:val="auto"/>
              </w:rPr>
            </w:pPr>
            <w:r>
              <w:rPr>
                <w:rFonts w:ascii="Arial" w:cs="Arial" w:eastAsia="Arial" w:hAnsi="Arial"/>
                <w:sz w:val="17"/>
                <w:szCs w:val="17"/>
                <w:b w:val="1"/>
                <w:bCs w:val="1"/>
                <w:color w:val="auto"/>
                <w:w w:val="97"/>
              </w:rPr>
              <w:t>Basic earnings (loss) per common share attributable to Comcast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8"/>
        </w:trPr>
        <w:tc>
          <w:tcPr>
            <w:tcW w:w="5160" w:type="dxa"/>
            <w:vAlign w:val="bottom"/>
          </w:tcPr>
          <w:p>
            <w:pPr>
              <w:ind w:left="180"/>
              <w:spacing w:after="0"/>
              <w:rPr>
                <w:sz w:val="20"/>
                <w:szCs w:val="20"/>
                <w:color w:val="auto"/>
              </w:rPr>
            </w:pPr>
            <w:r>
              <w:rPr>
                <w:rFonts w:ascii="Arial" w:cs="Arial" w:eastAsia="Arial" w:hAnsi="Arial"/>
                <w:sz w:val="17"/>
                <w:szCs w:val="17"/>
                <w:b w:val="1"/>
                <w:bCs w:val="1"/>
                <w:color w:val="auto"/>
              </w:rPr>
              <w:t>Corporation shareholders</w:t>
            </w:r>
          </w:p>
        </w:tc>
        <w:tc>
          <w:tcPr>
            <w:tcW w:w="320" w:type="dxa"/>
            <w:vAlign w:val="bottom"/>
          </w:tcPr>
          <w:p>
            <w:pPr>
              <w:jc w:val="right"/>
              <w:ind w:right="113"/>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b w:val="1"/>
                <w:bCs w:val="1"/>
                <w:color w:val="auto"/>
              </w:rPr>
              <w:t>0.98</w:t>
            </w:r>
          </w:p>
        </w:tc>
        <w:tc>
          <w:tcPr>
            <w:tcW w:w="640" w:type="dxa"/>
            <w:vAlign w:val="bottom"/>
          </w:tcPr>
          <w:p>
            <w:pPr>
              <w:jc w:val="right"/>
              <w:ind w:right="333"/>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34"/>
              <w:spacing w:after="0"/>
              <w:rPr>
                <w:sz w:val="20"/>
                <w:szCs w:val="20"/>
                <w:color w:val="auto"/>
              </w:rPr>
            </w:pPr>
            <w:r>
              <w:rPr>
                <w:rFonts w:ascii="Arial" w:cs="Arial" w:eastAsia="Arial" w:hAnsi="Arial"/>
                <w:sz w:val="17"/>
                <w:szCs w:val="17"/>
                <w:b w:val="1"/>
                <w:bCs w:val="1"/>
                <w:color w:val="auto"/>
              </w:rPr>
              <w:t>(1.05)</w:t>
            </w:r>
          </w:p>
        </w:tc>
        <w:tc>
          <w:tcPr>
            <w:tcW w:w="44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95"/>
              <w:spacing w:after="0"/>
              <w:rPr>
                <w:sz w:val="20"/>
                <w:szCs w:val="20"/>
                <w:color w:val="auto"/>
              </w:rPr>
            </w:pPr>
            <w:r>
              <w:rPr>
                <w:rFonts w:ascii="Arial" w:cs="Arial" w:eastAsia="Arial" w:hAnsi="Arial"/>
                <w:sz w:val="17"/>
                <w:szCs w:val="17"/>
                <w:b w:val="1"/>
                <w:bCs w:val="1"/>
                <w:color w:val="auto"/>
              </w:rPr>
              <w:t>2.92</w:t>
            </w:r>
          </w:p>
        </w:tc>
        <w:tc>
          <w:tcPr>
            <w:tcW w:w="600" w:type="dxa"/>
            <w:vAlign w:val="bottom"/>
          </w:tcPr>
          <w:p>
            <w:pPr>
              <w:jc w:val="right"/>
              <w:ind w:right="313"/>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0.53</w:t>
            </w:r>
          </w:p>
        </w:tc>
      </w:tr>
      <w:tr>
        <w:trPr>
          <w:trHeight w:val="178"/>
        </w:trPr>
        <w:tc>
          <w:tcPr>
            <w:tcW w:w="5160" w:type="dxa"/>
            <w:vAlign w:val="bottom"/>
            <w:shd w:val="clear" w:color="auto" w:fill="CCEEFF"/>
          </w:tcPr>
          <w:p>
            <w:pPr>
              <w:ind w:left="20"/>
              <w:spacing w:after="0" w:line="178" w:lineRule="exact"/>
              <w:rPr>
                <w:sz w:val="20"/>
                <w:szCs w:val="20"/>
                <w:color w:val="auto"/>
              </w:rPr>
            </w:pPr>
            <w:r>
              <w:rPr>
                <w:rFonts w:ascii="Arial" w:cs="Arial" w:eastAsia="Arial" w:hAnsi="Arial"/>
                <w:sz w:val="17"/>
                <w:szCs w:val="17"/>
                <w:b w:val="1"/>
                <w:bCs w:val="1"/>
                <w:color w:val="auto"/>
                <w:w w:val="95"/>
              </w:rPr>
              <w:t>Diluted earnings (loss) per common share attributable to Comcast</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4"/>
        </w:trPr>
        <w:tc>
          <w:tcPr>
            <w:tcW w:w="5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Corporation shareholders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0.98</w:t>
            </w:r>
          </w:p>
        </w:tc>
        <w:tc>
          <w:tcPr>
            <w:tcW w:w="6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(1.05)</w:t>
            </w:r>
          </w:p>
        </w:tc>
        <w:tc>
          <w:tcPr>
            <w:tcW w:w="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2.90</w:t>
            </w:r>
          </w:p>
        </w:tc>
        <w:tc>
          <w:tcPr>
            <w:tcW w:w="6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0.52</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90"/>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0"/>
        </w:trPr>
        <w:tc>
          <w:tcPr>
            <w:tcW w:w="492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2022</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2022</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3,997</w:t>
            </w:r>
          </w:p>
        </w:tc>
        <w:tc>
          <w:tcPr>
            <w:tcW w:w="6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(4,665)</w:t>
            </w:r>
          </w:p>
        </w:tc>
        <w:tc>
          <w:tcPr>
            <w:tcW w:w="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11,954</w:t>
            </w:r>
          </w:p>
        </w:tc>
        <w:tc>
          <w:tcPr>
            <w:tcW w:w="6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w:t>
            </w:r>
          </w:p>
        </w:tc>
      </w:tr>
      <w:tr>
        <w:trPr>
          <w:trHeight w:val="171"/>
        </w:trPr>
        <w:tc>
          <w:tcPr>
            <w:tcW w:w="4920" w:type="dxa"/>
            <w:vAlign w:val="bottom"/>
          </w:tcPr>
          <w:p>
            <w:pPr>
              <w:ind w:left="20"/>
              <w:spacing w:after="0" w:line="171" w:lineRule="exact"/>
              <w:rPr>
                <w:sz w:val="20"/>
                <w:szCs w:val="20"/>
                <w:color w:val="auto"/>
              </w:rPr>
            </w:pPr>
            <w:r>
              <w:rPr>
                <w:rFonts w:ascii="Arial" w:cs="Arial" w:eastAsia="Arial" w:hAnsi="Arial"/>
                <w:sz w:val="17"/>
                <w:szCs w:val="17"/>
                <w:color w:val="auto"/>
                <w:w w:val="93"/>
              </w:rPr>
              <w:t>Currency translation adjustments, net of deferred taxes of $(20), $15,</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5"/>
        </w:trPr>
        <w:tc>
          <w:tcPr>
            <w:tcW w:w="4920" w:type="dxa"/>
            <w:vAlign w:val="bottom"/>
          </w:tcPr>
          <w:p>
            <w:pPr>
              <w:ind w:left="180"/>
              <w:spacing w:after="0"/>
              <w:rPr>
                <w:sz w:val="20"/>
                <w:szCs w:val="20"/>
                <w:color w:val="auto"/>
              </w:rPr>
            </w:pPr>
            <w:r>
              <w:rPr>
                <w:rFonts w:ascii="Arial" w:cs="Arial" w:eastAsia="Arial" w:hAnsi="Arial"/>
                <w:sz w:val="17"/>
                <w:szCs w:val="17"/>
                <w:color w:val="auto"/>
              </w:rPr>
              <w:t>$(42) and $304</w:t>
            </w:r>
          </w:p>
        </w:tc>
        <w:tc>
          <w:tcPr>
            <w:tcW w:w="34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Arial" w:cs="Arial" w:eastAsia="Arial" w:hAnsi="Arial"/>
                <w:sz w:val="17"/>
                <w:szCs w:val="17"/>
                <w:color w:val="auto"/>
              </w:rPr>
              <w:t>(1,154)</w:t>
            </w:r>
          </w:p>
        </w:tc>
        <w:tc>
          <w:tcPr>
            <w:tcW w:w="64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(2,464)</w:t>
            </w:r>
          </w:p>
        </w:tc>
        <w:tc>
          <w:tcPr>
            <w:tcW w:w="460" w:type="dxa"/>
            <w:vAlign w:val="bottom"/>
          </w:tcPr>
          <w:p>
            <w:pPr>
              <w:spacing w:after="0"/>
              <w:rPr>
                <w:sz w:val="20"/>
                <w:szCs w:val="20"/>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114</w:t>
            </w:r>
          </w:p>
        </w:tc>
        <w:tc>
          <w:tcPr>
            <w:tcW w:w="6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(6,337)</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hedges: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1"/>
        </w:trPr>
        <w:tc>
          <w:tcPr>
            <w:tcW w:w="4920" w:type="dxa"/>
            <w:vAlign w:val="bottom"/>
          </w:tcPr>
          <w:p>
            <w:pPr>
              <w:ind w:left="180"/>
              <w:spacing w:after="0" w:line="171" w:lineRule="exact"/>
              <w:rPr>
                <w:sz w:val="20"/>
                <w:szCs w:val="20"/>
                <w:color w:val="auto"/>
              </w:rPr>
            </w:pPr>
            <w:r>
              <w:rPr>
                <w:rFonts w:ascii="Arial" w:cs="Arial" w:eastAsia="Arial" w:hAnsi="Arial"/>
                <w:sz w:val="17"/>
                <w:szCs w:val="17"/>
                <w:color w:val="auto"/>
                <w:w w:val="95"/>
              </w:rPr>
              <w:t>Deferred gains (losses), net of deferred taxes of $(19), $4, $4 and</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5"/>
        </w:trPr>
        <w:tc>
          <w:tcPr>
            <w:tcW w:w="4920" w:type="dxa"/>
            <w:vAlign w:val="bottom"/>
          </w:tcPr>
          <w:p>
            <w:pPr>
              <w:ind w:left="340"/>
              <w:spacing w:after="0"/>
              <w:rPr>
                <w:sz w:val="20"/>
                <w:szCs w:val="20"/>
                <w:color w:val="auto"/>
              </w:rPr>
            </w:pPr>
            <w:r>
              <w:rPr>
                <w:rFonts w:ascii="Arial" w:cs="Arial" w:eastAsia="Arial" w:hAnsi="Arial"/>
                <w:sz w:val="17"/>
                <w:szCs w:val="17"/>
                <w:color w:val="auto"/>
              </w:rPr>
              <w:t>$(34)</w:t>
            </w:r>
          </w:p>
        </w:tc>
        <w:tc>
          <w:tcPr>
            <w:tcW w:w="340" w:type="dxa"/>
            <w:vAlign w:val="bottom"/>
          </w:tcPr>
          <w:p>
            <w:pPr>
              <w:spacing w:after="0"/>
              <w:rPr>
                <w:sz w:val="20"/>
                <w:szCs w:val="20"/>
                <w:color w:val="auto"/>
              </w:rPr>
            </w:pP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62</w:t>
            </w:r>
          </w:p>
        </w:tc>
        <w:tc>
          <w:tcPr>
            <w:tcW w:w="64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108</w:t>
            </w:r>
          </w:p>
        </w:tc>
        <w:tc>
          <w:tcPr>
            <w:tcW w:w="460" w:type="dxa"/>
            <w:vAlign w:val="bottom"/>
          </w:tcPr>
          <w:p>
            <w:pPr>
              <w:spacing w:after="0"/>
              <w:rPr>
                <w:sz w:val="20"/>
                <w:szCs w:val="20"/>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41</w:t>
            </w:r>
          </w:p>
        </w:tc>
        <w:tc>
          <w:tcPr>
            <w:tcW w:w="6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401</w:t>
            </w:r>
          </w:p>
        </w:tc>
      </w:tr>
      <w:tr>
        <w:trPr>
          <w:trHeight w:val="171"/>
        </w:trPr>
        <w:tc>
          <w:tcPr>
            <w:tcW w:w="4920" w:type="dxa"/>
            <w:vAlign w:val="bottom"/>
            <w:shd w:val="clear" w:color="auto" w:fill="CCEEFF"/>
          </w:tcPr>
          <w:p>
            <w:pPr>
              <w:ind w:left="180"/>
              <w:spacing w:after="0" w:line="172" w:lineRule="exact"/>
              <w:rPr>
                <w:sz w:val="20"/>
                <w:szCs w:val="20"/>
                <w:color w:val="auto"/>
              </w:rPr>
            </w:pPr>
            <w:r>
              <w:rPr>
                <w:rFonts w:ascii="Arial" w:cs="Arial" w:eastAsia="Arial" w:hAnsi="Arial"/>
                <w:sz w:val="17"/>
                <w:szCs w:val="17"/>
                <w:color w:val="auto"/>
                <w:w w:val="95"/>
              </w:rPr>
              <w:t>Realized (gains) losses reclassified to net income, net of deferred</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5"/>
        </w:trPr>
        <w:tc>
          <w:tcPr>
            <w:tcW w:w="4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taxes of $2, $(10), $18 and $(26)</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13</w:t>
            </w:r>
          </w:p>
        </w:tc>
        <w:tc>
          <w:tcPr>
            <w:tcW w:w="6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(56)</w:t>
            </w: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(84)</w:t>
            </w:r>
          </w:p>
        </w:tc>
        <w:tc>
          <w:tcPr>
            <w:tcW w:w="6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171"/>
        </w:trPr>
        <w:tc>
          <w:tcPr>
            <w:tcW w:w="4920" w:type="dxa"/>
            <w:vAlign w:val="bottom"/>
          </w:tcPr>
          <w:p>
            <w:pPr>
              <w:ind w:left="20"/>
              <w:spacing w:after="0" w:line="171" w:lineRule="exact"/>
              <w:rPr>
                <w:sz w:val="20"/>
                <w:szCs w:val="20"/>
                <w:color w:val="auto"/>
              </w:rPr>
            </w:pPr>
            <w:r>
              <w:rPr>
                <w:rFonts w:ascii="Arial" w:cs="Arial" w:eastAsia="Arial" w:hAnsi="Arial"/>
                <w:sz w:val="17"/>
                <w:szCs w:val="17"/>
                <w:color w:val="auto"/>
                <w:w w:val="96"/>
              </w:rPr>
              <w:t>Employee benefit obligations and other, net of deferred taxes of $2,</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5"/>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$9, $5 and $14</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(7)</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(29)</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(17)</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 (loss)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2,911</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(7,106)</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12,007</w:t>
            </w: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w:t>
            </w: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Less: 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57"/>
              <w:spacing w:after="0"/>
              <w:rPr>
                <w:sz w:val="20"/>
                <w:szCs w:val="20"/>
                <w:color w:val="auto"/>
              </w:rPr>
            </w:pPr>
            <w:r>
              <w:rPr>
                <w:rFonts w:ascii="Arial" w:cs="Arial" w:eastAsia="Arial" w:hAnsi="Arial"/>
                <w:sz w:val="17"/>
                <w:szCs w:val="17"/>
                <w:color w:val="auto"/>
              </w:rPr>
              <w:t>(49)</w:t>
            </w:r>
          </w:p>
        </w:tc>
        <w:tc>
          <w:tcPr>
            <w:tcW w:w="6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(68)</w:t>
            </w:r>
          </w:p>
        </w:tc>
        <w:tc>
          <w:tcPr>
            <w:tcW w:w="46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(175)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(295)</w:t>
            </w:r>
          </w:p>
        </w:tc>
      </w:tr>
      <w:tr>
        <w:trPr>
          <w:trHeight w:val="171"/>
        </w:trPr>
        <w:tc>
          <w:tcPr>
            <w:tcW w:w="49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Less: Other comprehensive income (loss) attributable to</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5"/>
        </w:trPr>
        <w:tc>
          <w:tcPr>
            <w:tcW w:w="4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noncontrolling interests</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7</w:t>
            </w:r>
          </w:p>
        </w:tc>
        <w:tc>
          <w:tcPr>
            <w:tcW w:w="6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(56)</w:t>
            </w:r>
          </w:p>
        </w:tc>
        <w:tc>
          <w:tcPr>
            <w:tcW w:w="4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(32)</w:t>
            </w:r>
          </w:p>
        </w:tc>
        <w:tc>
          <w:tcPr>
            <w:tcW w:w="6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164"/>
        </w:trPr>
        <w:tc>
          <w:tcPr>
            <w:tcW w:w="4920" w:type="dxa"/>
            <w:vAlign w:val="bottom"/>
          </w:tcPr>
          <w:p>
            <w:pPr>
              <w:ind w:left="20"/>
              <w:spacing w:after="0" w:line="163" w:lineRule="exact"/>
              <w:rPr>
                <w:sz w:val="20"/>
                <w:szCs w:val="20"/>
                <w:color w:val="auto"/>
              </w:rPr>
            </w:pPr>
            <w:r>
              <w:rPr>
                <w:rFonts w:ascii="Arial" w:cs="Arial" w:eastAsia="Arial" w:hAnsi="Arial"/>
                <w:sz w:val="17"/>
                <w:szCs w:val="17"/>
                <w:b w:val="1"/>
                <w:bCs w:val="1"/>
                <w:color w:val="auto"/>
              </w:rPr>
              <w:t>Comprehensive income (loss) attributable to Comcast</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2"/>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Corporation</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2,953</w:t>
            </w:r>
          </w:p>
        </w:tc>
        <w:tc>
          <w:tcPr>
            <w:tcW w:w="6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(6,983)</w:t>
            </w:r>
          </w:p>
        </w:tc>
        <w:tc>
          <w:tcPr>
            <w:tcW w:w="4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12,214</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(3,689)</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0"/>
        </w:trPr>
        <w:tc>
          <w:tcPr>
            <w:tcW w:w="818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w w:val="96"/>
              </w:rPr>
              <w:t>2022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11,954</w:t>
            </w:r>
          </w:p>
        </w:tc>
        <w:tc>
          <w:tcPr>
            <w:tcW w:w="6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2,052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10,807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10,349</w:t>
            </w:r>
          </w:p>
        </w:tc>
      </w:tr>
      <w:tr>
        <w:trPr>
          <w:trHeight w:val="223"/>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Goodwill and long-lived asset impairments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8,583</w:t>
            </w: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Share-based compensation</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955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989</w:t>
            </w:r>
          </w:p>
        </w:tc>
      </w:tr>
      <w:tr>
        <w:trPr>
          <w:trHeight w:val="223"/>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Noncash interest expense (income),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235</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Net (gain) loss on investment activity and other</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(266)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1,172</w:t>
            </w:r>
          </w:p>
        </w:tc>
      </w:tr>
      <w:tr>
        <w:trPr>
          <w:trHeight w:val="223"/>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394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effects of acquisitions and divestitures: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Current and noncurrent receivables,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Film and television costs, net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(531)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(753)</w:t>
            </w:r>
          </w:p>
        </w:tc>
      </w:tr>
      <w:tr>
        <w:trPr>
          <w:trHeight w:val="223"/>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 related to trade creditors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(518)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22"/>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operating assets and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(425)</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(1,347)</w:t>
            </w:r>
          </w:p>
        </w:tc>
      </w:tr>
      <w:tr>
        <w:trPr>
          <w:trHeight w:val="216"/>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22,579</w:t>
            </w:r>
          </w:p>
        </w:tc>
        <w:tc>
          <w:tcPr>
            <w:tcW w:w="6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20,530</w:t>
            </w:r>
          </w:p>
        </w:tc>
      </w:tr>
      <w:tr>
        <w:trPr>
          <w:trHeight w:val="216"/>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expenditures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(8,922)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(7,062)</w:t>
            </w: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Cash paid for intangible assets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(2,405)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(2,152)</w:t>
            </w:r>
          </w:p>
        </w:tc>
      </w:tr>
      <w:tr>
        <w:trPr>
          <w:trHeight w:val="223"/>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Construction of Universal Beijing Resort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Proceeds from sales of businesses and investments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410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1,197</w:t>
            </w:r>
          </w:p>
        </w:tc>
      </w:tr>
      <w:tr>
        <w:trPr>
          <w:trHeight w:val="223"/>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Purchases of investments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(949)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(2,089)</w:t>
            </w:r>
          </w:p>
        </w:tc>
      </w:tr>
      <w:tr>
        <w:trPr>
          <w:trHeight w:val="222"/>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267</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r>
      <w:tr>
        <w:trPr>
          <w:trHeight w:val="216"/>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(11,718)</w:t>
            </w:r>
          </w:p>
        </w:tc>
        <w:tc>
          <w:tcPr>
            <w:tcW w:w="6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(10,158)</w:t>
            </w:r>
          </w:p>
        </w:tc>
      </w:tr>
      <w:tr>
        <w:trPr>
          <w:trHeight w:val="216"/>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(repayments of) short-term borrowings,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(660)</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Proceeds from borrowings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6,046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23"/>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Repurchases and repayments of debt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(3,041)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Repurchases of common stock under repurchase program and employee plans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(7,770)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(9,813)</w:t>
            </w:r>
          </w:p>
        </w:tc>
      </w:tr>
      <w:tr>
        <w:trPr>
          <w:trHeight w:val="223"/>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Dividends paid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(3,586)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(3,571)</w:t>
            </w:r>
          </w:p>
        </w:tc>
      </w:tr>
      <w:tr>
        <w:trPr>
          <w:trHeight w:val="222"/>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(126)</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w:t>
            </w:r>
          </w:p>
        </w:tc>
      </w:tr>
      <w:tr>
        <w:trPr>
          <w:trHeight w:val="216"/>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(9,136)</w:t>
            </w:r>
          </w:p>
        </w:tc>
        <w:tc>
          <w:tcPr>
            <w:tcW w:w="6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(13,299)</w:t>
            </w:r>
          </w:p>
        </w:tc>
      </w:tr>
      <w:tr>
        <w:trPr>
          <w:trHeight w:val="216"/>
        </w:trPr>
        <w:tc>
          <w:tcPr>
            <w:tcW w:w="8180" w:type="dxa"/>
            <w:vAlign w:val="bottom"/>
          </w:tcPr>
          <w:p>
            <w:pPr>
              <w:ind w:left="20"/>
              <w:spacing w:after="0"/>
              <w:rPr>
                <w:sz w:val="20"/>
                <w:szCs w:val="20"/>
                <w:color w:val="auto"/>
              </w:rPr>
            </w:pPr>
            <w:r>
              <w:rPr>
                <w:rFonts w:ascii="Arial" w:cs="Arial" w:eastAsia="Arial" w:hAnsi="Arial"/>
                <w:sz w:val="17"/>
                <w:szCs w:val="17"/>
                <w:color w:val="auto"/>
              </w:rPr>
              <w:t>Impact of foreign currency on cash, cash equivalents and restricted cash</w:t>
            </w:r>
          </w:p>
        </w:tc>
        <w:tc>
          <w:tcPr>
            <w:tcW w:w="3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(18)</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cash, cash equivalents and 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1,707</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4,782</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8,778</w:t>
            </w:r>
          </w:p>
        </w:tc>
      </w:tr>
      <w:tr>
        <w:trPr>
          <w:trHeight w:val="222"/>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6,489</w:t>
            </w:r>
          </w:p>
        </w:tc>
        <w:tc>
          <w:tcPr>
            <w:tcW w:w="6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5,729</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color w:val="auto"/>
              </w:rPr>
              <w:t>(in millions, except share data)</w:t>
            </w:r>
          </w:p>
        </w:tc>
        <w:tc>
          <w:tcPr>
            <w:tcW w:w="360" w:type="dxa"/>
            <w:vAlign w:val="bottom"/>
          </w:tcPr>
          <w:p>
            <w:pPr>
              <w:spacing w:after="0"/>
              <w:rPr>
                <w:sz w:val="14"/>
                <w:szCs w:val="14"/>
                <w:color w:val="auto"/>
              </w:rPr>
            </w:pPr>
          </w:p>
        </w:tc>
        <w:tc>
          <w:tcPr>
            <w:tcW w:w="1320" w:type="dxa"/>
            <w:vAlign w:val="bottom"/>
          </w:tcPr>
          <w:p>
            <w:pPr>
              <w:jc w:val="right"/>
              <w:ind w:right="314"/>
              <w:spacing w:after="0"/>
              <w:rPr>
                <w:sz w:val="20"/>
                <w:szCs w:val="20"/>
                <w:color w:val="auto"/>
              </w:rPr>
            </w:pPr>
            <w:r>
              <w:rPr>
                <w:rFonts w:ascii="Arial" w:cs="Arial" w:eastAsia="Arial" w:hAnsi="Arial"/>
                <w:sz w:val="14"/>
                <w:szCs w:val="14"/>
                <w:color w:val="auto"/>
                <w:w w:val="97"/>
              </w:rPr>
              <w:t>September 30,</w:t>
            </w:r>
          </w:p>
        </w:tc>
        <w:tc>
          <w:tcPr>
            <w:tcW w:w="32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6,435</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4,749</w:t>
            </w:r>
          </w:p>
        </w:tc>
        <w:tc>
          <w:tcPr>
            <w:tcW w:w="0" w:type="dxa"/>
            <w:vAlign w:val="bottom"/>
          </w:tcPr>
          <w:p>
            <w:pPr>
              <w:spacing w:after="0"/>
              <w:rPr>
                <w:sz w:val="1"/>
                <w:szCs w:val="1"/>
                <w:color w:val="auto"/>
              </w:rPr>
            </w:pPr>
          </w:p>
        </w:tc>
      </w:tr>
      <w:tr>
        <w:trPr>
          <w:trHeight w:val="222"/>
        </w:trPr>
        <w:tc>
          <w:tcPr>
            <w:tcW w:w="8020" w:type="dxa"/>
            <w:vAlign w:val="bottom"/>
          </w:tcPr>
          <w:p>
            <w:pPr>
              <w:ind w:left="340"/>
              <w:spacing w:after="0"/>
              <w:rPr>
                <w:sz w:val="20"/>
                <w:szCs w:val="20"/>
                <w:color w:val="auto"/>
              </w:rPr>
            </w:pPr>
            <w:r>
              <w:rPr>
                <w:rFonts w:ascii="Arial" w:cs="Arial" w:eastAsia="Arial" w:hAnsi="Arial"/>
                <w:sz w:val="17"/>
                <w:szCs w:val="17"/>
                <w:color w:val="auto"/>
              </w:rPr>
              <w:t>Receivables, net</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12,835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12,672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4,870</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4,406</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36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24,141</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21,826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Film and television costs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13,067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12,560</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8,041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7,250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securing collateralized obligation</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319</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Property and equipment, net of accumulated depreciation of $58,316 and $56,939</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58,165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55,485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58,069</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58,494</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Franchise rights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59,365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59,365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 assets, net of accumulated amortization of $29,103 and $25,860</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27,870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29,308</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noncurrent assets, net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12,036</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12,497</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261,072</w:t>
            </w:r>
          </w:p>
        </w:tc>
        <w:tc>
          <w:tcPr>
            <w:tcW w:w="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257,275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340"/>
              <w:spacing w:after="0"/>
              <w:rPr>
                <w:sz w:val="20"/>
                <w:szCs w:val="20"/>
                <w:color w:val="auto"/>
              </w:rPr>
            </w:pPr>
            <w:r>
              <w:rPr>
                <w:rFonts w:ascii="Arial" w:cs="Arial" w:eastAsia="Arial" w:hAnsi="Arial"/>
                <w:sz w:val="17"/>
                <w:szCs w:val="17"/>
                <w:color w:val="auto"/>
              </w:rPr>
              <w:t>Accounts payable and accrued expenses related to trade creditors</w:t>
            </w:r>
          </w:p>
        </w:tc>
        <w:tc>
          <w:tcPr>
            <w:tcW w:w="3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12,214</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12,544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participations and residuals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1,653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w:t>
            </w:r>
          </w:p>
        </w:tc>
        <w:tc>
          <w:tcPr>
            <w:tcW w:w="0" w:type="dxa"/>
            <w:vAlign w:val="bottom"/>
          </w:tcPr>
          <w:p>
            <w:pPr>
              <w:spacing w:after="0"/>
              <w:rPr>
                <w:sz w:val="1"/>
                <w:szCs w:val="1"/>
                <w:color w:val="auto"/>
              </w:rPr>
            </w:pPr>
          </w:p>
        </w:tc>
      </w:tr>
      <w:tr>
        <w:trPr>
          <w:trHeight w:val="222"/>
        </w:trPr>
        <w:tc>
          <w:tcPr>
            <w:tcW w:w="8020" w:type="dxa"/>
            <w:vAlign w:val="bottom"/>
          </w:tcPr>
          <w:p>
            <w:pPr>
              <w:ind w:left="340"/>
              <w:spacing w:after="0"/>
              <w:rPr>
                <w:sz w:val="20"/>
                <w:szCs w:val="20"/>
                <w:color w:val="auto"/>
              </w:rPr>
            </w:pPr>
            <w:r>
              <w:rPr>
                <w:rFonts w:ascii="Arial" w:cs="Arial" w:eastAsia="Arial" w:hAnsi="Arial"/>
                <w:sz w:val="17"/>
                <w:szCs w:val="17"/>
                <w:color w:val="auto"/>
              </w:rPr>
              <w:t>Deferred revenue</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3,566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2,380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8,883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9,450</w:t>
            </w:r>
          </w:p>
        </w:tc>
        <w:tc>
          <w:tcPr>
            <w:tcW w:w="0" w:type="dxa"/>
            <w:vAlign w:val="bottom"/>
          </w:tcPr>
          <w:p>
            <w:pPr>
              <w:spacing w:after="0"/>
              <w:rPr>
                <w:sz w:val="1"/>
                <w:szCs w:val="1"/>
                <w:color w:val="auto"/>
              </w:rPr>
            </w:pPr>
          </w:p>
        </w:tc>
      </w:tr>
      <w:tr>
        <w:trPr>
          <w:trHeight w:val="222"/>
        </w:trPr>
        <w:tc>
          <w:tcPr>
            <w:tcW w:w="8020" w:type="dxa"/>
            <w:vAlign w:val="bottom"/>
          </w:tcPr>
          <w:p>
            <w:pPr>
              <w:ind w:left="340"/>
              <w:spacing w:after="0"/>
              <w:rPr>
                <w:sz w:val="20"/>
                <w:szCs w:val="20"/>
                <w:color w:val="auto"/>
              </w:rPr>
            </w:pPr>
            <w:r>
              <w:rPr>
                <w:rFonts w:ascii="Arial" w:cs="Arial" w:eastAsia="Arial" w:hAnsi="Arial"/>
                <w:sz w:val="17"/>
                <w:szCs w:val="17"/>
                <w:color w:val="auto"/>
              </w:rPr>
              <w:t>Current portion of long-term debt</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2,978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1,743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Collateralized obligation</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5,174</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6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34,468</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27,887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less current portion</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94,351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93,068</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Collateralized obligation</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5,172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29,092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28,714</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19,768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20,395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Redeemable noncontrolling interests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230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340"/>
              <w:spacing w:after="0"/>
              <w:rPr>
                <w:sz w:val="20"/>
                <w:szCs w:val="20"/>
                <w:color w:val="auto"/>
              </w:rPr>
            </w:pPr>
            <w:r>
              <w:rPr>
                <w:rFonts w:ascii="Arial" w:cs="Arial" w:eastAsia="Arial" w:hAnsi="Arial"/>
                <w:sz w:val="17"/>
                <w:szCs w:val="17"/>
                <w:color w:val="auto"/>
              </w:rPr>
              <w:t>Preferred stock—authorized, 20,000,000 shares; issued, zero</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w w:val="98"/>
              </w:rPr>
              <w:t>Class A common stock, $0.01 par value—authorized, 7,500,000,000 shares; issued, 4,921,853,673 and</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0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5,083,466,045; outstanding, 4,049,062,645 and 4,210,675,017</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49</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2"/>
        </w:trPr>
        <w:tc>
          <w:tcPr>
            <w:tcW w:w="8020" w:type="dxa"/>
            <w:vAlign w:val="bottom"/>
          </w:tcPr>
          <w:p>
            <w:pPr>
              <w:ind w:left="340"/>
              <w:spacing w:after="0"/>
              <w:rPr>
                <w:sz w:val="20"/>
                <w:szCs w:val="20"/>
                <w:color w:val="auto"/>
              </w:rPr>
            </w:pPr>
            <w:r>
              <w:rPr>
                <w:rFonts w:ascii="Arial" w:cs="Arial" w:eastAsia="Arial" w:hAnsi="Arial"/>
                <w:sz w:val="17"/>
                <w:szCs w:val="17"/>
                <w:color w:val="auto"/>
                <w:w w:val="93"/>
              </w:rPr>
              <w:t>Class B common stock, $0.01 par value—authorized, 75,000,000 shares; issued and outstanding, 9,444,375</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paid-in capital</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38,866</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39,412</w:t>
            </w:r>
          </w:p>
        </w:tc>
        <w:tc>
          <w:tcPr>
            <w:tcW w:w="0" w:type="dxa"/>
            <w:vAlign w:val="bottom"/>
          </w:tcPr>
          <w:p>
            <w:pPr>
              <w:spacing w:after="0"/>
              <w:rPr>
                <w:sz w:val="1"/>
                <w:szCs w:val="1"/>
                <w:color w:val="auto"/>
              </w:rPr>
            </w:pPr>
          </w:p>
        </w:tc>
      </w:tr>
      <w:tr>
        <w:trPr>
          <w:trHeight w:val="222"/>
        </w:trPr>
        <w:tc>
          <w:tcPr>
            <w:tcW w:w="8020" w:type="dxa"/>
            <w:vAlign w:val="bottom"/>
          </w:tcPr>
          <w:p>
            <w:pPr>
              <w:ind w:left="340"/>
              <w:spacing w:after="0"/>
              <w:rPr>
                <w:sz w:val="20"/>
                <w:szCs w:val="20"/>
                <w:color w:val="auto"/>
              </w:rPr>
            </w:pPr>
            <w:r>
              <w:rPr>
                <w:rFonts w:ascii="Arial" w:cs="Arial" w:eastAsia="Arial" w:hAnsi="Arial"/>
                <w:sz w:val="17"/>
                <w:szCs w:val="17"/>
                <w:color w:val="auto"/>
              </w:rPr>
              <w:t>Retained earnings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53,751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51,609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Treasury stock, 872,791,028 Class A common shares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(7,517)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(7,517)</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Accumulated other comprehensive income (loss)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(2,525)</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Comcast Corporation shareholders’ equity</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82,625</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80,943</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Noncontrolling interests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538</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83,163</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81,627</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liabilities and equity</w:t>
            </w: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261,072</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257,275</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853"/>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90"/>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190"/>
        </w:trPr>
        <w:tc>
          <w:tcPr>
            <w:tcW w:w="532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2023</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w w:val="83"/>
              </w:rPr>
              <w:t>2022</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Redeemable 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2"/>
        </w:trPr>
        <w:tc>
          <w:tcPr>
            <w:tcW w:w="532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239</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513</w:t>
            </w:r>
          </w:p>
        </w:tc>
        <w:tc>
          <w:tcPr>
            <w:tcW w:w="4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411</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519</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Contributions from (distributions to) noncontrolling interests,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(31)</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22"/>
        </w:trPr>
        <w:tc>
          <w:tcPr>
            <w:tcW w:w="5320" w:type="dxa"/>
            <w:vAlign w:val="bottom"/>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(80)</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(171)</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7</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66"/>
        </w:trPr>
        <w:tc>
          <w:tcPr>
            <w:tcW w:w="532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230</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409</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230</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409</w:t>
            </w:r>
          </w:p>
        </w:tc>
      </w:tr>
      <w:tr>
        <w:trPr>
          <w:trHeight w:val="223"/>
        </w:trPr>
        <w:tc>
          <w:tcPr>
            <w:tcW w:w="5320" w:type="dxa"/>
            <w:vAlign w:val="bottom"/>
            <w:tcBorders>
              <w:top w:val="single" w:sz="8" w:color="CCEEFF"/>
            </w:tcBorders>
          </w:tcPr>
          <w:p>
            <w:pPr>
              <w:ind w:left="20"/>
              <w:spacing w:after="0"/>
              <w:rPr>
                <w:sz w:val="20"/>
                <w:szCs w:val="20"/>
                <w:color w:val="auto"/>
              </w:rPr>
            </w:pPr>
            <w:r>
              <w:rPr>
                <w:rFonts w:ascii="Arial" w:cs="Arial" w:eastAsia="Arial" w:hAnsi="Arial"/>
                <w:sz w:val="17"/>
                <w:szCs w:val="17"/>
                <w:b w:val="1"/>
                <w:bCs w:val="1"/>
                <w:color w:val="auto"/>
              </w:rPr>
              <w:t>Class A Common Stock</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53</w:t>
            </w:r>
          </w:p>
        </w:tc>
        <w:tc>
          <w:tcPr>
            <w:tcW w:w="4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171"/>
        </w:trPr>
        <w:tc>
          <w:tcPr>
            <w:tcW w:w="5320" w:type="dxa"/>
            <w:vAlign w:val="bottom"/>
          </w:tcPr>
          <w:p>
            <w:pPr>
              <w:ind w:left="220"/>
              <w:spacing w:after="0" w:line="171" w:lineRule="exact"/>
              <w:rPr>
                <w:sz w:val="20"/>
                <w:szCs w:val="20"/>
                <w:color w:val="auto"/>
              </w:rPr>
            </w:pPr>
            <w:r>
              <w:rPr>
                <w:rFonts w:ascii="Arial" w:cs="Arial" w:eastAsia="Arial" w:hAnsi="Arial"/>
                <w:sz w:val="17"/>
                <w:szCs w:val="17"/>
                <w:color w:val="auto"/>
                <w:w w:val="92"/>
              </w:rPr>
              <w:t>Repurchases of common stock under repurchase program and employee</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5"/>
        </w:trPr>
        <w:tc>
          <w:tcPr>
            <w:tcW w:w="53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plans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52</w:t>
            </w:r>
          </w:p>
        </w:tc>
        <w:tc>
          <w:tcPr>
            <w:tcW w:w="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w:t>
            </w:r>
          </w:p>
        </w:tc>
      </w:tr>
      <w:tr>
        <w:trPr>
          <w:trHeight w:val="32"/>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Additional Paid-In Capital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2"/>
        </w:trPr>
        <w:tc>
          <w:tcPr>
            <w:tcW w:w="532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39,118</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39,852</w:t>
            </w:r>
          </w:p>
        </w:tc>
        <w:tc>
          <w:tcPr>
            <w:tcW w:w="4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39,412</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40,173</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245</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r>
      <w:tr>
        <w:trPr>
          <w:trHeight w:val="171"/>
        </w:trPr>
        <w:tc>
          <w:tcPr>
            <w:tcW w:w="5320" w:type="dxa"/>
            <w:vAlign w:val="bottom"/>
          </w:tcPr>
          <w:p>
            <w:pPr>
              <w:ind w:left="220"/>
              <w:spacing w:after="0" w:line="171" w:lineRule="exact"/>
              <w:rPr>
                <w:sz w:val="20"/>
                <w:szCs w:val="20"/>
                <w:color w:val="auto"/>
              </w:rPr>
            </w:pPr>
            <w:r>
              <w:rPr>
                <w:rFonts w:ascii="Arial" w:cs="Arial" w:eastAsia="Arial" w:hAnsi="Arial"/>
                <w:sz w:val="17"/>
                <w:szCs w:val="17"/>
                <w:color w:val="auto"/>
                <w:w w:val="92"/>
              </w:rPr>
              <w:t>Repurchases of common stock under repurchase program and employee</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5"/>
        </w:trPr>
        <w:tc>
          <w:tcPr>
            <w:tcW w:w="5320" w:type="dxa"/>
            <w:vAlign w:val="bottom"/>
          </w:tcPr>
          <w:p>
            <w:pPr>
              <w:ind w:left="380"/>
              <w:spacing w:after="0"/>
              <w:rPr>
                <w:sz w:val="20"/>
                <w:szCs w:val="20"/>
                <w:color w:val="auto"/>
              </w:rPr>
            </w:pPr>
            <w:r>
              <w:rPr>
                <w:rFonts w:ascii="Arial" w:cs="Arial" w:eastAsia="Arial" w:hAnsi="Arial"/>
                <w:sz w:val="17"/>
                <w:szCs w:val="17"/>
                <w:color w:val="auto"/>
              </w:rPr>
              <w:t>plans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(579)</w:t>
            </w:r>
          </w:p>
        </w:tc>
        <w:tc>
          <w:tcPr>
            <w:tcW w:w="5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(637)</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(1,486)</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(1,713)</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Issuances of common stock under employee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63</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r>
      <w:tr>
        <w:trPr>
          <w:trHeight w:val="222"/>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252</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w:t>
            </w:r>
          </w:p>
        </w:tc>
      </w:tr>
      <w:tr>
        <w:trPr>
          <w:trHeight w:val="216"/>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38,866</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39,775</w:t>
            </w:r>
          </w:p>
        </w:tc>
        <w:tc>
          <w:tcPr>
            <w:tcW w:w="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38,866</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39,775</w:t>
            </w:r>
          </w:p>
        </w:tc>
      </w:tr>
      <w:tr>
        <w:trPr>
          <w:trHeight w:val="32"/>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Retained Earnings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2"/>
        </w:trPr>
        <w:tc>
          <w:tcPr>
            <w:tcW w:w="532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53,900</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61,209</w:t>
            </w:r>
          </w:p>
        </w:tc>
        <w:tc>
          <w:tcPr>
            <w:tcW w:w="4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51,609</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61,902</w:t>
            </w:r>
          </w:p>
        </w:tc>
      </w:tr>
      <w:tr>
        <w:trPr>
          <w:trHeight w:val="171"/>
        </w:trPr>
        <w:tc>
          <w:tcPr>
            <w:tcW w:w="5320" w:type="dxa"/>
            <w:vAlign w:val="bottom"/>
            <w:shd w:val="clear" w:color="auto" w:fill="CCEEFF"/>
          </w:tcPr>
          <w:p>
            <w:pPr>
              <w:ind w:left="220"/>
              <w:spacing w:after="0" w:line="172" w:lineRule="exact"/>
              <w:rPr>
                <w:sz w:val="20"/>
                <w:szCs w:val="20"/>
                <w:color w:val="auto"/>
              </w:rPr>
            </w:pPr>
            <w:r>
              <w:rPr>
                <w:rFonts w:ascii="Arial" w:cs="Arial" w:eastAsia="Arial" w:hAnsi="Arial"/>
                <w:sz w:val="17"/>
                <w:szCs w:val="17"/>
                <w:color w:val="auto"/>
                <w:w w:val="92"/>
              </w:rPr>
              <w:t>Repurchases of common stock under repurchase program and employee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5"/>
        </w:trPr>
        <w:tc>
          <w:tcPr>
            <w:tcW w:w="53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plans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(3,005)</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(2,890)</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(6,357)</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(8,100)</w:t>
            </w:r>
          </w:p>
        </w:tc>
      </w:tr>
      <w:tr>
        <w:trPr>
          <w:trHeight w:val="222"/>
        </w:trPr>
        <w:tc>
          <w:tcPr>
            <w:tcW w:w="5320" w:type="dxa"/>
            <w:vAlign w:val="bottom"/>
          </w:tcPr>
          <w:p>
            <w:pPr>
              <w:ind w:left="220"/>
              <w:spacing w:after="0"/>
              <w:rPr>
                <w:sz w:val="20"/>
                <w:szCs w:val="20"/>
                <w:color w:val="auto"/>
              </w:rPr>
            </w:pPr>
            <w:r>
              <w:rPr>
                <w:rFonts w:ascii="Arial" w:cs="Arial" w:eastAsia="Arial" w:hAnsi="Arial"/>
                <w:sz w:val="17"/>
                <w:szCs w:val="17"/>
                <w:color w:val="auto"/>
              </w:rPr>
              <w:t>Dividends declared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(1,190)</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(1,179)</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(3,628)</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(3,607)</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2"/>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4,046</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(4,598)</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12,128</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2,347</w:t>
            </w:r>
          </w:p>
        </w:tc>
      </w:tr>
      <w:tr>
        <w:trPr>
          <w:trHeight w:val="216"/>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53,751</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52,541</w:t>
            </w:r>
          </w:p>
        </w:tc>
        <w:tc>
          <w:tcPr>
            <w:tcW w:w="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53,751</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52,541</w:t>
            </w:r>
          </w:p>
        </w:tc>
      </w:tr>
      <w:tr>
        <w:trPr>
          <w:trHeight w:val="32"/>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Treasury Stock at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2"/>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(7,517)</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(7,517)</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(7,517)</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(7,517)</w:t>
            </w:r>
          </w:p>
        </w:tc>
      </w:tr>
      <w:tr>
        <w:trPr>
          <w:trHeight w:val="216"/>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(7,517)</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(7,517)</w:t>
            </w:r>
          </w:p>
        </w:tc>
        <w:tc>
          <w:tcPr>
            <w:tcW w:w="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(7,517)</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(7,517)</w:t>
            </w:r>
          </w:p>
        </w:tc>
      </w:tr>
      <w:tr>
        <w:trPr>
          <w:trHeight w:val="32"/>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2"/>
        </w:trPr>
        <w:tc>
          <w:tcPr>
            <w:tcW w:w="532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(1,432)</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(2,170)</w:t>
            </w:r>
          </w:p>
        </w:tc>
        <w:tc>
          <w:tcPr>
            <w:tcW w:w="4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(2,611)</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1,480</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(2,385)</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(6,035)</w:t>
            </w:r>
          </w:p>
        </w:tc>
      </w:tr>
      <w:tr>
        <w:trPr>
          <w:trHeight w:val="25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(2,525)</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(4,555)</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(2,525)</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(4,555)</w:t>
            </w:r>
          </w:p>
        </w:tc>
      </w:tr>
      <w:tr>
        <w:trPr>
          <w:trHeight w:val="223"/>
        </w:trPr>
        <w:tc>
          <w:tcPr>
            <w:tcW w:w="5320" w:type="dxa"/>
            <w:vAlign w:val="bottom"/>
            <w:tcBorders>
              <w:top w:val="single" w:sz="8" w:color="CCEEFF"/>
            </w:tcBorders>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1,132</w:t>
            </w:r>
          </w:p>
        </w:tc>
        <w:tc>
          <w:tcPr>
            <w:tcW w:w="4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w:t>
            </w:r>
          </w:p>
        </w:tc>
      </w:tr>
      <w:tr>
        <w:trPr>
          <w:trHeight w:val="222"/>
        </w:trPr>
        <w:tc>
          <w:tcPr>
            <w:tcW w:w="5320" w:type="dxa"/>
            <w:vAlign w:val="bottom"/>
          </w:tcPr>
          <w:p>
            <w:pPr>
              <w:ind w:left="2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(56)</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Contributions from (distributions to) noncontrolling interests,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(86)</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22"/>
        </w:trPr>
        <w:tc>
          <w:tcPr>
            <w:tcW w:w="5320" w:type="dxa"/>
            <w:vAlign w:val="bottom"/>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(278)</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(277)</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(75)</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538</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637</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538</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637</w:t>
            </w:r>
          </w:p>
        </w:tc>
      </w:tr>
      <w:tr>
        <w:trPr>
          <w:trHeight w:val="20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equity</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83,163</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80,933</w:t>
            </w:r>
          </w:p>
        </w:tc>
        <w:tc>
          <w:tcPr>
            <w:tcW w:w="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83,163</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80,933</w:t>
            </w: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dividends declared per common share</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0.29</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0.27</w:t>
            </w:r>
          </w:p>
        </w:tc>
        <w:tc>
          <w:tcPr>
            <w:tcW w:w="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0.87</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0.81</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85" w:lineRule="exact"/>
        <w:rPr>
          <w:sz w:val="20"/>
          <w:szCs w:val="20"/>
          <w:color w:val="auto"/>
        </w:rPr>
      </w:pPr>
    </w:p>
    <w:p>
      <w:pPr>
        <w:ind w:right="4420"/>
        <w:spacing w:after="0" w:line="299" w:lineRule="auto"/>
        <w:rPr>
          <w:sz w:val="20"/>
          <w:szCs w:val="20"/>
          <w:color w:val="auto"/>
        </w:rPr>
      </w:pPr>
      <w:r>
        <w:rPr>
          <w:rFonts w:ascii="Arial" w:cs="Arial" w:eastAsia="Arial" w:hAnsi="Arial"/>
          <w:sz w:val="21"/>
          <w:szCs w:val="21"/>
          <w:b w:val="1"/>
          <w:bCs w:val="1"/>
          <w:color w:val="auto"/>
        </w:rPr>
        <w:t>NOTES TO CONDENSED CONSOLIDATED FINANCIAL STATEMENTS (Unaudited)</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2022 Annual Report on Form 10-K.</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Reclassifications have been made to our notes to condensed consolidated financial statements for the prior year periods to conform to classifications used in 2023. See Note 2 for a discussion of the changes in our presentation of segment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 Segment Information</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Beginning in the first quarter of 2023, we changed our presentation of segment operating results around our two primary businesses: Connectivity &amp; Platforms and Content &amp; Experiences.</w:t>
      </w:r>
    </w:p>
    <w:p>
      <w:pPr>
        <w:spacing w:after="0" w:line="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Connectivity &amp; Platforms: </w:t>
      </w:r>
      <w:r>
        <w:rPr>
          <w:rFonts w:ascii="Arial" w:cs="Arial" w:eastAsia="Arial" w:hAnsi="Arial"/>
          <w:sz w:val="17"/>
          <w:szCs w:val="17"/>
          <w:color w:val="auto"/>
        </w:rPr>
        <w:t>Contains our broadband and wireless connectivity businesses operated under the Xfinity and Comcast brands 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and under the Sky brand in certain territories in Europe (the “Connectivity &amp; Platforms markets”). Also includes our video services businesses and the operations of our Sky-branded entertainment television channels in the Connectivity &amp; Platforms markets. Our Connectivity &amp; Platforms business is reported in two reportable business segments:</w:t>
      </w:r>
    </w:p>
    <w:p>
      <w:pPr>
        <w:spacing w:after="0" w:line="63" w:lineRule="exact"/>
        <w:rPr>
          <w:sz w:val="20"/>
          <w:szCs w:val="20"/>
          <w:color w:val="auto"/>
        </w:rPr>
      </w:pPr>
    </w:p>
    <w:p>
      <w:pPr>
        <w:jc w:val="both"/>
        <w:ind w:left="640" w:hanging="321"/>
        <w:spacing w:after="0" w:line="277"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Residential Connectivity &amp; Platforms Segment: </w:t>
      </w:r>
      <w:r>
        <w:rPr>
          <w:rFonts w:ascii="Arial" w:cs="Arial" w:eastAsia="Arial" w:hAnsi="Arial"/>
          <w:sz w:val="17"/>
          <w:szCs w:val="17"/>
          <w:color w:val="auto"/>
        </w:rPr>
        <w:t>Includes our residential broadband and wireless connectivity services, residential and business video</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advertising sales and Sky channels. Revenue is generated primarily from customers that subscribe to our services and from the sale of advertising and wireless devices.</w:t>
      </w:r>
    </w:p>
    <w:p>
      <w:pPr>
        <w:spacing w:after="0" w:line="56" w:lineRule="exact"/>
        <w:rPr>
          <w:rFonts w:ascii="Arial" w:cs="Arial" w:eastAsia="Arial" w:hAnsi="Arial"/>
          <w:sz w:val="17"/>
          <w:szCs w:val="17"/>
          <w:color w:val="auto"/>
        </w:rPr>
      </w:pPr>
    </w:p>
    <w:p>
      <w:pPr>
        <w:jc w:val="both"/>
        <w:ind w:left="640" w:hanging="321"/>
        <w:spacing w:after="0" w:line="301"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Business Services Connectivity Segment: </w:t>
      </w:r>
      <w:r>
        <w:rPr>
          <w:rFonts w:ascii="Arial" w:cs="Arial" w:eastAsia="Arial" w:hAnsi="Arial"/>
          <w:sz w:val="16"/>
          <w:szCs w:val="16"/>
          <w:color w:val="auto"/>
        </w:rPr>
        <w:t>Includes our connectivity services for small business locations in the United States, which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broadband, voice and wireless services, as well as our solutions for medium-sized customers and larger enterprises, and our small business connectivity service offerings for international locations. Revenue is generated primarily from customers that subscribe to our services.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Content &amp; Experiences: </w:t>
      </w:r>
      <w:r>
        <w:rPr>
          <w:rFonts w:ascii="Arial" w:cs="Arial" w:eastAsia="Arial" w:hAnsi="Arial"/>
          <w:sz w:val="17"/>
          <w:szCs w:val="17"/>
          <w:color w:val="auto"/>
        </w:rPr>
        <w:t>Contains our media and entertainment businesses that develop, produce, and distribute entertainment, news and information, sports,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content for global audiences and that own and operate theme parks in the United States and Asia. Our Content &amp; Experiences business is reported in three reportable business segments:</w:t>
      </w:r>
    </w:p>
    <w:p>
      <w:pPr>
        <w:spacing w:after="0" w:line="57" w:lineRule="exact"/>
        <w:rPr>
          <w:sz w:val="20"/>
          <w:szCs w:val="20"/>
          <w:color w:val="auto"/>
        </w:rPr>
      </w:pPr>
    </w:p>
    <w:p>
      <w:pPr>
        <w:jc w:val="both"/>
        <w:ind w:left="640" w:hanging="321"/>
        <w:spacing w:after="0" w:line="267"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Media Segment: </w:t>
      </w:r>
      <w:r>
        <w:rPr>
          <w:rFonts w:ascii="Arial" w:cs="Arial" w:eastAsia="Arial" w:hAnsi="Arial"/>
          <w:sz w:val="17"/>
          <w:szCs w:val="17"/>
          <w:color w:val="auto"/>
        </w:rPr>
        <w:t>Includes primarily NBCUniversal’s television and streaming business, including national and regional cable networks; the NBC and</w:t>
      </w:r>
      <w:r>
        <w:rPr>
          <w:rFonts w:ascii="Arial" w:cs="Arial" w:eastAsia="Arial" w:hAnsi="Arial"/>
          <w:sz w:val="17"/>
          <w:szCs w:val="17"/>
          <w:b w:val="1"/>
          <w:bCs w:val="1"/>
          <w:color w:val="auto"/>
        </w:rPr>
        <w:t xml:space="preserve"> </w:t>
      </w:r>
      <w:r>
        <w:rPr>
          <w:rFonts w:ascii="Arial" w:cs="Arial" w:eastAsia="Arial" w:hAnsi="Arial"/>
          <w:sz w:val="17"/>
          <w:szCs w:val="17"/>
          <w:color w:val="auto"/>
        </w:rPr>
        <w:t>Telemundo broadcast networks; NBC and Telemundo owned local broadcast television stations; and Peacock, our direct-to-consumer streaming service. Also includes international networks, including most of the Sky Sports channels, and other digital properties. Revenue is generated primarily from the distribution of our television and streaming programming and from the sale of advertising on our television networks, Peacock and other digital properties.</w:t>
      </w:r>
    </w:p>
    <w:p>
      <w:pPr>
        <w:spacing w:after="0" w:line="65" w:lineRule="exact"/>
        <w:rPr>
          <w:rFonts w:ascii="Arial" w:cs="Arial" w:eastAsia="Arial" w:hAnsi="Arial"/>
          <w:sz w:val="17"/>
          <w:szCs w:val="17"/>
          <w:color w:val="auto"/>
        </w:rPr>
      </w:pPr>
    </w:p>
    <w:p>
      <w:pPr>
        <w:jc w:val="both"/>
        <w:ind w:left="640" w:hanging="321"/>
        <w:spacing w:after="0" w:line="277"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Studios Segment: </w:t>
      </w:r>
      <w:r>
        <w:rPr>
          <w:rFonts w:ascii="Arial" w:cs="Arial" w:eastAsia="Arial" w:hAnsi="Arial"/>
          <w:sz w:val="17"/>
          <w:szCs w:val="17"/>
          <w:color w:val="auto"/>
        </w:rPr>
        <w:t>Includes primarily our NBCUniversal and Sky film and television studio production and distribution operations. Revenue is</w:t>
      </w:r>
      <w:r>
        <w:rPr>
          <w:rFonts w:ascii="Arial" w:cs="Arial" w:eastAsia="Arial" w:hAnsi="Arial"/>
          <w:sz w:val="17"/>
          <w:szCs w:val="17"/>
          <w:b w:val="1"/>
          <w:bCs w:val="1"/>
          <w:color w:val="auto"/>
        </w:rPr>
        <w:t xml:space="preserve"> </w:t>
      </w:r>
      <w:r>
        <w:rPr>
          <w:rFonts w:ascii="Arial" w:cs="Arial" w:eastAsia="Arial" w:hAnsi="Arial"/>
          <w:sz w:val="17"/>
          <w:szCs w:val="17"/>
          <w:color w:val="auto"/>
        </w:rPr>
        <w:t>generated primarily from licensing our owned film and television content in the United States and internationally; and from the worldwide distribution of our produced and acquired films for exhibition in movie theaters.</w:t>
      </w:r>
    </w:p>
    <w:p>
      <w:pPr>
        <w:spacing w:after="0" w:line="56" w:lineRule="exact"/>
        <w:rPr>
          <w:rFonts w:ascii="Arial" w:cs="Arial" w:eastAsia="Arial" w:hAnsi="Arial"/>
          <w:sz w:val="17"/>
          <w:szCs w:val="17"/>
          <w:color w:val="auto"/>
        </w:rPr>
      </w:pPr>
    </w:p>
    <w:p>
      <w:pPr>
        <w:ind w:left="640" w:hanging="321"/>
        <w:spacing w:after="0" w:line="296"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Theme Parks Segment: </w:t>
      </w:r>
      <w:r>
        <w:rPr>
          <w:rFonts w:ascii="Arial" w:cs="Arial" w:eastAsia="Arial" w:hAnsi="Arial"/>
          <w:sz w:val="17"/>
          <w:szCs w:val="17"/>
          <w:color w:val="auto"/>
        </w:rPr>
        <w:t>Includes primarily the operations of our Universal theme parks in Orlando, Florida; Hollywood, California; Osaka, Japan; and</w:t>
      </w:r>
      <w:r>
        <w:rPr>
          <w:rFonts w:ascii="Arial" w:cs="Arial" w:eastAsia="Arial" w:hAnsi="Arial"/>
          <w:sz w:val="17"/>
          <w:szCs w:val="17"/>
          <w:b w:val="1"/>
          <w:bCs w:val="1"/>
          <w:color w:val="auto"/>
        </w:rPr>
        <w:t xml:space="preserve"> </w:t>
      </w:r>
      <w:r>
        <w:rPr>
          <w:rFonts w:ascii="Arial" w:cs="Arial" w:eastAsia="Arial" w:hAnsi="Arial"/>
          <w:sz w:val="17"/>
          <w:szCs w:val="17"/>
          <w:color w:val="auto"/>
        </w:rPr>
        <w:t>Beijing, China. Revenue is generated primarily from guest spending at our theme parks.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other business interests consist primarily of Sky operations outside of the Connectivity &amp; Platforms markets, the operations of Comcast Spectacor, which owns the Philadelphia Flyers and the Wells Fargo Center arena in Philadelphia, Pennsylvania, and the operations of Xumo, our consolidated streaming platform joint venture with Charter Communications formed in June 2022.</w:t>
      </w:r>
    </w:p>
    <w:p>
      <w:pPr>
        <w:spacing w:after="0" w:line="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Transactions between our Connectivity &amp; Platforms and Content &amp; Experiences businesses, and between segments within the Content &amp; Experiences business, generally include intercompany profit consistent with third-party transactions. The segments within our Connectivity &amp; Platforms business use certain shared infrastructure, including the cable distribution network in the United States, and each segment is presented with its direct costs and an allocation of shared costs, as well as revenue from its customers.</w:t>
      </w:r>
    </w:p>
    <w:p>
      <w:pPr>
        <w:spacing w:after="0" w:line="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financial data by reportable business segment is presented in the tables below and has been updated to reflect our new segment presentation, including: (1) presentation of Cable Communications results in the Residential Connectivity &amp; Platforms and Business Services Connectivity segments and (2) presentation of Sky’s results across the segments within the Connectivity &amp; Platforms and Content &amp; Experiences businesses, and Corporate and Other. We do not present asset information for our reportable business segments as this information is not used to allocate resources and capital.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3"/>
          </w:tcPr>
          <w:p>
            <w:pPr>
              <w:jc w:val="right"/>
              <w:ind w:right="475"/>
              <w:spacing w:after="0"/>
              <w:rPr>
                <w:sz w:val="20"/>
                <w:szCs w:val="20"/>
                <w:color w:val="auto"/>
              </w:rPr>
            </w:pPr>
            <w:r>
              <w:rPr>
                <w:rFonts w:ascii="Arial" w:cs="Arial" w:eastAsia="Arial" w:hAnsi="Arial"/>
                <w:sz w:val="14"/>
                <w:szCs w:val="14"/>
                <w:color w:val="auto"/>
              </w:rPr>
              <w:t>Three Months Ended September 30,</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
        </w:trPr>
        <w:tc>
          <w:tcPr>
            <w:tcW w:w="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2023</w:t>
            </w:r>
          </w:p>
        </w:tc>
        <w:tc>
          <w:tcPr>
            <w:tcW w:w="1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2022</w:t>
            </w:r>
          </w:p>
        </w:tc>
        <w:tc>
          <w:tcPr>
            <w:tcW w:w="1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9"/>
                <w:szCs w:val="19"/>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8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4"/>
                <w:szCs w:val="14"/>
                <w:color w:val="auto"/>
                <w:w w:val="93"/>
              </w:rPr>
              <w:t>Adjusted EBITDA</w:t>
            </w:r>
            <w:r>
              <w:rPr>
                <w:rFonts w:ascii="Arial" w:cs="Arial" w:eastAsia="Arial" w:hAnsi="Arial"/>
                <w:sz w:val="18"/>
                <w:szCs w:val="18"/>
                <w:color w:val="auto"/>
                <w:w w:val="93"/>
                <w:vertAlign w:val="superscript"/>
              </w:rPr>
              <w:t>(b)</w:t>
            </w:r>
          </w:p>
        </w:tc>
        <w:tc>
          <w:tcPr>
            <w:tcW w:w="300" w:type="dxa"/>
            <w:vAlign w:val="bottom"/>
          </w:tcPr>
          <w:p>
            <w:pPr>
              <w:spacing w:after="0"/>
              <w:rPr>
                <w:sz w:val="19"/>
                <w:szCs w:val="19"/>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r>
      <w:tr>
        <w:trPr>
          <w:trHeight w:val="216"/>
        </w:trPr>
        <w:tc>
          <w:tcPr>
            <w:tcW w:w="4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Connectivity &amp; Platforms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7"/>
                <w:szCs w:val="17"/>
                <w:color w:val="auto"/>
              </w:rPr>
              <w:t>Residential Connectivity &amp; Platforms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17,951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6,886</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17,833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6,695</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2,320</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2,215</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Connectivity &amp; Platforms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20,271</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8,221</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20,048</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7,983</w:t>
            </w:r>
          </w:p>
        </w:tc>
        <w:tc>
          <w:tcPr>
            <w:tcW w:w="2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Content &amp; Experiences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7"/>
                <w:szCs w:val="17"/>
                <w:color w:val="auto"/>
              </w:rPr>
              <w:t>Media</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6,029</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723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6,005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679</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Studios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7"/>
                <w:szCs w:val="17"/>
                <w:color w:val="auto"/>
              </w:rPr>
              <w:t>Theme Parks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2,418</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983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2,064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819</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Headquarters and Other</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40" w:type="dxa"/>
            <w:vAlign w:val="bottom"/>
            <w:tcBorders>
              <w:bottom w:val="single" w:sz="8" w:color="auto"/>
            </w:tcBorders>
          </w:tcPr>
          <w:p>
            <w:pPr>
              <w:ind w:left="220"/>
              <w:spacing w:after="0" w:line="223"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Content &amp; Experiences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10,559</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1,973</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10,477</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Corporate and Other</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643</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(249)</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(318)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40" w:type="dxa"/>
            <w:vAlign w:val="bottom"/>
            <w:tcBorders>
              <w:bottom w:val="single" w:sz="8" w:color="auto"/>
            </w:tcBorders>
            <w:shd w:val="clear" w:color="auto" w:fill="CCEEFF"/>
          </w:tcPr>
          <w:p>
            <w:pPr>
              <w:spacing w:after="0" w:line="223"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Comcast Consolidated</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30,115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9,962</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29,849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9,482</w:t>
            </w:r>
          </w:p>
        </w:tc>
        <w:tc>
          <w:tcPr>
            <w:tcW w:w="20" w:type="dxa"/>
            <w:vAlign w:val="bottom"/>
          </w:tcPr>
          <w:p>
            <w:pPr>
              <w:spacing w:after="0"/>
              <w:rPr>
                <w:sz w:val="19"/>
                <w:szCs w:val="19"/>
                <w:color w:val="auto"/>
              </w:rPr>
            </w:pPr>
          </w:p>
        </w:tc>
      </w:tr>
      <w:tr>
        <w:trPr>
          <w:trHeight w:val="343"/>
        </w:trPr>
        <w:tc>
          <w:tcPr>
            <w:tcW w:w="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3"/>
          </w:tcPr>
          <w:p>
            <w:pPr>
              <w:jc w:val="right"/>
              <w:ind w:right="495"/>
              <w:spacing w:after="0"/>
              <w:rPr>
                <w:sz w:val="20"/>
                <w:szCs w:val="20"/>
                <w:color w:val="auto"/>
              </w:rPr>
            </w:pPr>
            <w:r>
              <w:rPr>
                <w:rFonts w:ascii="Arial" w:cs="Arial" w:eastAsia="Arial" w:hAnsi="Arial"/>
                <w:sz w:val="14"/>
                <w:szCs w:val="14"/>
                <w:color w:val="auto"/>
              </w:rPr>
              <w:t>Nine Months Ended September 30,</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2023</w:t>
            </w:r>
          </w:p>
        </w:tc>
        <w:tc>
          <w:tcPr>
            <w:tcW w:w="1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2022</w:t>
            </w:r>
          </w:p>
        </w:tc>
        <w:tc>
          <w:tcPr>
            <w:tcW w:w="1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4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7"/>
                <w:szCs w:val="17"/>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(a)</w:t>
            </w:r>
          </w:p>
        </w:tc>
        <w:tc>
          <w:tcPr>
            <w:tcW w:w="180" w:type="dxa"/>
            <w:vAlign w:val="bottom"/>
          </w:tcPr>
          <w:p>
            <w:pPr>
              <w:spacing w:after="0"/>
              <w:rPr>
                <w:sz w:val="17"/>
                <w:szCs w:val="17"/>
                <w:color w:val="auto"/>
              </w:rPr>
            </w:pPr>
          </w:p>
        </w:tc>
        <w:tc>
          <w:tcPr>
            <w:tcW w:w="1380" w:type="dxa"/>
            <w:vAlign w:val="bottom"/>
          </w:tcPr>
          <w:p>
            <w:pPr>
              <w:jc w:val="right"/>
              <w:ind w:right="115"/>
              <w:spacing w:after="0"/>
              <w:rPr>
                <w:sz w:val="20"/>
                <w:szCs w:val="20"/>
                <w:color w:val="auto"/>
              </w:rPr>
            </w:pPr>
            <w:r>
              <w:rPr>
                <w:rFonts w:ascii="Arial" w:cs="Arial" w:eastAsia="Arial" w:hAnsi="Arial"/>
                <w:sz w:val="14"/>
                <w:szCs w:val="14"/>
                <w:color w:val="auto"/>
                <w:w w:val="96"/>
              </w:rPr>
              <w:t>Adjusted EBITDA</w:t>
            </w:r>
            <w:r>
              <w:rPr>
                <w:rFonts w:ascii="Arial" w:cs="Arial" w:eastAsia="Arial" w:hAnsi="Arial"/>
                <w:sz w:val="9"/>
                <w:szCs w:val="9"/>
                <w:color w:val="auto"/>
                <w:w w:val="96"/>
              </w:rPr>
              <w:t>(b)</w:t>
            </w:r>
          </w:p>
        </w:tc>
        <w:tc>
          <w:tcPr>
            <w:tcW w:w="300" w:type="dxa"/>
            <w:vAlign w:val="bottom"/>
          </w:tcPr>
          <w:p>
            <w:pPr>
              <w:spacing w:after="0"/>
              <w:rPr>
                <w:sz w:val="17"/>
                <w:szCs w:val="17"/>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(a)</w:t>
            </w: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9"/>
                <w:szCs w:val="9"/>
                <w:color w:val="auto"/>
              </w:rPr>
              <w:t>(b)</w:t>
            </w:r>
          </w:p>
        </w:tc>
      </w:tr>
      <w:tr>
        <w:trPr>
          <w:trHeight w:val="23"/>
        </w:trPr>
        <w:tc>
          <w:tcPr>
            <w:tcW w:w="4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Connectivity &amp; Platforms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7"/>
                <w:szCs w:val="17"/>
                <w:color w:val="auto"/>
              </w:rPr>
              <w:t>Residential Connectivity &amp; Platforms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53,888</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20,672</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54,305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20,039</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6,894</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3,988</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6,589</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3,784</w:t>
            </w: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Connectivity &amp; Platforms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60,783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24,660</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60,894</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23,822</w:t>
            </w:r>
          </w:p>
        </w:tc>
        <w:tc>
          <w:tcPr>
            <w:tcW w:w="2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Content &amp; Experiences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7"/>
                <w:szCs w:val="17"/>
                <w:color w:val="auto"/>
              </w:rPr>
              <w:t>Media</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18,376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2,847</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19,951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3,380</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Studios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8,561</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7"/>
                <w:szCs w:val="17"/>
                <w:color w:val="auto"/>
              </w:rPr>
              <w:t>Theme Parks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6,576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2,473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5,428</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1,902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Headquarters and Other</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40" w:type="dxa"/>
            <w:vAlign w:val="bottom"/>
            <w:tcBorders>
              <w:bottom w:val="single" w:sz="8" w:color="auto"/>
            </w:tcBorders>
          </w:tcPr>
          <w:p>
            <w:pPr>
              <w:ind w:left="220"/>
              <w:spacing w:after="0" w:line="223"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(1,867)</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(2,474)</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Content &amp; Experiences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31,690</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5,768</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32,270</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5,449</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Corporate and Other</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2,004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(841)</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1,931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(720)</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40" w:type="dxa"/>
            <w:vAlign w:val="bottom"/>
            <w:tcBorders>
              <w:bottom w:val="single" w:sz="8" w:color="auto"/>
            </w:tcBorders>
            <w:shd w:val="clear" w:color="auto" w:fill="CCEEFF"/>
          </w:tcPr>
          <w:p>
            <w:pPr>
              <w:spacing w:after="0" w:line="223"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(4,157)</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(4,220)</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Comcast Consolidated</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90,319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29,621</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90,874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28,459</w:t>
            </w:r>
          </w:p>
        </w:tc>
        <w:tc>
          <w:tcPr>
            <w:tcW w:w="20" w:type="dxa"/>
            <w:vAlign w:val="bottom"/>
          </w:tcPr>
          <w:p>
            <w:pPr>
              <w:spacing w:after="0"/>
              <w:rPr>
                <w:sz w:val="19"/>
                <w:szCs w:val="19"/>
                <w:color w:val="auto"/>
              </w:rPr>
            </w:pPr>
          </w:p>
        </w:tc>
      </w:tr>
      <w:tr>
        <w:trPr>
          <w:trHeight w:val="772"/>
        </w:trPr>
        <w:tc>
          <w:tcPr>
            <w:tcW w:w="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795"/>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tcBorders>
              <w:bottom w:val="single" w:sz="8" w:color="9A9A9A"/>
            </w:tcBorders>
          </w:tcPr>
          <w:p>
            <w:pPr>
              <w:spacing w:after="0"/>
              <w:rPr>
                <w:sz w:val="18"/>
                <w:szCs w:val="18"/>
                <w:color w:val="auto"/>
              </w:rPr>
            </w:pPr>
          </w:p>
        </w:tc>
        <w:tc>
          <w:tcPr>
            <w:tcW w:w="49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41" w:lineRule="exact"/>
        <w:rPr>
          <w:sz w:val="20"/>
          <w:szCs w:val="20"/>
          <w:color w:val="auto"/>
        </w:rPr>
      </w:pPr>
    </w:p>
    <w:p>
      <w:pPr>
        <w:jc w:val="both"/>
        <w:ind w:left="320" w:hanging="315"/>
        <w:spacing w:after="0" w:line="279" w:lineRule="auto"/>
        <w:tabs>
          <w:tab w:leader="none" w:pos="317"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Included in Eliminations are transactions that our segments enter into with one another. The most significant of these transactions include distribution revenue in Media related to fees from Residential Connectivity &amp; Platforms for the rights to distribute television programming and content licensing revenue in Studios for licenses of owned content to Media. Revenue for licenses of content from Studios to Media is generally recognized at a point in time, consistent with the recognition of transactions with third parties, when the content is delivered and made available for use. The costs of these licenses in Media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w:t>
      </w:r>
    </w:p>
    <w:p>
      <w:pPr>
        <w:spacing w:after="0" w:line="126"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4"/>
          <w:szCs w:val="14"/>
          <w:color w:val="auto"/>
        </w:rPr>
        <w:t>A summary of revenue for each of our segments resulting from transactions with other segments and eliminated in consolidation is presented in the table below.</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20" w:type="dxa"/>
            <w:vAlign w:val="bottom"/>
          </w:tcPr>
          <w:p>
            <w:pPr>
              <w:spacing w:after="0"/>
              <w:rPr>
                <w:sz w:val="14"/>
                <w:szCs w:val="14"/>
                <w:color w:val="auto"/>
              </w:rPr>
            </w:pPr>
          </w:p>
        </w:tc>
      </w:tr>
      <w:tr>
        <w:trPr>
          <w:trHeight w:val="182"/>
        </w:trPr>
        <w:tc>
          <w:tcPr>
            <w:tcW w:w="4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5"/>
                <w:szCs w:val="15"/>
                <w:color w:val="auto"/>
              </w:rPr>
            </w:pPr>
          </w:p>
        </w:tc>
      </w:tr>
      <w:tr>
        <w:trPr>
          <w:trHeight w:val="19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color w:val="auto"/>
                <w:w w:val="83"/>
              </w:rPr>
              <w:t>2022</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w w:val="89"/>
              </w:rPr>
              <w:t>2022</w:t>
            </w:r>
          </w:p>
        </w:tc>
      </w:tr>
      <w:tr>
        <w:trPr>
          <w:trHeight w:val="19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Connectivity &amp; Platforms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7"/>
        </w:trPr>
        <w:tc>
          <w:tcPr>
            <w:tcW w:w="4840" w:type="dxa"/>
            <w:vAlign w:val="bottom"/>
          </w:tcPr>
          <w:p>
            <w:pPr>
              <w:ind w:left="220"/>
              <w:spacing w:after="0"/>
              <w:rPr>
                <w:sz w:val="20"/>
                <w:szCs w:val="20"/>
                <w:color w:val="auto"/>
              </w:rPr>
            </w:pPr>
            <w:r>
              <w:rPr>
                <w:rFonts w:ascii="Arial" w:cs="Arial" w:eastAsia="Arial" w:hAnsi="Arial"/>
                <w:sz w:val="14"/>
                <w:szCs w:val="14"/>
                <w:color w:val="auto"/>
              </w:rPr>
              <w:t>Residential Connectivity &amp; Platforms</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50</w:t>
            </w:r>
          </w:p>
        </w:tc>
        <w:tc>
          <w:tcPr>
            <w:tcW w:w="60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50</w:t>
            </w:r>
          </w:p>
        </w:tc>
        <w:tc>
          <w:tcPr>
            <w:tcW w:w="4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146</w:t>
            </w:r>
          </w:p>
        </w:tc>
        <w:tc>
          <w:tcPr>
            <w:tcW w:w="58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157</w:t>
            </w:r>
          </w:p>
        </w:tc>
      </w:tr>
      <w:tr>
        <w:trPr>
          <w:trHeight w:val="206"/>
        </w:trPr>
        <w:tc>
          <w:tcPr>
            <w:tcW w:w="4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Business Services Connectivity</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17</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r>
      <w:tr>
        <w:trPr>
          <w:trHeight w:val="187"/>
        </w:trPr>
        <w:tc>
          <w:tcPr>
            <w:tcW w:w="4840" w:type="dxa"/>
            <w:vAlign w:val="bottom"/>
          </w:tcPr>
          <w:p>
            <w:pPr>
              <w:ind w:left="20"/>
              <w:spacing w:after="0"/>
              <w:rPr>
                <w:sz w:val="20"/>
                <w:szCs w:val="20"/>
                <w:color w:val="auto"/>
              </w:rPr>
            </w:pPr>
            <w:r>
              <w:rPr>
                <w:rFonts w:ascii="Arial" w:cs="Arial" w:eastAsia="Arial" w:hAnsi="Arial"/>
                <w:sz w:val="14"/>
                <w:szCs w:val="14"/>
                <w:color w:val="auto"/>
              </w:rPr>
              <w:t>Content &amp; Experiences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6"/>
        </w:trPr>
        <w:tc>
          <w:tcPr>
            <w:tcW w:w="4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Media</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1,160</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1,073</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3,492</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3,493</w:t>
            </w:r>
          </w:p>
        </w:tc>
      </w:tr>
      <w:tr>
        <w:trPr>
          <w:trHeight w:val="187"/>
        </w:trPr>
        <w:tc>
          <w:tcPr>
            <w:tcW w:w="4840" w:type="dxa"/>
            <w:vAlign w:val="bottom"/>
          </w:tcPr>
          <w:p>
            <w:pPr>
              <w:ind w:left="220"/>
              <w:spacing w:after="0"/>
              <w:rPr>
                <w:sz w:val="20"/>
                <w:szCs w:val="20"/>
                <w:color w:val="auto"/>
              </w:rPr>
            </w:pPr>
            <w:r>
              <w:rPr>
                <w:rFonts w:ascii="Arial" w:cs="Arial" w:eastAsia="Arial" w:hAnsi="Arial"/>
                <w:sz w:val="14"/>
                <w:szCs w:val="14"/>
                <w:color w:val="auto"/>
              </w:rPr>
              <w:t>Studios</w:t>
            </w:r>
          </w:p>
        </w:tc>
        <w:tc>
          <w:tcPr>
            <w:tcW w:w="280" w:type="dxa"/>
            <w:vAlign w:val="bottom"/>
          </w:tcPr>
          <w:p>
            <w:pPr>
              <w:spacing w:after="0"/>
              <w:rPr>
                <w:sz w:val="16"/>
                <w:szCs w:val="16"/>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524</w:t>
            </w:r>
          </w:p>
        </w:tc>
        <w:tc>
          <w:tcPr>
            <w:tcW w:w="60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1009</w:t>
            </w:r>
          </w:p>
        </w:tc>
        <w:tc>
          <w:tcPr>
            <w:tcW w:w="420" w:type="dxa"/>
            <w:vAlign w:val="bottom"/>
          </w:tcPr>
          <w:p>
            <w:pPr>
              <w:spacing w:after="0"/>
              <w:rPr>
                <w:sz w:val="16"/>
                <w:szCs w:val="16"/>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2,233</w:t>
            </w:r>
          </w:p>
        </w:tc>
        <w:tc>
          <w:tcPr>
            <w:tcW w:w="5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2,867</w:t>
            </w:r>
          </w:p>
        </w:tc>
      </w:tr>
      <w:tr>
        <w:trPr>
          <w:trHeight w:val="206"/>
        </w:trPr>
        <w:tc>
          <w:tcPr>
            <w:tcW w:w="4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Theme Parks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r>
      <w:tr>
        <w:trPr>
          <w:trHeight w:val="187"/>
        </w:trPr>
        <w:tc>
          <w:tcPr>
            <w:tcW w:w="4840" w:type="dxa"/>
            <w:vAlign w:val="bottom"/>
          </w:tcPr>
          <w:p>
            <w:pPr>
              <w:ind w:left="220"/>
              <w:spacing w:after="0"/>
              <w:rPr>
                <w:sz w:val="20"/>
                <w:szCs w:val="20"/>
                <w:color w:val="auto"/>
              </w:rPr>
            </w:pPr>
            <w:r>
              <w:rPr>
                <w:rFonts w:ascii="Arial" w:cs="Arial" w:eastAsia="Arial" w:hAnsi="Arial"/>
                <w:sz w:val="14"/>
                <w:szCs w:val="14"/>
                <w:color w:val="auto"/>
              </w:rPr>
              <w:t>Headquarters and Other</w:t>
            </w:r>
          </w:p>
        </w:tc>
        <w:tc>
          <w:tcPr>
            <w:tcW w:w="280" w:type="dxa"/>
            <w:vAlign w:val="bottom"/>
          </w:tcPr>
          <w:p>
            <w:pPr>
              <w:spacing w:after="0"/>
              <w:rPr>
                <w:sz w:val="16"/>
                <w:szCs w:val="16"/>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5</w:t>
            </w:r>
          </w:p>
        </w:tc>
        <w:tc>
          <w:tcPr>
            <w:tcW w:w="60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16</w:t>
            </w:r>
          </w:p>
        </w:tc>
        <w:tc>
          <w:tcPr>
            <w:tcW w:w="420" w:type="dxa"/>
            <w:vAlign w:val="bottom"/>
          </w:tcPr>
          <w:p>
            <w:pPr>
              <w:spacing w:after="0"/>
              <w:rPr>
                <w:sz w:val="16"/>
                <w:szCs w:val="16"/>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18</w:t>
            </w:r>
          </w:p>
        </w:tc>
        <w:tc>
          <w:tcPr>
            <w:tcW w:w="5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34</w:t>
            </w:r>
          </w:p>
        </w:tc>
      </w:tr>
      <w:tr>
        <w:trPr>
          <w:trHeight w:val="199"/>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33</w:t>
            </w:r>
          </w:p>
        </w:tc>
        <w:tc>
          <w:tcPr>
            <w:tcW w:w="6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33</w:t>
            </w: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120</w:t>
            </w:r>
          </w:p>
        </w:tc>
        <w:tc>
          <w:tcPr>
            <w:tcW w:w="5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127</w:t>
            </w:r>
          </w:p>
        </w:tc>
      </w:tr>
      <w:tr>
        <w:trPr>
          <w:trHeight w:val="20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intersegment revenue</w:t>
            </w: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1,777</w:t>
            </w:r>
          </w:p>
        </w:tc>
        <w:tc>
          <w:tcPr>
            <w:tcW w:w="6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2,186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6,025</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6,695</w:t>
            </w:r>
          </w:p>
        </w:tc>
      </w:tr>
    </w:tbl>
    <w:p>
      <w:pPr>
        <w:spacing w:after="0" w:line="139" w:lineRule="exact"/>
        <w:rPr>
          <w:sz w:val="20"/>
          <w:szCs w:val="20"/>
          <w:color w:val="auto"/>
        </w:rPr>
      </w:pPr>
    </w:p>
    <w:p>
      <w:pPr>
        <w:jc w:val="both"/>
        <w:ind w:left="320" w:hanging="315"/>
        <w:spacing w:after="0" w:line="266"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From time to time we may report the impact of certain events, gains, losses or other charges related to our operating segments within Corporate and Other. Our reconciliation of the aggregate amount of Adjusted EBITDA for our segments to consolidated income before income taxes is presented in the table below.</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gridSpan w:val="2"/>
          </w:tcPr>
          <w:p>
            <w:pPr>
              <w:jc w:val="right"/>
              <w:ind w:right="230"/>
              <w:spacing w:after="0"/>
              <w:rPr>
                <w:sz w:val="20"/>
                <w:szCs w:val="20"/>
                <w:color w:val="auto"/>
              </w:rPr>
            </w:pPr>
            <w:r>
              <w:rPr>
                <w:rFonts w:ascii="Arial" w:cs="Arial" w:eastAsia="Arial" w:hAnsi="Arial"/>
                <w:sz w:val="14"/>
                <w:szCs w:val="14"/>
                <w:color w:val="auto"/>
                <w:w w:val="90"/>
              </w:rPr>
              <w:t>Three Months Ended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w w:val="92"/>
              </w:rPr>
              <w:t>Nine Months Ended</w:t>
            </w:r>
          </w:p>
        </w:tc>
        <w:tc>
          <w:tcPr>
            <w:tcW w:w="820" w:type="dxa"/>
            <w:vAlign w:val="bottom"/>
          </w:tcPr>
          <w:p>
            <w:pPr>
              <w:spacing w:after="0"/>
              <w:rPr>
                <w:sz w:val="14"/>
                <w:szCs w:val="14"/>
                <w:color w:val="auto"/>
              </w:rPr>
            </w:pPr>
          </w:p>
        </w:tc>
      </w:tr>
      <w:tr>
        <w:trPr>
          <w:trHeight w:val="182"/>
        </w:trPr>
        <w:tc>
          <w:tcPr>
            <w:tcW w:w="48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color w:val="auto"/>
              </w:rPr>
              <w:t>September 30,</w:t>
            </w: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5"/>
                <w:szCs w:val="15"/>
                <w:color w:val="auto"/>
              </w:rPr>
            </w:pPr>
          </w:p>
        </w:tc>
      </w:tr>
      <w:tr>
        <w:trPr>
          <w:trHeight w:val="190"/>
        </w:trPr>
        <w:tc>
          <w:tcPr>
            <w:tcW w:w="484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w w:val="89"/>
              </w:rPr>
              <w:t>2022</w:t>
            </w:r>
          </w:p>
        </w:tc>
      </w:tr>
      <w:tr>
        <w:trPr>
          <w:trHeight w:val="19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760" w:type="dxa"/>
            <w:vAlign w:val="bottom"/>
            <w:shd w:val="clear" w:color="auto" w:fill="CCEEFF"/>
          </w:tcPr>
          <w:p>
            <w:pPr>
              <w:jc w:val="right"/>
              <w:ind w:right="6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9,962</w:t>
            </w:r>
          </w:p>
        </w:tc>
        <w:tc>
          <w:tcPr>
            <w:tcW w:w="900" w:type="dxa"/>
            <w:vAlign w:val="bottom"/>
            <w:shd w:val="clear" w:color="auto" w:fill="CCEEFF"/>
          </w:tcPr>
          <w:p>
            <w:pPr>
              <w:jc w:val="right"/>
              <w:ind w:right="65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9,482</w:t>
            </w:r>
          </w:p>
        </w:tc>
        <w:tc>
          <w:tcPr>
            <w:tcW w:w="900" w:type="dxa"/>
            <w:vAlign w:val="bottom"/>
            <w:shd w:val="clear" w:color="auto" w:fill="CCEEFF"/>
          </w:tcPr>
          <w:p>
            <w:pPr>
              <w:jc w:val="right"/>
              <w:ind w:right="63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3"/>
              </w:rPr>
              <w:t>29,621</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28,459</w:t>
            </w:r>
          </w:p>
        </w:tc>
      </w:tr>
      <w:tr>
        <w:trPr>
          <w:trHeight w:val="187"/>
        </w:trPr>
        <w:tc>
          <w:tcPr>
            <w:tcW w:w="484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76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6</w:t>
            </w:r>
          </w:p>
        </w:tc>
        <w:tc>
          <w:tcPr>
            <w:tcW w:w="900" w:type="dxa"/>
            <w:vAlign w:val="bottom"/>
          </w:tcPr>
          <w:p>
            <w:pPr>
              <w:spacing w:after="0"/>
              <w:rPr>
                <w:sz w:val="16"/>
                <w:szCs w:val="16"/>
                <w:color w:val="auto"/>
              </w:rPr>
            </w:pPr>
          </w:p>
        </w:tc>
        <w:tc>
          <w:tcPr>
            <w:tcW w:w="560" w:type="dxa"/>
            <w:vAlign w:val="bottom"/>
          </w:tcPr>
          <w:p>
            <w:pPr>
              <w:jc w:val="right"/>
              <w:ind w:right="90"/>
              <w:spacing w:after="0"/>
              <w:rPr>
                <w:sz w:val="20"/>
                <w:szCs w:val="20"/>
                <w:color w:val="auto"/>
              </w:rPr>
            </w:pPr>
            <w:r>
              <w:rPr>
                <w:rFonts w:ascii="Arial" w:cs="Arial" w:eastAsia="Arial" w:hAnsi="Arial"/>
                <w:sz w:val="14"/>
                <w:szCs w:val="14"/>
                <w:color w:val="auto"/>
              </w:rPr>
              <w:t>9</w:t>
            </w:r>
          </w:p>
        </w:tc>
        <w:tc>
          <w:tcPr>
            <w:tcW w:w="900" w:type="dxa"/>
            <w:vAlign w:val="bottom"/>
          </w:tcPr>
          <w:p>
            <w:pPr>
              <w:spacing w:after="0"/>
              <w:rPr>
                <w:sz w:val="16"/>
                <w:szCs w:val="16"/>
                <w:color w:val="auto"/>
              </w:rPr>
            </w:pPr>
          </w:p>
        </w:tc>
        <w:tc>
          <w:tcPr>
            <w:tcW w:w="580" w:type="dxa"/>
            <w:vAlign w:val="bottom"/>
          </w:tcPr>
          <w:p>
            <w:pPr>
              <w:jc w:val="right"/>
              <w:ind w:right="90"/>
              <w:spacing w:after="0"/>
              <w:rPr>
                <w:sz w:val="20"/>
                <w:szCs w:val="20"/>
                <w:color w:val="auto"/>
              </w:rPr>
            </w:pPr>
            <w:r>
              <w:rPr>
                <w:rFonts w:ascii="Arial" w:cs="Arial" w:eastAsia="Arial" w:hAnsi="Arial"/>
                <w:sz w:val="14"/>
                <w:szCs w:val="14"/>
                <w:color w:val="auto"/>
              </w:rPr>
              <w:t>16</w:t>
            </w:r>
          </w:p>
        </w:tc>
        <w:tc>
          <w:tcPr>
            <w:tcW w:w="5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w:t>
            </w: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(2,203)</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4"/>
              </w:rPr>
              <w:t>(2,150)</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9"/>
              </w:rPr>
              <w:t>(6,662)</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(6,525)</w:t>
            </w:r>
          </w:p>
        </w:tc>
      </w:tr>
      <w:tr>
        <w:trPr>
          <w:trHeight w:val="187"/>
        </w:trPr>
        <w:tc>
          <w:tcPr>
            <w:tcW w:w="484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760" w:type="dxa"/>
            <w:vAlign w:val="bottom"/>
          </w:tcPr>
          <w:p>
            <w:pPr>
              <w:spacing w:after="0"/>
              <w:rPr>
                <w:sz w:val="16"/>
                <w:szCs w:val="16"/>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(1,290)</w:t>
            </w:r>
          </w:p>
        </w:tc>
        <w:tc>
          <w:tcPr>
            <w:tcW w:w="90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w w:val="94"/>
              </w:rPr>
              <w:t>(1,183)</w:t>
            </w:r>
          </w:p>
        </w:tc>
        <w:tc>
          <w:tcPr>
            <w:tcW w:w="9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w w:val="99"/>
              </w:rPr>
              <w:t>(4,146)</w:t>
            </w:r>
          </w:p>
        </w:tc>
        <w:tc>
          <w:tcPr>
            <w:tcW w:w="5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(3,824)</w:t>
            </w: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and long-lived asset impairments</w:t>
            </w: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4"/>
              </w:rPr>
              <w:t>(8,583)</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(8,583)</w:t>
            </w:r>
          </w:p>
        </w:tc>
      </w:tr>
      <w:tr>
        <w:trPr>
          <w:trHeight w:val="187"/>
        </w:trPr>
        <w:tc>
          <w:tcPr>
            <w:tcW w:w="48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760" w:type="dxa"/>
            <w:vAlign w:val="bottom"/>
          </w:tcPr>
          <w:p>
            <w:pPr>
              <w:spacing w:after="0"/>
              <w:rPr>
                <w:sz w:val="16"/>
                <w:szCs w:val="16"/>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(1,060)</w:t>
            </w:r>
          </w:p>
        </w:tc>
        <w:tc>
          <w:tcPr>
            <w:tcW w:w="90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(960)</w:t>
            </w:r>
          </w:p>
        </w:tc>
        <w:tc>
          <w:tcPr>
            <w:tcW w:w="9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w w:val="99"/>
              </w:rPr>
              <w:t>(3,068)</w:t>
            </w:r>
          </w:p>
        </w:tc>
        <w:tc>
          <w:tcPr>
            <w:tcW w:w="5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(2,922)</w:t>
            </w:r>
          </w:p>
        </w:tc>
      </w:tr>
      <w:tr>
        <w:trPr>
          <w:trHeight w:val="199"/>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Investment and other income (loss), net</w:t>
            </w:r>
          </w:p>
        </w:tc>
        <w:tc>
          <w:tcPr>
            <w:tcW w:w="7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50</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(266)</w:t>
            </w: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672</w:t>
            </w:r>
          </w:p>
        </w:tc>
        <w:tc>
          <w:tcPr>
            <w:tcW w:w="5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w:t>
            </w:r>
          </w:p>
        </w:tc>
      </w:tr>
      <w:tr>
        <w:trPr>
          <w:trHeight w:val="20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7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5,465</w:t>
            </w:r>
          </w:p>
        </w:tc>
        <w:tc>
          <w:tcPr>
            <w:tcW w:w="90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4"/>
              </w:rPr>
              <w:t>(3,652)</w:t>
            </w:r>
          </w:p>
        </w:tc>
        <w:tc>
          <w:tcPr>
            <w:tcW w:w="90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93"/>
              </w:rPr>
              <w:t>16,434</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5,614</w:t>
            </w:r>
          </w:p>
        </w:tc>
      </w:tr>
    </w:tbl>
    <w:p>
      <w:pPr>
        <w:spacing w:after="0" w:line="112" w:lineRule="exact"/>
        <w:rPr>
          <w:sz w:val="20"/>
          <w:szCs w:val="20"/>
          <w:color w:val="auto"/>
        </w:rPr>
      </w:pPr>
    </w:p>
    <w:p>
      <w:pPr>
        <w:ind w:left="320"/>
        <w:spacing w:after="0" w:line="279" w:lineRule="auto"/>
        <w:rPr>
          <w:sz w:val="20"/>
          <w:szCs w:val="20"/>
          <w:color w:val="auto"/>
        </w:rPr>
      </w:pPr>
      <w:r>
        <w:rPr>
          <w:rFonts w:ascii="Arial" w:cs="Arial" w:eastAsia="Arial" w:hAnsi="Arial"/>
          <w:sz w:val="14"/>
          <w:szCs w:val="14"/>
          <w:color w:val="auto"/>
        </w:rPr>
        <w:t>Adjustments represent the impact of certain events, gains, losses or other charges that are excluded from Adjusted EBITDA, including costs related to our investment portfolio. Refer to Note 7 for a discussion of impairment charges in 2022 related to goodwill and long-lived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3: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82"/>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5"/>
                <w:szCs w:val="15"/>
                <w:color w:val="auto"/>
              </w:rPr>
            </w:pPr>
          </w:p>
        </w:tc>
      </w:tr>
      <w:tr>
        <w:trPr>
          <w:trHeight w:val="190"/>
        </w:trPr>
        <w:tc>
          <w:tcPr>
            <w:tcW w:w="516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w w:val="89"/>
              </w:rPr>
              <w:t>2022</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w w:val="96"/>
              </w:rPr>
              <w:t>2022</w:t>
            </w:r>
          </w:p>
        </w:tc>
      </w:tr>
      <w:tr>
        <w:trPr>
          <w:trHeight w:val="223"/>
        </w:trPr>
        <w:tc>
          <w:tcPr>
            <w:tcW w:w="5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Domestic broadband</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6,366</w:t>
            </w:r>
          </w:p>
        </w:tc>
        <w:tc>
          <w:tcPr>
            <w:tcW w:w="6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6,135</w:t>
            </w:r>
          </w:p>
        </w:tc>
        <w:tc>
          <w:tcPr>
            <w:tcW w:w="4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19,086</w:t>
            </w:r>
          </w:p>
        </w:tc>
        <w:tc>
          <w:tcPr>
            <w:tcW w:w="6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18,292</w:t>
            </w:r>
          </w:p>
        </w:tc>
      </w:tr>
      <w:tr>
        <w:trPr>
          <w:trHeight w:val="222"/>
        </w:trPr>
        <w:tc>
          <w:tcPr>
            <w:tcW w:w="5160" w:type="dxa"/>
            <w:vAlign w:val="bottom"/>
          </w:tcPr>
          <w:p>
            <w:pPr>
              <w:ind w:left="240"/>
              <w:spacing w:after="0"/>
              <w:rPr>
                <w:sz w:val="20"/>
                <w:szCs w:val="20"/>
                <w:color w:val="auto"/>
              </w:rPr>
            </w:pPr>
            <w:r>
              <w:rPr>
                <w:rFonts w:ascii="Arial" w:cs="Arial" w:eastAsia="Arial" w:hAnsi="Arial"/>
                <w:sz w:val="17"/>
                <w:szCs w:val="17"/>
                <w:color w:val="auto"/>
              </w:rPr>
              <w:t>Domestic wireless</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917</w:t>
            </w:r>
          </w:p>
        </w:tc>
        <w:tc>
          <w:tcPr>
            <w:tcW w:w="6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789</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2,644</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2,188</w:t>
            </w:r>
          </w:p>
        </w:tc>
      </w:tr>
      <w:tr>
        <w:trPr>
          <w:trHeight w:val="223"/>
        </w:trPr>
        <w:tc>
          <w:tcPr>
            <w:tcW w:w="51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International connectivity</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1,109</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842</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3,009</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2,473</w:t>
            </w:r>
          </w:p>
        </w:tc>
      </w:tr>
      <w:tr>
        <w:trPr>
          <w:trHeight w:val="216"/>
        </w:trPr>
        <w:tc>
          <w:tcPr>
            <w:tcW w:w="5160" w:type="dxa"/>
            <w:vAlign w:val="bottom"/>
          </w:tcPr>
          <w:p>
            <w:pPr>
              <w:ind w:left="120"/>
              <w:spacing w:after="0"/>
              <w:rPr>
                <w:sz w:val="20"/>
                <w:szCs w:val="20"/>
                <w:color w:val="auto"/>
              </w:rPr>
            </w:pPr>
            <w:r>
              <w:rPr>
                <w:rFonts w:ascii="Arial" w:cs="Arial" w:eastAsia="Arial" w:hAnsi="Arial"/>
                <w:sz w:val="17"/>
                <w:szCs w:val="17"/>
                <w:color w:val="auto"/>
              </w:rPr>
              <w:t>Total residential connectivity</w:t>
            </w:r>
          </w:p>
        </w:tc>
        <w:tc>
          <w:tcPr>
            <w:tcW w:w="3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8,393</w:t>
            </w:r>
          </w:p>
        </w:tc>
        <w:tc>
          <w:tcPr>
            <w:tcW w:w="640" w:type="dxa"/>
            <w:vAlign w:val="bottom"/>
          </w:tcPr>
          <w:p>
            <w:pPr>
              <w:spacing w:after="0"/>
              <w:rPr>
                <w:sz w:val="18"/>
                <w:szCs w:val="18"/>
                <w:color w:val="auto"/>
              </w:rPr>
            </w:pPr>
          </w:p>
        </w:tc>
        <w:tc>
          <w:tcPr>
            <w:tcW w:w="940" w:type="dxa"/>
            <w:vAlign w:val="bottom"/>
          </w:tcPr>
          <w:p>
            <w:pPr>
              <w:jc w:val="right"/>
              <w:ind w:right="93"/>
              <w:spacing w:after="0"/>
              <w:rPr>
                <w:sz w:val="20"/>
                <w:szCs w:val="20"/>
                <w:color w:val="auto"/>
              </w:rPr>
            </w:pPr>
            <w:r>
              <w:rPr>
                <w:rFonts w:ascii="Arial" w:cs="Arial" w:eastAsia="Arial" w:hAnsi="Arial"/>
                <w:sz w:val="17"/>
                <w:szCs w:val="17"/>
                <w:color w:val="auto"/>
              </w:rPr>
              <w:t>7,766</w:t>
            </w:r>
          </w:p>
        </w:tc>
        <w:tc>
          <w:tcPr>
            <w:tcW w:w="44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24,739</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22,953</w:t>
            </w: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Video</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7,154</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7,428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21,895</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23,223</w:t>
            </w:r>
          </w:p>
        </w:tc>
      </w:tr>
      <w:tr>
        <w:trPr>
          <w:trHeight w:val="222"/>
        </w:trPr>
        <w:tc>
          <w:tcPr>
            <w:tcW w:w="5160" w:type="dxa"/>
            <w:vAlign w:val="bottom"/>
          </w:tcPr>
          <w:p>
            <w:pPr>
              <w:ind w:left="140"/>
              <w:spacing w:after="0"/>
              <w:rPr>
                <w:sz w:val="20"/>
                <w:szCs w:val="20"/>
                <w:color w:val="auto"/>
              </w:rPr>
            </w:pPr>
            <w:r>
              <w:rPr>
                <w:rFonts w:ascii="Arial" w:cs="Arial" w:eastAsia="Arial" w:hAnsi="Arial"/>
                <w:sz w:val="17"/>
                <w:szCs w:val="17"/>
                <w:color w:val="auto"/>
              </w:rPr>
              <w:t>Advertising</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960</w:t>
            </w:r>
          </w:p>
        </w:tc>
        <w:tc>
          <w:tcPr>
            <w:tcW w:w="64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7"/>
                <w:szCs w:val="17"/>
                <w:color w:val="auto"/>
              </w:rPr>
              <w:t>1,079</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2,860</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3,263</w:t>
            </w:r>
          </w:p>
        </w:tc>
      </w:tr>
      <w:tr>
        <w:trPr>
          <w:trHeight w:val="223"/>
        </w:trPr>
        <w:tc>
          <w:tcPr>
            <w:tcW w:w="5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1,444</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1,561</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4,394</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4,866</w:t>
            </w:r>
          </w:p>
        </w:tc>
      </w:tr>
      <w:tr>
        <w:trPr>
          <w:trHeight w:val="216"/>
        </w:trPr>
        <w:tc>
          <w:tcPr>
            <w:tcW w:w="5160" w:type="dxa"/>
            <w:vAlign w:val="bottom"/>
          </w:tcPr>
          <w:p>
            <w:pPr>
              <w:ind w:left="20"/>
              <w:spacing w:after="0"/>
              <w:rPr>
                <w:sz w:val="20"/>
                <w:szCs w:val="20"/>
                <w:color w:val="auto"/>
              </w:rPr>
            </w:pPr>
            <w:r>
              <w:rPr>
                <w:rFonts w:ascii="Arial" w:cs="Arial" w:eastAsia="Arial" w:hAnsi="Arial"/>
                <w:sz w:val="17"/>
                <w:szCs w:val="17"/>
                <w:color w:val="auto"/>
              </w:rPr>
              <w:t>Total Residential Connectivity &amp; Platforms</w:t>
            </w:r>
          </w:p>
        </w:tc>
        <w:tc>
          <w:tcPr>
            <w:tcW w:w="3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17,951</w:t>
            </w:r>
          </w:p>
        </w:tc>
        <w:tc>
          <w:tcPr>
            <w:tcW w:w="640" w:type="dxa"/>
            <w:vAlign w:val="bottom"/>
          </w:tcPr>
          <w:p>
            <w:pPr>
              <w:spacing w:after="0"/>
              <w:rPr>
                <w:sz w:val="18"/>
                <w:szCs w:val="18"/>
                <w:color w:val="auto"/>
              </w:rPr>
            </w:pPr>
          </w:p>
        </w:tc>
        <w:tc>
          <w:tcPr>
            <w:tcW w:w="940" w:type="dxa"/>
            <w:vAlign w:val="bottom"/>
          </w:tcPr>
          <w:p>
            <w:pPr>
              <w:jc w:val="right"/>
              <w:ind w:right="93"/>
              <w:spacing w:after="0"/>
              <w:rPr>
                <w:sz w:val="20"/>
                <w:szCs w:val="20"/>
                <w:color w:val="auto"/>
              </w:rPr>
            </w:pPr>
            <w:r>
              <w:rPr>
                <w:rFonts w:ascii="Arial" w:cs="Arial" w:eastAsia="Arial" w:hAnsi="Arial"/>
                <w:sz w:val="17"/>
                <w:szCs w:val="17"/>
                <w:color w:val="auto"/>
              </w:rPr>
              <w:t>17,833</w:t>
            </w:r>
          </w:p>
        </w:tc>
        <w:tc>
          <w:tcPr>
            <w:tcW w:w="44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53,888</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54,305</w:t>
            </w:r>
          </w:p>
        </w:tc>
      </w:tr>
      <w:tr>
        <w:trPr>
          <w:trHeight w:val="105"/>
        </w:trPr>
        <w:tc>
          <w:tcPr>
            <w:tcW w:w="5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22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Business Services Connectivity</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2,320</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2,215</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6,894</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6,589</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Connectivity &amp; Platforms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20,271</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20,048</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60,783</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60,894</w:t>
            </w:r>
          </w:p>
        </w:tc>
      </w:tr>
      <w:tr>
        <w:trPr>
          <w:trHeight w:val="105"/>
        </w:trPr>
        <w:tc>
          <w:tcPr>
            <w:tcW w:w="5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Domestic advertising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1,913</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2,089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5,965</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w:t>
            </w:r>
          </w:p>
        </w:tc>
      </w:tr>
      <w:tr>
        <w:trPr>
          <w:trHeight w:val="222"/>
        </w:trPr>
        <w:tc>
          <w:tcPr>
            <w:tcW w:w="5160" w:type="dxa"/>
            <w:vAlign w:val="bottom"/>
          </w:tcPr>
          <w:p>
            <w:pPr>
              <w:ind w:left="140"/>
              <w:spacing w:after="0"/>
              <w:rPr>
                <w:sz w:val="20"/>
                <w:szCs w:val="20"/>
                <w:color w:val="auto"/>
              </w:rPr>
            </w:pPr>
            <w:r>
              <w:rPr>
                <w:rFonts w:ascii="Arial" w:cs="Arial" w:eastAsia="Arial" w:hAnsi="Arial"/>
                <w:sz w:val="17"/>
                <w:szCs w:val="17"/>
                <w:color w:val="auto"/>
              </w:rPr>
              <w:t>Domestic distribution</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2,591</w:t>
            </w:r>
          </w:p>
        </w:tc>
        <w:tc>
          <w:tcPr>
            <w:tcW w:w="64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7"/>
                <w:szCs w:val="17"/>
                <w:color w:val="auto"/>
              </w:rPr>
              <w:t>2,497</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7,916</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7,993</w:t>
            </w: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International networks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1,019</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872</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3,062</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2,837</w:t>
            </w:r>
          </w:p>
        </w:tc>
      </w:tr>
      <w:tr>
        <w:trPr>
          <w:trHeight w:val="222"/>
        </w:trPr>
        <w:tc>
          <w:tcPr>
            <w:tcW w:w="51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506</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547</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1,433</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1,591</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Media</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6,029</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6,005</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18,376</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19,951</w:t>
            </w:r>
          </w:p>
        </w:tc>
      </w:tr>
      <w:tr>
        <w:trPr>
          <w:trHeight w:val="105"/>
        </w:trPr>
        <w:tc>
          <w:tcPr>
            <w:tcW w:w="5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Content licensing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1,691</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2,267</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5,856</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6,965</w:t>
            </w:r>
          </w:p>
        </w:tc>
      </w:tr>
      <w:tr>
        <w:trPr>
          <w:trHeight w:val="222"/>
        </w:trPr>
        <w:tc>
          <w:tcPr>
            <w:tcW w:w="5160" w:type="dxa"/>
            <w:vAlign w:val="bottom"/>
          </w:tcPr>
          <w:p>
            <w:pPr>
              <w:ind w:left="140"/>
              <w:spacing w:after="0"/>
              <w:rPr>
                <w:sz w:val="20"/>
                <w:szCs w:val="20"/>
                <w:color w:val="auto"/>
              </w:rPr>
            </w:pPr>
            <w:r>
              <w:rPr>
                <w:rFonts w:ascii="Arial" w:cs="Arial" w:eastAsia="Arial" w:hAnsi="Arial"/>
                <w:sz w:val="17"/>
                <w:szCs w:val="17"/>
                <w:color w:val="auto"/>
              </w:rPr>
              <w:t>Theatrical</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504</w:t>
            </w:r>
          </w:p>
        </w:tc>
        <w:tc>
          <w:tcPr>
            <w:tcW w:w="6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673</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1,735</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1,391</w:t>
            </w:r>
          </w:p>
        </w:tc>
      </w:tr>
      <w:tr>
        <w:trPr>
          <w:trHeight w:val="223"/>
        </w:trPr>
        <w:tc>
          <w:tcPr>
            <w:tcW w:w="5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324</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356</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970</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w:t>
            </w:r>
          </w:p>
        </w:tc>
      </w:tr>
      <w:tr>
        <w:trPr>
          <w:trHeight w:val="216"/>
        </w:trPr>
        <w:tc>
          <w:tcPr>
            <w:tcW w:w="5160" w:type="dxa"/>
            <w:vAlign w:val="bottom"/>
          </w:tcPr>
          <w:p>
            <w:pPr>
              <w:ind w:left="20"/>
              <w:spacing w:after="0"/>
              <w:rPr>
                <w:sz w:val="20"/>
                <w:szCs w:val="20"/>
                <w:color w:val="auto"/>
              </w:rPr>
            </w:pPr>
            <w:r>
              <w:rPr>
                <w:rFonts w:ascii="Arial" w:cs="Arial" w:eastAsia="Arial" w:hAnsi="Arial"/>
                <w:sz w:val="17"/>
                <w:szCs w:val="17"/>
                <w:color w:val="auto"/>
              </w:rPr>
              <w:t>Total Studios</w:t>
            </w:r>
          </w:p>
        </w:tc>
        <w:tc>
          <w:tcPr>
            <w:tcW w:w="3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2,518</w:t>
            </w:r>
          </w:p>
        </w:tc>
        <w:tc>
          <w:tcPr>
            <w:tcW w:w="640" w:type="dxa"/>
            <w:vAlign w:val="bottom"/>
          </w:tcPr>
          <w:p>
            <w:pPr>
              <w:spacing w:after="0"/>
              <w:rPr>
                <w:sz w:val="18"/>
                <w:szCs w:val="18"/>
                <w:color w:val="auto"/>
              </w:rPr>
            </w:pPr>
          </w:p>
        </w:tc>
        <w:tc>
          <w:tcPr>
            <w:tcW w:w="940" w:type="dxa"/>
            <w:vAlign w:val="bottom"/>
          </w:tcPr>
          <w:p>
            <w:pPr>
              <w:jc w:val="right"/>
              <w:ind w:right="93"/>
              <w:spacing w:after="0"/>
              <w:rPr>
                <w:sz w:val="20"/>
                <w:szCs w:val="20"/>
                <w:color w:val="auto"/>
              </w:rPr>
            </w:pPr>
            <w:r>
              <w:rPr>
                <w:rFonts w:ascii="Arial" w:cs="Arial" w:eastAsia="Arial" w:hAnsi="Arial"/>
                <w:sz w:val="17"/>
                <w:szCs w:val="17"/>
                <w:color w:val="auto"/>
              </w:rPr>
              <w:t>3,296</w:t>
            </w:r>
          </w:p>
        </w:tc>
        <w:tc>
          <w:tcPr>
            <w:tcW w:w="44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8,561</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9,319</w:t>
            </w:r>
          </w:p>
        </w:tc>
      </w:tr>
      <w:tr>
        <w:trPr>
          <w:trHeight w:val="105"/>
        </w:trPr>
        <w:tc>
          <w:tcPr>
            <w:tcW w:w="5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222"/>
        </w:trPr>
        <w:tc>
          <w:tcPr>
            <w:tcW w:w="5160" w:type="dxa"/>
            <w:vAlign w:val="bottom"/>
          </w:tcPr>
          <w:p>
            <w:pPr>
              <w:ind w:left="20"/>
              <w:spacing w:after="0"/>
              <w:rPr>
                <w:sz w:val="20"/>
                <w:szCs w:val="20"/>
                <w:color w:val="auto"/>
              </w:rPr>
            </w:pPr>
            <w:r>
              <w:rPr>
                <w:rFonts w:ascii="Arial" w:cs="Arial" w:eastAsia="Arial" w:hAnsi="Arial"/>
                <w:sz w:val="17"/>
                <w:szCs w:val="17"/>
                <w:color w:val="auto"/>
              </w:rPr>
              <w:t>Total Theme Parks</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2,418</w:t>
            </w:r>
          </w:p>
        </w:tc>
        <w:tc>
          <w:tcPr>
            <w:tcW w:w="64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7"/>
                <w:szCs w:val="17"/>
                <w:color w:val="auto"/>
              </w:rPr>
              <w:t>2,064</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6,576</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5,428</w:t>
            </w:r>
          </w:p>
        </w:tc>
      </w:tr>
      <w:tr>
        <w:trPr>
          <w:trHeight w:val="105"/>
        </w:trPr>
        <w:tc>
          <w:tcPr>
            <w:tcW w:w="5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222"/>
        </w:trPr>
        <w:tc>
          <w:tcPr>
            <w:tcW w:w="5160" w:type="dxa"/>
            <w:vAlign w:val="bottom"/>
          </w:tcPr>
          <w:p>
            <w:pPr>
              <w:ind w:left="20"/>
              <w:spacing w:after="0"/>
              <w:rPr>
                <w:sz w:val="20"/>
                <w:szCs w:val="20"/>
                <w:color w:val="auto"/>
              </w:rPr>
            </w:pPr>
            <w:r>
              <w:rPr>
                <w:rFonts w:ascii="Arial" w:cs="Arial" w:eastAsia="Arial" w:hAnsi="Arial"/>
                <w:sz w:val="17"/>
                <w:szCs w:val="17"/>
                <w:color w:val="auto"/>
              </w:rPr>
              <w:t>Headquarters and Other</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13</w:t>
            </w:r>
          </w:p>
        </w:tc>
        <w:tc>
          <w:tcPr>
            <w:tcW w:w="64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7"/>
                <w:szCs w:val="17"/>
                <w:color w:val="auto"/>
              </w:rPr>
              <w:t>22</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45</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3"/>
        </w:trPr>
        <w:tc>
          <w:tcPr>
            <w:tcW w:w="516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(419)</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(909)</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(1,867)</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(2,474)</w:t>
            </w:r>
          </w:p>
        </w:tc>
      </w:tr>
      <w:tr>
        <w:trPr>
          <w:trHeight w:val="216"/>
        </w:trPr>
        <w:tc>
          <w:tcPr>
            <w:tcW w:w="5160" w:type="dxa"/>
            <w:vAlign w:val="bottom"/>
          </w:tcPr>
          <w:p>
            <w:pPr>
              <w:ind w:left="20"/>
              <w:spacing w:after="0"/>
              <w:rPr>
                <w:sz w:val="20"/>
                <w:szCs w:val="20"/>
                <w:color w:val="auto"/>
              </w:rPr>
            </w:pPr>
            <w:r>
              <w:rPr>
                <w:rFonts w:ascii="Arial" w:cs="Arial" w:eastAsia="Arial" w:hAnsi="Arial"/>
                <w:sz w:val="17"/>
                <w:szCs w:val="17"/>
                <w:color w:val="auto"/>
              </w:rPr>
              <w:t>Total Content &amp; Experiences</w:t>
            </w:r>
          </w:p>
        </w:tc>
        <w:tc>
          <w:tcPr>
            <w:tcW w:w="3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10,559</w:t>
            </w:r>
          </w:p>
        </w:tc>
        <w:tc>
          <w:tcPr>
            <w:tcW w:w="640" w:type="dxa"/>
            <w:vAlign w:val="bottom"/>
          </w:tcPr>
          <w:p>
            <w:pPr>
              <w:spacing w:after="0"/>
              <w:rPr>
                <w:sz w:val="18"/>
                <w:szCs w:val="18"/>
                <w:color w:val="auto"/>
              </w:rPr>
            </w:pPr>
          </w:p>
        </w:tc>
        <w:tc>
          <w:tcPr>
            <w:tcW w:w="940" w:type="dxa"/>
            <w:vAlign w:val="bottom"/>
          </w:tcPr>
          <w:p>
            <w:pPr>
              <w:jc w:val="right"/>
              <w:ind w:right="93"/>
              <w:spacing w:after="0"/>
              <w:rPr>
                <w:sz w:val="20"/>
                <w:szCs w:val="20"/>
                <w:color w:val="auto"/>
              </w:rPr>
            </w:pPr>
            <w:r>
              <w:rPr>
                <w:rFonts w:ascii="Arial" w:cs="Arial" w:eastAsia="Arial" w:hAnsi="Arial"/>
                <w:sz w:val="17"/>
                <w:szCs w:val="17"/>
                <w:color w:val="auto"/>
              </w:rPr>
              <w:t>10,477</w:t>
            </w:r>
          </w:p>
        </w:tc>
        <w:tc>
          <w:tcPr>
            <w:tcW w:w="44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31,690</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32,270</w:t>
            </w:r>
          </w:p>
        </w:tc>
      </w:tr>
      <w:tr>
        <w:trPr>
          <w:trHeight w:val="105"/>
        </w:trPr>
        <w:tc>
          <w:tcPr>
            <w:tcW w:w="5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222"/>
        </w:trPr>
        <w:tc>
          <w:tcPr>
            <w:tcW w:w="5160" w:type="dxa"/>
            <w:vAlign w:val="bottom"/>
          </w:tcPr>
          <w:p>
            <w:pPr>
              <w:ind w:left="20"/>
              <w:spacing w:after="0"/>
              <w:rPr>
                <w:sz w:val="20"/>
                <w:szCs w:val="20"/>
                <w:color w:val="auto"/>
              </w:rPr>
            </w:pPr>
            <w:r>
              <w:rPr>
                <w:rFonts w:ascii="Arial" w:cs="Arial" w:eastAsia="Arial" w:hAnsi="Arial"/>
                <w:sz w:val="17"/>
                <w:szCs w:val="17"/>
                <w:color w:val="auto"/>
              </w:rPr>
              <w:t>Corporate and Other</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643</w:t>
            </w:r>
          </w:p>
        </w:tc>
        <w:tc>
          <w:tcPr>
            <w:tcW w:w="6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601</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2,004</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1,931</w:t>
            </w:r>
          </w:p>
        </w:tc>
      </w:tr>
      <w:tr>
        <w:trPr>
          <w:trHeight w:val="223"/>
        </w:trPr>
        <w:tc>
          <w:tcPr>
            <w:tcW w:w="516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(1,358)</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(1,277)</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(4,157)</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(4,220)</w:t>
            </w:r>
          </w:p>
        </w:tc>
      </w:tr>
      <w:tr>
        <w:trPr>
          <w:trHeight w:val="22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revenue</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30,115</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29,849</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90,319</w:t>
            </w:r>
          </w:p>
        </w:tc>
        <w:tc>
          <w:tcPr>
            <w:tcW w:w="6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90,874</w:t>
            </w:r>
          </w:p>
        </w:tc>
      </w:tr>
    </w:tbl>
    <w:p>
      <w:pPr>
        <w:spacing w:after="0" w:line="139"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2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following tables summarize our accounts receivable and other balances that are not separately presented in our condensed consolidated balance sheets that relate to the recognition of revenue and collection of the related cash.</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120" w:type="dxa"/>
            <w:vAlign w:val="bottom"/>
          </w:tcPr>
          <w:p>
            <w:pPr>
              <w:jc w:val="center"/>
              <w:ind w:left="3390"/>
              <w:spacing w:after="0"/>
              <w:rPr>
                <w:sz w:val="20"/>
                <w:szCs w:val="20"/>
                <w:color w:val="auto"/>
              </w:rPr>
            </w:pPr>
            <w:r>
              <w:rPr>
                <w:rFonts w:ascii="Arial" w:cs="Arial" w:eastAsia="Arial" w:hAnsi="Arial"/>
                <w:sz w:val="14"/>
                <w:szCs w:val="14"/>
                <w:color w:val="auto"/>
                <w:w w:val="89"/>
              </w:rPr>
              <w:t>September 30,</w:t>
            </w:r>
          </w:p>
        </w:tc>
        <w:tc>
          <w:tcPr>
            <w:tcW w:w="1200" w:type="dxa"/>
            <w:vAlign w:val="bottom"/>
          </w:tcPr>
          <w:p>
            <w:pPr>
              <w:jc w:val="center"/>
              <w:ind w:left="350"/>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78"/>
        </w:trPr>
        <w:tc>
          <w:tcPr>
            <w:tcW w:w="4580" w:type="dxa"/>
            <w:vAlign w:val="bottom"/>
            <w:vMerge w:val="continue"/>
          </w:tcPr>
          <w:p>
            <w:pPr>
              <w:spacing w:after="0"/>
              <w:rPr>
                <w:sz w:val="15"/>
                <w:szCs w:val="15"/>
                <w:color w:val="auto"/>
              </w:rPr>
            </w:pPr>
          </w:p>
        </w:tc>
        <w:tc>
          <w:tcPr>
            <w:tcW w:w="5120" w:type="dxa"/>
            <w:vAlign w:val="bottom"/>
          </w:tcPr>
          <w:p>
            <w:pPr>
              <w:jc w:val="right"/>
              <w:ind w:right="610"/>
              <w:spacing w:after="0"/>
              <w:rPr>
                <w:sz w:val="20"/>
                <w:szCs w:val="20"/>
                <w:color w:val="auto"/>
              </w:rPr>
            </w:pPr>
            <w:r>
              <w:rPr>
                <w:rFonts w:ascii="Arial" w:cs="Arial" w:eastAsia="Arial" w:hAnsi="Arial"/>
                <w:sz w:val="14"/>
                <w:szCs w:val="14"/>
                <w:color w:val="auto"/>
              </w:rPr>
              <w:t>2023</w:t>
            </w:r>
          </w:p>
        </w:tc>
        <w:tc>
          <w:tcPr>
            <w:tcW w:w="1200" w:type="dxa"/>
            <w:vAlign w:val="bottom"/>
          </w:tcPr>
          <w:p>
            <w:pPr>
              <w:jc w:val="right"/>
              <w:ind w:right="19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Receivables, gross</w:t>
            </w:r>
          </w:p>
        </w:tc>
        <w:tc>
          <w:tcPr>
            <w:tcW w:w="3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13,520</w:t>
            </w:r>
          </w:p>
        </w:tc>
        <w:tc>
          <w:tcPr>
            <w:tcW w:w="3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13,407</w:t>
            </w:r>
          </w:p>
        </w:tc>
        <w:tc>
          <w:tcPr>
            <w:tcW w:w="0" w:type="dxa"/>
            <w:vAlign w:val="bottom"/>
          </w:tcPr>
          <w:p>
            <w:pPr>
              <w:spacing w:after="0"/>
              <w:rPr>
                <w:sz w:val="1"/>
                <w:szCs w:val="1"/>
                <w:color w:val="auto"/>
              </w:rPr>
            </w:pPr>
          </w:p>
        </w:tc>
      </w:tr>
      <w:tr>
        <w:trPr>
          <w:trHeight w:val="222"/>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Allowance for credit losses</w:t>
            </w:r>
          </w:p>
        </w:tc>
        <w:tc>
          <w:tcPr>
            <w:tcW w:w="3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684</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w:t>
            </w:r>
          </w:p>
        </w:tc>
        <w:tc>
          <w:tcPr>
            <w:tcW w:w="0" w:type="dxa"/>
            <w:vAlign w:val="bottom"/>
          </w:tcPr>
          <w:p>
            <w:pPr>
              <w:spacing w:after="0"/>
              <w:rPr>
                <w:sz w:val="1"/>
                <w:szCs w:val="1"/>
                <w:color w:val="auto"/>
              </w:rPr>
            </w:pPr>
          </w:p>
        </w:tc>
      </w:tr>
      <w:tr>
        <w:trPr>
          <w:trHeight w:val="222"/>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Receivables, net</w:t>
            </w:r>
          </w:p>
        </w:tc>
        <w:tc>
          <w:tcPr>
            <w:tcW w:w="3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12,835</w:t>
            </w:r>
          </w:p>
        </w:tc>
        <w:tc>
          <w:tcPr>
            <w:tcW w:w="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12,672</w:t>
            </w:r>
          </w:p>
        </w:tc>
        <w:tc>
          <w:tcPr>
            <w:tcW w:w="0" w:type="dxa"/>
            <w:vAlign w:val="bottom"/>
          </w:tcPr>
          <w:p>
            <w:pPr>
              <w:spacing w:after="0"/>
              <w:rPr>
                <w:sz w:val="1"/>
                <w:szCs w:val="1"/>
                <w:color w:val="auto"/>
              </w:rPr>
            </w:pPr>
          </w:p>
        </w:tc>
      </w:tr>
      <w:tr>
        <w:trPr>
          <w:trHeight w:val="309"/>
        </w:trPr>
        <w:tc>
          <w:tcPr>
            <w:tcW w:w="5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160" w:type="dxa"/>
            <w:vAlign w:val="bottom"/>
          </w:tcPr>
          <w:p>
            <w:pPr>
              <w:spacing w:after="0"/>
              <w:rPr>
                <w:sz w:val="24"/>
                <w:szCs w:val="24"/>
                <w:color w:val="auto"/>
              </w:rPr>
            </w:pPr>
          </w:p>
        </w:tc>
        <w:tc>
          <w:tcPr>
            <w:tcW w:w="1300" w:type="dxa"/>
            <w:vAlign w:val="bottom"/>
          </w:tcPr>
          <w:p>
            <w:pPr>
              <w:jc w:val="right"/>
              <w:ind w:right="298"/>
              <w:spacing w:after="0"/>
              <w:rPr>
                <w:sz w:val="20"/>
                <w:szCs w:val="20"/>
                <w:color w:val="auto"/>
              </w:rPr>
            </w:pPr>
            <w:r>
              <w:rPr>
                <w:rFonts w:ascii="Arial" w:cs="Arial" w:eastAsia="Arial" w:hAnsi="Arial"/>
                <w:sz w:val="14"/>
                <w:szCs w:val="14"/>
                <w:color w:val="auto"/>
                <w:w w:val="97"/>
              </w:rPr>
              <w:t>September 30,</w:t>
            </w:r>
          </w:p>
        </w:tc>
        <w:tc>
          <w:tcPr>
            <w:tcW w:w="340" w:type="dxa"/>
            <w:vAlign w:val="bottom"/>
          </w:tcPr>
          <w:p>
            <w:pPr>
              <w:spacing w:after="0"/>
              <w:rPr>
                <w:sz w:val="24"/>
                <w:szCs w:val="24"/>
                <w:color w:val="auto"/>
              </w:rPr>
            </w:pPr>
          </w:p>
        </w:tc>
        <w:tc>
          <w:tcPr>
            <w:tcW w:w="1220" w:type="dxa"/>
            <w:vAlign w:val="bottom"/>
          </w:tcPr>
          <w:p>
            <w:pPr>
              <w:jc w:val="right"/>
              <w:ind w:right="23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4"/>
        </w:trPr>
        <w:tc>
          <w:tcPr>
            <w:tcW w:w="5220" w:type="dxa"/>
            <w:vAlign w:val="bottom"/>
            <w:tcBorders>
              <w:bottom w:val="single" w:sz="8" w:color="auto"/>
            </w:tcBorders>
            <w:vMerge w:val="continue"/>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1"/>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Noncurrent receivables, net (included in other noncurrent assets, net)</w:t>
            </w:r>
          </w:p>
        </w:tc>
        <w:tc>
          <w:tcPr>
            <w:tcW w:w="31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1,776</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1,887</w:t>
            </w:r>
          </w:p>
        </w:tc>
        <w:tc>
          <w:tcPr>
            <w:tcW w:w="0" w:type="dxa"/>
            <w:vAlign w:val="bottom"/>
          </w:tcPr>
          <w:p>
            <w:pPr>
              <w:spacing w:after="0"/>
              <w:rPr>
                <w:sz w:val="1"/>
                <w:szCs w:val="1"/>
                <w:color w:val="auto"/>
              </w:rPr>
            </w:pPr>
          </w:p>
        </w:tc>
      </w:tr>
      <w:tr>
        <w:trPr>
          <w:trHeight w:val="222"/>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Noncurrent deferred revenue (included in other noncurrent liabilities)</w:t>
            </w:r>
          </w:p>
        </w:tc>
        <w:tc>
          <w:tcPr>
            <w:tcW w:w="31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627</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870"/>
        </w:trPr>
        <w:tc>
          <w:tcPr>
            <w:tcW w:w="5220" w:type="dxa"/>
            <w:vAlign w:val="bottom"/>
          </w:tcPr>
          <w:p>
            <w:pPr>
              <w:spacing w:after="0"/>
              <w:rPr>
                <w:sz w:val="24"/>
                <w:szCs w:val="24"/>
                <w:color w:val="auto"/>
              </w:rPr>
            </w:pPr>
          </w:p>
        </w:tc>
        <w:tc>
          <w:tcPr>
            <w:tcW w:w="3160" w:type="dxa"/>
            <w:vAlign w:val="bottom"/>
          </w:tcPr>
          <w:p>
            <w:pPr>
              <w:jc w:val="right"/>
              <w:ind w:right="2633"/>
              <w:spacing w:after="0"/>
              <w:rPr>
                <w:sz w:val="20"/>
                <w:szCs w:val="20"/>
                <w:color w:val="auto"/>
              </w:rPr>
            </w:pPr>
            <w:r>
              <w:rPr>
                <w:rFonts w:ascii="Arial" w:cs="Arial" w:eastAsia="Arial" w:hAnsi="Arial"/>
                <w:sz w:val="17"/>
                <w:szCs w:val="17"/>
                <w:color w:val="auto"/>
              </w:rPr>
              <w:t>9</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9A9A9A"/>
            </w:tcBorders>
          </w:tcPr>
          <w:p>
            <w:pPr>
              <w:spacing w:after="0"/>
              <w:rPr>
                <w:sz w:val="18"/>
                <w:szCs w:val="18"/>
                <w:color w:val="auto"/>
              </w:rPr>
            </w:pPr>
          </w:p>
        </w:tc>
        <w:tc>
          <w:tcPr>
            <w:tcW w:w="3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Our accounts receivables include amounts not yet billed related to equipment installment plans, as summarized in the table below.</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120" w:type="dxa"/>
            <w:vAlign w:val="bottom"/>
          </w:tcPr>
          <w:p>
            <w:pPr>
              <w:jc w:val="center"/>
              <w:ind w:left="3410"/>
              <w:spacing w:after="0"/>
              <w:rPr>
                <w:sz w:val="20"/>
                <w:szCs w:val="20"/>
                <w:color w:val="auto"/>
              </w:rPr>
            </w:pPr>
            <w:r>
              <w:rPr>
                <w:rFonts w:ascii="Arial" w:cs="Arial" w:eastAsia="Arial" w:hAnsi="Arial"/>
                <w:sz w:val="14"/>
                <w:szCs w:val="14"/>
                <w:color w:val="auto"/>
                <w:w w:val="87"/>
              </w:rPr>
              <w:t>September 30,</w:t>
            </w:r>
          </w:p>
        </w:tc>
        <w:tc>
          <w:tcPr>
            <w:tcW w:w="1200" w:type="dxa"/>
            <w:vAlign w:val="bottom"/>
          </w:tcPr>
          <w:p>
            <w:pPr>
              <w:jc w:val="center"/>
              <w:ind w:left="350"/>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78"/>
        </w:trPr>
        <w:tc>
          <w:tcPr>
            <w:tcW w:w="4580" w:type="dxa"/>
            <w:vAlign w:val="bottom"/>
            <w:vMerge w:val="continue"/>
          </w:tcPr>
          <w:p>
            <w:pPr>
              <w:spacing w:after="0"/>
              <w:rPr>
                <w:sz w:val="15"/>
                <w:szCs w:val="15"/>
                <w:color w:val="auto"/>
              </w:rPr>
            </w:pPr>
          </w:p>
        </w:tc>
        <w:tc>
          <w:tcPr>
            <w:tcW w:w="5120" w:type="dxa"/>
            <w:vAlign w:val="bottom"/>
          </w:tcPr>
          <w:p>
            <w:pPr>
              <w:jc w:val="right"/>
              <w:ind w:right="610"/>
              <w:spacing w:after="0"/>
              <w:rPr>
                <w:sz w:val="20"/>
                <w:szCs w:val="20"/>
                <w:color w:val="auto"/>
              </w:rPr>
            </w:pPr>
            <w:r>
              <w:rPr>
                <w:rFonts w:ascii="Arial" w:cs="Arial" w:eastAsia="Arial" w:hAnsi="Arial"/>
                <w:sz w:val="14"/>
                <w:szCs w:val="14"/>
                <w:color w:val="auto"/>
              </w:rPr>
              <w:t>2023</w:t>
            </w:r>
          </w:p>
        </w:tc>
        <w:tc>
          <w:tcPr>
            <w:tcW w:w="1200" w:type="dxa"/>
            <w:vAlign w:val="bottom"/>
          </w:tcPr>
          <w:p>
            <w:pPr>
              <w:jc w:val="right"/>
              <w:ind w:right="17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Receivables, net</w:t>
            </w:r>
          </w:p>
        </w:tc>
        <w:tc>
          <w:tcPr>
            <w:tcW w:w="220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1,539</w:t>
            </w:r>
          </w:p>
        </w:tc>
        <w:tc>
          <w:tcPr>
            <w:tcW w:w="66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1,388</w:t>
            </w:r>
          </w:p>
        </w:tc>
      </w:tr>
      <w:tr>
        <w:trPr>
          <w:trHeight w:val="222"/>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Noncurrent receivables, net (included in other noncurrent assets, net)</w:t>
            </w:r>
          </w:p>
        </w:tc>
        <w:tc>
          <w:tcPr>
            <w:tcW w:w="2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1,057</w:t>
            </w: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w:t>
            </w:r>
          </w:p>
        </w:tc>
      </w:tr>
      <w:tr>
        <w:trPr>
          <w:trHeight w:val="222"/>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2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2,596</w:t>
            </w:r>
          </w:p>
        </w:tc>
        <w:tc>
          <w:tcPr>
            <w:tcW w:w="66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2,411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4: Programming and Production Costs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40" w:type="dxa"/>
            <w:vAlign w:val="bottom"/>
          </w:tcPr>
          <w:p>
            <w:pPr>
              <w:spacing w:after="0"/>
              <w:rPr>
                <w:sz w:val="14"/>
                <w:szCs w:val="14"/>
                <w:color w:val="auto"/>
              </w:rPr>
            </w:pPr>
          </w:p>
        </w:tc>
      </w:tr>
      <w:tr>
        <w:trPr>
          <w:trHeight w:val="182"/>
        </w:trPr>
        <w:tc>
          <w:tcPr>
            <w:tcW w:w="5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color w:val="auto"/>
              </w:rPr>
              <w:t>September 30,</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5"/>
                <w:szCs w:val="15"/>
                <w:color w:val="auto"/>
              </w:rPr>
            </w:pPr>
          </w:p>
        </w:tc>
      </w:tr>
      <w:tr>
        <w:trPr>
          <w:trHeight w:val="190"/>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83"/>
              </w:rPr>
              <w:t>2022</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w w:val="89"/>
              </w:rPr>
              <w:t>2022</w:t>
            </w:r>
          </w:p>
        </w:tc>
      </w:tr>
      <w:tr>
        <w:trPr>
          <w:trHeight w:val="223"/>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Video distribution programming</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3,084</w:t>
            </w:r>
          </w:p>
        </w:tc>
        <w:tc>
          <w:tcPr>
            <w:tcW w:w="64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3,242</w:t>
            </w:r>
          </w:p>
        </w:tc>
        <w:tc>
          <w:tcPr>
            <w:tcW w:w="4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9,465</w:t>
            </w:r>
          </w:p>
        </w:tc>
        <w:tc>
          <w:tcPr>
            <w:tcW w:w="62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9,955</w:t>
            </w:r>
          </w:p>
        </w:tc>
      </w:tr>
      <w:tr>
        <w:trPr>
          <w:trHeight w:val="222"/>
        </w:trPr>
        <w:tc>
          <w:tcPr>
            <w:tcW w:w="5320" w:type="dxa"/>
            <w:vAlign w:val="bottom"/>
          </w:tcPr>
          <w:p>
            <w:pPr>
              <w:spacing w:after="0"/>
              <w:rPr>
                <w:sz w:val="20"/>
                <w:szCs w:val="20"/>
                <w:color w:val="auto"/>
              </w:rPr>
            </w:pPr>
            <w:r>
              <w:rPr>
                <w:rFonts w:ascii="Arial" w:cs="Arial" w:eastAsia="Arial" w:hAnsi="Arial"/>
                <w:sz w:val="17"/>
                <w:szCs w:val="17"/>
                <w:color w:val="auto"/>
              </w:rPr>
              <w:t>Film and television content: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3"/>
        </w:trPr>
        <w:tc>
          <w:tcPr>
            <w:tcW w:w="5320" w:type="dxa"/>
            <w:vAlign w:val="bottom"/>
            <w:shd w:val="clear" w:color="auto" w:fill="CCEEFF"/>
          </w:tcPr>
          <w:p>
            <w:pPr>
              <w:ind w:left="120"/>
              <w:spacing w:after="0" w:line="223" w:lineRule="exact"/>
              <w:rPr>
                <w:sz w:val="20"/>
                <w:szCs w:val="20"/>
                <w:color w:val="auto"/>
              </w:rPr>
            </w:pPr>
            <w:r>
              <w:rPr>
                <w:rFonts w:ascii="Arial" w:cs="Arial" w:eastAsia="Arial" w:hAnsi="Arial"/>
                <w:sz w:val="17"/>
                <w:szCs w:val="17"/>
                <w:color w:val="auto"/>
              </w:rPr>
              <w:t>Owned</w:t>
            </w:r>
            <w:r>
              <w:rPr>
                <w:rFonts w:ascii="Arial" w:cs="Arial" w:eastAsia="Arial" w:hAnsi="Arial"/>
                <w:sz w:val="22"/>
                <w:szCs w:val="22"/>
                <w:color w:val="auto"/>
                <w:vertAlign w:val="superscript"/>
              </w:rPr>
              <w:t>(a)</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2,083</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2,538</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7,622</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7,965</w:t>
            </w:r>
          </w:p>
        </w:tc>
      </w:tr>
      <w:tr>
        <w:trPr>
          <w:trHeight w:val="222"/>
        </w:trPr>
        <w:tc>
          <w:tcPr>
            <w:tcW w:w="5320" w:type="dxa"/>
            <w:vAlign w:val="bottom"/>
          </w:tcPr>
          <w:p>
            <w:pPr>
              <w:ind w:left="140"/>
              <w:spacing w:after="0"/>
              <w:rPr>
                <w:sz w:val="20"/>
                <w:szCs w:val="20"/>
                <w:color w:val="auto"/>
              </w:rPr>
            </w:pPr>
            <w:r>
              <w:rPr>
                <w:rFonts w:ascii="Arial" w:cs="Arial" w:eastAsia="Arial" w:hAnsi="Arial"/>
                <w:sz w:val="17"/>
                <w:szCs w:val="17"/>
                <w:color w:val="auto"/>
              </w:rPr>
              <w:t>Licensed, including sports rights</w:t>
            </w:r>
          </w:p>
        </w:tc>
        <w:tc>
          <w:tcPr>
            <w:tcW w:w="3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3,048</w:t>
            </w:r>
          </w:p>
        </w:tc>
        <w:tc>
          <w:tcPr>
            <w:tcW w:w="6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2,867</w:t>
            </w:r>
          </w:p>
        </w:tc>
        <w:tc>
          <w:tcPr>
            <w:tcW w:w="4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8,241</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9,569</w:t>
            </w:r>
          </w:p>
        </w:tc>
      </w:tr>
      <w:tr>
        <w:trPr>
          <w:trHeight w:val="223"/>
        </w:trPr>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438</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303</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1,178</w:t>
            </w: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w:t>
            </w:r>
          </w:p>
        </w:tc>
      </w:tr>
      <w:tr>
        <w:trPr>
          <w:trHeight w:val="222"/>
        </w:trPr>
        <w:tc>
          <w:tcPr>
            <w:tcW w:w="53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programming and production costs</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8,652</w:t>
            </w:r>
          </w:p>
        </w:tc>
        <w:tc>
          <w:tcPr>
            <w:tcW w:w="6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8,949</w:t>
            </w:r>
          </w:p>
        </w:tc>
        <w:tc>
          <w:tcPr>
            <w:tcW w:w="4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26,506</w:t>
            </w:r>
          </w:p>
        </w:tc>
        <w:tc>
          <w:tcPr>
            <w:tcW w:w="6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28,406</w:t>
            </w:r>
          </w:p>
        </w:tc>
      </w:tr>
    </w:tbl>
    <w:p>
      <w:pPr>
        <w:spacing w:after="0" w:line="178" w:lineRule="exact"/>
        <w:rPr>
          <w:sz w:val="20"/>
          <w:szCs w:val="20"/>
          <w:color w:val="auto"/>
        </w:rPr>
      </w:pPr>
    </w:p>
    <w:p>
      <w:pPr>
        <w:ind w:firstLine="5"/>
        <w:spacing w:after="0" w:line="260" w:lineRule="auto"/>
        <w:tabs>
          <w:tab w:leader="none" w:pos="192"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 includes amortization of owned content of $1.6 billion and $5.9 billion for the three and nine months ended September 30, 2023, respectively, and $2.0 billion and $6.3 billion for the three and nine months ended September 30, 2022, respectively, as well as participations and residuals expenses.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Capitalized Film and Television Costs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980" w:type="dxa"/>
            <w:vAlign w:val="bottom"/>
          </w:tcPr>
          <w:p>
            <w:pPr>
              <w:spacing w:after="0"/>
              <w:rPr>
                <w:sz w:val="14"/>
                <w:szCs w:val="14"/>
                <w:color w:val="auto"/>
              </w:rPr>
            </w:pPr>
          </w:p>
        </w:tc>
        <w:tc>
          <w:tcPr>
            <w:tcW w:w="1300" w:type="dxa"/>
            <w:vAlign w:val="bottom"/>
          </w:tcPr>
          <w:p>
            <w:pPr>
              <w:jc w:val="right"/>
              <w:ind w:right="297"/>
              <w:spacing w:after="0"/>
              <w:rPr>
                <w:sz w:val="20"/>
                <w:szCs w:val="20"/>
                <w:color w:val="auto"/>
              </w:rPr>
            </w:pPr>
            <w:r>
              <w:rPr>
                <w:rFonts w:ascii="Arial" w:cs="Arial" w:eastAsia="Arial" w:hAnsi="Arial"/>
                <w:sz w:val="14"/>
                <w:szCs w:val="14"/>
                <w:color w:val="auto"/>
                <w:w w:val="97"/>
              </w:rPr>
              <w:t>September 30,</w:t>
            </w:r>
          </w:p>
        </w:tc>
        <w:tc>
          <w:tcPr>
            <w:tcW w:w="34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4"/>
        </w:trPr>
        <w:tc>
          <w:tcPr>
            <w:tcW w:w="5400" w:type="dxa"/>
            <w:vAlign w:val="bottom"/>
            <w:tcBorders>
              <w:bottom w:val="single" w:sz="8" w:color="auto"/>
            </w:tcBorders>
            <w:vMerge w:val="continue"/>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1"/>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Owned:</w:t>
            </w:r>
          </w:p>
        </w:tc>
        <w:tc>
          <w:tcPr>
            <w:tcW w:w="29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240"/>
              <w:spacing w:after="0"/>
              <w:rPr>
                <w:sz w:val="20"/>
                <w:szCs w:val="20"/>
                <w:color w:val="auto"/>
              </w:rPr>
            </w:pPr>
            <w:r>
              <w:rPr>
                <w:rFonts w:ascii="Arial" w:cs="Arial" w:eastAsia="Arial" w:hAnsi="Arial"/>
                <w:sz w:val="17"/>
                <w:szCs w:val="17"/>
                <w:color w:val="auto"/>
              </w:rPr>
              <w:t>In production and in development</w:t>
            </w:r>
          </w:p>
        </w:tc>
        <w:tc>
          <w:tcPr>
            <w:tcW w:w="29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7"/>
              <w:spacing w:after="0"/>
              <w:rPr>
                <w:sz w:val="20"/>
                <w:szCs w:val="20"/>
                <w:color w:val="auto"/>
              </w:rPr>
            </w:pPr>
            <w:r>
              <w:rPr>
                <w:rFonts w:ascii="Arial" w:cs="Arial" w:eastAsia="Arial" w:hAnsi="Arial"/>
                <w:sz w:val="17"/>
                <w:szCs w:val="17"/>
                <w:color w:val="auto"/>
              </w:rPr>
              <w:t>3,116</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3,210</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Completed, not released</w:t>
            </w:r>
          </w:p>
        </w:tc>
        <w:tc>
          <w:tcPr>
            <w:tcW w:w="29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466</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Released, less amortization</w:t>
            </w:r>
          </w:p>
        </w:tc>
        <w:tc>
          <w:tcPr>
            <w:tcW w:w="2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4,063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7,645</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7,974</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Licensed, including sports advances</w:t>
            </w:r>
          </w:p>
        </w:tc>
        <w:tc>
          <w:tcPr>
            <w:tcW w:w="2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5,422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4,586</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Film and television costs</w:t>
            </w:r>
          </w:p>
        </w:tc>
        <w:tc>
          <w:tcPr>
            <w:tcW w:w="2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13,067</w:t>
            </w:r>
          </w:p>
        </w:tc>
        <w:tc>
          <w:tcPr>
            <w:tcW w:w="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12,560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5: Long-Term Debt</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September 30, 2023, our debt had a carrying value of $97.3 billion and an estimated fair value of $85.5 billion. As of December 31, 2022, our debt had a carrying value of $94.8 billion and an estimated fair value of $86.9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6: Investments and Variable Interest Entities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 and Other Income (Loss), Net</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2"/>
          </w:tcPr>
          <w:p>
            <w:pPr>
              <w:ind w:left="620"/>
              <w:spacing w:after="0"/>
              <w:rPr>
                <w:sz w:val="20"/>
                <w:szCs w:val="20"/>
                <w:color w:val="auto"/>
              </w:rPr>
            </w:pPr>
            <w:r>
              <w:rPr>
                <w:rFonts w:ascii="Arial" w:cs="Arial" w:eastAsia="Arial" w:hAnsi="Arial"/>
                <w:sz w:val="14"/>
                <w:szCs w:val="14"/>
                <w:color w:val="auto"/>
                <w:w w:val="94"/>
              </w:rPr>
              <w:t>Nine Months Ended</w:t>
            </w:r>
          </w:p>
        </w:tc>
        <w:tc>
          <w:tcPr>
            <w:tcW w:w="920" w:type="dxa"/>
            <w:vAlign w:val="bottom"/>
          </w:tcPr>
          <w:p>
            <w:pPr>
              <w:spacing w:after="0"/>
              <w:rPr>
                <w:sz w:val="14"/>
                <w:szCs w:val="14"/>
                <w:color w:val="auto"/>
              </w:rPr>
            </w:pPr>
          </w:p>
        </w:tc>
      </w:tr>
      <w:tr>
        <w:trPr>
          <w:trHeight w:val="182"/>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5"/>
                <w:szCs w:val="15"/>
                <w:color w:val="auto"/>
              </w:rPr>
            </w:pPr>
          </w:p>
        </w:tc>
      </w:tr>
      <w:tr>
        <w:trPr>
          <w:trHeight w:val="190"/>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color w:val="auto"/>
                <w:w w:val="96"/>
              </w:rPr>
              <w:t>2022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96"/>
              </w:rPr>
              <w:t>2022</w:t>
            </w:r>
          </w:p>
        </w:tc>
      </w:tr>
      <w:tr>
        <w:trPr>
          <w:trHeight w:val="223"/>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Equity in net income (losses) of investees, net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center"/>
              <w:ind w:left="600"/>
              <w:spacing w:after="0"/>
              <w:rPr>
                <w:sz w:val="20"/>
                <w:szCs w:val="20"/>
                <w:color w:val="auto"/>
              </w:rPr>
            </w:pPr>
            <w:r>
              <w:rPr>
                <w:rFonts w:ascii="Arial" w:cs="Arial" w:eastAsia="Arial" w:hAnsi="Arial"/>
                <w:sz w:val="17"/>
                <w:szCs w:val="17"/>
                <w:color w:val="auto"/>
                <w:w w:val="94"/>
              </w:rPr>
              <w:t>49</w:t>
            </w:r>
          </w:p>
        </w:tc>
        <w:tc>
          <w:tcPr>
            <w:tcW w:w="6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(242)</w:t>
            </w:r>
          </w:p>
        </w:tc>
        <w:tc>
          <w:tcPr>
            <w:tcW w:w="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454</w:t>
            </w:r>
          </w:p>
        </w:tc>
        <w:tc>
          <w:tcPr>
            <w:tcW w:w="6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r>
      <w:tr>
        <w:trPr>
          <w:trHeight w:val="222"/>
        </w:trPr>
        <w:tc>
          <w:tcPr>
            <w:tcW w:w="4920" w:type="dxa"/>
            <w:vAlign w:val="bottom"/>
          </w:tcPr>
          <w:p>
            <w:pPr>
              <w:spacing w:after="0"/>
              <w:rPr>
                <w:sz w:val="20"/>
                <w:szCs w:val="20"/>
                <w:color w:val="auto"/>
              </w:rPr>
            </w:pPr>
            <w:r>
              <w:rPr>
                <w:rFonts w:ascii="Arial" w:cs="Arial" w:eastAsia="Arial" w:hAnsi="Arial"/>
                <w:sz w:val="17"/>
                <w:szCs w:val="17"/>
                <w:color w:val="auto"/>
              </w:rPr>
              <w:t>Realized and unrealized gains (losses) on equity securities, net</w:t>
            </w:r>
          </w:p>
        </w:tc>
        <w:tc>
          <w:tcPr>
            <w:tcW w:w="340" w:type="dxa"/>
            <w:vAlign w:val="bottom"/>
          </w:tcPr>
          <w:p>
            <w:pPr>
              <w:spacing w:after="0"/>
              <w:rPr>
                <w:sz w:val="19"/>
                <w:szCs w:val="19"/>
                <w:color w:val="auto"/>
              </w:rPr>
            </w:pPr>
          </w:p>
        </w:tc>
        <w:tc>
          <w:tcPr>
            <w:tcW w:w="1180" w:type="dxa"/>
            <w:vAlign w:val="bottom"/>
          </w:tcPr>
          <w:p>
            <w:pPr>
              <w:jc w:val="center"/>
              <w:ind w:left="580"/>
              <w:spacing w:after="0"/>
              <w:rPr>
                <w:sz w:val="20"/>
                <w:szCs w:val="20"/>
                <w:color w:val="auto"/>
              </w:rPr>
            </w:pPr>
            <w:r>
              <w:rPr>
                <w:rFonts w:ascii="Arial" w:cs="Arial" w:eastAsia="Arial" w:hAnsi="Arial"/>
                <w:sz w:val="17"/>
                <w:szCs w:val="17"/>
                <w:color w:val="auto"/>
                <w:w w:val="92"/>
              </w:rPr>
              <w:t>(87)</w:t>
            </w:r>
          </w:p>
        </w:tc>
        <w:tc>
          <w:tcPr>
            <w:tcW w:w="62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440" w:type="dxa"/>
            <w:vAlign w:val="bottom"/>
          </w:tcPr>
          <w:p>
            <w:pPr>
              <w:spacing w:after="0"/>
              <w:rPr>
                <w:sz w:val="19"/>
                <w:szCs w:val="19"/>
                <w:color w:val="auto"/>
              </w:rPr>
            </w:pPr>
          </w:p>
        </w:tc>
        <w:tc>
          <w:tcPr>
            <w:tcW w:w="1180" w:type="dxa"/>
            <w:vAlign w:val="bottom"/>
          </w:tcPr>
          <w:p>
            <w:pPr>
              <w:ind w:left="680"/>
              <w:spacing w:after="0"/>
              <w:rPr>
                <w:sz w:val="20"/>
                <w:szCs w:val="20"/>
                <w:color w:val="auto"/>
              </w:rPr>
            </w:pPr>
            <w:r>
              <w:rPr>
                <w:rFonts w:ascii="Arial" w:cs="Arial" w:eastAsia="Arial" w:hAnsi="Arial"/>
                <w:sz w:val="17"/>
                <w:szCs w:val="17"/>
                <w:color w:val="auto"/>
              </w:rPr>
              <w:t>(130)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23"/>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income (loss),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00"/>
              <w:spacing w:after="0"/>
              <w:rPr>
                <w:sz w:val="20"/>
                <w:szCs w:val="20"/>
                <w:color w:val="auto"/>
              </w:rPr>
            </w:pPr>
            <w:r>
              <w:rPr>
                <w:rFonts w:ascii="Arial" w:cs="Arial" w:eastAsia="Arial" w:hAnsi="Arial"/>
                <w:sz w:val="17"/>
                <w:szCs w:val="17"/>
                <w:color w:val="auto"/>
                <w:w w:val="94"/>
              </w:rPr>
              <w:t>88</w:t>
            </w: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349</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r>
      <w:tr>
        <w:trPr>
          <w:trHeight w:val="222"/>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Investment and other income (loss), net</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center"/>
              <w:ind w:left="600"/>
              <w:spacing w:after="0"/>
              <w:rPr>
                <w:sz w:val="20"/>
                <w:szCs w:val="20"/>
                <w:color w:val="auto"/>
              </w:rPr>
            </w:pPr>
            <w:r>
              <w:rPr>
                <w:rFonts w:ascii="Arial" w:cs="Arial" w:eastAsia="Arial" w:hAnsi="Arial"/>
                <w:sz w:val="17"/>
                <w:szCs w:val="17"/>
                <w:b w:val="1"/>
                <w:bCs w:val="1"/>
                <w:color w:val="auto"/>
                <w:w w:val="94"/>
              </w:rPr>
              <w:t>50</w:t>
            </w:r>
          </w:p>
        </w:tc>
        <w:tc>
          <w:tcPr>
            <w:tcW w:w="6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(266)</w:t>
            </w:r>
          </w:p>
        </w:tc>
        <w:tc>
          <w:tcPr>
            <w:tcW w:w="4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672</w:t>
            </w:r>
          </w:p>
        </w:tc>
        <w:tc>
          <w:tcPr>
            <w:tcW w:w="6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(975)</w:t>
            </w:r>
          </w:p>
        </w:tc>
      </w:tr>
    </w:tbl>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amount of unrealized gains (losses), net recognized in the three months ended September 30, 2023 and 2022 that related to marketable and nonmarketable equity securities still held as of the end of each reporting period was $(82) million and $(43) million, respectively. The amount of unrealized gains (losses), net recognized in the nine months ended September 30, 2023 and 2022 that related to marketable and nonmarketable equity securities still held as of the end of each reporting period was $(145) million and $(283) million,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14"/>
                <w:szCs w:val="14"/>
                <w:color w:val="auto"/>
              </w:rPr>
            </w:pPr>
          </w:p>
        </w:tc>
        <w:tc>
          <w:tcPr>
            <w:tcW w:w="1300" w:type="dxa"/>
            <w:vAlign w:val="bottom"/>
          </w:tcPr>
          <w:p>
            <w:pPr>
              <w:jc w:val="right"/>
              <w:ind w:right="296"/>
              <w:spacing w:after="0"/>
              <w:rPr>
                <w:sz w:val="20"/>
                <w:szCs w:val="20"/>
                <w:color w:val="auto"/>
              </w:rPr>
            </w:pPr>
            <w:r>
              <w:rPr>
                <w:rFonts w:ascii="Arial" w:cs="Arial" w:eastAsia="Arial" w:hAnsi="Arial"/>
                <w:sz w:val="14"/>
                <w:szCs w:val="14"/>
                <w:color w:val="auto"/>
                <w:w w:val="97"/>
              </w:rPr>
              <w:t>September 30,</w:t>
            </w:r>
          </w:p>
        </w:tc>
        <w:tc>
          <w:tcPr>
            <w:tcW w:w="340" w:type="dxa"/>
            <w:vAlign w:val="bottom"/>
          </w:tcPr>
          <w:p>
            <w:pPr>
              <w:spacing w:after="0"/>
              <w:rPr>
                <w:sz w:val="14"/>
                <w:szCs w:val="14"/>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4"/>
        </w:trPr>
        <w:tc>
          <w:tcPr>
            <w:tcW w:w="5880" w:type="dxa"/>
            <w:vAlign w:val="bottom"/>
            <w:tcBorders>
              <w:bottom w:val="single" w:sz="8" w:color="auto"/>
            </w:tcBorders>
            <w:vMerge w:val="continue"/>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1"/>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method</w:t>
            </w:r>
          </w:p>
        </w:tc>
        <w:tc>
          <w:tcPr>
            <w:tcW w:w="25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6,775</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Marketable equity securities</w:t>
            </w:r>
          </w:p>
        </w:tc>
        <w:tc>
          <w:tcPr>
            <w:tcW w:w="25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7"/>
                <w:szCs w:val="17"/>
                <w:color w:val="auto"/>
              </w:rPr>
              <w:t>57</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Nonmarketable equity securities</w:t>
            </w:r>
          </w:p>
        </w:tc>
        <w:tc>
          <w:tcPr>
            <w:tcW w:w="2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1,461</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w:t>
            </w:r>
          </w:p>
        </w:tc>
        <w:tc>
          <w:tcPr>
            <w:tcW w:w="0" w:type="dxa"/>
            <w:vAlign w:val="bottom"/>
          </w:tcPr>
          <w:p>
            <w:pPr>
              <w:spacing w:after="0"/>
              <w:rPr>
                <w:sz w:val="1"/>
                <w:szCs w:val="1"/>
                <w:color w:val="auto"/>
              </w:rPr>
            </w:pPr>
          </w:p>
        </w:tc>
      </w:tr>
      <w:tr>
        <w:trPr>
          <w:trHeight w:val="222"/>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investments</w:t>
            </w:r>
          </w:p>
        </w:tc>
        <w:tc>
          <w:tcPr>
            <w:tcW w:w="2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388</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investments</w:t>
            </w:r>
          </w:p>
        </w:tc>
        <w:tc>
          <w:tcPr>
            <w:tcW w:w="2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8,681</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8,142</w:t>
            </w: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Less: Current investments</w:t>
            </w:r>
          </w:p>
        </w:tc>
        <w:tc>
          <w:tcPr>
            <w:tcW w:w="25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7"/>
                <w:szCs w:val="17"/>
                <w:color w:val="auto"/>
              </w:rPr>
              <w:t>321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Less: Investment securing collateralized obligation</w:t>
            </w:r>
          </w:p>
        </w:tc>
        <w:tc>
          <w:tcPr>
            <w:tcW w:w="2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319</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22"/>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Noncurrent investments</w:t>
            </w:r>
          </w:p>
        </w:tc>
        <w:tc>
          <w:tcPr>
            <w:tcW w:w="25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8,041</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7,250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amount of cash distributions received from equity method investments presented within operating activities in the condensed consolidated statements of cash flows in the nine months ended September 30, 2023 and 2022 was $185 million and $114 million,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Atairos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nine months ended September 30, 2023 and 2022, we made cash capital contributions to Atairos totaling $132 million and $39 million, respectively. As of September 30, 2023 and December 31, 2022, our investment in Atairos, inclusive of certain distributions retained by Atairos on our behalf and classified as advances within other investments, was $5.1 billion and $4.3 billion, respectively. As of September 30, 2023, our remaining unfunded capital commitment was $1.4 billion.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Hulu and Collateralized Obligation</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third quarter of 2023, we amended our agreements with The Walt Disney Company and certain of its subsidiaries regarding our ownership interest in Hulu and the related put and call provisions. As part of the amendments, among other things, we agreed that the put/call provisions regarding our interest may now be exercised in November 2023 (in addition to subsequent periods).</w:t>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2019, we borrowed $5.2 billion under a term loan facility, which is fully collateralized by the minimum guaranteed proceeds of the put/call option related to our investment in Hulu. The term loan is due at the earlier of March 2024 or upon receipt of proceeds under the put/call provisions. As of both September 30, 2023 and December 31, 2022, the carrying value and estimated fair value of our collateralized obligation were each $5.2 billion. The estimated fair values were based on Level 2 inputs that use interest rates for debt with similar terms and remaining maturities.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present our investment in Hulu and the term loan separately in our condensed consolidated balance sheets in the captions “investment securing collateralized obligation” and “collateralized obligation,” respectively. The recorded value of our investment reflects our historical cost in applying the equity method and, as a result, is less than its fair value.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Investments</w:t>
      </w:r>
    </w:p>
    <w:p>
      <w:pPr>
        <w:spacing w:after="0" w:line="1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Other investments also includes investments in certain short-term instruments with maturities over three months when purchased, such as commercial paper, certificates of deposit and U.S. government obligations, which are generally accounted for at amortized cost. These short-term instruments totaled $253 million and $304 million as of September 30, 2023 and December 31, 2022, respectively. The carrying amounts of these investments approximate their fair values, which are primarily based on Level 2 inputs that use interest rates for instruments with similar terms and remaining maturities. Proceeds from short-term instruments for the nine months ended September 30, 2023 and 2022 were $339 million and $874 million, respectively. Purchases of short-term instruments for the nine months ended September 30, 2023 and 2022 were $286 million and $1.8 billion,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Variable Interest Entity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Universal Beijing Resort</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own a 30% interest in a Universal theme park and resort in Beijing, China (“Universal Beijing Resort”), which opened in September 2021.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September 30, 2023, Universal Beijing Resort had $3.4 billion of debt outstanding, including $3.0 billion principal amount of a term loan outstanding under the debt financing agreement.</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2023, our condensed consolidated balance sheets included assets and liabilities of Universal Beijing Resort totaling $7.8 billion and $7.1 billion, respectively. The assets and liabilities of Universal Beijing Resort primarily consist of property and equipment, operating lease assets and liabilities, and debt.</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7: Goodwill and Intangible Assets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3"/>
          </w:tcPr>
          <w:p>
            <w:pPr>
              <w:jc w:val="right"/>
              <w:ind w:right="336"/>
              <w:spacing w:after="0"/>
              <w:rPr>
                <w:sz w:val="20"/>
                <w:szCs w:val="20"/>
                <w:color w:val="auto"/>
              </w:rPr>
            </w:pPr>
            <w:r>
              <w:rPr>
                <w:rFonts w:ascii="Arial" w:cs="Arial" w:eastAsia="Arial" w:hAnsi="Arial"/>
                <w:sz w:val="14"/>
                <w:szCs w:val="14"/>
                <w:color w:val="auto"/>
              </w:rPr>
              <w:t>Connectivity &amp; Platforms</w:t>
            </w:r>
          </w:p>
        </w:tc>
        <w:tc>
          <w:tcPr>
            <w:tcW w:w="280" w:type="dxa"/>
            <w:vAlign w:val="bottom"/>
          </w:tcPr>
          <w:p>
            <w:pPr>
              <w:spacing w:after="0"/>
              <w:rPr>
                <w:sz w:val="15"/>
                <w:szCs w:val="15"/>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color w:val="auto"/>
              </w:rPr>
              <w:t>Content &amp; Experiences</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4"/>
        </w:trPr>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3"/>
        </w:trPr>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Cable</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Connectivity &amp;</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85"/>
              </w:rPr>
              <w:t>Business Services</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Theme</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color w:val="auto"/>
              </w:rPr>
              <w:t>Corporate</w:t>
            </w:r>
          </w:p>
        </w:tc>
        <w:tc>
          <w:tcPr>
            <w:tcW w:w="520" w:type="dxa"/>
            <w:vAlign w:val="bottom"/>
          </w:tcPr>
          <w:p>
            <w:pPr>
              <w:spacing w:after="0"/>
              <w:rPr>
                <w:sz w:val="15"/>
                <w:szCs w:val="15"/>
                <w:color w:val="auto"/>
              </w:rPr>
            </w:pPr>
          </w:p>
        </w:tc>
      </w:tr>
      <w:tr>
        <w:trPr>
          <w:trHeight w:val="205"/>
        </w:trPr>
        <w:tc>
          <w:tcPr>
            <w:tcW w:w="276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9"/>
              </w:rPr>
              <w:t>Communications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Platforms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Connectivity</w:t>
            </w: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Media</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Studios</w:t>
            </w: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Parks</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Sky</w:t>
            </w:r>
          </w:p>
        </w:tc>
        <w:tc>
          <w:tcPr>
            <w:tcW w:w="18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Arial" w:cs="Arial" w:eastAsia="Arial" w:hAnsi="Arial"/>
                <w:sz w:val="14"/>
                <w:szCs w:val="14"/>
                <w:color w:val="auto"/>
              </w:rPr>
              <w:t>and Other</w:t>
            </w:r>
          </w:p>
        </w:tc>
        <w:tc>
          <w:tcPr>
            <w:tcW w:w="52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23"/>
        </w:trPr>
        <w:tc>
          <w:tcPr>
            <w:tcW w:w="2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2022</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3"/>
        </w:trPr>
        <w:tc>
          <w:tcPr>
            <w:tcW w:w="2760" w:type="dxa"/>
            <w:vAlign w:val="bottom"/>
          </w:tcPr>
          <w:p>
            <w:pPr>
              <w:ind w:left="100"/>
              <w:spacing w:after="0"/>
              <w:rPr>
                <w:sz w:val="20"/>
                <w:szCs w:val="20"/>
                <w:color w:val="auto"/>
              </w:rPr>
            </w:pPr>
            <w:r>
              <w:rPr>
                <w:rFonts w:ascii="Arial" w:cs="Arial" w:eastAsia="Arial" w:hAnsi="Arial"/>
                <w:sz w:val="17"/>
                <w:szCs w:val="17"/>
                <w:b w:val="1"/>
                <w:bCs w:val="1"/>
                <w:color w:val="auto"/>
              </w:rPr>
              <w:t>Goodwill</w:t>
            </w:r>
          </w:p>
        </w:tc>
        <w:tc>
          <w:tcPr>
            <w:tcW w:w="26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16.2</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c>
          <w:tcPr>
            <w:tcW w:w="1300" w:type="dxa"/>
            <w:vAlign w:val="bottom"/>
            <w:gridSpan w:val="2"/>
          </w:tcPr>
          <w:p>
            <w:pPr>
              <w:jc w:val="right"/>
              <w:ind w:right="93"/>
              <w:spacing w:after="0"/>
              <w:rPr>
                <w:sz w:val="20"/>
                <w:szCs w:val="20"/>
                <w:color w:val="auto"/>
              </w:rPr>
            </w:pPr>
            <w:r>
              <w:rPr>
                <w:rFonts w:ascii="Arial" w:cs="Arial" w:eastAsia="Arial" w:hAnsi="Arial"/>
                <w:sz w:val="17"/>
                <w:szCs w:val="17"/>
                <w:b w:val="1"/>
                <w:bCs w:val="1"/>
                <w:color w:val="auto"/>
              </w:rPr>
              <w:t>— $</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14.7</w:t>
            </w:r>
          </w:p>
        </w:tc>
        <w:tc>
          <w:tcPr>
            <w:tcW w:w="240" w:type="dxa"/>
            <w:vAlign w:val="bottom"/>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34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5.8</w:t>
            </w:r>
          </w:p>
        </w:tc>
        <w:tc>
          <w:tcPr>
            <w:tcW w:w="240" w:type="dxa"/>
            <w:vAlign w:val="bottom"/>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26.0</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ind w:left="400"/>
              <w:spacing w:after="0"/>
              <w:rPr>
                <w:sz w:val="20"/>
                <w:szCs w:val="20"/>
                <w:color w:val="auto"/>
              </w:rPr>
            </w:pPr>
            <w:r>
              <w:rPr>
                <w:rFonts w:ascii="Arial" w:cs="Arial" w:eastAsia="Arial" w:hAnsi="Arial"/>
                <w:sz w:val="17"/>
                <w:szCs w:val="17"/>
                <w:b w:val="1"/>
                <w:bCs w:val="1"/>
                <w:color w:val="auto"/>
              </w:rPr>
              <w:t>— $</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66.4</w:t>
            </w:r>
          </w:p>
        </w:tc>
      </w:tr>
      <w:tr>
        <w:trPr>
          <w:trHeight w:val="223"/>
        </w:trPr>
        <w:tc>
          <w:tcPr>
            <w:tcW w:w="2760" w:type="dxa"/>
            <w:vAlign w:val="bottom"/>
            <w:tcBorders>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17"/>
                <w:szCs w:val="17"/>
                <w:b w:val="1"/>
                <w:bCs w:val="1"/>
                <w:color w:val="auto"/>
                <w:w w:val="94"/>
              </w:rPr>
              <w:t>Accumulated impairment losses</w:t>
            </w:r>
            <w:r>
              <w:rPr>
                <w:rFonts w:ascii="Arial" w:cs="Arial" w:eastAsia="Arial" w:hAnsi="Arial"/>
                <w:sz w:val="22"/>
                <w:szCs w:val="22"/>
                <w:b w:val="1"/>
                <w:bCs w:val="1"/>
                <w:color w:val="auto"/>
                <w:w w:val="94"/>
                <w:vertAlign w:val="superscript"/>
              </w:rPr>
              <w:t>(a)</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w:t>
            </w:r>
          </w:p>
        </w:tc>
      </w:tr>
      <w:tr>
        <w:trPr>
          <w:trHeight w:val="216"/>
        </w:trPr>
        <w:tc>
          <w:tcPr>
            <w:tcW w:w="2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 $</w:t>
            </w:r>
          </w:p>
        </w:tc>
        <w:tc>
          <w:tcPr>
            <w:tcW w:w="130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7"/>
                <w:szCs w:val="17"/>
                <w:b w:val="1"/>
                <w:bCs w:val="1"/>
                <w:color w:val="auto"/>
              </w:rPr>
              <w:t>— $</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 $</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58.5</w:t>
            </w: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change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4"/>
              </w:rPr>
              <w:t>Foreign currency translation and other</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September 30, 2023</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3"/>
        </w:trPr>
        <w:tc>
          <w:tcPr>
            <w:tcW w:w="2760" w:type="dxa"/>
            <w:vAlign w:val="bottom"/>
          </w:tcPr>
          <w:p>
            <w:pPr>
              <w:ind w:left="100"/>
              <w:spacing w:after="0"/>
              <w:rPr>
                <w:sz w:val="20"/>
                <w:szCs w:val="20"/>
                <w:color w:val="auto"/>
              </w:rPr>
            </w:pPr>
            <w:r>
              <w:rPr>
                <w:rFonts w:ascii="Arial" w:cs="Arial" w:eastAsia="Arial" w:hAnsi="Arial"/>
                <w:sz w:val="17"/>
                <w:szCs w:val="17"/>
                <w:b w:val="1"/>
                <w:bCs w:val="1"/>
                <w:color w:val="auto"/>
              </w:rPr>
              <w:t>Goodwill</w:t>
            </w:r>
          </w:p>
        </w:tc>
        <w:tc>
          <w:tcPr>
            <w:tcW w:w="26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33.6</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280" w:type="dxa"/>
            <w:vAlign w:val="bottom"/>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21.6</w:t>
            </w:r>
          </w:p>
        </w:tc>
        <w:tc>
          <w:tcPr>
            <w:tcW w:w="240" w:type="dxa"/>
            <w:vAlign w:val="bottom"/>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34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5.2</w:t>
            </w:r>
          </w:p>
        </w:tc>
        <w:tc>
          <w:tcPr>
            <w:tcW w:w="240" w:type="dxa"/>
            <w:vAlign w:val="bottom"/>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76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c>
          <w:tcPr>
            <w:tcW w:w="900" w:type="dxa"/>
            <w:vAlign w:val="bottom"/>
          </w:tcPr>
          <w:p>
            <w:pPr>
              <w:ind w:left="400"/>
              <w:spacing w:after="0"/>
              <w:rPr>
                <w:sz w:val="20"/>
                <w:szCs w:val="20"/>
                <w:color w:val="auto"/>
              </w:rPr>
            </w:pPr>
            <w:r>
              <w:rPr>
                <w:rFonts w:ascii="Arial" w:cs="Arial" w:eastAsia="Arial" w:hAnsi="Arial"/>
                <w:sz w:val="17"/>
                <w:szCs w:val="17"/>
                <w:b w:val="1"/>
                <w:bCs w:val="1"/>
                <w:color w:val="auto"/>
              </w:rPr>
              <w:t>— $</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66.2</w:t>
            </w:r>
          </w:p>
        </w:tc>
      </w:tr>
      <w:tr>
        <w:trPr>
          <w:trHeight w:val="223"/>
        </w:trPr>
        <w:tc>
          <w:tcPr>
            <w:tcW w:w="2760" w:type="dxa"/>
            <w:vAlign w:val="bottom"/>
            <w:tcBorders>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17"/>
                <w:szCs w:val="17"/>
                <w:b w:val="1"/>
                <w:bCs w:val="1"/>
                <w:color w:val="auto"/>
                <w:w w:val="94"/>
              </w:rPr>
              <w:t>Accumulated impairment losses</w:t>
            </w:r>
            <w:r>
              <w:rPr>
                <w:rFonts w:ascii="Arial" w:cs="Arial" w:eastAsia="Arial" w:hAnsi="Arial"/>
                <w:sz w:val="22"/>
                <w:szCs w:val="22"/>
                <w:b w:val="1"/>
                <w:bCs w:val="1"/>
                <w:color w:val="auto"/>
                <w:w w:val="94"/>
                <w:vertAlign w:val="superscript"/>
              </w:rPr>
              <w:t>(a)</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(8.2)</w:t>
            </w:r>
          </w:p>
        </w:tc>
      </w:tr>
      <w:tr>
        <w:trPr>
          <w:trHeight w:val="222"/>
        </w:trPr>
        <w:tc>
          <w:tcPr>
            <w:tcW w:w="2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 $</w:t>
            </w: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 $</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58.1</w:t>
            </w:r>
          </w:p>
        </w:tc>
      </w:tr>
    </w:tbl>
    <w:p>
      <w:pPr>
        <w:spacing w:after="0" w:line="126" w:lineRule="exact"/>
        <w:rPr>
          <w:sz w:val="20"/>
          <w:szCs w:val="20"/>
          <w:color w:val="auto"/>
        </w:rPr>
      </w:pPr>
    </w:p>
    <w:p>
      <w:pPr>
        <w:ind w:firstLine="5"/>
        <w:spacing w:after="0" w:line="260" w:lineRule="auto"/>
        <w:tabs>
          <w:tab w:leader="none" w:pos="2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relate to the 2022 impairment related to Sky, with the 2023 amounts allocated to our new segments on a consistent basis with goodwill. Amounts are impacted by foreign currency translation each period.</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the third quarter of 2022, we recorded a goodwill impairment of $8.1 billion in our Sky reporting unit. The fair value of the reporting unit was estimated using a discounted cash flow analysis. When performing this analysis, we also considered multiples of earnings from comparable public companies and recent market transactions. The decline in fair value primarily resulted from an increased discount rate and reduced estimated future cash flows as a result of macroeconomic conditions in the Sky territories. In connection with this assessment, in the third quarter of 2022, we also recorded impairments of intangible assets related to Sky, which primarily related to customer relationship assets. These impairments totaled $485 million and are presented in goodwill and long-lived asset impairments in the consolidated statement of income.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8: Equity and Share-Based Compensation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Weighted-Average Common Shares Outstanding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760" w:type="dxa"/>
            <w:vAlign w:val="bottom"/>
            <w:gridSpan w:val="2"/>
          </w:tcPr>
          <w:p>
            <w:pPr>
              <w:jc w:val="right"/>
              <w:ind w:right="796"/>
              <w:spacing w:after="0"/>
              <w:rPr>
                <w:sz w:val="20"/>
                <w:szCs w:val="20"/>
                <w:color w:val="auto"/>
              </w:rPr>
            </w:pPr>
            <w:r>
              <w:rPr>
                <w:rFonts w:ascii="Arial" w:cs="Arial" w:eastAsia="Arial" w:hAnsi="Arial"/>
                <w:sz w:val="14"/>
                <w:szCs w:val="14"/>
                <w:color w:val="auto"/>
              </w:rPr>
              <w:t>Three Months Ended</w:t>
            </w:r>
          </w:p>
        </w:tc>
        <w:tc>
          <w:tcPr>
            <w:tcW w:w="2380" w:type="dxa"/>
            <w:vAlign w:val="bottom"/>
            <w:gridSpan w:val="2"/>
          </w:tcPr>
          <w:p>
            <w:pPr>
              <w:jc w:val="right"/>
              <w:ind w:right="636"/>
              <w:spacing w:after="0"/>
              <w:rPr>
                <w:sz w:val="20"/>
                <w:szCs w:val="20"/>
                <w:color w:val="auto"/>
              </w:rPr>
            </w:pPr>
            <w:r>
              <w:rPr>
                <w:rFonts w:ascii="Arial" w:cs="Arial" w:eastAsia="Arial" w:hAnsi="Arial"/>
                <w:sz w:val="14"/>
                <w:szCs w:val="14"/>
                <w:color w:val="auto"/>
              </w:rPr>
              <w:t>Nine Months Ended</w:t>
            </w:r>
          </w:p>
        </w:tc>
      </w:tr>
      <w:tr>
        <w:trPr>
          <w:trHeight w:val="182"/>
        </w:trPr>
        <w:tc>
          <w:tcPr>
            <w:tcW w:w="6100" w:type="dxa"/>
            <w:vAlign w:val="bottom"/>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5"/>
                <w:szCs w:val="15"/>
                <w:color w:val="auto"/>
              </w:rPr>
            </w:pPr>
          </w:p>
        </w:tc>
      </w:tr>
      <w:tr>
        <w:trPr>
          <w:trHeight w:val="19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tcPr>
          <w:p>
            <w:pPr>
              <w:jc w:val="right"/>
              <w:ind w:right="960"/>
              <w:spacing w:after="0"/>
              <w:rPr>
                <w:sz w:val="20"/>
                <w:szCs w:val="20"/>
                <w:color w:val="auto"/>
              </w:rPr>
            </w:pPr>
            <w:r>
              <w:rPr>
                <w:rFonts w:ascii="Arial" w:cs="Arial" w:eastAsia="Arial" w:hAnsi="Arial"/>
                <w:sz w:val="14"/>
                <w:szCs w:val="14"/>
                <w:color w:val="auto"/>
              </w:rPr>
              <w:t>2023</w:t>
            </w: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2022</w:t>
            </w:r>
          </w:p>
        </w:tc>
        <w:tc>
          <w:tcPr>
            <w:tcW w:w="1580" w:type="dxa"/>
            <w:vAlign w:val="bottom"/>
            <w:tcBorders>
              <w:bottom w:val="single" w:sz="8" w:color="auto"/>
            </w:tcBorders>
          </w:tcPr>
          <w:p>
            <w:pPr>
              <w:jc w:val="right"/>
              <w:ind w:right="96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2022</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number of common shares outstanding – basic</w:t>
            </w:r>
          </w:p>
        </w:tc>
        <w:tc>
          <w:tcPr>
            <w:tcW w:w="178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rPr>
              <w:t>4,109</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4,377</w:t>
            </w:r>
          </w:p>
        </w:tc>
        <w:tc>
          <w:tcPr>
            <w:tcW w:w="158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rPr>
              <w:t>4,160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4,449</w:t>
            </w:r>
          </w:p>
        </w:tc>
      </w:tr>
      <w:tr>
        <w:trPr>
          <w:trHeight w:val="222"/>
        </w:trPr>
        <w:tc>
          <w:tcPr>
            <w:tcW w:w="610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1780" w:type="dxa"/>
            <w:vAlign w:val="bottom"/>
          </w:tcPr>
          <w:p>
            <w:pPr>
              <w:jc w:val="right"/>
              <w:ind w:right="580"/>
              <w:spacing w:after="0"/>
              <w:rPr>
                <w:sz w:val="20"/>
                <w:szCs w:val="20"/>
                <w:color w:val="auto"/>
              </w:rPr>
            </w:pPr>
            <w:r>
              <w:rPr>
                <w:rFonts w:ascii="Arial" w:cs="Arial" w:eastAsia="Arial" w:hAnsi="Arial"/>
                <w:sz w:val="17"/>
                <w:szCs w:val="17"/>
                <w:color w:val="auto"/>
              </w:rPr>
              <w:t>33</w:t>
            </w:r>
          </w:p>
        </w:tc>
        <w:tc>
          <w:tcPr>
            <w:tcW w:w="9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580"/>
              <w:spacing w:after="0"/>
              <w:rPr>
                <w:sz w:val="20"/>
                <w:szCs w:val="20"/>
                <w:color w:val="auto"/>
              </w:rPr>
            </w:pPr>
            <w:r>
              <w:rPr>
                <w:rFonts w:ascii="Arial" w:cs="Arial" w:eastAsia="Arial" w:hAnsi="Arial"/>
                <w:sz w:val="17"/>
                <w:szCs w:val="17"/>
                <w:color w:val="auto"/>
              </w:rPr>
              <w:t>23</w:t>
            </w:r>
          </w:p>
        </w:tc>
        <w:tc>
          <w:tcPr>
            <w:tcW w:w="8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3"/>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Weighted-average number of common shares outstanding – diluted</w:t>
            </w:r>
          </w:p>
        </w:tc>
        <w:tc>
          <w:tcPr>
            <w:tcW w:w="178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7"/>
                <w:szCs w:val="17"/>
                <w:color w:val="auto"/>
              </w:rPr>
              <w:t>4,141</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4,377</w:t>
            </w:r>
          </w:p>
        </w:tc>
        <w:tc>
          <w:tcPr>
            <w:tcW w:w="158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7"/>
                <w:szCs w:val="17"/>
                <w:color w:val="auto"/>
              </w:rPr>
              <w:t>4,184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4,477</w:t>
            </w:r>
          </w:p>
        </w:tc>
      </w:tr>
      <w:tr>
        <w:trPr>
          <w:trHeight w:val="216"/>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Antidilutive securities</w:t>
            </w:r>
          </w:p>
        </w:tc>
        <w:tc>
          <w:tcPr>
            <w:tcW w:w="1780" w:type="dxa"/>
            <w:vAlign w:val="bottom"/>
            <w:tcBorders>
              <w:bottom w:val="single" w:sz="8" w:color="auto"/>
            </w:tcBorders>
          </w:tcPr>
          <w:p>
            <w:pPr>
              <w:jc w:val="right"/>
              <w:ind w:right="580"/>
              <w:spacing w:after="0"/>
              <w:rPr>
                <w:sz w:val="20"/>
                <w:szCs w:val="20"/>
                <w:color w:val="auto"/>
              </w:rPr>
            </w:pPr>
            <w:r>
              <w:rPr>
                <w:rFonts w:ascii="Arial" w:cs="Arial" w:eastAsia="Arial" w:hAnsi="Arial"/>
                <w:sz w:val="17"/>
                <w:szCs w:val="17"/>
                <w:color w:val="auto"/>
              </w:rPr>
              <w:t>86</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288</w:t>
            </w:r>
          </w:p>
        </w:tc>
        <w:tc>
          <w:tcPr>
            <w:tcW w:w="1580" w:type="dxa"/>
            <w:vAlign w:val="bottom"/>
            <w:tcBorders>
              <w:bottom w:val="single" w:sz="8" w:color="auto"/>
            </w:tcBorders>
          </w:tcPr>
          <w:p>
            <w:pPr>
              <w:jc w:val="right"/>
              <w:ind w:right="580"/>
              <w:spacing w:after="0"/>
              <w:rPr>
                <w:sz w:val="20"/>
                <w:szCs w:val="20"/>
                <w:color w:val="auto"/>
              </w:rPr>
            </w:pPr>
            <w:r>
              <w:rPr>
                <w:rFonts w:ascii="Arial" w:cs="Arial" w:eastAsia="Arial" w:hAnsi="Arial"/>
                <w:sz w:val="17"/>
                <w:szCs w:val="17"/>
                <w:color w:val="auto"/>
              </w:rPr>
              <w:t>172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r>
    </w:tbl>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There were no potentially dilutive shares included for the three months ended September 30, 2022 because their effect would be antidilutive as a result of the loss for the period. Antidilutive securities represent the number of potential common shares related to share-based compensation awards that were excluded from diluted EPS because their effect would have been antidilutive.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tcPr>
          <w:p>
            <w:pPr>
              <w:spacing w:after="0"/>
              <w:rPr>
                <w:sz w:val="14"/>
                <w:szCs w:val="14"/>
                <w:color w:val="auto"/>
              </w:rPr>
            </w:pPr>
          </w:p>
        </w:tc>
        <w:tc>
          <w:tcPr>
            <w:tcW w:w="1320" w:type="dxa"/>
            <w:vAlign w:val="bottom"/>
          </w:tcPr>
          <w:p>
            <w:pPr>
              <w:jc w:val="right"/>
              <w:ind w:right="319"/>
              <w:spacing w:after="0"/>
              <w:rPr>
                <w:sz w:val="20"/>
                <w:szCs w:val="20"/>
                <w:color w:val="auto"/>
              </w:rPr>
            </w:pPr>
            <w:r>
              <w:rPr>
                <w:rFonts w:ascii="Arial" w:cs="Arial" w:eastAsia="Arial" w:hAnsi="Arial"/>
                <w:sz w:val="14"/>
                <w:szCs w:val="14"/>
                <w:color w:val="auto"/>
                <w:w w:val="97"/>
              </w:rPr>
              <w:t>September 30,</w:t>
            </w:r>
          </w:p>
        </w:tc>
        <w:tc>
          <w:tcPr>
            <w:tcW w:w="320" w:type="dxa"/>
            <w:vAlign w:val="bottom"/>
          </w:tcPr>
          <w:p>
            <w:pPr>
              <w:spacing w:after="0"/>
              <w:rPr>
                <w:sz w:val="14"/>
                <w:szCs w:val="14"/>
                <w:color w:val="auto"/>
              </w:rPr>
            </w:pPr>
          </w:p>
        </w:tc>
        <w:tc>
          <w:tcPr>
            <w:tcW w:w="1220" w:type="dxa"/>
            <w:vAlign w:val="bottom"/>
          </w:tcPr>
          <w:p>
            <w:pPr>
              <w:jc w:val="right"/>
              <w:ind w:right="23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0"/>
        </w:trPr>
        <w:tc>
          <w:tcPr>
            <w:tcW w:w="672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translation adjustments</w:t>
            </w: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(2,947)</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7"/>
                <w:szCs w:val="17"/>
                <w:color w:val="auto"/>
              </w:rPr>
              <w:t>Deferred gains (losses) on cash flow hedges</w:t>
            </w:r>
          </w:p>
        </w:tc>
        <w:tc>
          <w:tcPr>
            <w:tcW w:w="16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7"/>
                <w:szCs w:val="17"/>
                <w:color w:val="auto"/>
              </w:rPr>
              <w:t>149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Unrecognized gains (losses) on employee benefit obligations and other</w:t>
            </w:r>
          </w:p>
        </w:tc>
        <w:tc>
          <w:tcPr>
            <w:tcW w:w="16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273</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Accumulated other comprehensive income (loss), net of deferred taxes</w:t>
            </w: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(2,525)</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(2,611)</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share-based compensation plans consist primarily of awards of restricted share units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4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March 2023, we granted 22 million RSUs and 57 million stock options related to our annual management awards. The weighted-average fair values associated with these grants were $36.62 per RSU and $8.33 per stock option.</w:t>
      </w:r>
    </w:p>
    <w:p>
      <w:pPr>
        <w:spacing w:after="0" w:line="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three months ended September 30, 2023 and 2022, share-based compensation expense recognized in our condensed consolidated statements of income was $238 million and $256 million, respectively. During the nine months ended September 30, 2023 and 2022, share-based compensation expense recognized in our condensed consolidated statements of income was $786 million and $802 million, respectively. As of September 30, 2023, we had unrecognized pretax compensation expense of $2.2 billion related to nonvested RSUs and nonvested stock options.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9: Supplemental Financial Information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68"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In the third quarter of 2022, a state tax law change was enacted that resulted in a decrease to our net deferred tax liabilities of $286 million, with a corresponding decrease in income tax expense. The goodwill impairment in the third quarter of 2022 (see Note 7) was primarily not deductible for tax purposes.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Cash Payments for Interest and Income Taxes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ind w:left="620"/>
              <w:spacing w:after="0"/>
              <w:rPr>
                <w:sz w:val="20"/>
                <w:szCs w:val="20"/>
                <w:color w:val="auto"/>
              </w:rPr>
            </w:pPr>
            <w:r>
              <w:rPr>
                <w:rFonts w:ascii="Arial" w:cs="Arial" w:eastAsia="Arial" w:hAnsi="Arial"/>
                <w:sz w:val="14"/>
                <w:szCs w:val="14"/>
                <w:color w:val="auto"/>
                <w:w w:val="95"/>
              </w:rPr>
              <w:t>Nine Months Ended</w:t>
            </w:r>
          </w:p>
        </w:tc>
        <w:tc>
          <w:tcPr>
            <w:tcW w:w="900" w:type="dxa"/>
            <w:vAlign w:val="bottom"/>
          </w:tcPr>
          <w:p>
            <w:pPr>
              <w:spacing w:after="0"/>
              <w:rPr>
                <w:sz w:val="14"/>
                <w:szCs w:val="14"/>
                <w:color w:val="auto"/>
              </w:rPr>
            </w:pPr>
          </w:p>
        </w:tc>
      </w:tr>
      <w:tr>
        <w:trPr>
          <w:trHeight w:val="182"/>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r>
      <w:tr>
        <w:trPr>
          <w:trHeight w:val="190"/>
        </w:trPr>
        <w:tc>
          <w:tcPr>
            <w:tcW w:w="818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2023</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w w:val="96"/>
              </w:rPr>
              <w:t>2022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2,566</w:t>
            </w:r>
          </w:p>
        </w:tc>
        <w:tc>
          <w:tcPr>
            <w:tcW w:w="66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3,823</w:t>
            </w:r>
          </w:p>
        </w:tc>
        <w:tc>
          <w:tcPr>
            <w:tcW w:w="6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4,022</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Noncash Activities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2023:</w:t>
      </w:r>
    </w:p>
    <w:p>
      <w:pPr>
        <w:spacing w:after="0" w:line="80" w:lineRule="exact"/>
        <w:rPr>
          <w:sz w:val="20"/>
          <w:szCs w:val="20"/>
          <w:color w:val="auto"/>
        </w:rPr>
      </w:pPr>
    </w:p>
    <w:p>
      <w:pPr>
        <w:ind w:left="620" w:hanging="301"/>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acquired $2.2 billion of property and equipment and intangible assets that were accrued but unpaid</w:t>
      </w:r>
    </w:p>
    <w:p>
      <w:pPr>
        <w:spacing w:after="0" w:line="79" w:lineRule="exact"/>
        <w:rPr>
          <w:rFonts w:ascii="Arial" w:cs="Arial" w:eastAsia="Arial" w:hAnsi="Arial"/>
          <w:sz w:val="17"/>
          <w:szCs w:val="17"/>
          <w:color w:val="auto"/>
        </w:rPr>
      </w:pPr>
    </w:p>
    <w:p>
      <w:pPr>
        <w:ind w:left="620" w:hanging="301"/>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recorded a liability of $1.2 billion for a quarterly cash dividend of $0.29 per common share paid in October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2022:</w:t>
      </w:r>
    </w:p>
    <w:p>
      <w:pPr>
        <w:spacing w:after="0" w:line="80" w:lineRule="exact"/>
        <w:rPr>
          <w:sz w:val="20"/>
          <w:szCs w:val="20"/>
          <w:color w:val="auto"/>
        </w:rPr>
      </w:pPr>
    </w:p>
    <w:p>
      <w:pPr>
        <w:ind w:left="620" w:hanging="301"/>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acquired $2.2 billion of property and equipment and intangible assets that were accrued but unpaid</w:t>
      </w:r>
    </w:p>
    <w:p>
      <w:pPr>
        <w:spacing w:after="0" w:line="79" w:lineRule="exact"/>
        <w:rPr>
          <w:rFonts w:ascii="Arial" w:cs="Arial" w:eastAsia="Arial" w:hAnsi="Arial"/>
          <w:sz w:val="17"/>
          <w:szCs w:val="17"/>
          <w:color w:val="auto"/>
        </w:rPr>
      </w:pPr>
    </w:p>
    <w:p>
      <w:pPr>
        <w:ind w:left="620" w:hanging="301"/>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recorded a liability of $1.2 billion for a quarterly cash dividend of $0.27 per common share paid in October 2022</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in the condensed consolidated balance sheets to the total of the amounts reported in our condensed consolidated statements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14"/>
                <w:szCs w:val="14"/>
                <w:color w:val="auto"/>
              </w:rPr>
            </w:pPr>
          </w:p>
        </w:tc>
        <w:tc>
          <w:tcPr>
            <w:tcW w:w="1300" w:type="dxa"/>
            <w:vAlign w:val="bottom"/>
          </w:tcPr>
          <w:p>
            <w:pPr>
              <w:jc w:val="right"/>
              <w:ind w:right="300"/>
              <w:spacing w:after="0"/>
              <w:rPr>
                <w:sz w:val="20"/>
                <w:szCs w:val="20"/>
                <w:color w:val="auto"/>
              </w:rPr>
            </w:pPr>
            <w:r>
              <w:rPr>
                <w:rFonts w:ascii="Arial" w:cs="Arial" w:eastAsia="Arial" w:hAnsi="Arial"/>
                <w:sz w:val="14"/>
                <w:szCs w:val="14"/>
                <w:color w:val="auto"/>
                <w:w w:val="97"/>
              </w:rPr>
              <w:t>September 30,</w:t>
            </w:r>
          </w:p>
        </w:tc>
        <w:tc>
          <w:tcPr>
            <w:tcW w:w="340" w:type="dxa"/>
            <w:vAlign w:val="bottom"/>
          </w:tcPr>
          <w:p>
            <w:pPr>
              <w:spacing w:after="0"/>
              <w:rPr>
                <w:sz w:val="14"/>
                <w:szCs w:val="14"/>
                <w:color w:val="auto"/>
              </w:rPr>
            </w:pPr>
          </w:p>
        </w:tc>
        <w:tc>
          <w:tcPr>
            <w:tcW w:w="1220" w:type="dxa"/>
            <w:vAlign w:val="bottom"/>
          </w:tcPr>
          <w:p>
            <w:pPr>
              <w:jc w:val="right"/>
              <w:ind w:righ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0"/>
        </w:trPr>
        <w:tc>
          <w:tcPr>
            <w:tcW w:w="688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6,435</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4,749</w:t>
            </w:r>
          </w:p>
        </w:tc>
        <w:tc>
          <w:tcPr>
            <w:tcW w:w="0" w:type="dxa"/>
            <w:vAlign w:val="bottom"/>
          </w:tcPr>
          <w:p>
            <w:pPr>
              <w:spacing w:after="0"/>
              <w:rPr>
                <w:sz w:val="1"/>
                <w:szCs w:val="1"/>
                <w:color w:val="auto"/>
              </w:rPr>
            </w:pPr>
          </w:p>
        </w:tc>
      </w:tr>
      <w:tr>
        <w:trPr>
          <w:trHeight w:val="222"/>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cash included in other current assets and other noncurrent assets, net</w:t>
            </w:r>
          </w:p>
        </w:tc>
        <w:tc>
          <w:tcPr>
            <w:tcW w:w="1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53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2"/>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6,489</w:t>
            </w:r>
          </w:p>
        </w:tc>
        <w:tc>
          <w:tcPr>
            <w:tcW w:w="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4,782</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10: Commitments and Contingencies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litigation resulting from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80"/>
        <w:spacing w:after="0" w:line="276" w:lineRule="auto"/>
        <w:rPr>
          <w:sz w:val="20"/>
          <w:szCs w:val="20"/>
          <w:color w:val="auto"/>
        </w:rPr>
      </w:pPr>
      <w:r>
        <w:rPr>
          <w:rFonts w:ascii="Arial" w:cs="Arial" w:eastAsia="Arial" w:hAnsi="Arial"/>
          <w:sz w:val="21"/>
          <w:szCs w:val="21"/>
          <w:b w:val="1"/>
          <w:bCs w:val="1"/>
          <w:color w:val="auto"/>
        </w:rPr>
        <w:t>ITEM 2: MANAGEMENT’S DISCUSSION AND ANALYSIS OF FINANCIAL CONDITION AND RESULTS OF OPERATIONS</w:t>
      </w:r>
    </w:p>
    <w:p>
      <w:pPr>
        <w:spacing w:after="0" w:line="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discussion is provided as a supplement to, and should be read in conjunction with, the condensed consolidated financial statements and related notes included in this Quarterly Report on Form 10-Q and our 2022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We are a global media and technology company with two primary businesses: Connectivity &amp; Platforms and Content &amp; Experiences. We present the operations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of (1) our Connectivity &amp; Platforms business in two reportable business segments: Residential Connectivity &amp; Platforms and Business Services Connectivity and (2) our Content &amp; Experiences business in three reportable business segments: Media, Studios and Theme Parks. Refer to Note 2 for information on our reportable business segments, including a description of the segment change implemented in the first quarter of 2023. All amounts are presented under the new segment structure.</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Operating Results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3"/>
          </w:tcPr>
          <w:p>
            <w:pPr>
              <w:jc w:val="right"/>
              <w:ind w:right="834"/>
              <w:spacing w:after="0"/>
              <w:rPr>
                <w:sz w:val="20"/>
                <w:szCs w:val="20"/>
                <w:color w:val="auto"/>
              </w:rPr>
            </w:pPr>
            <w:r>
              <w:rPr>
                <w:rFonts w:ascii="Arial" w:cs="Arial" w:eastAsia="Arial" w:hAnsi="Arial"/>
                <w:sz w:val="14"/>
                <w:szCs w:val="14"/>
                <w:color w:val="auto"/>
              </w:rPr>
              <w:t>Three Months Ended</w:t>
            </w:r>
          </w:p>
        </w:tc>
        <w:tc>
          <w:tcPr>
            <w:tcW w:w="1260" w:type="dxa"/>
            <w:vAlign w:val="bottom"/>
            <w:vMerge w:val="restart"/>
          </w:tcPr>
          <w:p>
            <w:pPr>
              <w:jc w:val="right"/>
              <w:ind w:right="434"/>
              <w:spacing w:after="0"/>
              <w:rPr>
                <w:sz w:val="20"/>
                <w:szCs w:val="20"/>
                <w:color w:val="auto"/>
              </w:rPr>
            </w:pPr>
            <w:r>
              <w:rPr>
                <w:rFonts w:ascii="Arial" w:cs="Arial" w:eastAsia="Arial" w:hAnsi="Arial"/>
                <w:sz w:val="14"/>
                <w:szCs w:val="14"/>
                <w:color w:val="auto"/>
              </w:rPr>
              <w:t>Change</w:t>
            </w:r>
          </w:p>
        </w:tc>
        <w:tc>
          <w:tcPr>
            <w:tcW w:w="340" w:type="dxa"/>
            <w:vAlign w:val="bottom"/>
          </w:tcPr>
          <w:p>
            <w:pPr>
              <w:spacing w:after="0"/>
              <w:rPr>
                <w:sz w:val="14"/>
                <w:szCs w:val="14"/>
                <w:color w:val="auto"/>
              </w:rPr>
            </w:pPr>
          </w:p>
        </w:tc>
        <w:tc>
          <w:tcPr>
            <w:tcW w:w="2500" w:type="dxa"/>
            <w:vAlign w:val="bottom"/>
            <w:gridSpan w:val="3"/>
          </w:tcPr>
          <w:p>
            <w:pPr>
              <w:jc w:val="right"/>
              <w:ind w:right="894"/>
              <w:spacing w:after="0"/>
              <w:rPr>
                <w:sz w:val="20"/>
                <w:szCs w:val="20"/>
                <w:color w:val="auto"/>
              </w:rPr>
            </w:pPr>
            <w:r>
              <w:rPr>
                <w:rFonts w:ascii="Arial" w:cs="Arial" w:eastAsia="Arial" w:hAnsi="Arial"/>
                <w:sz w:val="14"/>
                <w:szCs w:val="14"/>
                <w:color w:val="auto"/>
              </w:rPr>
              <w:t>Nine Months Ended</w:t>
            </w:r>
          </w:p>
        </w:tc>
        <w:tc>
          <w:tcPr>
            <w:tcW w:w="1200" w:type="dxa"/>
            <w:vAlign w:val="bottom"/>
            <w:vMerge w:val="restart"/>
          </w:tcPr>
          <w:p>
            <w:pPr>
              <w:jc w:val="right"/>
              <w:ind w:right="394"/>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8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 except per share data)</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2022</w:t>
            </w: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30,115</w:t>
            </w:r>
          </w:p>
        </w:tc>
        <w:tc>
          <w:tcPr>
            <w:tcW w:w="4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29,849</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90,319</w:t>
            </w:r>
          </w:p>
        </w:tc>
        <w:tc>
          <w:tcPr>
            <w:tcW w:w="4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90,874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0" w:type="dxa"/>
            <w:vAlign w:val="bottom"/>
          </w:tcPr>
          <w:p>
            <w:pPr>
              <w:spacing w:after="0"/>
              <w:rPr>
                <w:sz w:val="1"/>
                <w:szCs w:val="1"/>
                <w:color w:val="auto"/>
              </w:rPr>
            </w:pPr>
          </w:p>
        </w:tc>
      </w:tr>
      <w:tr>
        <w:trPr>
          <w:trHeight w:val="222"/>
        </w:trPr>
        <w:tc>
          <w:tcPr>
            <w:tcW w:w="318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Programming and production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8,652</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8,949</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(3.3)</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26,506</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28,406</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22"/>
        </w:trPr>
        <w:tc>
          <w:tcPr>
            <w:tcW w:w="3180" w:type="dxa"/>
            <w:vAlign w:val="bottom"/>
          </w:tcPr>
          <w:p>
            <w:pPr>
              <w:ind w:left="340"/>
              <w:spacing w:after="0"/>
              <w:rPr>
                <w:sz w:val="20"/>
                <w:szCs w:val="20"/>
                <w:color w:val="auto"/>
              </w:rPr>
            </w:pPr>
            <w:r>
              <w:rPr>
                <w:rFonts w:ascii="Arial" w:cs="Arial" w:eastAsia="Arial" w:hAnsi="Arial"/>
                <w:sz w:val="17"/>
                <w:szCs w:val="17"/>
                <w:color w:val="auto"/>
              </w:rPr>
              <w:t>Marketing and promotion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1,866</w:t>
            </w:r>
          </w:p>
        </w:tc>
        <w:tc>
          <w:tcPr>
            <w:tcW w:w="46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Arial" w:cs="Arial" w:eastAsia="Arial" w:hAnsi="Arial"/>
                <w:sz w:val="17"/>
                <w:szCs w:val="17"/>
                <w:color w:val="auto"/>
              </w:rPr>
              <w:t>2,066</w:t>
            </w:r>
          </w:p>
        </w:tc>
        <w:tc>
          <w:tcPr>
            <w:tcW w:w="1260" w:type="dxa"/>
            <w:vAlign w:val="bottom"/>
          </w:tcPr>
          <w:p>
            <w:pPr>
              <w:jc w:val="right"/>
              <w:ind w:right="174"/>
              <w:spacing w:after="0"/>
              <w:rPr>
                <w:sz w:val="20"/>
                <w:szCs w:val="20"/>
                <w:color w:val="auto"/>
              </w:rPr>
            </w:pPr>
            <w:r>
              <w:rPr>
                <w:rFonts w:ascii="Arial" w:cs="Arial" w:eastAsia="Arial" w:hAnsi="Arial"/>
                <w:sz w:val="17"/>
                <w:szCs w:val="17"/>
                <w:color w:val="auto"/>
              </w:rPr>
              <w:t>(9.7)</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5,929</w:t>
            </w:r>
          </w:p>
        </w:tc>
        <w:tc>
          <w:tcPr>
            <w:tcW w:w="46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Arial" w:cs="Arial" w:eastAsia="Arial" w:hAnsi="Arial"/>
                <w:sz w:val="17"/>
                <w:szCs w:val="17"/>
                <w:color w:val="auto"/>
              </w:rPr>
              <w:t>6,324</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operating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9,629</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9,344</w:t>
            </w:r>
          </w:p>
        </w:tc>
        <w:tc>
          <w:tcPr>
            <w:tcW w:w="12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28,247</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27,701</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2"/>
        </w:trPr>
        <w:tc>
          <w:tcPr>
            <w:tcW w:w="3180" w:type="dxa"/>
            <w:vAlign w:val="bottom"/>
          </w:tcPr>
          <w:p>
            <w:pPr>
              <w:ind w:left="34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2,203</w:t>
            </w:r>
          </w:p>
        </w:tc>
        <w:tc>
          <w:tcPr>
            <w:tcW w:w="46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Arial" w:cs="Arial" w:eastAsia="Arial" w:hAnsi="Arial"/>
                <w:sz w:val="17"/>
                <w:szCs w:val="17"/>
                <w:color w:val="auto"/>
              </w:rPr>
              <w:t>2,150</w:t>
            </w:r>
          </w:p>
        </w:tc>
        <w:tc>
          <w:tcPr>
            <w:tcW w:w="1260" w:type="dxa"/>
            <w:vAlign w:val="bottom"/>
          </w:tcPr>
          <w:p>
            <w:pPr>
              <w:jc w:val="right"/>
              <w:ind w:right="214"/>
              <w:spacing w:after="0"/>
              <w:rPr>
                <w:sz w:val="20"/>
                <w:szCs w:val="20"/>
                <w:color w:val="auto"/>
              </w:rPr>
            </w:pPr>
            <w:r>
              <w:rPr>
                <w:rFonts w:ascii="Arial" w:cs="Arial" w:eastAsia="Arial" w:hAnsi="Arial"/>
                <w:sz w:val="17"/>
                <w:szCs w:val="17"/>
                <w:color w:val="auto"/>
              </w:rPr>
              <w:t>2.5</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6,662</w:t>
            </w:r>
          </w:p>
        </w:tc>
        <w:tc>
          <w:tcPr>
            <w:tcW w:w="46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Arial" w:cs="Arial" w:eastAsia="Arial" w:hAnsi="Arial"/>
                <w:sz w:val="17"/>
                <w:szCs w:val="17"/>
                <w:color w:val="auto"/>
              </w:rPr>
              <w:t>6,525</w:t>
            </w:r>
          </w:p>
        </w:tc>
        <w:tc>
          <w:tcPr>
            <w:tcW w:w="1200" w:type="dxa"/>
            <w:vAlign w:val="bottom"/>
          </w:tcPr>
          <w:p>
            <w:pPr>
              <w:jc w:val="right"/>
              <w:ind w:right="154"/>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1,290</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1,183</w:t>
            </w:r>
          </w:p>
        </w:tc>
        <w:tc>
          <w:tcPr>
            <w:tcW w:w="12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9.0</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4,146</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3,824</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71"/>
        </w:trPr>
        <w:tc>
          <w:tcPr>
            <w:tcW w:w="3180" w:type="dxa"/>
            <w:vAlign w:val="bottom"/>
          </w:tcPr>
          <w:p>
            <w:pPr>
              <w:ind w:left="340"/>
              <w:spacing w:after="0" w:line="171" w:lineRule="exact"/>
              <w:rPr>
                <w:sz w:val="20"/>
                <w:szCs w:val="20"/>
                <w:color w:val="auto"/>
              </w:rPr>
            </w:pPr>
            <w:r>
              <w:rPr>
                <w:rFonts w:ascii="Arial" w:cs="Arial" w:eastAsia="Arial" w:hAnsi="Arial"/>
                <w:sz w:val="17"/>
                <w:szCs w:val="17"/>
                <w:color w:val="auto"/>
              </w:rPr>
              <w:t>Goodwill and long-lived asset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18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impairments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8,583</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NM</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8,583</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23,640</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32,274</w:t>
            </w:r>
          </w:p>
        </w:tc>
        <w:tc>
          <w:tcPr>
            <w:tcW w:w="12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(26.8)</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71,489</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81,363</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6,475</w:t>
            </w:r>
          </w:p>
        </w:tc>
        <w:tc>
          <w:tcPr>
            <w:tcW w:w="460" w:type="dxa"/>
            <w:vAlign w:val="bottom"/>
          </w:tcPr>
          <w:p>
            <w:pPr>
              <w:spacing w:after="0"/>
              <w:rPr>
                <w:sz w:val="18"/>
                <w:szCs w:val="18"/>
                <w:color w:val="auto"/>
              </w:rPr>
            </w:pPr>
          </w:p>
        </w:tc>
        <w:tc>
          <w:tcPr>
            <w:tcW w:w="1060" w:type="dxa"/>
            <w:vAlign w:val="bottom"/>
          </w:tcPr>
          <w:p>
            <w:pPr>
              <w:jc w:val="right"/>
              <w:ind w:right="194"/>
              <w:spacing w:after="0"/>
              <w:rPr>
                <w:sz w:val="20"/>
                <w:szCs w:val="20"/>
                <w:color w:val="auto"/>
              </w:rPr>
            </w:pPr>
            <w:r>
              <w:rPr>
                <w:rFonts w:ascii="Arial" w:cs="Arial" w:eastAsia="Arial" w:hAnsi="Arial"/>
                <w:sz w:val="17"/>
                <w:szCs w:val="17"/>
                <w:color w:val="auto"/>
              </w:rPr>
              <w:t>(2,425)</w:t>
            </w:r>
          </w:p>
        </w:tc>
        <w:tc>
          <w:tcPr>
            <w:tcW w:w="1260" w:type="dxa"/>
            <w:vAlign w:val="bottom"/>
          </w:tcPr>
          <w:p>
            <w:pPr>
              <w:jc w:val="right"/>
              <w:ind w:right="194"/>
              <w:spacing w:after="0"/>
              <w:rPr>
                <w:sz w:val="20"/>
                <w:szCs w:val="20"/>
                <w:color w:val="auto"/>
              </w:rPr>
            </w:pPr>
            <w:r>
              <w:rPr>
                <w:rFonts w:ascii="Arial" w:cs="Arial" w:eastAsia="Arial" w:hAnsi="Arial"/>
                <w:sz w:val="17"/>
                <w:szCs w:val="17"/>
                <w:color w:val="auto"/>
              </w:rPr>
              <w:t>NM</w:t>
            </w:r>
          </w:p>
        </w:tc>
        <w:tc>
          <w:tcPr>
            <w:tcW w:w="3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18,830</w:t>
            </w:r>
          </w:p>
        </w:tc>
        <w:tc>
          <w:tcPr>
            <w:tcW w:w="460" w:type="dxa"/>
            <w:vAlign w:val="bottom"/>
          </w:tcPr>
          <w:p>
            <w:pPr>
              <w:spacing w:after="0"/>
              <w:rPr>
                <w:sz w:val="18"/>
                <w:szCs w:val="18"/>
                <w:color w:val="auto"/>
              </w:rPr>
            </w:pPr>
          </w:p>
        </w:tc>
        <w:tc>
          <w:tcPr>
            <w:tcW w:w="1080" w:type="dxa"/>
            <w:vAlign w:val="bottom"/>
          </w:tcPr>
          <w:p>
            <w:pPr>
              <w:jc w:val="right"/>
              <w:ind w:right="254"/>
              <w:spacing w:after="0"/>
              <w:rPr>
                <w:sz w:val="20"/>
                <w:szCs w:val="20"/>
                <w:color w:val="auto"/>
              </w:rPr>
            </w:pPr>
            <w:r>
              <w:rPr>
                <w:rFonts w:ascii="Arial" w:cs="Arial" w:eastAsia="Arial" w:hAnsi="Arial"/>
                <w:sz w:val="17"/>
                <w:szCs w:val="17"/>
                <w:color w:val="auto"/>
              </w:rPr>
              <w:t>9,511</w:t>
            </w:r>
          </w:p>
        </w:tc>
        <w:tc>
          <w:tcPr>
            <w:tcW w:w="1200" w:type="dxa"/>
            <w:vAlign w:val="bottom"/>
          </w:tcPr>
          <w:p>
            <w:pPr>
              <w:jc w:val="right"/>
              <w:ind w:right="154"/>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(960)</w:t>
            </w:r>
          </w:p>
        </w:tc>
        <w:tc>
          <w:tcPr>
            <w:tcW w:w="12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10.4</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(3,068)</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(2,922)</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Investment and other income (loss),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50</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(266)</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NM</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672</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(975)</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5,465</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(3,652)</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NM</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16,434</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5,614</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192.7</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(1,014)</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44.8</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(4,481)</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(3,562)</w:t>
            </w: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3,997</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(4,665)</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NM</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11,954</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2,052</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71"/>
        </w:trPr>
        <w:tc>
          <w:tcPr>
            <w:tcW w:w="3180" w:type="dxa"/>
            <w:vAlign w:val="bottom"/>
          </w:tcPr>
          <w:p>
            <w:pPr>
              <w:ind w:left="20"/>
              <w:spacing w:after="0" w:line="171" w:lineRule="exact"/>
              <w:rPr>
                <w:sz w:val="20"/>
                <w:szCs w:val="20"/>
                <w:color w:val="auto"/>
              </w:rPr>
            </w:pPr>
            <w:r>
              <w:rPr>
                <w:rFonts w:ascii="Arial" w:cs="Arial" w:eastAsia="Arial" w:hAnsi="Arial"/>
                <w:sz w:val="17"/>
                <w:szCs w:val="17"/>
                <w:color w:val="auto"/>
              </w:rPr>
              <w:t>Less: Net income (loss) attributable to</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1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(68)</w:t>
            </w:r>
          </w:p>
        </w:tc>
        <w:tc>
          <w:tcPr>
            <w:tcW w:w="12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(27.7)</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(295)</w:t>
            </w: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164"/>
        </w:trPr>
        <w:tc>
          <w:tcPr>
            <w:tcW w:w="318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b w:val="1"/>
                <w:bCs w:val="1"/>
                <w:color w:val="auto"/>
                <w:w w:val="93"/>
              </w:rPr>
              <w:t>Net income (loss) attributable to Comcast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Corporation</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4,046</w:t>
            </w:r>
          </w:p>
        </w:tc>
        <w:tc>
          <w:tcPr>
            <w:tcW w:w="4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(4,598)</w:t>
            </w:r>
          </w:p>
        </w:tc>
        <w:tc>
          <w:tcPr>
            <w:tcW w:w="12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NM</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12,128</w:t>
            </w:r>
          </w:p>
        </w:tc>
        <w:tc>
          <w:tcPr>
            <w:tcW w:w="4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2,347</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NM</w:t>
            </w:r>
          </w:p>
        </w:tc>
        <w:tc>
          <w:tcPr>
            <w:tcW w:w="0" w:type="dxa"/>
            <w:vAlign w:val="bottom"/>
          </w:tcPr>
          <w:p>
            <w:pPr>
              <w:spacing w:after="0"/>
              <w:rPr>
                <w:sz w:val="1"/>
                <w:szCs w:val="1"/>
                <w:color w:val="auto"/>
              </w:rPr>
            </w:pPr>
          </w:p>
        </w:tc>
      </w:tr>
      <w:tr>
        <w:trPr>
          <w:trHeight w:val="170"/>
        </w:trPr>
        <w:tc>
          <w:tcPr>
            <w:tcW w:w="3180" w:type="dxa"/>
            <w:vAlign w:val="bottom"/>
          </w:tcPr>
          <w:p>
            <w:pPr>
              <w:ind w:left="20"/>
              <w:spacing w:after="0" w:line="171" w:lineRule="exact"/>
              <w:rPr>
                <w:sz w:val="20"/>
                <w:szCs w:val="20"/>
                <w:color w:val="auto"/>
              </w:rPr>
            </w:pPr>
            <w:r>
              <w:rPr>
                <w:rFonts w:ascii="Arial" w:cs="Arial" w:eastAsia="Arial" w:hAnsi="Arial"/>
                <w:sz w:val="17"/>
                <w:szCs w:val="17"/>
                <w:b w:val="1"/>
                <w:bCs w:val="1"/>
                <w:color w:val="auto"/>
                <w:w w:val="95"/>
              </w:rPr>
              <w:t>Basic earnings (loss) per common share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80" w:type="dxa"/>
            <w:vAlign w:val="bottom"/>
          </w:tcPr>
          <w:p>
            <w:pPr>
              <w:ind w:left="180"/>
              <w:spacing w:after="0" w:line="178" w:lineRule="exact"/>
              <w:rPr>
                <w:sz w:val="20"/>
                <w:szCs w:val="20"/>
                <w:color w:val="auto"/>
              </w:rPr>
            </w:pPr>
            <w:r>
              <w:rPr>
                <w:rFonts w:ascii="Arial" w:cs="Arial" w:eastAsia="Arial" w:hAnsi="Arial"/>
                <w:sz w:val="17"/>
                <w:szCs w:val="17"/>
                <w:b w:val="1"/>
                <w:bCs w:val="1"/>
                <w:color w:val="auto"/>
              </w:rPr>
              <w:t>attributable to Comcast Corporation</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180" w:type="dxa"/>
            <w:vAlign w:val="bottom"/>
          </w:tcPr>
          <w:p>
            <w:pPr>
              <w:ind w:left="180"/>
              <w:spacing w:after="0"/>
              <w:rPr>
                <w:sz w:val="20"/>
                <w:szCs w:val="20"/>
                <w:color w:val="auto"/>
              </w:rPr>
            </w:pPr>
            <w:r>
              <w:rPr>
                <w:rFonts w:ascii="Arial" w:cs="Arial" w:eastAsia="Arial" w:hAnsi="Arial"/>
                <w:sz w:val="17"/>
                <w:szCs w:val="17"/>
                <w:b w:val="1"/>
                <w:bCs w:val="1"/>
                <w:color w:val="auto"/>
              </w:rPr>
              <w:t>shareholders</w:t>
            </w:r>
          </w:p>
        </w:tc>
        <w:tc>
          <w:tcPr>
            <w:tcW w:w="280" w:type="dxa"/>
            <w:vAlign w:val="bottom"/>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0.98</w:t>
            </w:r>
          </w:p>
        </w:tc>
        <w:tc>
          <w:tcPr>
            <w:tcW w:w="460" w:type="dxa"/>
            <w:vAlign w:val="bottom"/>
          </w:tcPr>
          <w:p>
            <w:pPr>
              <w:jc w:val="right"/>
              <w:ind w:right="213"/>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94"/>
              <w:spacing w:after="0"/>
              <w:rPr>
                <w:sz w:val="20"/>
                <w:szCs w:val="20"/>
                <w:color w:val="auto"/>
              </w:rPr>
            </w:pPr>
            <w:r>
              <w:rPr>
                <w:rFonts w:ascii="Arial" w:cs="Arial" w:eastAsia="Arial" w:hAnsi="Arial"/>
                <w:sz w:val="17"/>
                <w:szCs w:val="17"/>
                <w:b w:val="1"/>
                <w:bCs w:val="1"/>
                <w:color w:val="auto"/>
              </w:rPr>
              <w:t>(1.05)</w:t>
            </w:r>
          </w:p>
        </w:tc>
        <w:tc>
          <w:tcPr>
            <w:tcW w:w="1260" w:type="dxa"/>
            <w:vAlign w:val="bottom"/>
          </w:tcPr>
          <w:p>
            <w:pPr>
              <w:jc w:val="right"/>
              <w:ind w:right="194"/>
              <w:spacing w:after="0"/>
              <w:rPr>
                <w:sz w:val="20"/>
                <w:szCs w:val="20"/>
                <w:color w:val="auto"/>
              </w:rPr>
            </w:pPr>
            <w:r>
              <w:rPr>
                <w:rFonts w:ascii="Arial" w:cs="Arial" w:eastAsia="Arial" w:hAnsi="Arial"/>
                <w:sz w:val="17"/>
                <w:szCs w:val="17"/>
                <w:b w:val="1"/>
                <w:bCs w:val="1"/>
                <w:color w:val="auto"/>
              </w:rPr>
              <w:t>NM</w:t>
            </w:r>
          </w:p>
        </w:tc>
        <w:tc>
          <w:tcPr>
            <w:tcW w:w="34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2.92</w:t>
            </w:r>
          </w:p>
        </w:tc>
        <w:tc>
          <w:tcPr>
            <w:tcW w:w="460" w:type="dxa"/>
            <w:vAlign w:val="bottom"/>
          </w:tcPr>
          <w:p>
            <w:pPr>
              <w:jc w:val="right"/>
              <w:ind w:right="213"/>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254"/>
              <w:spacing w:after="0"/>
              <w:rPr>
                <w:sz w:val="20"/>
                <w:szCs w:val="20"/>
                <w:color w:val="auto"/>
              </w:rPr>
            </w:pPr>
            <w:r>
              <w:rPr>
                <w:rFonts w:ascii="Arial" w:cs="Arial" w:eastAsia="Arial" w:hAnsi="Arial"/>
                <w:sz w:val="17"/>
                <w:szCs w:val="17"/>
                <w:b w:val="1"/>
                <w:bCs w:val="1"/>
                <w:color w:val="auto"/>
              </w:rPr>
              <w:t>0.53</w:t>
            </w:r>
          </w:p>
        </w:tc>
        <w:tc>
          <w:tcPr>
            <w:tcW w:w="1200" w:type="dxa"/>
            <w:vAlign w:val="bottom"/>
          </w:tcPr>
          <w:p>
            <w:pPr>
              <w:jc w:val="right"/>
              <w:ind w:right="134"/>
              <w:spacing w:after="0"/>
              <w:rPr>
                <w:sz w:val="20"/>
                <w:szCs w:val="20"/>
                <w:color w:val="auto"/>
              </w:rPr>
            </w:pPr>
            <w:r>
              <w:rPr>
                <w:rFonts w:ascii="Arial" w:cs="Arial" w:eastAsia="Arial" w:hAnsi="Arial"/>
                <w:sz w:val="17"/>
                <w:szCs w:val="17"/>
                <w:b w:val="1"/>
                <w:bCs w:val="1"/>
                <w:color w:val="auto"/>
              </w:rPr>
              <w:t>NM</w:t>
            </w:r>
          </w:p>
        </w:tc>
        <w:tc>
          <w:tcPr>
            <w:tcW w:w="0" w:type="dxa"/>
            <w:vAlign w:val="bottom"/>
          </w:tcPr>
          <w:p>
            <w:pPr>
              <w:spacing w:after="0"/>
              <w:rPr>
                <w:sz w:val="1"/>
                <w:szCs w:val="1"/>
                <w:color w:val="auto"/>
              </w:rPr>
            </w:pPr>
          </w:p>
        </w:tc>
      </w:tr>
      <w:tr>
        <w:trPr>
          <w:trHeight w:val="170"/>
        </w:trPr>
        <w:tc>
          <w:tcPr>
            <w:tcW w:w="318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b w:val="1"/>
                <w:bCs w:val="1"/>
                <w:color w:val="auto"/>
                <w:w w:val="92"/>
              </w:rPr>
              <w:t>Diluted earnings (loss) per common share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80" w:type="dxa"/>
            <w:vAlign w:val="bottom"/>
            <w:shd w:val="clear" w:color="auto" w:fill="CCEEFF"/>
          </w:tcPr>
          <w:p>
            <w:pPr>
              <w:ind w:left="180"/>
              <w:spacing w:after="0" w:line="178" w:lineRule="exact"/>
              <w:rPr>
                <w:sz w:val="20"/>
                <w:szCs w:val="20"/>
                <w:color w:val="auto"/>
              </w:rPr>
            </w:pPr>
            <w:r>
              <w:rPr>
                <w:rFonts w:ascii="Arial" w:cs="Arial" w:eastAsia="Arial" w:hAnsi="Arial"/>
                <w:sz w:val="17"/>
                <w:szCs w:val="17"/>
                <w:b w:val="1"/>
                <w:bCs w:val="1"/>
                <w:color w:val="auto"/>
              </w:rPr>
              <w:t>attributable to Comcast Corporation</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shareholders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0.98</w:t>
            </w:r>
          </w:p>
        </w:tc>
        <w:tc>
          <w:tcPr>
            <w:tcW w:w="4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(1.05)</w:t>
            </w:r>
          </w:p>
        </w:tc>
        <w:tc>
          <w:tcPr>
            <w:tcW w:w="12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NM</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2.90</w:t>
            </w:r>
          </w:p>
        </w:tc>
        <w:tc>
          <w:tcPr>
            <w:tcW w:w="4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0.52</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NM</w:t>
            </w:r>
          </w:p>
        </w:tc>
        <w:tc>
          <w:tcPr>
            <w:tcW w:w="0" w:type="dxa"/>
            <w:vAlign w:val="bottom"/>
          </w:tcPr>
          <w:p>
            <w:pPr>
              <w:spacing w:after="0"/>
              <w:rPr>
                <w:sz w:val="1"/>
                <w:szCs w:val="1"/>
                <w:color w:val="auto"/>
              </w:rPr>
            </w:pPr>
          </w:p>
        </w:tc>
      </w:tr>
      <w:tr>
        <w:trPr>
          <w:trHeight w:val="92"/>
        </w:trPr>
        <w:tc>
          <w:tcPr>
            <w:tcW w:w="31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2"/>
                <w:szCs w:val="22"/>
                <w:color w:val="auto"/>
                <w:vertAlign w:val="superscript"/>
              </w:rPr>
              <w:t>(a)</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9,962</w:t>
            </w:r>
          </w:p>
        </w:tc>
        <w:tc>
          <w:tcPr>
            <w:tcW w:w="4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9,482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5.1 %</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29,621</w:t>
            </w:r>
          </w:p>
        </w:tc>
        <w:tc>
          <w:tcPr>
            <w:tcW w:w="4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28,459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4.1 %</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49" w:lineRule="exact"/>
        <w:rPr>
          <w:sz w:val="20"/>
          <w:szCs w:val="20"/>
          <w:color w:val="auto"/>
        </w:rPr>
      </w:pPr>
    </w:p>
    <w:p>
      <w:pPr>
        <w:ind w:left="240" w:hanging="235"/>
        <w:spacing w:after="0" w:line="270" w:lineRule="auto"/>
        <w:tabs>
          <w:tab w:leader="none" w:pos="238"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28 for additional information, including our definition and our use of Adjusted EBITDA, and for a reconciliation from net income attributable to Comcast Corporation to Adjusted EBITDA.</w:t>
      </w:r>
    </w:p>
    <w:p>
      <w:pPr>
        <w:jc w:val="both"/>
        <w:spacing w:after="0" w:line="304" w:lineRule="auto"/>
        <w:rPr>
          <w:sz w:val="20"/>
          <w:szCs w:val="20"/>
          <w:color w:val="auto"/>
        </w:rPr>
      </w:pPr>
      <w:r>
        <w:rPr>
          <w:rFonts w:ascii="Arial" w:cs="Arial" w:eastAsia="Arial" w:hAnsi="Arial"/>
          <w:sz w:val="16"/>
          <w:szCs w:val="16"/>
          <w:b w:val="1"/>
          <w:bCs w:val="1"/>
          <w:color w:val="auto"/>
        </w:rPr>
        <w:t xml:space="preserve">Consolidated revenue </w:t>
      </w:r>
      <w:r>
        <w:rPr>
          <w:rFonts w:ascii="Arial" w:cs="Arial" w:eastAsia="Arial" w:hAnsi="Arial"/>
          <w:sz w:val="16"/>
          <w:szCs w:val="16"/>
          <w:color w:val="auto"/>
        </w:rPr>
        <w:t>increased slightly for the three months ended September 30, 2023 primarily driven by an increase in the Connectivity &amp; Platforms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Consolidated revenue decreased slightly for the nine months ended September 30, 2023 primarily driven by a decrease in the Content &amp; Experiences business. Revenue for our segments and other businesses is discussed separately below under the heading “Segment Operating Results.”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Consolidated costs and expenses</w:t>
      </w:r>
      <w:r>
        <w:rPr>
          <w:rFonts w:ascii="Arial" w:cs="Arial" w:eastAsia="Arial" w:hAnsi="Arial"/>
          <w:sz w:val="17"/>
          <w:szCs w:val="17"/>
          <w:color w:val="auto"/>
        </w:rPr>
        <w:t>, excluding depreciation expense, amortization expense and goodwill and long-lived asset impairments, decreased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three months ended September 30, 2023 primarily driven by a decrease in the Content &amp; Experiences business. Consolidated costs and expenses, excluding depreciation and amortization expense, decreased for the nine months ended September 30, 2023 driven by decreases in the Connectivity &amp; Platforms and Content &amp; Experiences businesses. Costs and expenses for our segments and our corporate operations and other businesses are discussed separately below under the heading “Segment Operating Results.”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Consolidated depreciation and amortization expense </w:t>
      </w:r>
      <w:r>
        <w:rPr>
          <w:rFonts w:ascii="Arial" w:cs="Arial" w:eastAsia="Arial" w:hAnsi="Arial"/>
          <w:sz w:val="16"/>
          <w:szCs w:val="16"/>
          <w:color w:val="auto"/>
        </w:rPr>
        <w:t>increased for the three months ended September 30, 2023 primarily due to increased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of software, the impact of foreign currency and increased depreciation at our theme parks. Consolidated depreciation and amortization increased for the nine months ended September 30, 2023 primarily due to an increase in amortization of software and depreciation at our theme parks.</w:t>
      </w:r>
    </w:p>
    <w:p>
      <w:pPr>
        <w:spacing w:after="0" w:line="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Amortization expense from acquisition-related intangible assets totaled $571 million and $1.7 billion for the three and nine months ended September 30, 2023, respectively, and $517 million and $1.7 billion for the three and nine months ended September 30, 2022, respectively. Amounts primarily relate to customer relationship intangible assets recorded in connection with the Sky transaction in 2018 and the NBCUniversal transaction in 2011.</w:t>
      </w:r>
    </w:p>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Consolidated goodwill and long-lived asset impairments </w:t>
      </w:r>
      <w:r>
        <w:rPr>
          <w:rFonts w:ascii="Arial" w:cs="Arial" w:eastAsia="Arial" w:hAnsi="Arial"/>
          <w:sz w:val="17"/>
          <w:szCs w:val="17"/>
          <w:color w:val="auto"/>
        </w:rPr>
        <w:t>included charges related to Sky totaling $8.6 billion for the three and nine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2022 recognized in connection with our annual impairment assessment. The impairments primarily reflected an increased discount rate and reduced estimated future cash flows as a result of macroeconomic conditions in Sky’s territories. See “Critical Accounting Judgments and Estimates” and Note 7 for further discussion.</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Consolidated interest expense </w:t>
      </w:r>
      <w:r>
        <w:rPr>
          <w:rFonts w:ascii="Arial" w:cs="Arial" w:eastAsia="Arial" w:hAnsi="Arial"/>
          <w:sz w:val="17"/>
          <w:szCs w:val="17"/>
          <w:color w:val="auto"/>
        </w:rPr>
        <w:t>increased for the three and nine months ended September 30, 2023 primarily due to increases in average debt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and higher weighted-average interest rates.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color w:val="auto"/>
        </w:rPr>
        <w:t xml:space="preserve">Consolidated investment and other income (loss), net </w:t>
      </w:r>
      <w:r>
        <w:rPr>
          <w:rFonts w:ascii="Arial" w:cs="Arial" w:eastAsia="Arial" w:hAnsi="Arial"/>
          <w:sz w:val="17"/>
          <w:szCs w:val="17"/>
          <w:color w:val="auto"/>
        </w:rPr>
        <w:t>increased for the three and nine months ended September 30, 2023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in 2022.</w:t>
      </w:r>
    </w:p>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696"/>
              <w:spacing w:after="0"/>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4"/>
                <w:szCs w:val="14"/>
                <w:color w:val="auto"/>
              </w:rPr>
            </w:pPr>
          </w:p>
        </w:tc>
        <w:tc>
          <w:tcPr>
            <w:tcW w:w="2300" w:type="dxa"/>
            <w:vAlign w:val="bottom"/>
            <w:gridSpan w:val="3"/>
          </w:tcPr>
          <w:p>
            <w:pPr>
              <w:ind w:left="440"/>
              <w:spacing w:after="0"/>
              <w:rPr>
                <w:sz w:val="20"/>
                <w:szCs w:val="20"/>
                <w:color w:val="auto"/>
              </w:rPr>
            </w:pPr>
            <w:r>
              <w:rPr>
                <w:rFonts w:ascii="Arial" w:cs="Arial" w:eastAsia="Arial" w:hAnsi="Arial"/>
                <w:sz w:val="14"/>
                <w:szCs w:val="14"/>
                <w:color w:val="auto"/>
              </w:rPr>
              <w:t>Nine Months Ended</w:t>
            </w:r>
          </w:p>
        </w:tc>
      </w:tr>
      <w:tr>
        <w:trPr>
          <w:trHeight w:val="182"/>
        </w:trPr>
        <w:tc>
          <w:tcPr>
            <w:tcW w:w="5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color w:val="auto"/>
                <w:w w:val="91"/>
              </w:rPr>
              <w:t>September 30,</w:t>
            </w:r>
          </w:p>
        </w:tc>
        <w:tc>
          <w:tcPr>
            <w:tcW w:w="840" w:type="dxa"/>
            <w:vAlign w:val="bottom"/>
            <w:tcBorders>
              <w:bottom w:val="single" w:sz="8" w:color="auto"/>
            </w:tcBorders>
          </w:tcPr>
          <w:p>
            <w:pPr>
              <w:spacing w:after="0"/>
              <w:rPr>
                <w:sz w:val="15"/>
                <w:szCs w:val="15"/>
                <w:color w:val="auto"/>
              </w:rPr>
            </w:pPr>
          </w:p>
        </w:tc>
      </w:tr>
      <w:tr>
        <w:trPr>
          <w:trHeight w:val="190"/>
        </w:trPr>
        <w:tc>
          <w:tcPr>
            <w:tcW w:w="576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2022</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net income (losses) of investees, net</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center"/>
              <w:ind w:left="500"/>
              <w:spacing w:after="0"/>
              <w:rPr>
                <w:sz w:val="20"/>
                <w:szCs w:val="20"/>
                <w:color w:val="auto"/>
              </w:rPr>
            </w:pPr>
            <w:r>
              <w:rPr>
                <w:rFonts w:ascii="Arial" w:cs="Arial" w:eastAsia="Arial" w:hAnsi="Arial"/>
                <w:sz w:val="17"/>
                <w:szCs w:val="17"/>
                <w:color w:val="auto"/>
                <w:w w:val="94"/>
              </w:rPr>
              <w:t>49</w:t>
            </w:r>
          </w:p>
        </w:tc>
        <w:tc>
          <w:tcPr>
            <w:tcW w:w="4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(242)</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454</w:t>
            </w:r>
          </w:p>
        </w:tc>
        <w:tc>
          <w:tcPr>
            <w:tcW w:w="4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r>
      <w:tr>
        <w:trPr>
          <w:trHeight w:val="222"/>
        </w:trPr>
        <w:tc>
          <w:tcPr>
            <w:tcW w:w="5760" w:type="dxa"/>
            <w:vAlign w:val="bottom"/>
          </w:tcPr>
          <w:p>
            <w:pPr>
              <w:ind w:left="20"/>
              <w:spacing w:after="0"/>
              <w:rPr>
                <w:sz w:val="20"/>
                <w:szCs w:val="20"/>
                <w:color w:val="auto"/>
              </w:rPr>
            </w:pPr>
            <w:r>
              <w:rPr>
                <w:rFonts w:ascii="Arial" w:cs="Arial" w:eastAsia="Arial" w:hAnsi="Arial"/>
                <w:sz w:val="17"/>
                <w:szCs w:val="17"/>
                <w:color w:val="auto"/>
              </w:rPr>
              <w:t>Realized and unrealized gains (losses) on equity securities, net</w:t>
            </w:r>
          </w:p>
        </w:tc>
        <w:tc>
          <w:tcPr>
            <w:tcW w:w="300" w:type="dxa"/>
            <w:vAlign w:val="bottom"/>
          </w:tcPr>
          <w:p>
            <w:pPr>
              <w:spacing w:after="0"/>
              <w:rPr>
                <w:sz w:val="19"/>
                <w:szCs w:val="19"/>
                <w:color w:val="auto"/>
              </w:rPr>
            </w:pPr>
          </w:p>
        </w:tc>
        <w:tc>
          <w:tcPr>
            <w:tcW w:w="1000" w:type="dxa"/>
            <w:vAlign w:val="bottom"/>
          </w:tcPr>
          <w:p>
            <w:pPr>
              <w:jc w:val="center"/>
              <w:ind w:left="460"/>
              <w:spacing w:after="0"/>
              <w:rPr>
                <w:sz w:val="20"/>
                <w:szCs w:val="20"/>
                <w:color w:val="auto"/>
              </w:rPr>
            </w:pPr>
            <w:r>
              <w:rPr>
                <w:rFonts w:ascii="Arial" w:cs="Arial" w:eastAsia="Arial" w:hAnsi="Arial"/>
                <w:sz w:val="17"/>
                <w:szCs w:val="17"/>
                <w:color w:val="auto"/>
                <w:w w:val="99"/>
              </w:rPr>
              <w:t>(87)</w:t>
            </w:r>
          </w:p>
        </w:tc>
        <w:tc>
          <w:tcPr>
            <w:tcW w:w="4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380" w:type="dxa"/>
            <w:vAlign w:val="bottom"/>
          </w:tcPr>
          <w:p>
            <w:pPr>
              <w:spacing w:after="0"/>
              <w:rPr>
                <w:sz w:val="19"/>
                <w:szCs w:val="19"/>
                <w:color w:val="auto"/>
              </w:rPr>
            </w:pPr>
          </w:p>
        </w:tc>
        <w:tc>
          <w:tcPr>
            <w:tcW w:w="1000" w:type="dxa"/>
            <w:vAlign w:val="bottom"/>
          </w:tcPr>
          <w:p>
            <w:pPr>
              <w:ind w:left="540"/>
              <w:spacing w:after="0"/>
              <w:rPr>
                <w:sz w:val="20"/>
                <w:szCs w:val="20"/>
                <w:color w:val="auto"/>
              </w:rPr>
            </w:pPr>
            <w:r>
              <w:rPr>
                <w:rFonts w:ascii="Arial" w:cs="Arial" w:eastAsia="Arial" w:hAnsi="Arial"/>
                <w:sz w:val="17"/>
                <w:szCs w:val="17"/>
                <w:color w:val="auto"/>
              </w:rPr>
              <w:t>(130)</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(loss),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00"/>
              <w:spacing w:after="0"/>
              <w:rPr>
                <w:sz w:val="20"/>
                <w:szCs w:val="20"/>
                <w:color w:val="auto"/>
              </w:rPr>
            </w:pPr>
            <w:r>
              <w:rPr>
                <w:rFonts w:ascii="Arial" w:cs="Arial" w:eastAsia="Arial" w:hAnsi="Arial"/>
                <w:sz w:val="17"/>
                <w:szCs w:val="17"/>
                <w:color w:val="auto"/>
                <w:w w:val="94"/>
              </w:rPr>
              <w:t>88</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349</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r>
      <w:tr>
        <w:trPr>
          <w:trHeight w:val="222"/>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investment and other income (loss), net</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center"/>
              <w:ind w:left="500"/>
              <w:spacing w:after="0"/>
              <w:rPr>
                <w:sz w:val="20"/>
                <w:szCs w:val="20"/>
                <w:color w:val="auto"/>
              </w:rPr>
            </w:pPr>
            <w:r>
              <w:rPr>
                <w:rFonts w:ascii="Arial" w:cs="Arial" w:eastAsia="Arial" w:hAnsi="Arial"/>
                <w:sz w:val="17"/>
                <w:szCs w:val="17"/>
                <w:b w:val="1"/>
                <w:bCs w:val="1"/>
                <w:color w:val="auto"/>
                <w:w w:val="94"/>
              </w:rPr>
              <w:t>50</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(266)</w:t>
            </w:r>
          </w:p>
        </w:tc>
        <w:tc>
          <w:tcPr>
            <w:tcW w:w="3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7"/>
                <w:szCs w:val="17"/>
                <w:b w:val="1"/>
                <w:bCs w:val="1"/>
                <w:color w:val="auto"/>
              </w:rPr>
              <w:t>672</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(975)</w:t>
            </w:r>
          </w:p>
        </w:tc>
      </w:tr>
    </w:tbl>
    <w:p>
      <w:pPr>
        <w:spacing w:after="0" w:line="23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changes in investment and other income (loss), net for the three and nine months ended September 30, 2023 were primarily due to equity in net income (losses) of investees, net driven by our investment in Atairos and changes in other income (loss), net and in realized and unrealized gains (losses) on equity securities, net. The income (losses) at Atairos were driven by fair value adjustments on its underlying investments with income (loss) of $252 million and $753 million for the three and nine months ended September 30, 2023, respectively, and $(97) million and $(473) million for the three and nine months ended September 30, 2022, respectively.</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changes in other income (loss), net for the three and nine months ended September 30, 2023 primarily resulted from gains on foreign exchange remeasurement compared to losses in the prior year period and increased interest income compared to the prior year period. The change for the nine months ended September 30, 2023 also included gains on insurance contracts compared to losses in the prior year period.</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change in realized and unrealized gains (losses) on equity securities, net for the three months ended September 30, 2023 was primarily due to losses on nonmarketable securities in the current year period. The change in realized and unrealized gains (losses) on equity securities, net for the nine months ended September 30, 2023 was primarily due to losses on marketable securities in the prior year period, partially offset by losses on nonmarketable securities in the current year period compared to gains in the prior year period.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Consolidated income tax expense </w:t>
      </w:r>
      <w:r>
        <w:rPr>
          <w:rFonts w:ascii="Arial" w:cs="Arial" w:eastAsia="Arial" w:hAnsi="Arial"/>
          <w:sz w:val="17"/>
          <w:szCs w:val="17"/>
          <w:color w:val="auto"/>
        </w:rPr>
        <w:t>for the three and nine months ended September 30, 2023 and 2022 reflects an effective income tax rate that differs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federal statutory rate due to state and foreign income taxes and adjustments associated with uncertain tax positions. The increases in income tax expense for the three and nine months ended September 30, 2023 compared to the same periods in 2022 were primarily driven by the effect of a change in our net deferred tax liabilities as a result of the enactment of state tax law changes, which resulted in a $286 million benefit in the prior year periods and by higher income before income taxes. Our effective income tax rate for the three and nine months ended September 30, 2022 was also impacted by the goodwill impairment related to Sky, which was primarily not deductible for tax purposes (see Note 9).</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 xml:space="preserve">Consolidated net income (loss) attributable to noncontrolling interests </w:t>
      </w:r>
      <w:r>
        <w:rPr>
          <w:rFonts w:ascii="Arial" w:cs="Arial" w:eastAsia="Arial" w:hAnsi="Arial"/>
          <w:sz w:val="17"/>
          <w:szCs w:val="17"/>
          <w:color w:val="auto"/>
        </w:rPr>
        <w:t>changed for the three and nine months ended September 30, 2023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same periods in 2022 primarily due to decreases in losses at Universal Beijing Resort as a result of increased operations in the current year periods, partially offset by increases in losses in our Xumo streaming platform joint venture in the current year periods.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Operating Results</w:t>
      </w:r>
    </w:p>
    <w:p>
      <w:pPr>
        <w:spacing w:after="0" w:line="67"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See Note 2 for additional information on our reportable business segments.</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Connectivity &amp; Platforms Results of Operations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color w:val="auto"/>
                <w:w w:val="89"/>
              </w:rPr>
              <w:t>Constant</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center"/>
              <w:ind w:right="18"/>
              <w:spacing w:after="0"/>
              <w:rPr>
                <w:sz w:val="20"/>
                <w:szCs w:val="20"/>
                <w:color w:val="auto"/>
              </w:rPr>
            </w:pPr>
            <w:r>
              <w:rPr>
                <w:rFonts w:ascii="Arial" w:cs="Arial" w:eastAsia="Arial" w:hAnsi="Arial"/>
                <w:sz w:val="14"/>
                <w:szCs w:val="14"/>
                <w:color w:val="auto"/>
                <w:w w:val="89"/>
              </w:rPr>
              <w:t>Constant</w:t>
            </w:r>
          </w:p>
        </w:tc>
      </w:tr>
      <w:tr>
        <w:trPr>
          <w:trHeight w:val="136"/>
        </w:trPr>
        <w:tc>
          <w:tcPr>
            <w:tcW w:w="2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gridSpan w:val="3"/>
          </w:tcPr>
          <w:p>
            <w:pPr>
              <w:jc w:val="right"/>
              <w:ind w:right="274"/>
              <w:spacing w:after="0" w:line="137" w:lineRule="exact"/>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jc w:val="center"/>
              <w:ind w:right="78"/>
              <w:spacing w:after="0" w:line="137" w:lineRule="exact"/>
              <w:rPr>
                <w:sz w:val="20"/>
                <w:szCs w:val="20"/>
                <w:color w:val="auto"/>
              </w:rPr>
            </w:pPr>
            <w:r>
              <w:rPr>
                <w:rFonts w:ascii="Arial" w:cs="Arial" w:eastAsia="Arial" w:hAnsi="Arial"/>
                <w:sz w:val="14"/>
                <w:szCs w:val="14"/>
                <w:color w:val="auto"/>
                <w:w w:val="87"/>
              </w:rPr>
              <w:t>Currency</w:t>
            </w:r>
          </w:p>
        </w:tc>
        <w:tc>
          <w:tcPr>
            <w:tcW w:w="300" w:type="dxa"/>
            <w:vAlign w:val="bottom"/>
          </w:tcPr>
          <w:p>
            <w:pPr>
              <w:spacing w:after="0"/>
              <w:rPr>
                <w:sz w:val="11"/>
                <w:szCs w:val="11"/>
                <w:color w:val="auto"/>
              </w:rPr>
            </w:pPr>
          </w:p>
        </w:tc>
        <w:tc>
          <w:tcPr>
            <w:tcW w:w="1880" w:type="dxa"/>
            <w:vAlign w:val="bottom"/>
            <w:gridSpan w:val="3"/>
          </w:tcPr>
          <w:p>
            <w:pPr>
              <w:jc w:val="right"/>
              <w:ind w:right="314"/>
              <w:spacing w:after="0" w:line="137" w:lineRule="exact"/>
              <w:rPr>
                <w:sz w:val="20"/>
                <w:szCs w:val="20"/>
                <w:color w:val="auto"/>
              </w:rPr>
            </w:pPr>
            <w:r>
              <w:rPr>
                <w:rFonts w:ascii="Arial" w:cs="Arial" w:eastAsia="Arial" w:hAnsi="Arial"/>
                <w:sz w:val="14"/>
                <w:szCs w:val="14"/>
                <w:color w:val="auto"/>
              </w:rPr>
              <w:t>Nine Months Ended</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jc w:val="center"/>
              <w:ind w:right="38"/>
              <w:spacing w:after="0" w:line="137" w:lineRule="exact"/>
              <w:rPr>
                <w:sz w:val="20"/>
                <w:szCs w:val="20"/>
                <w:color w:val="auto"/>
              </w:rPr>
            </w:pPr>
            <w:r>
              <w:rPr>
                <w:rFonts w:ascii="Arial" w:cs="Arial" w:eastAsia="Arial" w:hAnsi="Arial"/>
                <w:sz w:val="14"/>
                <w:szCs w:val="14"/>
                <w:color w:val="auto"/>
                <w:w w:val="91"/>
              </w:rPr>
              <w:t>Currency</w:t>
            </w:r>
          </w:p>
        </w:tc>
      </w:tr>
      <w:tr>
        <w:trPr>
          <w:trHeight w:val="190"/>
        </w:trPr>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color w:val="auto"/>
                <w:w w:val="85"/>
              </w:rPr>
              <w:t>Change</w:t>
            </w: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color w:val="auto"/>
                <w:w w:val="89"/>
              </w:rPr>
              <w:t>Change</w:t>
            </w:r>
            <w:r>
              <w:rPr>
                <w:rFonts w:ascii="Arial" w:cs="Arial" w:eastAsia="Arial" w:hAnsi="Arial"/>
                <w:sz w:val="9"/>
                <w:szCs w:val="9"/>
                <w:color w:val="auto"/>
                <w:w w:val="89"/>
              </w:rPr>
              <w:t>(b)</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Change</w:t>
            </w:r>
          </w:p>
        </w:tc>
        <w:tc>
          <w:tcPr>
            <w:tcW w:w="8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89"/>
              </w:rPr>
              <w:t>Change</w:t>
            </w:r>
            <w:r>
              <w:rPr>
                <w:rFonts w:ascii="Arial" w:cs="Arial" w:eastAsia="Arial" w:hAnsi="Arial"/>
                <w:sz w:val="9"/>
                <w:szCs w:val="9"/>
                <w:color w:val="auto"/>
                <w:w w:val="89"/>
              </w:rPr>
              <w:t>(b)</w:t>
            </w:r>
          </w:p>
        </w:tc>
      </w:tr>
      <w:tr>
        <w:trPr>
          <w:trHeight w:val="190"/>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2023</w:t>
            </w: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w w:val="96"/>
              </w:rPr>
              <w:t>2022</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color w:val="auto"/>
                <w:w w:val="79"/>
              </w:rPr>
              <w:t>%</w:t>
            </w: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2023</w:t>
            </w: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w w:val="96"/>
              </w:rPr>
              <w:t>2022</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6"/>
              </w:rPr>
              <w:t>%</w:t>
            </w:r>
          </w:p>
        </w:tc>
      </w:tr>
      <w:tr>
        <w:trPr>
          <w:trHeight w:val="223"/>
        </w:trPr>
        <w:tc>
          <w:tcPr>
            <w:tcW w:w="2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2"/>
        </w:trPr>
        <w:tc>
          <w:tcPr>
            <w:tcW w:w="2900" w:type="dxa"/>
            <w:vAlign w:val="bottom"/>
            <w:gridSpan w:val="2"/>
          </w:tcPr>
          <w:p>
            <w:pPr>
              <w:spacing w:after="0"/>
              <w:rPr>
                <w:sz w:val="20"/>
                <w:szCs w:val="20"/>
                <w:color w:val="auto"/>
              </w:rPr>
            </w:pPr>
            <w:r>
              <w:rPr>
                <w:rFonts w:ascii="Arial" w:cs="Arial" w:eastAsia="Arial" w:hAnsi="Arial"/>
                <w:sz w:val="17"/>
                <w:szCs w:val="17"/>
                <w:color w:val="auto"/>
                <w:w w:val="99"/>
              </w:rPr>
              <w:t>Residential Connectivity &amp; Platforms $</w:t>
            </w:r>
          </w:p>
        </w:tc>
        <w:tc>
          <w:tcPr>
            <w:tcW w:w="640" w:type="dxa"/>
            <w:vAlign w:val="bottom"/>
          </w:tcPr>
          <w:p>
            <w:pPr>
              <w:jc w:val="right"/>
              <w:spacing w:after="0"/>
              <w:rPr>
                <w:sz w:val="20"/>
                <w:szCs w:val="20"/>
                <w:color w:val="auto"/>
              </w:rPr>
            </w:pPr>
            <w:r>
              <w:rPr>
                <w:rFonts w:ascii="Arial" w:cs="Arial" w:eastAsia="Arial" w:hAnsi="Arial"/>
                <w:sz w:val="17"/>
                <w:szCs w:val="17"/>
                <w:color w:val="auto"/>
              </w:rPr>
              <w:t>17,951</w:t>
            </w:r>
          </w:p>
        </w:tc>
        <w:tc>
          <w:tcPr>
            <w:tcW w:w="6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17,833</w:t>
            </w:r>
          </w:p>
        </w:tc>
        <w:tc>
          <w:tcPr>
            <w:tcW w:w="30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7"/>
                <w:szCs w:val="17"/>
                <w:color w:val="auto"/>
              </w:rPr>
              <w:t>0.7 %</w:t>
            </w:r>
          </w:p>
        </w:tc>
        <w:tc>
          <w:tcPr>
            <w:tcW w:w="940" w:type="dxa"/>
            <w:vAlign w:val="bottom"/>
          </w:tcPr>
          <w:p>
            <w:pPr>
              <w:jc w:val="right"/>
              <w:spacing w:after="0"/>
              <w:rPr>
                <w:sz w:val="20"/>
                <w:szCs w:val="20"/>
                <w:color w:val="auto"/>
              </w:rPr>
            </w:pPr>
            <w:r>
              <w:rPr>
                <w:rFonts w:ascii="Arial" w:cs="Arial" w:eastAsia="Arial" w:hAnsi="Arial"/>
                <w:sz w:val="17"/>
                <w:szCs w:val="17"/>
                <w:color w:val="auto"/>
              </w:rPr>
              <w:t>(0.4) %</w:t>
            </w:r>
          </w:p>
        </w:tc>
        <w:tc>
          <w:tcPr>
            <w:tcW w:w="30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53,888</w:t>
            </w:r>
          </w:p>
        </w:tc>
        <w:tc>
          <w:tcPr>
            <w:tcW w:w="68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2"/>
              </w:rPr>
              <w:t>54,305</w:t>
            </w:r>
          </w:p>
        </w:tc>
        <w:tc>
          <w:tcPr>
            <w:tcW w:w="32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(0.8) %</w:t>
            </w:r>
          </w:p>
        </w:tc>
        <w:tc>
          <w:tcPr>
            <w:tcW w:w="880" w:type="dxa"/>
            <w:vAlign w:val="bottom"/>
          </w:tcPr>
          <w:p>
            <w:pPr>
              <w:jc w:val="right"/>
              <w:spacing w:after="0"/>
              <w:rPr>
                <w:sz w:val="20"/>
                <w:szCs w:val="20"/>
                <w:color w:val="auto"/>
              </w:rPr>
            </w:pPr>
            <w:r>
              <w:rPr>
                <w:rFonts w:ascii="Arial" w:cs="Arial" w:eastAsia="Arial" w:hAnsi="Arial"/>
                <w:sz w:val="17"/>
                <w:szCs w:val="17"/>
                <w:color w:val="auto"/>
              </w:rPr>
              <w:t>(0.5) %</w:t>
            </w:r>
          </w:p>
        </w:tc>
      </w:tr>
      <w:tr>
        <w:trPr>
          <w:trHeight w:val="223"/>
        </w:trPr>
        <w:tc>
          <w:tcPr>
            <w:tcW w:w="2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Business Services Connectivity</w:t>
            </w: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2,320</w:t>
            </w: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2,215</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4.7</w:t>
            </w:r>
          </w:p>
        </w:tc>
        <w:tc>
          <w:tcPr>
            <w:tcW w:w="9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4.7</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6,894</w:t>
            </w: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4.6</w:t>
            </w:r>
          </w:p>
        </w:tc>
        <w:tc>
          <w:tcPr>
            <w:tcW w:w="8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rPr>
              <w:t>4.6</w:t>
            </w:r>
          </w:p>
        </w:tc>
      </w:tr>
      <w:tr>
        <w:trPr>
          <w:trHeight w:val="164"/>
        </w:trPr>
        <w:tc>
          <w:tcPr>
            <w:tcW w:w="2640" w:type="dxa"/>
            <w:vAlign w:val="bottom"/>
          </w:tcPr>
          <w:p>
            <w:pPr>
              <w:spacing w:after="0" w:line="163" w:lineRule="exact"/>
              <w:rPr>
                <w:sz w:val="20"/>
                <w:szCs w:val="20"/>
                <w:color w:val="auto"/>
              </w:rPr>
            </w:pPr>
            <w:r>
              <w:rPr>
                <w:rFonts w:ascii="Arial" w:cs="Arial" w:eastAsia="Arial" w:hAnsi="Arial"/>
                <w:sz w:val="17"/>
                <w:szCs w:val="17"/>
                <w:b w:val="1"/>
                <w:bCs w:val="1"/>
                <w:color w:val="auto"/>
              </w:rPr>
              <w:t>Total Connectivity &amp; Platforms</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6"/>
        </w:trPr>
        <w:tc>
          <w:tcPr>
            <w:tcW w:w="264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revenue</w:t>
            </w: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20,271</w:t>
            </w: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20,048</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1.1 %</w:t>
            </w: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0.2 %</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60,783</w:t>
            </w: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60,894</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2"/>
        </w:trPr>
        <w:tc>
          <w:tcPr>
            <w:tcW w:w="2900" w:type="dxa"/>
            <w:vAlign w:val="bottom"/>
            <w:gridSpan w:val="2"/>
          </w:tcPr>
          <w:p>
            <w:pPr>
              <w:spacing w:after="0"/>
              <w:rPr>
                <w:sz w:val="20"/>
                <w:szCs w:val="20"/>
                <w:color w:val="auto"/>
              </w:rPr>
            </w:pPr>
            <w:r>
              <w:rPr>
                <w:rFonts w:ascii="Arial" w:cs="Arial" w:eastAsia="Arial" w:hAnsi="Arial"/>
                <w:sz w:val="17"/>
                <w:szCs w:val="17"/>
                <w:color w:val="auto"/>
                <w:w w:val="99"/>
              </w:rPr>
              <w:t>Residential Connectivity &amp; Platforms $</w:t>
            </w:r>
          </w:p>
        </w:tc>
        <w:tc>
          <w:tcPr>
            <w:tcW w:w="640" w:type="dxa"/>
            <w:vAlign w:val="bottom"/>
          </w:tcPr>
          <w:p>
            <w:pPr>
              <w:jc w:val="right"/>
              <w:spacing w:after="0"/>
              <w:rPr>
                <w:sz w:val="20"/>
                <w:szCs w:val="20"/>
                <w:color w:val="auto"/>
              </w:rPr>
            </w:pPr>
            <w:r>
              <w:rPr>
                <w:rFonts w:ascii="Arial" w:cs="Arial" w:eastAsia="Arial" w:hAnsi="Arial"/>
                <w:sz w:val="17"/>
                <w:szCs w:val="17"/>
                <w:color w:val="auto"/>
              </w:rPr>
              <w:t>6,886</w:t>
            </w:r>
          </w:p>
        </w:tc>
        <w:tc>
          <w:tcPr>
            <w:tcW w:w="6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6,695</w:t>
            </w:r>
          </w:p>
        </w:tc>
        <w:tc>
          <w:tcPr>
            <w:tcW w:w="30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7"/>
                <w:szCs w:val="17"/>
                <w:color w:val="auto"/>
              </w:rPr>
              <w:t>2.9 %</w:t>
            </w:r>
          </w:p>
        </w:tc>
        <w:tc>
          <w:tcPr>
            <w:tcW w:w="940" w:type="dxa"/>
            <w:vAlign w:val="bottom"/>
          </w:tcPr>
          <w:p>
            <w:pPr>
              <w:ind w:left="420"/>
              <w:spacing w:after="0"/>
              <w:rPr>
                <w:sz w:val="20"/>
                <w:szCs w:val="20"/>
                <w:color w:val="auto"/>
              </w:rPr>
            </w:pPr>
            <w:r>
              <w:rPr>
                <w:rFonts w:ascii="Arial" w:cs="Arial" w:eastAsia="Arial" w:hAnsi="Arial"/>
                <w:sz w:val="17"/>
                <w:szCs w:val="17"/>
                <w:color w:val="auto"/>
              </w:rPr>
              <w:t>2.4 %</w:t>
            </w:r>
          </w:p>
        </w:tc>
        <w:tc>
          <w:tcPr>
            <w:tcW w:w="30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20,672</w:t>
            </w:r>
          </w:p>
        </w:tc>
        <w:tc>
          <w:tcPr>
            <w:tcW w:w="68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2"/>
              </w:rPr>
              <w:t>20,039</w:t>
            </w:r>
          </w:p>
        </w:tc>
        <w:tc>
          <w:tcPr>
            <w:tcW w:w="32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3.2 %</w:t>
            </w:r>
          </w:p>
        </w:tc>
        <w:tc>
          <w:tcPr>
            <w:tcW w:w="880" w:type="dxa"/>
            <w:vAlign w:val="bottom"/>
          </w:tcPr>
          <w:p>
            <w:pPr>
              <w:jc w:val="right"/>
              <w:spacing w:after="0"/>
              <w:rPr>
                <w:sz w:val="20"/>
                <w:szCs w:val="20"/>
                <w:color w:val="auto"/>
              </w:rPr>
            </w:pPr>
            <w:r>
              <w:rPr>
                <w:rFonts w:ascii="Arial" w:cs="Arial" w:eastAsia="Arial" w:hAnsi="Arial"/>
                <w:sz w:val="17"/>
                <w:szCs w:val="17"/>
                <w:color w:val="auto"/>
              </w:rPr>
              <w:t>3.3 %</w:t>
            </w:r>
          </w:p>
        </w:tc>
      </w:tr>
      <w:tr>
        <w:trPr>
          <w:trHeight w:val="223"/>
        </w:trPr>
        <w:tc>
          <w:tcPr>
            <w:tcW w:w="2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Business Services Connectivity</w:t>
            </w: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3.6</w:t>
            </w:r>
          </w:p>
        </w:tc>
        <w:tc>
          <w:tcPr>
            <w:tcW w:w="9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3.6</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3,988</w:t>
            </w: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5.4</w:t>
            </w:r>
          </w:p>
        </w:tc>
        <w:tc>
          <w:tcPr>
            <w:tcW w:w="8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rPr>
              <w:t>5.4</w:t>
            </w:r>
          </w:p>
        </w:tc>
      </w:tr>
      <w:tr>
        <w:trPr>
          <w:trHeight w:val="164"/>
        </w:trPr>
        <w:tc>
          <w:tcPr>
            <w:tcW w:w="2640" w:type="dxa"/>
            <w:vAlign w:val="bottom"/>
          </w:tcPr>
          <w:p>
            <w:pPr>
              <w:spacing w:after="0" w:line="163" w:lineRule="exact"/>
              <w:rPr>
                <w:sz w:val="20"/>
                <w:szCs w:val="20"/>
                <w:color w:val="auto"/>
              </w:rPr>
            </w:pPr>
            <w:r>
              <w:rPr>
                <w:rFonts w:ascii="Arial" w:cs="Arial" w:eastAsia="Arial" w:hAnsi="Arial"/>
                <w:sz w:val="17"/>
                <w:szCs w:val="17"/>
                <w:b w:val="1"/>
                <w:bCs w:val="1"/>
                <w:color w:val="auto"/>
              </w:rPr>
              <w:t>Total Connectivity &amp; Platforms</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6"/>
        </w:trPr>
        <w:tc>
          <w:tcPr>
            <w:tcW w:w="264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Adjusted EBITDA</w:t>
            </w: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8,221</w:t>
            </w: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7,983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3.0 %</w:t>
            </w: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2.6 %</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24,660</w:t>
            </w: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23,822</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3.5 %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3.6 %</w:t>
            </w:r>
          </w:p>
        </w:tc>
      </w:tr>
      <w:tr>
        <w:trPr>
          <w:trHeight w:val="216"/>
        </w:trPr>
        <w:tc>
          <w:tcPr>
            <w:tcW w:w="264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Adjusted EBITDA Margin</w:t>
            </w:r>
            <w:r>
              <w:rPr>
                <w:rFonts w:ascii="Arial" w:cs="Arial" w:eastAsia="Arial" w:hAnsi="Arial"/>
                <w:sz w:val="22"/>
                <w:szCs w:val="22"/>
                <w:b w:val="1"/>
                <w:bCs w:val="1"/>
                <w:color w:val="auto"/>
                <w:vertAlign w:val="superscript"/>
              </w:rPr>
              <w:t>(a)</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2"/>
        </w:trPr>
        <w:tc>
          <w:tcPr>
            <w:tcW w:w="2640" w:type="dxa"/>
            <w:vAlign w:val="bottom"/>
          </w:tcPr>
          <w:p>
            <w:pPr>
              <w:spacing w:after="0"/>
              <w:rPr>
                <w:sz w:val="20"/>
                <w:szCs w:val="20"/>
                <w:color w:val="auto"/>
              </w:rPr>
            </w:pPr>
            <w:r>
              <w:rPr>
                <w:rFonts w:ascii="Arial" w:cs="Arial" w:eastAsia="Arial" w:hAnsi="Arial"/>
                <w:sz w:val="17"/>
                <w:szCs w:val="17"/>
                <w:color w:val="auto"/>
                <w:w w:val="95"/>
              </w:rPr>
              <w:t>Residential Connectivity &amp; Platforms</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38.4</w:t>
            </w:r>
          </w:p>
        </w:tc>
        <w:tc>
          <w:tcPr>
            <w:tcW w:w="680" w:type="dxa"/>
            <w:vAlign w:val="bottom"/>
          </w:tcPr>
          <w:p>
            <w:pPr>
              <w:jc w:val="right"/>
              <w:ind w:right="393"/>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37.5</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90 bps</w:t>
            </w:r>
          </w:p>
        </w:tc>
        <w:tc>
          <w:tcPr>
            <w:tcW w:w="940" w:type="dxa"/>
            <w:vAlign w:val="bottom"/>
          </w:tcPr>
          <w:p>
            <w:pPr>
              <w:jc w:val="right"/>
              <w:spacing w:after="0"/>
              <w:rPr>
                <w:sz w:val="20"/>
                <w:szCs w:val="20"/>
                <w:color w:val="auto"/>
              </w:rPr>
            </w:pPr>
            <w:r>
              <w:rPr>
                <w:rFonts w:ascii="Arial" w:cs="Arial" w:eastAsia="Arial" w:hAnsi="Arial"/>
                <w:sz w:val="17"/>
                <w:szCs w:val="17"/>
                <w:color w:val="auto"/>
              </w:rPr>
              <w:t>110 bps</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38.4</w:t>
            </w:r>
          </w:p>
        </w:tc>
        <w:tc>
          <w:tcPr>
            <w:tcW w:w="680" w:type="dxa"/>
            <w:vAlign w:val="bottom"/>
          </w:tcPr>
          <w:p>
            <w:pPr>
              <w:jc w:val="right"/>
              <w:ind w:right="413"/>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36.9</w:t>
            </w:r>
          </w:p>
        </w:tc>
        <w:tc>
          <w:tcPr>
            <w:tcW w:w="3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150 bps</w:t>
            </w:r>
          </w:p>
        </w:tc>
        <w:tc>
          <w:tcPr>
            <w:tcW w:w="880" w:type="dxa"/>
            <w:vAlign w:val="bottom"/>
          </w:tcPr>
          <w:p>
            <w:pPr>
              <w:jc w:val="right"/>
              <w:spacing w:after="0"/>
              <w:rPr>
                <w:sz w:val="20"/>
                <w:szCs w:val="20"/>
                <w:color w:val="auto"/>
              </w:rPr>
            </w:pPr>
            <w:r>
              <w:rPr>
                <w:rFonts w:ascii="Arial" w:cs="Arial" w:eastAsia="Arial" w:hAnsi="Arial"/>
                <w:sz w:val="17"/>
                <w:szCs w:val="17"/>
                <w:color w:val="auto"/>
              </w:rPr>
              <w:t>150 bps</w:t>
            </w:r>
          </w:p>
        </w:tc>
      </w:tr>
      <w:tr>
        <w:trPr>
          <w:trHeight w:val="223"/>
        </w:trPr>
        <w:tc>
          <w:tcPr>
            <w:tcW w:w="2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Business Services Connectivity</w:t>
            </w: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(70) bps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 bps</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40 bps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 bps</w:t>
            </w:r>
          </w:p>
        </w:tc>
      </w:tr>
      <w:tr>
        <w:trPr>
          <w:trHeight w:val="164"/>
        </w:trPr>
        <w:tc>
          <w:tcPr>
            <w:tcW w:w="2640" w:type="dxa"/>
            <w:vAlign w:val="bottom"/>
          </w:tcPr>
          <w:p>
            <w:pPr>
              <w:spacing w:after="0" w:line="163" w:lineRule="exact"/>
              <w:rPr>
                <w:sz w:val="20"/>
                <w:szCs w:val="20"/>
                <w:color w:val="auto"/>
              </w:rPr>
            </w:pPr>
            <w:r>
              <w:rPr>
                <w:rFonts w:ascii="Arial" w:cs="Arial" w:eastAsia="Arial" w:hAnsi="Arial"/>
                <w:sz w:val="17"/>
                <w:szCs w:val="17"/>
                <w:b w:val="1"/>
                <w:bCs w:val="1"/>
                <w:color w:val="auto"/>
              </w:rPr>
              <w:t>Total Connectivity &amp; Platforms</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6"/>
        </w:trPr>
        <w:tc>
          <w:tcPr>
            <w:tcW w:w="264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Adjusted EBITDA margin</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7"/>
                <w:szCs w:val="17"/>
                <w:b w:val="1"/>
                <w:bCs w:val="1"/>
                <w:color w:val="auto"/>
              </w:rPr>
              <w:t>40.6 %</w:t>
            </w:r>
          </w:p>
        </w:tc>
        <w:tc>
          <w:tcPr>
            <w:tcW w:w="8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7"/>
                <w:szCs w:val="17"/>
                <w:b w:val="1"/>
                <w:bCs w:val="1"/>
                <w:color w:val="auto"/>
              </w:rPr>
              <w:t>39.8 %</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80 bps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bps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13"/>
              <w:spacing w:after="0"/>
              <w:rPr>
                <w:sz w:val="20"/>
                <w:szCs w:val="20"/>
                <w:color w:val="auto"/>
              </w:rPr>
            </w:pPr>
            <w:r>
              <w:rPr>
                <w:rFonts w:ascii="Arial" w:cs="Arial" w:eastAsia="Arial" w:hAnsi="Arial"/>
                <w:sz w:val="17"/>
                <w:szCs w:val="17"/>
                <w:b w:val="1"/>
                <w:bCs w:val="1"/>
                <w:color w:val="auto"/>
              </w:rPr>
              <w:t>40.6 %</w:t>
            </w:r>
          </w:p>
        </w:tc>
        <w:tc>
          <w:tcPr>
            <w:tcW w:w="8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7"/>
                <w:szCs w:val="17"/>
                <w:b w:val="1"/>
                <w:bCs w:val="1"/>
                <w:color w:val="auto"/>
              </w:rPr>
              <w:t>39.1 %</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150 bps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 bps</w:t>
            </w:r>
          </w:p>
        </w:tc>
      </w:tr>
    </w:tbl>
    <w:p>
      <w:pPr>
        <w:spacing w:after="0" w:line="191" w:lineRule="exact"/>
        <w:rPr>
          <w:sz w:val="20"/>
          <w:szCs w:val="20"/>
          <w:color w:val="auto"/>
        </w:rPr>
      </w:pPr>
    </w:p>
    <w:p>
      <w:pPr>
        <w:ind w:left="240" w:hanging="235"/>
        <w:spacing w:after="0" w:line="273" w:lineRule="auto"/>
        <w:tabs>
          <w:tab w:leader="none" w:pos="238"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Adjusted EBITDA margin is Adjusted EBITDA as a percentage of revenue. We believe this metric is useful particularly as we continue to focus on growing our higher-margin businesses and improving overall operating cost management. Change in Adjusted EBITDA margin reflects the year-over-year basis point change.</w:t>
      </w:r>
    </w:p>
    <w:p>
      <w:pPr>
        <w:ind w:left="240" w:hanging="235"/>
        <w:spacing w:after="0" w:line="279" w:lineRule="auto"/>
        <w:tabs>
          <w:tab w:leader="none" w:pos="2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28 for additional information, including our definition and our use of constant currency, and for a reconciliation of constant currency amounts.</w:t>
      </w:r>
    </w:p>
    <w:p>
      <w:pPr>
        <w:spacing w:after="0" w:line="2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continue to focus on growing our higher-margin connectivity businesses while managing overall operating costs. We also continue to invest in our network to support higher-speed broadband offerings and to expand the number of homes and businesses passed. Our customer relationship growth has slowed primarily reflecting continued low domestic household move levels and an increasingly competitive environment. We believe our residential connectivity revenue will increase as a result of growth in average domestic broadband revenue per customer, as well as increases in international connectivity and domestic wireless revenue. At the same time, we expect continued declines in video revenue as a result of domestic customer net losses due to shifting video consumption patterns and the competitive environment, although customer net losses typically partially mitigate the impact of continued rate increases on programming expenses. We also expect continued declines in other revenue in wireline voice revenue. Global economic conditions and consumer sentiment have in the past, and may continue to, adversely impact demand for our products and services and our results of operations.</w:t>
      </w:r>
    </w:p>
    <w:p>
      <w:pPr>
        <w:spacing w:after="0" w:line="6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believe our Business Services Connectivity segment will continue to grow by offering competitive services, including to medium-sized and enterprise customers.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Connectivity &amp; Platforms Customer Metrics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40" w:type="dxa"/>
            <w:vAlign w:val="bottom"/>
            <w:gridSpan w:val="2"/>
          </w:tcPr>
          <w:p>
            <w:pPr>
              <w:jc w:val="right"/>
              <w:ind w:right="397"/>
              <w:spacing w:after="0"/>
              <w:rPr>
                <w:sz w:val="20"/>
                <w:szCs w:val="20"/>
                <w:color w:val="auto"/>
              </w:rPr>
            </w:pPr>
            <w:r>
              <w:rPr>
                <w:rFonts w:ascii="Arial" w:cs="Arial" w:eastAsia="Arial" w:hAnsi="Arial"/>
                <w:sz w:val="14"/>
                <w:szCs w:val="14"/>
                <w:color w:val="auto"/>
              </w:rPr>
              <w:t>Net Additions / (Losses)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5020" w:type="dxa"/>
            <w:vAlign w:val="bottom"/>
          </w:tcPr>
          <w:p>
            <w:pPr>
              <w:spacing w:after="0"/>
              <w:rPr>
                <w:sz w:val="11"/>
                <w:szCs w:val="11"/>
                <w:color w:val="auto"/>
              </w:rPr>
            </w:pPr>
          </w:p>
        </w:tc>
        <w:tc>
          <w:tcPr>
            <w:tcW w:w="2040" w:type="dxa"/>
            <w:vAlign w:val="bottom"/>
            <w:gridSpan w:val="2"/>
            <w:vMerge w:val="restart"/>
          </w:tcPr>
          <w:p>
            <w:pPr>
              <w:jc w:val="right"/>
              <w:ind w:right="534"/>
              <w:spacing w:after="0"/>
              <w:rPr>
                <w:sz w:val="20"/>
                <w:szCs w:val="20"/>
                <w:color w:val="auto"/>
              </w:rPr>
            </w:pPr>
            <w:r>
              <w:rPr>
                <w:rFonts w:ascii="Arial" w:cs="Arial" w:eastAsia="Arial" w:hAnsi="Arial"/>
                <w:sz w:val="14"/>
                <w:szCs w:val="14"/>
                <w:color w:val="auto"/>
              </w:rPr>
              <w:t>September 30,</w:t>
            </w:r>
          </w:p>
        </w:tc>
        <w:tc>
          <w:tcPr>
            <w:tcW w:w="2220" w:type="dxa"/>
            <w:vAlign w:val="bottom"/>
            <w:gridSpan w:val="2"/>
          </w:tcPr>
          <w:p>
            <w:pPr>
              <w:jc w:val="right"/>
              <w:ind w:right="516"/>
              <w:spacing w:after="0" w:line="132" w:lineRule="exact"/>
              <w:rPr>
                <w:sz w:val="20"/>
                <w:szCs w:val="20"/>
                <w:color w:val="auto"/>
              </w:rPr>
            </w:pPr>
            <w:r>
              <w:rPr>
                <w:rFonts w:ascii="Arial" w:cs="Arial" w:eastAsia="Arial" w:hAnsi="Arial"/>
                <w:sz w:val="14"/>
                <w:szCs w:val="14"/>
                <w:color w:val="auto"/>
              </w:rPr>
              <w:t>Three Months Ended</w:t>
            </w:r>
          </w:p>
        </w:tc>
        <w:tc>
          <w:tcPr>
            <w:tcW w:w="1880" w:type="dxa"/>
            <w:vAlign w:val="bottom"/>
            <w:gridSpan w:val="2"/>
          </w:tcPr>
          <w:p>
            <w:pPr>
              <w:jc w:val="right"/>
              <w:ind w:right="374"/>
              <w:spacing w:after="0" w:line="132"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2"/>
        </w:trPr>
        <w:tc>
          <w:tcPr>
            <w:tcW w:w="5020" w:type="dxa"/>
            <w:vAlign w:val="bottom"/>
          </w:tcPr>
          <w:p>
            <w:pPr>
              <w:spacing w:after="0"/>
              <w:rPr>
                <w:sz w:val="15"/>
                <w:szCs w:val="15"/>
                <w:color w:val="auto"/>
              </w:rPr>
            </w:pPr>
          </w:p>
        </w:tc>
        <w:tc>
          <w:tcPr>
            <w:tcW w:w="2040" w:type="dxa"/>
            <w:vAlign w:val="bottom"/>
            <w:tcBorders>
              <w:bottom w:val="single" w:sz="8" w:color="auto"/>
            </w:tcBorders>
            <w:gridSpan w:val="2"/>
            <w:vMerge w:val="continue"/>
          </w:tcPr>
          <w:p>
            <w:pPr>
              <w:spacing w:after="0"/>
              <w:rPr>
                <w:sz w:val="15"/>
                <w:szCs w:val="15"/>
                <w:color w:val="auto"/>
              </w:rPr>
            </w:pPr>
          </w:p>
        </w:tc>
        <w:tc>
          <w:tcPr>
            <w:tcW w:w="2220" w:type="dxa"/>
            <w:vAlign w:val="bottom"/>
            <w:tcBorders>
              <w:bottom w:val="single" w:sz="8" w:color="auto"/>
            </w:tcBorders>
            <w:gridSpan w:val="2"/>
          </w:tcPr>
          <w:p>
            <w:pPr>
              <w:jc w:val="right"/>
              <w:ind w:right="716"/>
              <w:spacing w:after="0"/>
              <w:rPr>
                <w:sz w:val="20"/>
                <w:szCs w:val="20"/>
                <w:color w:val="auto"/>
              </w:rPr>
            </w:pPr>
            <w:r>
              <w:rPr>
                <w:rFonts w:ascii="Arial" w:cs="Arial" w:eastAsia="Arial" w:hAnsi="Arial"/>
                <w:sz w:val="14"/>
                <w:szCs w:val="14"/>
                <w:color w:val="auto"/>
              </w:rPr>
              <w:t>September 30,</w:t>
            </w:r>
          </w:p>
        </w:tc>
        <w:tc>
          <w:tcPr>
            <w:tcW w:w="188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thousands)</w:t>
            </w: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234"/>
              <w:spacing w:after="0" w:line="196"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(d)</w:t>
            </w: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2023</w:t>
            </w: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2023</w:t>
            </w:r>
          </w:p>
        </w:tc>
        <w:tc>
          <w:tcPr>
            <w:tcW w:w="880" w:type="dxa"/>
            <w:vAlign w:val="bottom"/>
            <w:tcBorders>
              <w:bottom w:val="single" w:sz="8" w:color="auto"/>
            </w:tcBorders>
          </w:tcPr>
          <w:p>
            <w:pPr>
              <w:jc w:val="right"/>
              <w:ind w:right="234"/>
              <w:spacing w:after="0" w:line="196"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(d)</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Customer Relationships</w:t>
            </w:r>
          </w:p>
        </w:tc>
        <w:tc>
          <w:tcPr>
            <w:tcW w:w="1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020" w:type="dxa"/>
            <w:vAlign w:val="bottom"/>
          </w:tcPr>
          <w:p>
            <w:pPr>
              <w:ind w:left="180"/>
              <w:spacing w:after="0" w:line="171" w:lineRule="exact"/>
              <w:rPr>
                <w:sz w:val="20"/>
                <w:szCs w:val="20"/>
                <w:color w:val="auto"/>
              </w:rPr>
            </w:pPr>
            <w:r>
              <w:rPr>
                <w:rFonts w:ascii="Arial" w:cs="Arial" w:eastAsia="Arial" w:hAnsi="Arial"/>
                <w:sz w:val="17"/>
                <w:szCs w:val="17"/>
                <w:color w:val="auto"/>
              </w:rPr>
              <w:t>Domestic Residential Connectivity &amp; Platforms customer</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020" w:type="dxa"/>
            <w:vAlign w:val="bottom"/>
          </w:tcPr>
          <w:p>
            <w:pPr>
              <w:ind w:left="340"/>
              <w:spacing w:after="0" w:line="236" w:lineRule="exact"/>
              <w:rPr>
                <w:sz w:val="20"/>
                <w:szCs w:val="20"/>
                <w:color w:val="auto"/>
              </w:rPr>
            </w:pPr>
            <w:r>
              <w:rPr>
                <w:rFonts w:ascii="Arial" w:cs="Arial" w:eastAsia="Arial" w:hAnsi="Arial"/>
                <w:sz w:val="17"/>
                <w:szCs w:val="17"/>
                <w:color w:val="auto"/>
              </w:rPr>
              <w:t>relationships</w:t>
            </w:r>
            <w:r>
              <w:rPr>
                <w:rFonts w:ascii="Arial" w:cs="Arial" w:eastAsia="Arial" w:hAnsi="Arial"/>
                <w:sz w:val="22"/>
                <w:szCs w:val="22"/>
                <w:color w:val="auto"/>
                <w:vertAlign w:val="superscript"/>
              </w:rPr>
              <w:t>(a)</w:t>
            </w:r>
          </w:p>
        </w:tc>
        <w:tc>
          <w:tcPr>
            <w:tcW w:w="1140" w:type="dxa"/>
            <w:vAlign w:val="bottom"/>
          </w:tcPr>
          <w:p>
            <w:pPr>
              <w:jc w:val="right"/>
              <w:ind w:right="96"/>
              <w:spacing w:after="0"/>
              <w:rPr>
                <w:sz w:val="20"/>
                <w:szCs w:val="20"/>
                <w:color w:val="auto"/>
              </w:rPr>
            </w:pPr>
            <w:r>
              <w:rPr>
                <w:rFonts w:ascii="Arial" w:cs="Arial" w:eastAsia="Arial" w:hAnsi="Arial"/>
                <w:sz w:val="17"/>
                <w:szCs w:val="17"/>
                <w:color w:val="auto"/>
              </w:rPr>
              <w:t>31,722</w:t>
            </w:r>
          </w:p>
        </w:tc>
        <w:tc>
          <w:tcPr>
            <w:tcW w:w="900" w:type="dxa"/>
            <w:vAlign w:val="bottom"/>
          </w:tcPr>
          <w:p>
            <w:pPr>
              <w:jc w:val="right"/>
              <w:spacing w:after="0"/>
              <w:rPr>
                <w:sz w:val="20"/>
                <w:szCs w:val="20"/>
                <w:color w:val="auto"/>
              </w:rPr>
            </w:pPr>
            <w:r>
              <w:rPr>
                <w:rFonts w:ascii="Arial" w:cs="Arial" w:eastAsia="Arial" w:hAnsi="Arial"/>
                <w:sz w:val="17"/>
                <w:szCs w:val="17"/>
                <w:color w:val="auto"/>
              </w:rPr>
              <w:t>31,928</w:t>
            </w: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(39)</w:t>
            </w:r>
          </w:p>
        </w:tc>
        <w:tc>
          <w:tcPr>
            <w:tcW w:w="1040" w:type="dxa"/>
            <w:vAlign w:val="bottom"/>
          </w:tcPr>
          <w:p>
            <w:pPr>
              <w:jc w:val="right"/>
              <w:ind w:right="116"/>
              <w:spacing w:after="0"/>
              <w:rPr>
                <w:sz w:val="20"/>
                <w:szCs w:val="20"/>
                <w:color w:val="auto"/>
              </w:rPr>
            </w:pPr>
            <w:r>
              <w:rPr>
                <w:rFonts w:ascii="Arial" w:cs="Arial" w:eastAsia="Arial" w:hAnsi="Arial"/>
                <w:sz w:val="17"/>
                <w:szCs w:val="17"/>
                <w:color w:val="auto"/>
              </w:rPr>
              <w:t>(26)</w:t>
            </w:r>
          </w:p>
        </w:tc>
        <w:tc>
          <w:tcPr>
            <w:tcW w:w="1000" w:type="dxa"/>
            <w:vAlign w:val="bottom"/>
          </w:tcPr>
          <w:p>
            <w:pPr>
              <w:jc w:val="right"/>
              <w:ind w:right="97"/>
              <w:spacing w:after="0"/>
              <w:rPr>
                <w:sz w:val="20"/>
                <w:szCs w:val="20"/>
                <w:color w:val="auto"/>
              </w:rPr>
            </w:pPr>
            <w:r>
              <w:rPr>
                <w:rFonts w:ascii="Arial" w:cs="Arial" w:eastAsia="Arial" w:hAnsi="Arial"/>
                <w:sz w:val="17"/>
                <w:szCs w:val="17"/>
                <w:color w:val="auto"/>
              </w:rPr>
              <w:t>(138)</w:t>
            </w:r>
          </w:p>
        </w:tc>
        <w:tc>
          <w:tcPr>
            <w:tcW w:w="880" w:type="dxa"/>
            <w:vAlign w:val="bottom"/>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180"/>
              <w:spacing w:after="0" w:line="171" w:lineRule="exact"/>
              <w:rPr>
                <w:sz w:val="20"/>
                <w:szCs w:val="20"/>
                <w:color w:val="auto"/>
              </w:rPr>
            </w:pPr>
            <w:r>
              <w:rPr>
                <w:rFonts w:ascii="Arial" w:cs="Arial" w:eastAsia="Arial" w:hAnsi="Arial"/>
                <w:sz w:val="17"/>
                <w:szCs w:val="17"/>
                <w:color w:val="auto"/>
              </w:rPr>
              <w:t>International Residential Connectivity &amp; Platforms customer</w:t>
            </w:r>
          </w:p>
        </w:tc>
        <w:tc>
          <w:tcPr>
            <w:tcW w:w="1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020" w:type="dxa"/>
            <w:vAlign w:val="bottom"/>
            <w:shd w:val="clear" w:color="auto" w:fill="CCEEFF"/>
          </w:tcPr>
          <w:p>
            <w:pPr>
              <w:ind w:left="340"/>
              <w:spacing w:after="0" w:line="236" w:lineRule="exact"/>
              <w:rPr>
                <w:sz w:val="20"/>
                <w:szCs w:val="20"/>
                <w:color w:val="auto"/>
              </w:rPr>
            </w:pPr>
            <w:r>
              <w:rPr>
                <w:rFonts w:ascii="Arial" w:cs="Arial" w:eastAsia="Arial" w:hAnsi="Arial"/>
                <w:sz w:val="17"/>
                <w:szCs w:val="17"/>
                <w:color w:val="auto"/>
              </w:rPr>
              <w:t>relationships</w:t>
            </w:r>
            <w:r>
              <w:rPr>
                <w:rFonts w:ascii="Arial" w:cs="Arial" w:eastAsia="Arial" w:hAnsi="Arial"/>
                <w:sz w:val="22"/>
                <w:szCs w:val="22"/>
                <w:color w:val="auto"/>
                <w:vertAlign w:val="superscript"/>
              </w:rPr>
              <w:t>(a)</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17,958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17,884</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74</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96</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23"/>
        </w:trPr>
        <w:tc>
          <w:tcPr>
            <w:tcW w:w="5020" w:type="dxa"/>
            <w:vAlign w:val="bottom"/>
          </w:tcPr>
          <w:p>
            <w:pPr>
              <w:ind w:left="180"/>
              <w:spacing w:after="0" w:line="223" w:lineRule="exact"/>
              <w:rPr>
                <w:sz w:val="20"/>
                <w:szCs w:val="20"/>
                <w:color w:val="auto"/>
              </w:rPr>
            </w:pPr>
            <w:r>
              <w:rPr>
                <w:rFonts w:ascii="Arial" w:cs="Arial" w:eastAsia="Arial" w:hAnsi="Arial"/>
                <w:sz w:val="17"/>
                <w:szCs w:val="17"/>
                <w:color w:val="auto"/>
              </w:rPr>
              <w:t>Business Services Connectivity customer relationships</w:t>
            </w:r>
            <w:r>
              <w:rPr>
                <w:rFonts w:ascii="Arial" w:cs="Arial" w:eastAsia="Arial" w:hAnsi="Arial"/>
                <w:sz w:val="22"/>
                <w:szCs w:val="22"/>
                <w:color w:val="auto"/>
                <w:vertAlign w:val="superscript"/>
              </w:rPr>
              <w:t>(b)</w:t>
            </w:r>
          </w:p>
        </w:tc>
        <w:tc>
          <w:tcPr>
            <w:tcW w:w="1140" w:type="dxa"/>
            <w:vAlign w:val="bottom"/>
          </w:tcPr>
          <w:p>
            <w:pPr>
              <w:jc w:val="right"/>
              <w:ind w:right="96"/>
              <w:spacing w:after="0"/>
              <w:rPr>
                <w:sz w:val="20"/>
                <w:szCs w:val="20"/>
                <w:color w:val="auto"/>
              </w:rPr>
            </w:pPr>
            <w:r>
              <w:rPr>
                <w:rFonts w:ascii="Arial" w:cs="Arial" w:eastAsia="Arial" w:hAnsi="Arial"/>
                <w:sz w:val="17"/>
                <w:szCs w:val="17"/>
                <w:color w:val="auto"/>
              </w:rPr>
              <w:t>2,640</w:t>
            </w:r>
          </w:p>
        </w:tc>
        <w:tc>
          <w:tcPr>
            <w:tcW w:w="900" w:type="dxa"/>
            <w:vAlign w:val="bottom"/>
          </w:tcPr>
          <w:p>
            <w:pPr>
              <w:jc w:val="right"/>
              <w:spacing w:after="0"/>
              <w:rPr>
                <w:sz w:val="20"/>
                <w:szCs w:val="20"/>
                <w:color w:val="auto"/>
              </w:rPr>
            </w:pPr>
            <w:r>
              <w:rPr>
                <w:rFonts w:ascii="Arial" w:cs="Arial" w:eastAsia="Arial" w:hAnsi="Arial"/>
                <w:sz w:val="17"/>
                <w:szCs w:val="17"/>
                <w:color w:val="auto"/>
              </w:rPr>
              <w:t>2,621</w:t>
            </w:r>
          </w:p>
        </w:tc>
        <w:tc>
          <w:tcPr>
            <w:tcW w:w="1180" w:type="dxa"/>
            <w:vAlign w:val="bottom"/>
          </w:tcPr>
          <w:p>
            <w:pPr>
              <w:jc w:val="right"/>
              <w:ind w:right="137"/>
              <w:spacing w:after="0"/>
              <w:rPr>
                <w:sz w:val="20"/>
                <w:szCs w:val="20"/>
                <w:color w:val="auto"/>
              </w:rPr>
            </w:pPr>
            <w:r>
              <w:rPr>
                <w:rFonts w:ascii="Arial" w:cs="Arial" w:eastAsia="Arial" w:hAnsi="Arial"/>
                <w:sz w:val="17"/>
                <w:szCs w:val="17"/>
                <w:color w:val="auto"/>
              </w:rPr>
              <w:t>5</w:t>
            </w:r>
          </w:p>
        </w:tc>
        <w:tc>
          <w:tcPr>
            <w:tcW w:w="1040" w:type="dxa"/>
            <w:vAlign w:val="bottom"/>
          </w:tcPr>
          <w:p>
            <w:pPr>
              <w:jc w:val="right"/>
              <w:ind w:right="156"/>
              <w:spacing w:after="0"/>
              <w:rPr>
                <w:sz w:val="20"/>
                <w:szCs w:val="20"/>
                <w:color w:val="auto"/>
              </w:rPr>
            </w:pPr>
            <w:r>
              <w:rPr>
                <w:rFonts w:ascii="Arial" w:cs="Arial" w:eastAsia="Arial" w:hAnsi="Arial"/>
                <w:sz w:val="17"/>
                <w:szCs w:val="17"/>
                <w:color w:val="auto"/>
              </w:rPr>
              <w:t>13</w:t>
            </w:r>
          </w:p>
        </w:tc>
        <w:tc>
          <w:tcPr>
            <w:tcW w:w="1000" w:type="dxa"/>
            <w:vAlign w:val="bottom"/>
          </w:tcPr>
          <w:p>
            <w:pPr>
              <w:jc w:val="right"/>
              <w:ind w:right="137"/>
              <w:spacing w:after="0"/>
              <w:rPr>
                <w:sz w:val="20"/>
                <w:szCs w:val="20"/>
                <w:color w:val="auto"/>
              </w:rPr>
            </w:pPr>
            <w:r>
              <w:rPr>
                <w:rFonts w:ascii="Arial" w:cs="Arial" w:eastAsia="Arial" w:hAnsi="Arial"/>
                <w:sz w:val="17"/>
                <w:szCs w:val="17"/>
                <w:color w:val="auto"/>
              </w:rPr>
              <w:t>15</w:t>
            </w:r>
          </w:p>
        </w:tc>
        <w:tc>
          <w:tcPr>
            <w:tcW w:w="88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2"/>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Connectivity &amp; Platforms customer relationships</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52,320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52,434</w:t>
            </w:r>
          </w:p>
        </w:tc>
        <w:tc>
          <w:tcPr>
            <w:tcW w:w="11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40</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83</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(105)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Domestic Broadband</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Residential customers</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29,779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29,835</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(17)</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w:t>
            </w: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2"/>
        </w:trPr>
        <w:tc>
          <w:tcPr>
            <w:tcW w:w="5020" w:type="dxa"/>
            <w:vAlign w:val="bottom"/>
          </w:tcPr>
          <w:p>
            <w:pPr>
              <w:ind w:left="180"/>
              <w:spacing w:after="0"/>
              <w:rPr>
                <w:sz w:val="20"/>
                <w:szCs w:val="20"/>
                <w:color w:val="auto"/>
              </w:rPr>
            </w:pPr>
            <w:r>
              <w:rPr>
                <w:rFonts w:ascii="Arial" w:cs="Arial" w:eastAsia="Arial" w:hAnsi="Arial"/>
                <w:sz w:val="17"/>
                <w:szCs w:val="17"/>
                <w:color w:val="auto"/>
              </w:rPr>
              <w:t>Business customers</w:t>
            </w:r>
          </w:p>
        </w:tc>
        <w:tc>
          <w:tcPr>
            <w:tcW w:w="1140" w:type="dxa"/>
            <w:vAlign w:val="bottom"/>
          </w:tcPr>
          <w:p>
            <w:pPr>
              <w:jc w:val="right"/>
              <w:ind w:right="96"/>
              <w:spacing w:after="0"/>
              <w:rPr>
                <w:sz w:val="20"/>
                <w:szCs w:val="20"/>
                <w:color w:val="auto"/>
              </w:rPr>
            </w:pPr>
            <w:r>
              <w:rPr>
                <w:rFonts w:ascii="Arial" w:cs="Arial" w:eastAsia="Arial" w:hAnsi="Arial"/>
                <w:sz w:val="17"/>
                <w:szCs w:val="17"/>
                <w:color w:val="auto"/>
              </w:rPr>
              <w:t>2,508</w:t>
            </w:r>
          </w:p>
        </w:tc>
        <w:tc>
          <w:tcPr>
            <w:tcW w:w="900" w:type="dxa"/>
            <w:vAlign w:val="bottom"/>
          </w:tcPr>
          <w:p>
            <w:pPr>
              <w:jc w:val="right"/>
              <w:spacing w:after="0"/>
              <w:rPr>
                <w:sz w:val="20"/>
                <w:szCs w:val="20"/>
                <w:color w:val="auto"/>
              </w:rPr>
            </w:pPr>
            <w:r>
              <w:rPr>
                <w:rFonts w:ascii="Arial" w:cs="Arial" w:eastAsia="Arial" w:hAnsi="Arial"/>
                <w:sz w:val="17"/>
                <w:szCs w:val="17"/>
                <w:color w:val="auto"/>
              </w:rPr>
              <w:t>2,507</w:t>
            </w: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(2)</w:t>
            </w:r>
          </w:p>
        </w:tc>
        <w:tc>
          <w:tcPr>
            <w:tcW w:w="1040" w:type="dxa"/>
            <w:vAlign w:val="bottom"/>
          </w:tcPr>
          <w:p>
            <w:pPr>
              <w:jc w:val="right"/>
              <w:ind w:right="156"/>
              <w:spacing w:after="0"/>
              <w:rPr>
                <w:sz w:val="20"/>
                <w:szCs w:val="20"/>
                <w:color w:val="auto"/>
              </w:rPr>
            </w:pPr>
            <w:r>
              <w:rPr>
                <w:rFonts w:ascii="Arial" w:cs="Arial" w:eastAsia="Arial" w:hAnsi="Arial"/>
                <w:sz w:val="17"/>
                <w:szCs w:val="17"/>
                <w:color w:val="auto"/>
              </w:rPr>
              <w:t>10</w:t>
            </w:r>
          </w:p>
        </w:tc>
        <w:tc>
          <w:tcPr>
            <w:tcW w:w="1000" w:type="dxa"/>
            <w:vAlign w:val="bottom"/>
          </w:tcPr>
          <w:p>
            <w:pPr>
              <w:jc w:val="right"/>
              <w:ind w:right="137"/>
              <w:spacing w:after="0"/>
              <w:rPr>
                <w:sz w:val="20"/>
                <w:szCs w:val="20"/>
                <w:color w:val="auto"/>
              </w:rPr>
            </w:pPr>
            <w:r>
              <w:rPr>
                <w:rFonts w:ascii="Arial" w:cs="Arial" w:eastAsia="Arial" w:hAnsi="Arial"/>
                <w:sz w:val="17"/>
                <w:szCs w:val="17"/>
                <w:color w:val="auto"/>
              </w:rPr>
              <w:t>1</w:t>
            </w: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domestic broadband customers</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32,287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32,342</w:t>
            </w: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(18)</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19</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(32)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Domestic Wireless</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7"/>
                <w:szCs w:val="17"/>
                <w:color w:val="auto"/>
              </w:rPr>
              <w:t>Total domestic wireless lines</w:t>
            </w:r>
            <w:r>
              <w:rPr>
                <w:rFonts w:ascii="Arial" w:cs="Arial" w:eastAsia="Arial" w:hAnsi="Arial"/>
                <w:sz w:val="22"/>
                <w:szCs w:val="22"/>
                <w:color w:val="auto"/>
                <w:vertAlign w:val="superscript"/>
              </w:rPr>
              <w:t>(c)</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6,278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4,948</w:t>
            </w:r>
          </w:p>
        </w:tc>
        <w:tc>
          <w:tcPr>
            <w:tcW w:w="11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294</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333</w:t>
            </w:r>
          </w:p>
        </w:tc>
        <w:tc>
          <w:tcPr>
            <w:tcW w:w="10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965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Domestic Video</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domestic video customers</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14,495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16,582</w:t>
            </w: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(490)</w:t>
            </w:r>
          </w:p>
        </w:tc>
        <w:tc>
          <w:tcPr>
            <w:tcW w:w="10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(561)</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(1,647)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(1,594)</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240" w:hanging="235"/>
        <w:spacing w:after="0" w:line="307" w:lineRule="auto"/>
        <w:tabs>
          <w:tab w:leader="none" w:pos="238"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Connectivity &amp; Platforms markets. Previously reported total Sky customer relationships of approximately 23 million as of December 31, 2022 also included approximately 5 million customer relationships receiving Sky services outside of the Connectivity &amp; Platforms markets. Because each of our services includes a variety of product tiers, which may change from time to time, net additions or losses in any one period will reflect a mix of customers at various tiers.</w:t>
      </w:r>
    </w:p>
    <w:p>
      <w:pPr>
        <w:spacing w:after="0" w:line="1" w:lineRule="exact"/>
        <w:rPr>
          <w:rFonts w:ascii="Arial" w:cs="Arial" w:eastAsia="Arial" w:hAnsi="Arial"/>
          <w:sz w:val="12"/>
          <w:szCs w:val="12"/>
          <w:color w:val="auto"/>
        </w:rPr>
      </w:pPr>
    </w:p>
    <w:p>
      <w:pPr>
        <w:jc w:val="both"/>
        <w:ind w:left="240" w:hanging="235"/>
        <w:spacing w:after="0" w:line="257" w:lineRule="auto"/>
        <w:tabs>
          <w:tab w:leader="none" w:pos="2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Business Services Connectivity customer metrics are generally counted based on the number of locations receiving services, including locations within our distribution system in the United States, as well as locations outside of our distribution system both in the United States and internationally. Certain arrangements whereby third parties provide connectivity services leveraging our distribution system are also generally counted based on the number of locations served.</w:t>
      </w:r>
    </w:p>
    <w:p>
      <w:pPr>
        <w:spacing w:after="0" w:line="19" w:lineRule="exact"/>
        <w:rPr>
          <w:rFonts w:ascii="Arial" w:cs="Arial" w:eastAsia="Arial" w:hAnsi="Arial"/>
          <w:sz w:val="14"/>
          <w:szCs w:val="14"/>
          <w:color w:val="auto"/>
        </w:rPr>
      </w:pPr>
    </w:p>
    <w:p>
      <w:pPr>
        <w:ind w:left="240" w:hanging="235"/>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Domestic wireless lines represent the number of residential and business customers’ wireless devices. An individual customer relationship may have multiple wireless lines.</w:t>
      </w:r>
    </w:p>
    <w:p>
      <w:pPr>
        <w:spacing w:after="0" w:line="35" w:lineRule="exact"/>
        <w:rPr>
          <w:rFonts w:ascii="Arial" w:cs="Arial" w:eastAsia="Arial" w:hAnsi="Arial"/>
          <w:sz w:val="14"/>
          <w:szCs w:val="14"/>
          <w:color w:val="auto"/>
        </w:rPr>
      </w:pPr>
    </w:p>
    <w:p>
      <w:pPr>
        <w:jc w:val="both"/>
        <w:ind w:left="240" w:hanging="235"/>
        <w:spacing w:after="0" w:line="266" w:lineRule="auto"/>
        <w:tabs>
          <w:tab w:leader="none" w:pos="2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Customer metrics for 2022 have been updated to reflect the new segment presentation, and to align methodologies for counting business customer metrics to: (1) include locations receiving our services outside of our distribution system and (2) now count certain customers based on the number of locations receiving services, including arrangements whereby third parties provide connectivity services leveraging our distribution system. These changes in methodology were not material to any period presented.</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color w:val="auto"/>
                <w:w w:val="89"/>
              </w:rPr>
              <w:t>Constant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color w:val="auto"/>
                <w:w w:val="89"/>
              </w:rPr>
              <w:t>Constant</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right"/>
              <w:ind w:right="279"/>
              <w:spacing w:after="0" w:line="144" w:lineRule="exact"/>
              <w:rPr>
                <w:sz w:val="20"/>
                <w:szCs w:val="20"/>
                <w:color w:val="auto"/>
              </w:rPr>
            </w:pPr>
            <w:r>
              <w:rPr>
                <w:rFonts w:ascii="Arial" w:cs="Arial" w:eastAsia="Arial" w:hAnsi="Arial"/>
                <w:sz w:val="14"/>
                <w:szCs w:val="14"/>
                <w:color w:val="auto"/>
                <w:w w:val="93"/>
              </w:rPr>
              <w:t>Three Months Ended</w:t>
            </w:r>
          </w:p>
        </w:tc>
        <w:tc>
          <w:tcPr>
            <w:tcW w:w="980" w:type="dxa"/>
            <w:vAlign w:val="bottom"/>
            <w:vMerge w:val="restart"/>
          </w:tcPr>
          <w:p>
            <w:pPr>
              <w:jc w:val="right"/>
              <w:ind w:right="301"/>
              <w:spacing w:after="0"/>
              <w:rPr>
                <w:sz w:val="20"/>
                <w:szCs w:val="20"/>
                <w:color w:val="auto"/>
              </w:rPr>
            </w:pPr>
            <w:r>
              <w:rPr>
                <w:rFonts w:ascii="Arial" w:cs="Arial" w:eastAsia="Arial" w:hAnsi="Arial"/>
                <w:sz w:val="14"/>
                <w:szCs w:val="14"/>
                <w:color w:val="auto"/>
              </w:rPr>
              <w:t>Change</w:t>
            </w:r>
          </w:p>
        </w:tc>
        <w:tc>
          <w:tcPr>
            <w:tcW w:w="920" w:type="dxa"/>
            <w:vAlign w:val="bottom"/>
          </w:tcPr>
          <w:p>
            <w:pPr>
              <w:jc w:val="center"/>
              <w:ind w:right="84"/>
              <w:spacing w:after="0" w:line="144" w:lineRule="exact"/>
              <w:rPr>
                <w:sz w:val="20"/>
                <w:szCs w:val="20"/>
                <w:color w:val="auto"/>
              </w:rPr>
            </w:pPr>
            <w:r>
              <w:rPr>
                <w:rFonts w:ascii="Arial" w:cs="Arial" w:eastAsia="Arial" w:hAnsi="Arial"/>
                <w:sz w:val="14"/>
                <w:szCs w:val="14"/>
                <w:color w:val="auto"/>
                <w:w w:val="91"/>
              </w:rPr>
              <w:t>Currency</w:t>
            </w:r>
          </w:p>
        </w:tc>
        <w:tc>
          <w:tcPr>
            <w:tcW w:w="220" w:type="dxa"/>
            <w:vAlign w:val="bottom"/>
          </w:tcPr>
          <w:p>
            <w:pPr>
              <w:spacing w:after="0"/>
              <w:rPr>
                <w:sz w:val="12"/>
                <w:szCs w:val="12"/>
                <w:color w:val="auto"/>
              </w:rPr>
            </w:pPr>
          </w:p>
        </w:tc>
        <w:tc>
          <w:tcPr>
            <w:tcW w:w="1580" w:type="dxa"/>
            <w:vAlign w:val="bottom"/>
            <w:gridSpan w:val="3"/>
          </w:tcPr>
          <w:p>
            <w:pPr>
              <w:jc w:val="right"/>
              <w:ind w:right="299"/>
              <w:spacing w:after="0" w:line="144" w:lineRule="exact"/>
              <w:rPr>
                <w:sz w:val="20"/>
                <w:szCs w:val="20"/>
                <w:color w:val="auto"/>
              </w:rPr>
            </w:pPr>
            <w:r>
              <w:rPr>
                <w:rFonts w:ascii="Arial" w:cs="Arial" w:eastAsia="Arial" w:hAnsi="Arial"/>
                <w:sz w:val="14"/>
                <w:szCs w:val="14"/>
                <w:color w:val="auto"/>
                <w:w w:val="95"/>
              </w:rPr>
              <w:t>Nine Months Ended</w:t>
            </w:r>
          </w:p>
        </w:tc>
        <w:tc>
          <w:tcPr>
            <w:tcW w:w="980" w:type="dxa"/>
            <w:vAlign w:val="bottom"/>
            <w:vMerge w:val="restart"/>
          </w:tcPr>
          <w:p>
            <w:pPr>
              <w:jc w:val="right"/>
              <w:ind w:right="301"/>
              <w:spacing w:after="0"/>
              <w:rPr>
                <w:sz w:val="20"/>
                <w:szCs w:val="20"/>
                <w:color w:val="auto"/>
              </w:rPr>
            </w:pPr>
            <w:r>
              <w:rPr>
                <w:rFonts w:ascii="Arial" w:cs="Arial" w:eastAsia="Arial" w:hAnsi="Arial"/>
                <w:sz w:val="14"/>
                <w:szCs w:val="14"/>
                <w:color w:val="auto"/>
              </w:rPr>
              <w:t>Change</w:t>
            </w:r>
          </w:p>
        </w:tc>
        <w:tc>
          <w:tcPr>
            <w:tcW w:w="880" w:type="dxa"/>
            <w:vAlign w:val="bottom"/>
          </w:tcPr>
          <w:p>
            <w:pPr>
              <w:jc w:val="center"/>
              <w:ind w:right="4"/>
              <w:spacing w:after="0" w:line="144" w:lineRule="exact"/>
              <w:rPr>
                <w:sz w:val="20"/>
                <w:szCs w:val="20"/>
                <w:color w:val="auto"/>
              </w:rPr>
            </w:pPr>
            <w:r>
              <w:rPr>
                <w:rFonts w:ascii="Arial" w:cs="Arial" w:eastAsia="Arial" w:hAnsi="Arial"/>
                <w:sz w:val="14"/>
                <w:szCs w:val="14"/>
                <w:color w:val="auto"/>
                <w:w w:val="91"/>
              </w:rPr>
              <w:t>Currency</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center"/>
              <w:ind w:right="84"/>
              <w:spacing w:after="0" w:line="196" w:lineRule="exact"/>
              <w:rPr>
                <w:sz w:val="20"/>
                <w:szCs w:val="20"/>
                <w:color w:val="auto"/>
              </w:rPr>
            </w:pPr>
            <w:r>
              <w:rPr>
                <w:rFonts w:ascii="Arial" w:cs="Arial" w:eastAsia="Arial" w:hAnsi="Arial"/>
                <w:sz w:val="14"/>
                <w:szCs w:val="14"/>
                <w:color w:val="auto"/>
                <w:w w:val="81"/>
              </w:rPr>
              <w:t>Change</w:t>
            </w:r>
            <w:r>
              <w:rPr>
                <w:rFonts w:ascii="Arial" w:cs="Arial" w:eastAsia="Arial" w:hAnsi="Arial"/>
                <w:sz w:val="18"/>
                <w:szCs w:val="18"/>
                <w:color w:val="auto"/>
                <w:w w:val="81"/>
                <w:vertAlign w:val="superscript"/>
              </w:rPr>
              <w:t>(a)</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tcPr>
          <w:p>
            <w:pPr>
              <w:jc w:val="center"/>
              <w:ind w:right="24"/>
              <w:spacing w:after="0" w:line="196" w:lineRule="exact"/>
              <w:rPr>
                <w:sz w:val="20"/>
                <w:szCs w:val="20"/>
                <w:color w:val="auto"/>
              </w:rPr>
            </w:pPr>
            <w:r>
              <w:rPr>
                <w:rFonts w:ascii="Arial" w:cs="Arial" w:eastAsia="Arial" w:hAnsi="Arial"/>
                <w:sz w:val="14"/>
                <w:szCs w:val="14"/>
                <w:color w:val="auto"/>
                <w:w w:val="84"/>
              </w:rPr>
              <w:t>Change</w:t>
            </w:r>
            <w:r>
              <w:rPr>
                <w:rFonts w:ascii="Arial" w:cs="Arial" w:eastAsia="Arial" w:hAnsi="Arial"/>
                <w:sz w:val="18"/>
                <w:szCs w:val="18"/>
                <w:color w:val="auto"/>
                <w:w w:val="84"/>
                <w:vertAlign w:val="superscript"/>
              </w:rPr>
              <w:t>(a)</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2023</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2022</w:t>
            </w:r>
          </w:p>
        </w:tc>
        <w:tc>
          <w:tcPr>
            <w:tcW w:w="9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w w:val="96"/>
              </w:rPr>
              <w:t>%</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2022</w:t>
            </w:r>
          </w:p>
        </w:tc>
        <w:tc>
          <w:tcPr>
            <w:tcW w:w="9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jc w:val="center"/>
              <w:ind w:right="353"/>
              <w:spacing w:after="0" w:line="171" w:lineRule="exact"/>
              <w:rPr>
                <w:sz w:val="20"/>
                <w:szCs w:val="20"/>
                <w:color w:val="auto"/>
              </w:rPr>
            </w:pPr>
            <w:r>
              <w:rPr>
                <w:rFonts w:ascii="Arial" w:cs="Arial" w:eastAsia="Arial" w:hAnsi="Arial"/>
                <w:sz w:val="17"/>
                <w:szCs w:val="17"/>
                <w:color w:val="auto"/>
                <w:w w:val="96"/>
              </w:rPr>
              <w:t>Average monthly total Connectivity &amp; Platforms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revenue per customer relationship</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127.55</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1.3 %</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129.07</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(0.1)%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171"/>
        </w:trPr>
        <w:tc>
          <w:tcPr>
            <w:tcW w:w="3860" w:type="dxa"/>
            <w:vAlign w:val="bottom"/>
          </w:tcPr>
          <w:p>
            <w:pPr>
              <w:jc w:val="center"/>
              <w:ind w:right="353"/>
              <w:spacing w:after="0" w:line="171" w:lineRule="exact"/>
              <w:rPr>
                <w:sz w:val="20"/>
                <w:szCs w:val="20"/>
                <w:color w:val="auto"/>
              </w:rPr>
            </w:pPr>
            <w:r>
              <w:rPr>
                <w:rFonts w:ascii="Arial" w:cs="Arial" w:eastAsia="Arial" w:hAnsi="Arial"/>
                <w:sz w:val="17"/>
                <w:szCs w:val="17"/>
                <w:color w:val="auto"/>
                <w:w w:val="96"/>
              </w:rPr>
              <w:t>Average monthly total Connectivity &amp; Platforms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auto"/>
            </w:tcBorders>
          </w:tcPr>
          <w:p>
            <w:pPr>
              <w:jc w:val="center"/>
              <w:ind w:right="313"/>
              <w:spacing w:after="0"/>
              <w:rPr>
                <w:sz w:val="20"/>
                <w:szCs w:val="20"/>
                <w:color w:val="auto"/>
              </w:rPr>
            </w:pPr>
            <w:r>
              <w:rPr>
                <w:rFonts w:ascii="Arial" w:cs="Arial" w:eastAsia="Arial" w:hAnsi="Arial"/>
                <w:sz w:val="17"/>
                <w:szCs w:val="17"/>
                <w:color w:val="auto"/>
                <w:w w:val="95"/>
              </w:rPr>
              <w:t>Adjusted EBITDA per customer relationship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50.79</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3.2 %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50.49</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3.6 %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40" w:hanging="235"/>
        <w:spacing w:after="0" w:line="279" w:lineRule="auto"/>
        <w:tabs>
          <w:tab w:leader="none" w:pos="238"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28 for additional information, including our definition and our use of constant currency, and for a reconciliation of constant currency amounts.</w:t>
      </w:r>
    </w:p>
    <w:p>
      <w:pPr>
        <w:spacing w:after="0" w:line="27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Connectivity &amp; Platforms — Supplemental Costs and Expenses Information</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Connectivity &amp; Platforms supplemental costs and expenses information in the table below is presented on an aggregate basis across the Connectivity &amp; Platforms segments as the segments use certain shared infrastructure, including the cable distribution network in the United States. Costs and expenses information reported separately for the Residential Connectivity &amp; Platforms and Business Services Connectivity segments include each segment’s direct costs and an allocation of shared costs.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color w:val="auto"/>
                <w:w w:val="89"/>
              </w:rPr>
              <w:t>Constant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center"/>
              <w:ind w:right="19"/>
              <w:spacing w:after="0"/>
              <w:rPr>
                <w:sz w:val="20"/>
                <w:szCs w:val="20"/>
                <w:color w:val="auto"/>
              </w:rPr>
            </w:pPr>
            <w:r>
              <w:rPr>
                <w:rFonts w:ascii="Arial" w:cs="Arial" w:eastAsia="Arial" w:hAnsi="Arial"/>
                <w:sz w:val="14"/>
                <w:szCs w:val="14"/>
                <w:color w:val="auto"/>
                <w:w w:val="89"/>
              </w:rPr>
              <w:t>Constant</w:t>
            </w:r>
          </w:p>
        </w:tc>
        <w:tc>
          <w:tcPr>
            <w:tcW w:w="0" w:type="dxa"/>
            <w:vAlign w:val="bottom"/>
          </w:tcPr>
          <w:p>
            <w:pPr>
              <w:spacing w:after="0"/>
              <w:rPr>
                <w:sz w:val="1"/>
                <w:szCs w:val="1"/>
                <w:color w:val="auto"/>
              </w:rPr>
            </w:pPr>
          </w:p>
        </w:tc>
      </w:tr>
      <w:tr>
        <w:trPr>
          <w:trHeight w:val="139"/>
        </w:trPr>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right"/>
              <w:ind w:right="435"/>
              <w:spacing w:after="0" w:line="139" w:lineRule="exact"/>
              <w:rPr>
                <w:sz w:val="20"/>
                <w:szCs w:val="20"/>
                <w:color w:val="auto"/>
              </w:rPr>
            </w:pPr>
            <w:r>
              <w:rPr>
                <w:rFonts w:ascii="Arial" w:cs="Arial" w:eastAsia="Arial" w:hAnsi="Arial"/>
                <w:sz w:val="14"/>
                <w:szCs w:val="14"/>
                <w:color w:val="auto"/>
              </w:rPr>
              <w:t>Three Months Ended</w:t>
            </w:r>
          </w:p>
        </w:tc>
        <w:tc>
          <w:tcPr>
            <w:tcW w:w="1000" w:type="dxa"/>
            <w:vAlign w:val="bottom"/>
            <w:vMerge w:val="restart"/>
          </w:tcPr>
          <w:p>
            <w:pPr>
              <w:ind w:left="180"/>
              <w:spacing w:after="0"/>
              <w:rPr>
                <w:sz w:val="20"/>
                <w:szCs w:val="20"/>
                <w:color w:val="auto"/>
              </w:rPr>
            </w:pPr>
            <w:r>
              <w:rPr>
                <w:rFonts w:ascii="Arial" w:cs="Arial" w:eastAsia="Arial" w:hAnsi="Arial"/>
                <w:sz w:val="14"/>
                <w:szCs w:val="14"/>
                <w:color w:val="auto"/>
              </w:rPr>
              <w:t>Change</w:t>
            </w:r>
          </w:p>
        </w:tc>
        <w:tc>
          <w:tcPr>
            <w:tcW w:w="980" w:type="dxa"/>
            <w:vAlign w:val="bottom"/>
          </w:tcPr>
          <w:p>
            <w:pPr>
              <w:jc w:val="center"/>
              <w:ind w:right="99"/>
              <w:spacing w:after="0" w:line="139" w:lineRule="exact"/>
              <w:rPr>
                <w:sz w:val="20"/>
                <w:szCs w:val="20"/>
                <w:color w:val="auto"/>
              </w:rPr>
            </w:pPr>
            <w:r>
              <w:rPr>
                <w:rFonts w:ascii="Arial" w:cs="Arial" w:eastAsia="Arial" w:hAnsi="Arial"/>
                <w:sz w:val="14"/>
                <w:szCs w:val="14"/>
                <w:color w:val="auto"/>
                <w:w w:val="91"/>
              </w:rPr>
              <w:t>Currency</w:t>
            </w:r>
          </w:p>
        </w:tc>
        <w:tc>
          <w:tcPr>
            <w:tcW w:w="260" w:type="dxa"/>
            <w:vAlign w:val="bottom"/>
          </w:tcPr>
          <w:p>
            <w:pPr>
              <w:spacing w:after="0"/>
              <w:rPr>
                <w:sz w:val="12"/>
                <w:szCs w:val="12"/>
                <w:color w:val="auto"/>
              </w:rPr>
            </w:pPr>
          </w:p>
        </w:tc>
        <w:tc>
          <w:tcPr>
            <w:tcW w:w="1900" w:type="dxa"/>
            <w:vAlign w:val="bottom"/>
            <w:gridSpan w:val="3"/>
          </w:tcPr>
          <w:p>
            <w:pPr>
              <w:jc w:val="right"/>
              <w:ind w:right="475"/>
              <w:spacing w:after="0" w:line="139" w:lineRule="exact"/>
              <w:rPr>
                <w:sz w:val="20"/>
                <w:szCs w:val="20"/>
                <w:color w:val="auto"/>
              </w:rPr>
            </w:pPr>
            <w:r>
              <w:rPr>
                <w:rFonts w:ascii="Arial" w:cs="Arial" w:eastAsia="Arial" w:hAnsi="Arial"/>
                <w:sz w:val="14"/>
                <w:szCs w:val="14"/>
                <w:color w:val="auto"/>
              </w:rPr>
              <w:t>Nine Months Ended</w:t>
            </w:r>
          </w:p>
        </w:tc>
        <w:tc>
          <w:tcPr>
            <w:tcW w:w="1000" w:type="dxa"/>
            <w:vAlign w:val="bottom"/>
            <w:vMerge w:val="restart"/>
          </w:tcPr>
          <w:p>
            <w:pPr>
              <w:ind w:left="180"/>
              <w:spacing w:after="0"/>
              <w:rPr>
                <w:sz w:val="20"/>
                <w:szCs w:val="20"/>
                <w:color w:val="auto"/>
              </w:rPr>
            </w:pPr>
            <w:r>
              <w:rPr>
                <w:rFonts w:ascii="Arial" w:cs="Arial" w:eastAsia="Arial" w:hAnsi="Arial"/>
                <w:sz w:val="14"/>
                <w:szCs w:val="14"/>
                <w:color w:val="auto"/>
              </w:rPr>
              <w:t>Change</w:t>
            </w:r>
          </w:p>
        </w:tc>
        <w:tc>
          <w:tcPr>
            <w:tcW w:w="920" w:type="dxa"/>
            <w:vAlign w:val="bottom"/>
          </w:tcPr>
          <w:p>
            <w:pPr>
              <w:jc w:val="center"/>
              <w:ind w:right="39"/>
              <w:spacing w:after="0" w:line="139" w:lineRule="exact"/>
              <w:rPr>
                <w:sz w:val="20"/>
                <w:szCs w:val="20"/>
                <w:color w:val="auto"/>
              </w:rPr>
            </w:pPr>
            <w:r>
              <w:rPr>
                <w:rFonts w:ascii="Arial" w:cs="Arial" w:eastAsia="Arial" w:hAnsi="Arial"/>
                <w:sz w:val="14"/>
                <w:szCs w:val="14"/>
                <w:color w:val="auto"/>
                <w:w w:val="91"/>
              </w:rPr>
              <w:t>Currency</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615"/>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right="79"/>
              <w:spacing w:after="0" w:line="194" w:lineRule="exact"/>
              <w:rPr>
                <w:sz w:val="20"/>
                <w:szCs w:val="20"/>
                <w:color w:val="auto"/>
              </w:rPr>
            </w:pPr>
            <w:r>
              <w:rPr>
                <w:rFonts w:ascii="Arial" w:cs="Arial" w:eastAsia="Arial" w:hAnsi="Arial"/>
                <w:sz w:val="14"/>
                <w:szCs w:val="14"/>
                <w:color w:val="auto"/>
                <w:w w:val="84"/>
              </w:rPr>
              <w:t>Change</w:t>
            </w:r>
            <w:r>
              <w:rPr>
                <w:rFonts w:ascii="Arial" w:cs="Arial" w:eastAsia="Arial" w:hAnsi="Arial"/>
                <w:sz w:val="18"/>
                <w:szCs w:val="18"/>
                <w:color w:val="auto"/>
                <w:w w:val="84"/>
                <w:vertAlign w:val="superscript"/>
              </w:rPr>
              <w:t>(g)</w:t>
            </w: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right="19"/>
              <w:spacing w:after="0" w:line="194" w:lineRule="exact"/>
              <w:rPr>
                <w:sz w:val="20"/>
                <w:szCs w:val="20"/>
                <w:color w:val="auto"/>
              </w:rPr>
            </w:pPr>
            <w:r>
              <w:rPr>
                <w:rFonts w:ascii="Arial" w:cs="Arial" w:eastAsia="Arial" w:hAnsi="Arial"/>
                <w:sz w:val="14"/>
                <w:szCs w:val="14"/>
                <w:color w:val="auto"/>
                <w:w w:val="84"/>
              </w:rPr>
              <w:t>Change</w:t>
            </w:r>
            <w:r>
              <w:rPr>
                <w:rFonts w:ascii="Arial" w:cs="Arial" w:eastAsia="Arial" w:hAnsi="Arial"/>
                <w:sz w:val="18"/>
                <w:szCs w:val="18"/>
                <w:color w:val="auto"/>
                <w:w w:val="84"/>
                <w:vertAlign w:val="superscript"/>
              </w:rPr>
              <w:t>(g)</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color w:val="auto"/>
              </w:rPr>
              <w:t>2023</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w w:val="96"/>
              </w:rPr>
              <w:t>%</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color w:val="auto"/>
              </w:rPr>
              <w:t>2023</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line="223" w:lineRule="exact"/>
              <w:rPr>
                <w:sz w:val="20"/>
                <w:szCs w:val="20"/>
                <w:color w:val="auto"/>
              </w:rPr>
            </w:pPr>
            <w:r>
              <w:rPr>
                <w:rFonts w:ascii="Arial" w:cs="Arial" w:eastAsia="Arial" w:hAnsi="Arial"/>
                <w:sz w:val="17"/>
                <w:szCs w:val="17"/>
                <w:color w:val="auto"/>
              </w:rPr>
              <w:t>Programming</w:t>
            </w:r>
            <w:r>
              <w:rPr>
                <w:rFonts w:ascii="Arial" w:cs="Arial" w:eastAsia="Arial" w:hAnsi="Arial"/>
                <w:sz w:val="22"/>
                <w:szCs w:val="22"/>
                <w:color w:val="auto"/>
                <w:vertAlign w:val="superscript"/>
              </w:rPr>
              <w:t>(a)</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18"/>
              <w:spacing w:after="0"/>
              <w:rPr>
                <w:sz w:val="20"/>
                <w:szCs w:val="20"/>
                <w:color w:val="auto"/>
              </w:rPr>
            </w:pPr>
            <w:r>
              <w:rPr>
                <w:rFonts w:ascii="Arial" w:cs="Arial" w:eastAsia="Arial" w:hAnsi="Arial"/>
                <w:sz w:val="17"/>
                <w:szCs w:val="17"/>
                <w:color w:val="auto"/>
              </w:rPr>
              <w:t>4,460</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4,464</w:t>
            </w:r>
          </w:p>
        </w:tc>
        <w:tc>
          <w:tcPr>
            <w:tcW w:w="1000" w:type="dxa"/>
            <w:vAlign w:val="bottom"/>
          </w:tcPr>
          <w:p>
            <w:pPr>
              <w:ind w:left="360"/>
              <w:spacing w:after="0"/>
              <w:rPr>
                <w:sz w:val="20"/>
                <w:szCs w:val="20"/>
                <w:color w:val="auto"/>
              </w:rPr>
            </w:pPr>
            <w:r>
              <w:rPr>
                <w:rFonts w:ascii="Arial" w:cs="Arial" w:eastAsia="Arial" w:hAnsi="Arial"/>
                <w:sz w:val="17"/>
                <w:szCs w:val="17"/>
                <w:color w:val="auto"/>
              </w:rPr>
              <w:t>(0.1) %</w:t>
            </w:r>
          </w:p>
        </w:tc>
        <w:tc>
          <w:tcPr>
            <w:tcW w:w="980" w:type="dxa"/>
            <w:vAlign w:val="bottom"/>
          </w:tcPr>
          <w:p>
            <w:pPr>
              <w:ind w:left="400"/>
              <w:spacing w:after="0"/>
              <w:rPr>
                <w:sz w:val="20"/>
                <w:szCs w:val="20"/>
                <w:color w:val="auto"/>
              </w:rPr>
            </w:pPr>
            <w:r>
              <w:rPr>
                <w:rFonts w:ascii="Arial" w:cs="Arial" w:eastAsia="Arial" w:hAnsi="Arial"/>
                <w:sz w:val="17"/>
                <w:szCs w:val="17"/>
                <w:color w:val="auto"/>
              </w:rPr>
              <w:t>(1.3) %</w:t>
            </w:r>
          </w:p>
        </w:tc>
        <w:tc>
          <w:tcPr>
            <w:tcW w:w="2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13,638</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14,027</w:t>
            </w:r>
          </w:p>
        </w:tc>
        <w:tc>
          <w:tcPr>
            <w:tcW w:w="1000" w:type="dxa"/>
            <w:vAlign w:val="bottom"/>
          </w:tcPr>
          <w:p>
            <w:pPr>
              <w:ind w:left="360"/>
              <w:spacing w:after="0"/>
              <w:rPr>
                <w:sz w:val="20"/>
                <w:szCs w:val="20"/>
                <w:color w:val="auto"/>
              </w:rPr>
            </w:pPr>
            <w:r>
              <w:rPr>
                <w:rFonts w:ascii="Arial" w:cs="Arial" w:eastAsia="Arial" w:hAnsi="Arial"/>
                <w:sz w:val="17"/>
                <w:szCs w:val="17"/>
                <w:color w:val="auto"/>
              </w:rPr>
              <w:t>(2.8) %</w:t>
            </w:r>
          </w:p>
        </w:tc>
        <w:tc>
          <w:tcPr>
            <w:tcW w:w="920" w:type="dxa"/>
            <w:vAlign w:val="bottom"/>
          </w:tcPr>
          <w:p>
            <w:pPr>
              <w:ind w:left="400"/>
              <w:spacing w:after="0"/>
              <w:rPr>
                <w:sz w:val="20"/>
                <w:szCs w:val="20"/>
                <w:color w:val="auto"/>
              </w:rPr>
            </w:pPr>
            <w:r>
              <w:rPr>
                <w:rFonts w:ascii="Arial" w:cs="Arial" w:eastAsia="Arial" w:hAnsi="Arial"/>
                <w:sz w:val="17"/>
                <w:szCs w:val="17"/>
                <w:color w:val="auto"/>
                <w:w w:val="91"/>
              </w:rPr>
              <w:t>(2.5) %</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180"/>
              <w:spacing w:after="0" w:line="223" w:lineRule="exact"/>
              <w:rPr>
                <w:sz w:val="20"/>
                <w:szCs w:val="20"/>
                <w:color w:val="auto"/>
              </w:rPr>
            </w:pPr>
            <w:r>
              <w:rPr>
                <w:rFonts w:ascii="Arial" w:cs="Arial" w:eastAsia="Arial" w:hAnsi="Arial"/>
                <w:sz w:val="17"/>
                <w:szCs w:val="17"/>
                <w:color w:val="auto"/>
              </w:rPr>
              <w:t>Technical and support</w:t>
            </w:r>
            <w:r>
              <w:rPr>
                <w:rFonts w:ascii="Arial" w:cs="Arial" w:eastAsia="Arial" w:hAnsi="Arial"/>
                <w:sz w:val="22"/>
                <w:szCs w:val="22"/>
                <w:color w:val="auto"/>
                <w:vertAlign w:val="superscript"/>
              </w:rPr>
              <w:t>(b)</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1,867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1,911</w:t>
            </w:r>
          </w:p>
        </w:tc>
        <w:tc>
          <w:tcPr>
            <w:tcW w:w="1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(2.3)</w:t>
            </w:r>
          </w:p>
        </w:tc>
        <w:tc>
          <w:tcPr>
            <w:tcW w:w="9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(3.2)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5,525</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5,775</w:t>
            </w:r>
          </w:p>
        </w:tc>
        <w:tc>
          <w:tcPr>
            <w:tcW w:w="1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(4.3)</w:t>
            </w:r>
          </w:p>
        </w:tc>
        <w:tc>
          <w:tcPr>
            <w:tcW w:w="9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line="223" w:lineRule="exact"/>
              <w:rPr>
                <w:sz w:val="20"/>
                <w:szCs w:val="20"/>
                <w:color w:val="auto"/>
              </w:rPr>
            </w:pPr>
            <w:r>
              <w:rPr>
                <w:rFonts w:ascii="Arial" w:cs="Arial" w:eastAsia="Arial" w:hAnsi="Arial"/>
                <w:sz w:val="17"/>
                <w:szCs w:val="17"/>
                <w:color w:val="auto"/>
              </w:rPr>
              <w:t>Direct product costs</w:t>
            </w:r>
            <w:r>
              <w:rPr>
                <w:rFonts w:ascii="Arial" w:cs="Arial" w:eastAsia="Arial" w:hAnsi="Arial"/>
                <w:sz w:val="22"/>
                <w:szCs w:val="22"/>
                <w:color w:val="auto"/>
                <w:vertAlign w:val="superscript"/>
              </w:rPr>
              <w:t>(c)</w:t>
            </w:r>
          </w:p>
        </w:tc>
        <w:tc>
          <w:tcPr>
            <w:tcW w:w="220" w:type="dxa"/>
            <w:vAlign w:val="bottom"/>
          </w:tcPr>
          <w:p>
            <w:pPr>
              <w:spacing w:after="0"/>
              <w:rPr>
                <w:sz w:val="19"/>
                <w:szCs w:val="19"/>
                <w:color w:val="auto"/>
              </w:rPr>
            </w:pPr>
          </w:p>
        </w:tc>
        <w:tc>
          <w:tcPr>
            <w:tcW w:w="740" w:type="dxa"/>
            <w:vAlign w:val="bottom"/>
          </w:tcPr>
          <w:p>
            <w:pPr>
              <w:jc w:val="right"/>
              <w:ind w:right="18"/>
              <w:spacing w:after="0"/>
              <w:rPr>
                <w:sz w:val="20"/>
                <w:szCs w:val="20"/>
                <w:color w:val="auto"/>
              </w:rPr>
            </w:pPr>
            <w:r>
              <w:rPr>
                <w:rFonts w:ascii="Arial" w:cs="Arial" w:eastAsia="Arial" w:hAnsi="Arial"/>
                <w:sz w:val="17"/>
                <w:szCs w:val="17"/>
                <w:color w:val="auto"/>
              </w:rPr>
              <w:t>1,554</w:t>
            </w:r>
          </w:p>
        </w:tc>
        <w:tc>
          <w:tcPr>
            <w:tcW w:w="300" w:type="dxa"/>
            <w:vAlign w:val="bottom"/>
          </w:tcPr>
          <w:p>
            <w:pPr>
              <w:spacing w:after="0"/>
              <w:rPr>
                <w:sz w:val="19"/>
                <w:szCs w:val="19"/>
                <w:color w:val="auto"/>
              </w:rPr>
            </w:pP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1,377</w:t>
            </w:r>
          </w:p>
        </w:tc>
        <w:tc>
          <w:tcPr>
            <w:tcW w:w="1000" w:type="dxa"/>
            <w:vAlign w:val="bottom"/>
          </w:tcPr>
          <w:p>
            <w:pPr>
              <w:ind w:left="340"/>
              <w:spacing w:after="0"/>
              <w:rPr>
                <w:sz w:val="20"/>
                <w:szCs w:val="20"/>
                <w:color w:val="auto"/>
              </w:rPr>
            </w:pPr>
            <w:r>
              <w:rPr>
                <w:rFonts w:ascii="Arial" w:cs="Arial" w:eastAsia="Arial" w:hAnsi="Arial"/>
                <w:sz w:val="17"/>
                <w:szCs w:val="17"/>
                <w:color w:val="auto"/>
              </w:rPr>
              <w:t>12.8</w:t>
            </w:r>
          </w:p>
        </w:tc>
        <w:tc>
          <w:tcPr>
            <w:tcW w:w="980" w:type="dxa"/>
            <w:vAlign w:val="bottom"/>
          </w:tcPr>
          <w:p>
            <w:pPr>
              <w:ind w:left="460"/>
              <w:spacing w:after="0"/>
              <w:rPr>
                <w:sz w:val="20"/>
                <w:szCs w:val="20"/>
                <w:color w:val="auto"/>
              </w:rPr>
            </w:pPr>
            <w:r>
              <w:rPr>
                <w:rFonts w:ascii="Arial" w:cs="Arial" w:eastAsia="Arial" w:hAnsi="Arial"/>
                <w:sz w:val="17"/>
                <w:szCs w:val="17"/>
                <w:color w:val="auto"/>
              </w:rPr>
              <w:t>9.9</w:t>
            </w:r>
          </w:p>
        </w:tc>
        <w:tc>
          <w:tcPr>
            <w:tcW w:w="26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4,362</w:t>
            </w:r>
          </w:p>
        </w:tc>
        <w:tc>
          <w:tcPr>
            <w:tcW w:w="300" w:type="dxa"/>
            <w:vAlign w:val="bottom"/>
          </w:tcPr>
          <w:p>
            <w:pPr>
              <w:spacing w:after="0"/>
              <w:rPr>
                <w:sz w:val="19"/>
                <w:szCs w:val="19"/>
                <w:color w:val="auto"/>
              </w:rPr>
            </w:pP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4,045</w:t>
            </w:r>
          </w:p>
        </w:tc>
        <w:tc>
          <w:tcPr>
            <w:tcW w:w="1000" w:type="dxa"/>
            <w:vAlign w:val="bottom"/>
          </w:tcPr>
          <w:p>
            <w:pPr>
              <w:ind w:left="440"/>
              <w:spacing w:after="0"/>
              <w:rPr>
                <w:sz w:val="20"/>
                <w:szCs w:val="20"/>
                <w:color w:val="auto"/>
              </w:rPr>
            </w:pPr>
            <w:r>
              <w:rPr>
                <w:rFonts w:ascii="Arial" w:cs="Arial" w:eastAsia="Arial" w:hAnsi="Arial"/>
                <w:sz w:val="17"/>
                <w:szCs w:val="17"/>
                <w:color w:val="auto"/>
              </w:rPr>
              <w:t>7.9</w:t>
            </w:r>
          </w:p>
        </w:tc>
        <w:tc>
          <w:tcPr>
            <w:tcW w:w="920" w:type="dxa"/>
            <w:vAlign w:val="bottom"/>
          </w:tcPr>
          <w:p>
            <w:pPr>
              <w:ind w:left="46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180"/>
              <w:spacing w:after="0" w:line="223" w:lineRule="exact"/>
              <w:rPr>
                <w:sz w:val="20"/>
                <w:szCs w:val="20"/>
                <w:color w:val="auto"/>
              </w:rPr>
            </w:pPr>
            <w:r>
              <w:rPr>
                <w:rFonts w:ascii="Arial" w:cs="Arial" w:eastAsia="Arial" w:hAnsi="Arial"/>
                <w:sz w:val="17"/>
                <w:szCs w:val="17"/>
                <w:color w:val="auto"/>
              </w:rPr>
              <w:t>Marketing and promotion</w:t>
            </w:r>
            <w:r>
              <w:rPr>
                <w:rFonts w:ascii="Arial" w:cs="Arial" w:eastAsia="Arial" w:hAnsi="Arial"/>
                <w:sz w:val="22"/>
                <w:szCs w:val="22"/>
                <w:color w:val="auto"/>
                <w:vertAlign w:val="superscript"/>
              </w:rPr>
              <w: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1,169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1,246</w:t>
            </w:r>
          </w:p>
        </w:tc>
        <w:tc>
          <w:tcPr>
            <w:tcW w:w="1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(6.2)</w:t>
            </w:r>
          </w:p>
        </w:tc>
        <w:tc>
          <w:tcPr>
            <w:tcW w:w="9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(7.4)</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3,585</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3,874</w:t>
            </w:r>
          </w:p>
        </w:tc>
        <w:tc>
          <w:tcPr>
            <w:tcW w:w="1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(7.5)</w:t>
            </w:r>
          </w:p>
        </w:tc>
        <w:tc>
          <w:tcPr>
            <w:tcW w:w="9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line="223" w:lineRule="exact"/>
              <w:rPr>
                <w:sz w:val="20"/>
                <w:szCs w:val="20"/>
                <w:color w:val="auto"/>
              </w:rPr>
            </w:pPr>
            <w:r>
              <w:rPr>
                <w:rFonts w:ascii="Arial" w:cs="Arial" w:eastAsia="Arial" w:hAnsi="Arial"/>
                <w:sz w:val="17"/>
                <w:szCs w:val="17"/>
                <w:color w:val="auto"/>
              </w:rPr>
              <w:t>Customer service</w:t>
            </w:r>
            <w:r>
              <w:rPr>
                <w:rFonts w:ascii="Arial" w:cs="Arial" w:eastAsia="Arial" w:hAnsi="Arial"/>
                <w:sz w:val="22"/>
                <w:szCs w:val="22"/>
                <w:color w:val="auto"/>
                <w:vertAlign w:val="superscript"/>
              </w:rPr>
              <w:t>(e)</w:t>
            </w:r>
          </w:p>
        </w:tc>
        <w:tc>
          <w:tcPr>
            <w:tcW w:w="220" w:type="dxa"/>
            <w:vAlign w:val="bottom"/>
          </w:tcPr>
          <w:p>
            <w:pPr>
              <w:spacing w:after="0"/>
              <w:rPr>
                <w:sz w:val="19"/>
                <w:szCs w:val="19"/>
                <w:color w:val="auto"/>
              </w:rPr>
            </w:pPr>
          </w:p>
        </w:tc>
        <w:tc>
          <w:tcPr>
            <w:tcW w:w="740" w:type="dxa"/>
            <w:vAlign w:val="bottom"/>
          </w:tcPr>
          <w:p>
            <w:pPr>
              <w:jc w:val="right"/>
              <w:ind w:right="18"/>
              <w:spacing w:after="0"/>
              <w:rPr>
                <w:sz w:val="20"/>
                <w:szCs w:val="20"/>
                <w:color w:val="auto"/>
              </w:rPr>
            </w:pPr>
            <w:r>
              <w:rPr>
                <w:rFonts w:ascii="Arial" w:cs="Arial" w:eastAsia="Arial" w:hAnsi="Arial"/>
                <w:sz w:val="17"/>
                <w:szCs w:val="17"/>
                <w:color w:val="auto"/>
              </w:rPr>
              <w:t>692</w:t>
            </w:r>
          </w:p>
        </w:tc>
        <w:tc>
          <w:tcPr>
            <w:tcW w:w="300" w:type="dxa"/>
            <w:vAlign w:val="bottom"/>
          </w:tcPr>
          <w:p>
            <w:pPr>
              <w:spacing w:after="0"/>
              <w:rPr>
                <w:sz w:val="19"/>
                <w:szCs w:val="19"/>
                <w:color w:val="auto"/>
              </w:rPr>
            </w:pP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712</w:t>
            </w:r>
          </w:p>
        </w:tc>
        <w:tc>
          <w:tcPr>
            <w:tcW w:w="1000" w:type="dxa"/>
            <w:vAlign w:val="bottom"/>
          </w:tcPr>
          <w:p>
            <w:pPr>
              <w:ind w:left="360"/>
              <w:spacing w:after="0"/>
              <w:rPr>
                <w:sz w:val="20"/>
                <w:szCs w:val="20"/>
                <w:color w:val="auto"/>
              </w:rPr>
            </w:pPr>
            <w:r>
              <w:rPr>
                <w:rFonts w:ascii="Arial" w:cs="Arial" w:eastAsia="Arial" w:hAnsi="Arial"/>
                <w:sz w:val="17"/>
                <w:szCs w:val="17"/>
                <w:color w:val="auto"/>
              </w:rPr>
              <w:t>(2.8)</w:t>
            </w:r>
          </w:p>
        </w:tc>
        <w:tc>
          <w:tcPr>
            <w:tcW w:w="980" w:type="dxa"/>
            <w:vAlign w:val="bottom"/>
          </w:tcPr>
          <w:p>
            <w:pPr>
              <w:ind w:left="400"/>
              <w:spacing w:after="0"/>
              <w:rPr>
                <w:sz w:val="20"/>
                <w:szCs w:val="20"/>
                <w:color w:val="auto"/>
              </w:rPr>
            </w:pPr>
            <w:r>
              <w:rPr>
                <w:rFonts w:ascii="Arial" w:cs="Arial" w:eastAsia="Arial" w:hAnsi="Arial"/>
                <w:sz w:val="17"/>
                <w:szCs w:val="17"/>
                <w:color w:val="auto"/>
              </w:rPr>
              <w:t>(3.8)</w:t>
            </w:r>
          </w:p>
        </w:tc>
        <w:tc>
          <w:tcPr>
            <w:tcW w:w="26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2,097</w:t>
            </w:r>
          </w:p>
        </w:tc>
        <w:tc>
          <w:tcPr>
            <w:tcW w:w="300" w:type="dxa"/>
            <w:vAlign w:val="bottom"/>
          </w:tcPr>
          <w:p>
            <w:pPr>
              <w:spacing w:after="0"/>
              <w:rPr>
                <w:sz w:val="19"/>
                <w:szCs w:val="19"/>
                <w:color w:val="auto"/>
              </w:rPr>
            </w:pP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2,168</w:t>
            </w:r>
          </w:p>
        </w:tc>
        <w:tc>
          <w:tcPr>
            <w:tcW w:w="1000" w:type="dxa"/>
            <w:vAlign w:val="bottom"/>
          </w:tcPr>
          <w:p>
            <w:pPr>
              <w:ind w:left="360"/>
              <w:spacing w:after="0"/>
              <w:rPr>
                <w:sz w:val="20"/>
                <w:szCs w:val="20"/>
                <w:color w:val="auto"/>
              </w:rPr>
            </w:pPr>
            <w:r>
              <w:rPr>
                <w:rFonts w:ascii="Arial" w:cs="Arial" w:eastAsia="Arial" w:hAnsi="Arial"/>
                <w:sz w:val="17"/>
                <w:szCs w:val="17"/>
                <w:color w:val="auto"/>
              </w:rPr>
              <w:t>(3.3)</w:t>
            </w:r>
          </w:p>
        </w:tc>
        <w:tc>
          <w:tcPr>
            <w:tcW w:w="920" w:type="dxa"/>
            <w:vAlign w:val="bottom"/>
          </w:tcPr>
          <w:p>
            <w:pPr>
              <w:ind w:left="40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shd w:val="clear" w:color="auto" w:fill="CCEEFF"/>
          </w:tcPr>
          <w:p>
            <w:pPr>
              <w:ind w:left="18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(f)</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2,308</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2,354</w:t>
            </w:r>
          </w:p>
        </w:tc>
        <w:tc>
          <w:tcPr>
            <w:tcW w:w="1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(2.0)</w:t>
            </w:r>
          </w:p>
        </w:tc>
        <w:tc>
          <w:tcPr>
            <w:tcW w:w="9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6,915</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7,182</w:t>
            </w:r>
          </w:p>
        </w:tc>
        <w:tc>
          <w:tcPr>
            <w:tcW w:w="1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(3.7)</w:t>
            </w:r>
          </w:p>
        </w:tc>
        <w:tc>
          <w:tcPr>
            <w:tcW w:w="9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71"/>
        </w:trPr>
        <w:tc>
          <w:tcPr>
            <w:tcW w:w="3080" w:type="dxa"/>
            <w:vAlign w:val="bottom"/>
          </w:tcPr>
          <w:p>
            <w:pPr>
              <w:ind w:left="20"/>
              <w:spacing w:after="0" w:line="172" w:lineRule="exact"/>
              <w:rPr>
                <w:sz w:val="20"/>
                <w:szCs w:val="20"/>
                <w:color w:val="auto"/>
              </w:rPr>
            </w:pPr>
            <w:r>
              <w:rPr>
                <w:rFonts w:ascii="Arial" w:cs="Arial" w:eastAsia="Arial" w:hAnsi="Arial"/>
                <w:sz w:val="17"/>
                <w:szCs w:val="17"/>
                <w:b w:val="1"/>
                <w:bCs w:val="1"/>
                <w:color w:val="auto"/>
              </w:rPr>
              <w:t>Total Connectivity &amp; Platforms costs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0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and expenses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12,050</w:t>
            </w:r>
          </w:p>
        </w:tc>
        <w:tc>
          <w:tcPr>
            <w:tcW w:w="3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12,065</w:t>
            </w: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(0.1)%</w:t>
            </w: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(1.4)%</w:t>
            </w:r>
          </w:p>
        </w:tc>
        <w:tc>
          <w:tcPr>
            <w:tcW w:w="2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36,122</w:t>
            </w:r>
          </w:p>
        </w:tc>
        <w:tc>
          <w:tcPr>
            <w:tcW w:w="3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37,072</w:t>
            </w: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(2.6)%</w:t>
            </w: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w w:val="99"/>
              </w:rPr>
              <w:t>(2.3)%</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240" w:hanging="235"/>
        <w:spacing w:after="0" w:line="266" w:lineRule="auto"/>
        <w:tabs>
          <w:tab w:leader="none" w:pos="238"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channels, including amortization of licensed content.</w:t>
      </w:r>
    </w:p>
    <w:p>
      <w:pPr>
        <w:spacing w:after="0" w:line="1" w:lineRule="exact"/>
        <w:rPr>
          <w:rFonts w:ascii="Arial" w:cs="Arial" w:eastAsia="Arial" w:hAnsi="Arial"/>
          <w:sz w:val="14"/>
          <w:szCs w:val="14"/>
          <w:color w:val="auto"/>
        </w:rPr>
      </w:pPr>
    </w:p>
    <w:p>
      <w:pPr>
        <w:ind w:left="240" w:hanging="235"/>
        <w:spacing w:after="0" w:line="273" w:lineRule="auto"/>
        <w:tabs>
          <w:tab w:leader="none" w:pos="2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Technical and support expenses primarily include costs for labor to complete service call and installation activities; and costs for network operations and satellite transmission, product development, fulfillment and provisioning.</w:t>
      </w:r>
    </w:p>
    <w:p>
      <w:pPr>
        <w:ind w:left="240" w:hanging="235"/>
        <w:spacing w:after="0" w:line="279" w:lineRule="auto"/>
        <w:tabs>
          <w:tab w:leader="none" w:pos="238"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Direct product costs primarily include access fees related to using wireless and broadband networks owned by third parties to deliver our services and costs of products sold, including wireless devices and Sky Glass smart televisions.</w:t>
      </w:r>
    </w:p>
    <w:p>
      <w:pPr>
        <w:spacing w:after="0" w:line="5" w:lineRule="exact"/>
        <w:rPr>
          <w:rFonts w:ascii="Arial" w:cs="Arial" w:eastAsia="Arial" w:hAnsi="Arial"/>
          <w:sz w:val="14"/>
          <w:szCs w:val="14"/>
          <w:color w:val="auto"/>
        </w:rPr>
      </w:pPr>
    </w:p>
    <w:p>
      <w:pPr>
        <w:ind w:left="240" w:hanging="235"/>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Marketing and promotion expenses include the costs associated with attracting new customers and promoting our service offerings.</w:t>
      </w:r>
    </w:p>
    <w:p>
      <w:pPr>
        <w:spacing w:after="0" w:line="35" w:lineRule="exact"/>
        <w:rPr>
          <w:rFonts w:ascii="Arial" w:cs="Arial" w:eastAsia="Arial" w:hAnsi="Arial"/>
          <w:sz w:val="14"/>
          <w:szCs w:val="14"/>
          <w:color w:val="auto"/>
        </w:rPr>
      </w:pPr>
    </w:p>
    <w:p>
      <w:pPr>
        <w:ind w:left="240" w:hanging="235"/>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Customer service expenses include the personnel and other costs associated with customer service and certain selling activities.</w:t>
      </w:r>
    </w:p>
    <w:p>
      <w:pPr>
        <w:spacing w:after="0" w:line="35" w:lineRule="exact"/>
        <w:rPr>
          <w:rFonts w:ascii="Arial" w:cs="Arial" w:eastAsia="Arial" w:hAnsi="Arial"/>
          <w:sz w:val="14"/>
          <w:szCs w:val="14"/>
          <w:color w:val="auto"/>
        </w:rPr>
      </w:pPr>
    </w:p>
    <w:p>
      <w:pPr>
        <w:ind w:left="240" w:hanging="235"/>
        <w:spacing w:after="0" w:line="279" w:lineRule="auto"/>
        <w:tabs>
          <w:tab w:leader="none" w:pos="235"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expenses primarily include administrative personnel costs; franchise and other regulatory fees; fees paid to third parties where we represent the advertising sales efforts; other business support costs, including building and office expenses, taxes and billing costs; and bad debt.</w:t>
      </w:r>
    </w:p>
    <w:p>
      <w:pPr>
        <w:spacing w:after="0" w:line="5" w:lineRule="exact"/>
        <w:rPr>
          <w:rFonts w:ascii="Arial" w:cs="Arial" w:eastAsia="Arial" w:hAnsi="Arial"/>
          <w:sz w:val="14"/>
          <w:szCs w:val="14"/>
          <w:color w:val="auto"/>
        </w:rPr>
      </w:pPr>
    </w:p>
    <w:p>
      <w:pPr>
        <w:ind w:left="240" w:hanging="235"/>
        <w:spacing w:after="0" w:line="279" w:lineRule="auto"/>
        <w:tabs>
          <w:tab w:leader="none" w:pos="2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28 for additional information, including our definition and our use of constant currency, and for a reconciliation of constant currency amounts.</w:t>
      </w:r>
    </w:p>
    <w:p>
      <w:pPr>
        <w:spacing w:after="0" w:line="1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Residential Connectivity &amp; Platforms Segment Results of Operations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color w:val="auto"/>
                <w:w w:val="89"/>
              </w:rPr>
              <w:t>Constant</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center"/>
              <w:ind w:right="17"/>
              <w:spacing w:after="0"/>
              <w:rPr>
                <w:sz w:val="20"/>
                <w:szCs w:val="20"/>
                <w:color w:val="auto"/>
              </w:rPr>
            </w:pPr>
            <w:r>
              <w:rPr>
                <w:rFonts w:ascii="Arial" w:cs="Arial" w:eastAsia="Arial" w:hAnsi="Arial"/>
                <w:sz w:val="14"/>
                <w:szCs w:val="14"/>
                <w:color w:val="auto"/>
                <w:w w:val="85"/>
              </w:rPr>
              <w:t>Constant</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3"/>
          </w:tcPr>
          <w:p>
            <w:pPr>
              <w:jc w:val="right"/>
              <w:ind w:right="414"/>
              <w:spacing w:after="0" w:line="144" w:lineRule="exact"/>
              <w:rPr>
                <w:sz w:val="20"/>
                <w:szCs w:val="20"/>
                <w:color w:val="auto"/>
              </w:rPr>
            </w:pPr>
            <w:r>
              <w:rPr>
                <w:rFonts w:ascii="Arial" w:cs="Arial" w:eastAsia="Arial" w:hAnsi="Arial"/>
                <w:sz w:val="14"/>
                <w:szCs w:val="14"/>
                <w:color w:val="auto"/>
              </w:rPr>
              <w:t>Three Months Ended</w:t>
            </w:r>
          </w:p>
        </w:tc>
        <w:tc>
          <w:tcPr>
            <w:tcW w:w="1000" w:type="dxa"/>
            <w:vAlign w:val="bottom"/>
            <w:vMerge w:val="restart"/>
          </w:tcPr>
          <w:p>
            <w:pPr>
              <w:jc w:val="right"/>
              <w:ind w:right="295"/>
              <w:spacing w:after="0"/>
              <w:rPr>
                <w:sz w:val="20"/>
                <w:szCs w:val="20"/>
                <w:color w:val="auto"/>
              </w:rPr>
            </w:pPr>
            <w:r>
              <w:rPr>
                <w:rFonts w:ascii="Arial" w:cs="Arial" w:eastAsia="Arial" w:hAnsi="Arial"/>
                <w:sz w:val="14"/>
                <w:szCs w:val="14"/>
                <w:color w:val="auto"/>
              </w:rPr>
              <w:t>Change</w:t>
            </w:r>
          </w:p>
        </w:tc>
        <w:tc>
          <w:tcPr>
            <w:tcW w:w="940" w:type="dxa"/>
            <w:vAlign w:val="bottom"/>
          </w:tcPr>
          <w:p>
            <w:pPr>
              <w:jc w:val="center"/>
              <w:ind w:right="57"/>
              <w:spacing w:after="0" w:line="144" w:lineRule="exact"/>
              <w:rPr>
                <w:sz w:val="20"/>
                <w:szCs w:val="20"/>
                <w:color w:val="auto"/>
              </w:rPr>
            </w:pPr>
            <w:r>
              <w:rPr>
                <w:rFonts w:ascii="Arial" w:cs="Arial" w:eastAsia="Arial" w:hAnsi="Arial"/>
                <w:sz w:val="14"/>
                <w:szCs w:val="14"/>
                <w:color w:val="auto"/>
                <w:w w:val="91"/>
              </w:rPr>
              <w:t>Currency</w:t>
            </w:r>
          </w:p>
        </w:tc>
        <w:tc>
          <w:tcPr>
            <w:tcW w:w="280" w:type="dxa"/>
            <w:vAlign w:val="bottom"/>
          </w:tcPr>
          <w:p>
            <w:pPr>
              <w:spacing w:after="0"/>
              <w:rPr>
                <w:sz w:val="12"/>
                <w:szCs w:val="12"/>
                <w:color w:val="auto"/>
              </w:rPr>
            </w:pPr>
          </w:p>
        </w:tc>
        <w:tc>
          <w:tcPr>
            <w:tcW w:w="1880" w:type="dxa"/>
            <w:vAlign w:val="bottom"/>
            <w:gridSpan w:val="3"/>
          </w:tcPr>
          <w:p>
            <w:pPr>
              <w:jc w:val="right"/>
              <w:ind w:right="454"/>
              <w:spacing w:after="0" w:line="144" w:lineRule="exact"/>
              <w:rPr>
                <w:sz w:val="20"/>
                <w:szCs w:val="20"/>
                <w:color w:val="auto"/>
              </w:rPr>
            </w:pPr>
            <w:r>
              <w:rPr>
                <w:rFonts w:ascii="Arial" w:cs="Arial" w:eastAsia="Arial" w:hAnsi="Arial"/>
                <w:sz w:val="14"/>
                <w:szCs w:val="14"/>
                <w:color w:val="auto"/>
              </w:rPr>
              <w:t>Nine Months Ended</w:t>
            </w:r>
          </w:p>
        </w:tc>
        <w:tc>
          <w:tcPr>
            <w:tcW w:w="1000" w:type="dxa"/>
            <w:vAlign w:val="bottom"/>
            <w:vMerge w:val="restart"/>
          </w:tcPr>
          <w:p>
            <w:pPr>
              <w:jc w:val="right"/>
              <w:ind w:right="315"/>
              <w:spacing w:after="0"/>
              <w:rPr>
                <w:sz w:val="20"/>
                <w:szCs w:val="20"/>
                <w:color w:val="auto"/>
              </w:rPr>
            </w:pPr>
            <w:r>
              <w:rPr>
                <w:rFonts w:ascii="Arial" w:cs="Arial" w:eastAsia="Arial" w:hAnsi="Arial"/>
                <w:sz w:val="14"/>
                <w:szCs w:val="14"/>
                <w:color w:val="auto"/>
              </w:rPr>
              <w:t>Change</w:t>
            </w:r>
          </w:p>
        </w:tc>
        <w:tc>
          <w:tcPr>
            <w:tcW w:w="900" w:type="dxa"/>
            <w:vAlign w:val="bottom"/>
          </w:tcPr>
          <w:p>
            <w:pPr>
              <w:jc w:val="center"/>
              <w:ind w:right="17"/>
              <w:spacing w:after="0" w:line="144" w:lineRule="exact"/>
              <w:rPr>
                <w:sz w:val="20"/>
                <w:szCs w:val="20"/>
                <w:color w:val="auto"/>
              </w:rPr>
            </w:pPr>
            <w:r>
              <w:rPr>
                <w:rFonts w:ascii="Arial" w:cs="Arial" w:eastAsia="Arial" w:hAnsi="Arial"/>
                <w:sz w:val="14"/>
                <w:szCs w:val="14"/>
                <w:color w:val="auto"/>
                <w:w w:val="91"/>
              </w:rPr>
              <w:t>Currency</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center"/>
              <w:ind w:right="77"/>
              <w:spacing w:after="0" w:line="196" w:lineRule="exact"/>
              <w:rPr>
                <w:sz w:val="20"/>
                <w:szCs w:val="20"/>
                <w:color w:val="auto"/>
              </w:rPr>
            </w:pPr>
            <w:r>
              <w:rPr>
                <w:rFonts w:ascii="Arial" w:cs="Arial" w:eastAsia="Arial" w:hAnsi="Arial"/>
                <w:sz w:val="14"/>
                <w:szCs w:val="14"/>
                <w:color w:val="auto"/>
                <w:w w:val="84"/>
              </w:rPr>
              <w:t>Change</w:t>
            </w:r>
            <w:r>
              <w:rPr>
                <w:rFonts w:ascii="Arial" w:cs="Arial" w:eastAsia="Arial" w:hAnsi="Arial"/>
                <w:sz w:val="18"/>
                <w:szCs w:val="18"/>
                <w:color w:val="auto"/>
                <w:w w:val="84"/>
                <w:vertAlign w:val="superscript"/>
              </w:rPr>
              <w:t>(a)</w:t>
            </w: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center"/>
              <w:ind w:right="17"/>
              <w:spacing w:after="0" w:line="196" w:lineRule="exact"/>
              <w:rPr>
                <w:sz w:val="20"/>
                <w:szCs w:val="20"/>
                <w:color w:val="auto"/>
              </w:rPr>
            </w:pPr>
            <w:r>
              <w:rPr>
                <w:rFonts w:ascii="Arial" w:cs="Arial" w:eastAsia="Arial" w:hAnsi="Arial"/>
                <w:sz w:val="14"/>
                <w:szCs w:val="14"/>
                <w:color w:val="auto"/>
                <w:w w:val="81"/>
              </w:rPr>
              <w:t>Change</w:t>
            </w:r>
            <w:r>
              <w:rPr>
                <w:rFonts w:ascii="Arial" w:cs="Arial" w:eastAsia="Arial" w:hAnsi="Arial"/>
                <w:sz w:val="18"/>
                <w:szCs w:val="18"/>
                <w:color w:val="auto"/>
                <w:w w:val="81"/>
                <w:vertAlign w:val="superscript"/>
              </w:rPr>
              <w:t>(a)</w:t>
            </w:r>
          </w:p>
        </w:tc>
        <w:tc>
          <w:tcPr>
            <w:tcW w:w="0" w:type="dxa"/>
            <w:vAlign w:val="bottom"/>
          </w:tcPr>
          <w:p>
            <w:pPr>
              <w:spacing w:after="0"/>
              <w:rPr>
                <w:sz w:val="1"/>
                <w:szCs w:val="1"/>
                <w:color w:val="auto"/>
              </w:rPr>
            </w:pPr>
          </w:p>
        </w:tc>
      </w:tr>
      <w:tr>
        <w:trPr>
          <w:trHeight w:val="183"/>
        </w:trPr>
        <w:tc>
          <w:tcPr>
            <w:tcW w:w="31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2023</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6"/>
              </w:rPr>
              <w:t>%</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2023</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240"/>
              <w:spacing w:after="0"/>
              <w:rPr>
                <w:sz w:val="20"/>
                <w:szCs w:val="20"/>
                <w:color w:val="auto"/>
              </w:rPr>
            </w:pPr>
            <w:r>
              <w:rPr>
                <w:rFonts w:ascii="Arial" w:cs="Arial" w:eastAsia="Arial" w:hAnsi="Arial"/>
                <w:sz w:val="17"/>
                <w:szCs w:val="17"/>
                <w:color w:val="auto"/>
              </w:rPr>
              <w:t>Domestic broadband</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6,366</w:t>
            </w:r>
          </w:p>
        </w:tc>
        <w:tc>
          <w:tcPr>
            <w:tcW w:w="2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94"/>
              <w:spacing w:after="0"/>
              <w:rPr>
                <w:sz w:val="20"/>
                <w:szCs w:val="20"/>
                <w:color w:val="auto"/>
              </w:rPr>
            </w:pPr>
            <w:r>
              <w:rPr>
                <w:rFonts w:ascii="Arial" w:cs="Arial" w:eastAsia="Arial" w:hAnsi="Arial"/>
                <w:sz w:val="17"/>
                <w:szCs w:val="17"/>
                <w:color w:val="auto"/>
              </w:rPr>
              <w:t>6,135</w:t>
            </w: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3.8 %</w:t>
            </w:r>
          </w:p>
        </w:tc>
        <w:tc>
          <w:tcPr>
            <w:tcW w:w="940" w:type="dxa"/>
            <w:vAlign w:val="bottom"/>
          </w:tcPr>
          <w:p>
            <w:pPr>
              <w:jc w:val="right"/>
              <w:spacing w:after="0"/>
              <w:rPr>
                <w:sz w:val="20"/>
                <w:szCs w:val="20"/>
                <w:color w:val="auto"/>
              </w:rPr>
            </w:pPr>
            <w:r>
              <w:rPr>
                <w:rFonts w:ascii="Arial" w:cs="Arial" w:eastAsia="Arial" w:hAnsi="Arial"/>
                <w:sz w:val="17"/>
                <w:szCs w:val="17"/>
                <w:color w:val="auto"/>
              </w:rPr>
              <w:t>3.8 %</w:t>
            </w:r>
          </w:p>
        </w:tc>
        <w:tc>
          <w:tcPr>
            <w:tcW w:w="2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19,086</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18,292</w:t>
            </w: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4.3 %</w:t>
            </w:r>
          </w:p>
        </w:tc>
        <w:tc>
          <w:tcPr>
            <w:tcW w:w="900" w:type="dxa"/>
            <w:vAlign w:val="bottom"/>
          </w:tcPr>
          <w:p>
            <w:pPr>
              <w:jc w:val="right"/>
              <w:spacing w:after="0"/>
              <w:rPr>
                <w:sz w:val="20"/>
                <w:szCs w:val="20"/>
                <w:color w:val="auto"/>
              </w:rPr>
            </w:pPr>
            <w:r>
              <w:rPr>
                <w:rFonts w:ascii="Arial" w:cs="Arial" w:eastAsia="Arial" w:hAnsi="Arial"/>
                <w:sz w:val="17"/>
                <w:szCs w:val="17"/>
                <w:color w:val="auto"/>
              </w:rPr>
              <w:t>4.3 %</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Domestic wireless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917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789</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16.2</w:t>
            </w:r>
          </w:p>
        </w:tc>
        <w:tc>
          <w:tcPr>
            <w:tcW w:w="9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16.2</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2,644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2,188</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20.9</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International connectivity</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1,109</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842</w:t>
            </w: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31.8</w:t>
            </w: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25.2</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3,009</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2,473</w:t>
            </w: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21.7</w:t>
            </w: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residential connectivity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8,393</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7,766</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8.1</w:t>
            </w:r>
          </w:p>
        </w:tc>
        <w:tc>
          <w:tcPr>
            <w:tcW w:w="9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7.5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24,739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22,953</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7.8</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Arial" w:cs="Arial" w:eastAsia="Arial" w:hAnsi="Arial"/>
                <w:sz w:val="17"/>
                <w:szCs w:val="17"/>
                <w:color w:val="auto"/>
              </w:rPr>
              <w:t>Video</w:t>
            </w:r>
          </w:p>
        </w:tc>
        <w:tc>
          <w:tcPr>
            <w:tcW w:w="20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7,154</w:t>
            </w:r>
          </w:p>
        </w:tc>
        <w:tc>
          <w:tcPr>
            <w:tcW w:w="280" w:type="dxa"/>
            <w:vAlign w:val="bottom"/>
          </w:tcPr>
          <w:p>
            <w:pPr>
              <w:spacing w:after="0"/>
              <w:rPr>
                <w:sz w:val="19"/>
                <w:szCs w:val="19"/>
                <w:color w:val="auto"/>
              </w:rPr>
            </w:pPr>
          </w:p>
        </w:tc>
        <w:tc>
          <w:tcPr>
            <w:tcW w:w="820" w:type="dxa"/>
            <w:vAlign w:val="bottom"/>
          </w:tcPr>
          <w:p>
            <w:pPr>
              <w:jc w:val="right"/>
              <w:ind w:right="94"/>
              <w:spacing w:after="0"/>
              <w:rPr>
                <w:sz w:val="20"/>
                <w:szCs w:val="20"/>
                <w:color w:val="auto"/>
              </w:rPr>
            </w:pPr>
            <w:r>
              <w:rPr>
                <w:rFonts w:ascii="Arial" w:cs="Arial" w:eastAsia="Arial" w:hAnsi="Arial"/>
                <w:sz w:val="17"/>
                <w:szCs w:val="17"/>
                <w:color w:val="auto"/>
              </w:rPr>
              <w:t>7,428</w:t>
            </w:r>
          </w:p>
        </w:tc>
        <w:tc>
          <w:tcPr>
            <w:tcW w:w="1000" w:type="dxa"/>
            <w:vAlign w:val="bottom"/>
          </w:tcPr>
          <w:p>
            <w:pPr>
              <w:jc w:val="right"/>
              <w:ind w:right="215"/>
              <w:spacing w:after="0"/>
              <w:rPr>
                <w:sz w:val="20"/>
                <w:szCs w:val="20"/>
                <w:color w:val="auto"/>
              </w:rPr>
            </w:pPr>
            <w:r>
              <w:rPr>
                <w:rFonts w:ascii="Arial" w:cs="Arial" w:eastAsia="Arial" w:hAnsi="Arial"/>
                <w:sz w:val="17"/>
                <w:szCs w:val="17"/>
                <w:color w:val="auto"/>
              </w:rPr>
              <w:t>(3.7)</w:t>
            </w:r>
          </w:p>
        </w:tc>
        <w:tc>
          <w:tcPr>
            <w:tcW w:w="940" w:type="dxa"/>
            <w:vAlign w:val="bottom"/>
          </w:tcPr>
          <w:p>
            <w:pPr>
              <w:jc w:val="right"/>
              <w:ind w:right="157"/>
              <w:spacing w:after="0"/>
              <w:rPr>
                <w:sz w:val="20"/>
                <w:szCs w:val="20"/>
                <w:color w:val="auto"/>
              </w:rPr>
            </w:pPr>
            <w:r>
              <w:rPr>
                <w:rFonts w:ascii="Arial" w:cs="Arial" w:eastAsia="Arial" w:hAnsi="Arial"/>
                <w:sz w:val="17"/>
                <w:szCs w:val="17"/>
                <w:color w:val="auto"/>
              </w:rPr>
              <w:t>(5.1)</w:t>
            </w:r>
          </w:p>
        </w:tc>
        <w:tc>
          <w:tcPr>
            <w:tcW w:w="280" w:type="dxa"/>
            <w:vAlign w:val="bottom"/>
          </w:tcPr>
          <w:p>
            <w:pPr>
              <w:spacing w:after="0"/>
              <w:rPr>
                <w:sz w:val="19"/>
                <w:szCs w:val="19"/>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21,895</w:t>
            </w:r>
          </w:p>
        </w:tc>
        <w:tc>
          <w:tcPr>
            <w:tcW w:w="300" w:type="dxa"/>
            <w:vAlign w:val="bottom"/>
          </w:tcPr>
          <w:p>
            <w:pPr>
              <w:spacing w:after="0"/>
              <w:rPr>
                <w:sz w:val="19"/>
                <w:szCs w:val="19"/>
                <w:color w:val="auto"/>
              </w:rPr>
            </w:pP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23,223</w:t>
            </w:r>
          </w:p>
        </w:tc>
        <w:tc>
          <w:tcPr>
            <w:tcW w:w="1000" w:type="dxa"/>
            <w:vAlign w:val="bottom"/>
          </w:tcPr>
          <w:p>
            <w:pPr>
              <w:jc w:val="right"/>
              <w:ind w:right="215"/>
              <w:spacing w:after="0"/>
              <w:rPr>
                <w:sz w:val="20"/>
                <w:szCs w:val="20"/>
                <w:color w:val="auto"/>
              </w:rPr>
            </w:pPr>
            <w:r>
              <w:rPr>
                <w:rFonts w:ascii="Arial" w:cs="Arial" w:eastAsia="Arial" w:hAnsi="Arial"/>
                <w:sz w:val="17"/>
                <w:szCs w:val="17"/>
                <w:color w:val="auto"/>
              </w:rPr>
              <w:t>(5.7)</w:t>
            </w: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Advertising</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960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1,079</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(11.0)</w:t>
            </w:r>
          </w:p>
        </w:tc>
        <w:tc>
          <w:tcPr>
            <w:tcW w:w="9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(12.4)</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2,860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3,263</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(12.4)</w:t>
            </w: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1,444</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1,561</w:t>
            </w: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(7.5)</w:t>
            </w: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(8.6)</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4,394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4,866</w:t>
            </w: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(9.7)</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17,951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17,833</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0.7</w:t>
            </w:r>
          </w:p>
        </w:tc>
        <w:tc>
          <w:tcPr>
            <w:tcW w:w="940" w:type="dxa"/>
            <w:vAlign w:val="bottom"/>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(0.4)</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53,888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54,305</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(0.8)</w:t>
            </w: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(0.5)</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Programming</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4,460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4,464</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(0.1)</w:t>
            </w:r>
          </w:p>
        </w:tc>
        <w:tc>
          <w:tcPr>
            <w:tcW w:w="9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(1.3)</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13,638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14,027</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(2.8)</w:t>
            </w: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6,605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6,674</w:t>
            </w: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(1.0)</w:t>
            </w: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(2.6)</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19,578</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20,239</w:t>
            </w: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(3.3)</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11,065</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11,138</w:t>
            </w:r>
          </w:p>
        </w:tc>
        <w:tc>
          <w:tcPr>
            <w:tcW w:w="10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(0.7)</w:t>
            </w:r>
          </w:p>
        </w:tc>
        <w:tc>
          <w:tcPr>
            <w:tcW w:w="9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(2.1)</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33,216</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34,266</w:t>
            </w:r>
          </w:p>
        </w:tc>
        <w:tc>
          <w:tcPr>
            <w:tcW w:w="10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(3.1)</w:t>
            </w:r>
          </w:p>
        </w:tc>
        <w:tc>
          <w:tcPr>
            <w:tcW w:w="9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6,886</w:t>
            </w:r>
          </w:p>
        </w:tc>
        <w:tc>
          <w:tcPr>
            <w:tcW w:w="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6,695</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2.9 %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2.4 %</w:t>
            </w:r>
          </w:p>
        </w:tc>
        <w:tc>
          <w:tcPr>
            <w:tcW w:w="2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20,672</w:t>
            </w:r>
          </w:p>
        </w:tc>
        <w:tc>
          <w:tcPr>
            <w:tcW w:w="3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20,039</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3.2 %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3.3 %</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40" w:hanging="235"/>
        <w:spacing w:after="0" w:line="279" w:lineRule="auto"/>
        <w:tabs>
          <w:tab w:leader="none" w:pos="238"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28 for additional information, including our definition and our use of constant currency, and for a reconciliation of constant currency amounts.</w:t>
      </w:r>
    </w:p>
    <w:p>
      <w:pPr>
        <w:sectPr>
          <w:pgSz w:w="11900" w:h="16838" w:orient="portrait"/>
          <w:cols w:equalWidth="0" w:num="1">
            <w:col w:w="11240"/>
          </w:cols>
          <w:pgMar w:left="320" w:top="17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144780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 Connectivity &amp; Platforms Segment – Revenue</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Domestic broadband revenue </w:t>
      </w:r>
      <w:r>
        <w:rPr>
          <w:rFonts w:ascii="Arial" w:cs="Arial" w:eastAsia="Arial" w:hAnsi="Arial"/>
          <w:sz w:val="17"/>
          <w:szCs w:val="17"/>
          <w:color w:val="auto"/>
        </w:rPr>
        <w:t>consists of revenue from sales of broadband services to residential customers in the United States, including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installation services. Domestic broadband revenue also includes revenue related to our customers’ use of Flex streaming devices and commission revenue related to sales of direct-to-consumer (“DTC”) streaming services.</w:t>
      </w:r>
    </w:p>
    <w:p>
      <w:pPr>
        <w:spacing w:after="0" w:line="1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Domestic broadband revenue increased for the three and nine months ended September 30, 2023 compared to the same periods in 2022 primarily due to increases in average rates.</w:t>
      </w:r>
    </w:p>
    <w:p>
      <w:pPr>
        <w:spacing w:after="0" w:line="4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 xml:space="preserve">Domestic wireless revenue </w:t>
      </w:r>
      <w:r>
        <w:rPr>
          <w:rFonts w:ascii="Arial" w:cs="Arial" w:eastAsia="Arial" w:hAnsi="Arial"/>
          <w:sz w:val="17"/>
          <w:szCs w:val="17"/>
          <w:color w:val="auto"/>
        </w:rPr>
        <w:t>consists of revenue from sales of wireless services and devices, including handsets, tablets and smart watches, to residential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in the United States.</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Domestic wireless revenue increased for the three and nine months ended September 30, 2023 compared to the same periods in 2022 primarily due to increases in the number of customer lines.</w:t>
      </w:r>
    </w:p>
    <w:p>
      <w:pPr>
        <w:spacing w:after="0" w:line="4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International connectivity revenue </w:t>
      </w:r>
      <w:r>
        <w:rPr>
          <w:rFonts w:ascii="Arial" w:cs="Arial" w:eastAsia="Arial" w:hAnsi="Arial"/>
          <w:sz w:val="17"/>
          <w:szCs w:val="17"/>
          <w:color w:val="auto"/>
        </w:rPr>
        <w:t>consists of revenue from sales of broadband services, including equipment and installation services, wireless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wireless devices to residential customers in the Connectivity &amp; Platforms markets in Europe, as well as commission revenue related to sales of third-party DTC streaming services.</w:t>
      </w:r>
    </w:p>
    <w:p>
      <w:pPr>
        <w:spacing w:after="0" w:line="1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International connectivity revenue increased for the three and nine months ended September 30, 2023 compared to the same periods in 2022 due to increases in broadband revenue and in wireless revenue resulting from increases in the sales of wireless devices and wireless services. The increase for the three months ended September 30, 2023 also includes the positive impact of foreign currency, and the increase for the nine months ended September 30, 2023 was partially offset by the negative impact of foreign currency.</w:t>
      </w:r>
    </w:p>
    <w:p>
      <w:pPr>
        <w:spacing w:after="0" w:line="6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Video revenue </w:t>
      </w:r>
      <w:r>
        <w:rPr>
          <w:rFonts w:ascii="Arial" w:cs="Arial" w:eastAsia="Arial" w:hAnsi="Arial"/>
          <w:sz w:val="17"/>
          <w:szCs w:val="17"/>
          <w:color w:val="auto"/>
        </w:rPr>
        <w:t>consists of revenue from sales of video services to residential and business customers across the Connectivity &amp; Platforms markets,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and installation services. Video revenue includes pay-per-view and other transactional revenue and franchise fees, as well as revenue from sales of certain hardware, including Sky Glass smart televisions.</w:t>
      </w:r>
    </w:p>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Video revenue decreased for the three and nine months ended September 30, 2023 compared to the same periods in 2022 due to declines in the number of video customers, partially offset by increases in average rates. The decrease for the three months ended September 30, 2023 was partially offset by the positive impact of foreign currency.</w:t>
      </w:r>
    </w:p>
    <w:p>
      <w:pPr>
        <w:spacing w:after="0" w:line="5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i w:val="1"/>
          <w:iCs w:val="1"/>
          <w:color w:val="auto"/>
        </w:rPr>
        <w:t xml:space="preserve">Advertising revenue </w:t>
      </w:r>
      <w:r>
        <w:rPr>
          <w:rFonts w:ascii="Arial" w:cs="Arial" w:eastAsia="Arial" w:hAnsi="Arial"/>
          <w:sz w:val="16"/>
          <w:szCs w:val="16"/>
          <w:color w:val="auto"/>
        </w:rPr>
        <w:t>includes revenue from the sale of advertising across our platforms in the Connectivity &amp; Platforms markets, including advertising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of our distribution agreements with linear television networks in the United States, and advertising on Sky-branded entertainment television channels and digital properties. Advertising also includes revenue where we represent the sales efforts of third parties and from our advanced advertising businesses.</w:t>
      </w:r>
    </w:p>
    <w:p>
      <w:pPr>
        <w:spacing w:after="0" w:line="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Advertising revenue decreased for the three months ended September 30, 2023 compared to the same period in 2022 primarily due to a decline in domestic political advertising.</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Advertising revenue decreased for the nine months ended September 30, 2023 compared to the same period in 2022 primarily due to a decline in domestic political advertising and overall market weakness compared to the prior year period.</w:t>
      </w:r>
    </w:p>
    <w:p>
      <w:pPr>
        <w:spacing w:after="0" w:line="4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i w:val="1"/>
          <w:iCs w:val="1"/>
          <w:color w:val="auto"/>
        </w:rPr>
        <w:t xml:space="preserve">Other revenue </w:t>
      </w:r>
      <w:r>
        <w:rPr>
          <w:rFonts w:ascii="Arial" w:cs="Arial" w:eastAsia="Arial" w:hAnsi="Arial"/>
          <w:sz w:val="16"/>
          <w:szCs w:val="16"/>
          <w:color w:val="auto"/>
        </w:rPr>
        <w:t>includes revenue in the Connectivity &amp; Platforms markets from sales of wireline voice services to residential customers; our residential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and automation services businesses; the licensing of our technology platforms to other multichannel video providers; the distribution of our Sky-branded entertainment television channels on third-party platforms; commissions from electronic retailing networks; and certain billing and collection fees.</w:t>
      </w:r>
    </w:p>
    <w:p>
      <w:pPr>
        <w:spacing w:after="0" w:line="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Other revenue decreased for the three and nine months ended September 30, 2023 compared to the same periods in 2022 primarily due to decreases in residential wireline voice revenue driven by declines in the number of customers.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 Connectivity &amp; Platforms Segment – Costs and Expenses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Programming expenses </w:t>
      </w:r>
      <w:r>
        <w:rPr>
          <w:rFonts w:ascii="Arial" w:cs="Arial" w:eastAsia="Arial" w:hAnsi="Arial"/>
          <w:sz w:val="17"/>
          <w:szCs w:val="17"/>
          <w:color w:val="auto"/>
        </w:rPr>
        <w:t>for the three months ended September 30, 2023 remained consistent compared to the same period in 2022 due to a decline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domestic video subscribers, offset by domestic contractual rate increases, an increase in programming expenses for international sports channels and the impact of foreign currency.</w:t>
      </w:r>
    </w:p>
    <w:p>
      <w:pPr>
        <w:spacing w:after="0" w:line="10" w:lineRule="exact"/>
        <w:rPr>
          <w:sz w:val="20"/>
          <w:szCs w:val="20"/>
          <w:color w:val="auto"/>
        </w:rPr>
      </w:pPr>
    </w:p>
    <w:p>
      <w:pPr>
        <w:jc w:val="both"/>
        <w:spacing w:after="0" w:line="359" w:lineRule="auto"/>
        <w:rPr>
          <w:sz w:val="20"/>
          <w:szCs w:val="20"/>
          <w:color w:val="auto"/>
        </w:rPr>
      </w:pPr>
      <w:r>
        <w:rPr>
          <w:rFonts w:ascii="Arial" w:cs="Arial" w:eastAsia="Arial" w:hAnsi="Arial"/>
          <w:sz w:val="15"/>
          <w:szCs w:val="15"/>
          <w:color w:val="auto"/>
        </w:rPr>
        <w:t>Programming expenses decreased for the nine months ended September 30, 2023 compared to the same period in 2022 primarily due to a decline in the number of domestic video subscribers, partially offset by domestic contractual rate increases and an increase in programming expenses for international sports channels.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Other expenses </w:t>
      </w:r>
      <w:r>
        <w:rPr>
          <w:rFonts w:ascii="Arial" w:cs="Arial" w:eastAsia="Arial" w:hAnsi="Arial"/>
          <w:sz w:val="17"/>
          <w:szCs w:val="17"/>
          <w:color w:val="auto"/>
        </w:rPr>
        <w:t>decreased for the three months ended September 30, 2023 compared to the same period in 2022 primarily due to decreased spending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and promotion, a decrease in fees paid to third-party channels relating to advertising sales, and lower technical and support costs. These decreases were partially offset by increased direct product costs associated with our wireless services from increases in device sales and the number of customers receiving our wireless services and our broadband services, and by the impact of foreign currency.</w:t>
      </w:r>
    </w:p>
    <w:p>
      <w:pPr>
        <w:spacing w:after="0" w:line="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Other expenses decreased for the nine months ended September 30, 2023 compared to the same period in 2022 primarily due to decreased spending on marketing and promotion, lower technical and support costs, a decrease in fees paid to third-party channels relating to advertising sales, lower customer service expenses and the impact of foreign currency. These decreases were partially offset by increased direct product costs associated with our wireless services from increases in device sales and the number of customers receiving our wireless services and our broadband services.</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Services Connectivity Segment Results of Operations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3"/>
          </w:tcPr>
          <w:p>
            <w:pPr>
              <w:jc w:val="right"/>
              <w:ind w:right="717"/>
              <w:spacing w:after="0"/>
              <w:rPr>
                <w:sz w:val="20"/>
                <w:szCs w:val="20"/>
                <w:color w:val="auto"/>
              </w:rPr>
            </w:pPr>
            <w:r>
              <w:rPr>
                <w:rFonts w:ascii="Arial" w:cs="Arial" w:eastAsia="Arial" w:hAnsi="Arial"/>
                <w:sz w:val="14"/>
                <w:szCs w:val="14"/>
                <w:color w:val="auto"/>
              </w:rPr>
              <w:t>Three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89"/>
              </w:rPr>
              <w:t>Change</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3"/>
          </w:tcPr>
          <w:p>
            <w:pPr>
              <w:jc w:val="right"/>
              <w:ind w:right="757"/>
              <w:spacing w:after="0"/>
              <w:rPr>
                <w:sz w:val="20"/>
                <w:szCs w:val="20"/>
                <w:color w:val="auto"/>
              </w:rPr>
            </w:pPr>
            <w:r>
              <w:rPr>
                <w:rFonts w:ascii="Arial" w:cs="Arial" w:eastAsia="Arial" w:hAnsi="Arial"/>
                <w:sz w:val="14"/>
                <w:szCs w:val="14"/>
                <w:color w:val="auto"/>
              </w:rPr>
              <w:t>Nine Months Ended</w:t>
            </w:r>
          </w:p>
        </w:tc>
        <w:tc>
          <w:tcPr>
            <w:tcW w:w="920" w:type="dxa"/>
            <w:vAlign w:val="bottom"/>
            <w:vMerge w:val="restart"/>
          </w:tcPr>
          <w:p>
            <w:pPr>
              <w:jc w:val="center"/>
              <w:ind w:left="20"/>
              <w:spacing w:after="0"/>
              <w:rPr>
                <w:sz w:val="20"/>
                <w:szCs w:val="20"/>
                <w:color w:val="auto"/>
              </w:rPr>
            </w:pPr>
            <w:r>
              <w:rPr>
                <w:rFonts w:ascii="Arial" w:cs="Arial" w:eastAsia="Arial" w:hAnsi="Arial"/>
                <w:sz w:val="14"/>
                <w:szCs w:val="14"/>
                <w:color w:val="auto"/>
                <w:w w:val="85"/>
              </w:rPr>
              <w:t>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2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w w:val="96"/>
              </w:rPr>
              <w:t>2022</w:t>
            </w: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w w:val="96"/>
              </w:rPr>
              <w:t>2022</w:t>
            </w: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2,320</w:t>
            </w:r>
          </w:p>
        </w:tc>
        <w:tc>
          <w:tcPr>
            <w:tcW w:w="4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2,215</w:t>
            </w:r>
          </w:p>
        </w:tc>
        <w:tc>
          <w:tcPr>
            <w:tcW w:w="9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4.7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6,894</w:t>
            </w:r>
          </w:p>
        </w:tc>
        <w:tc>
          <w:tcPr>
            <w:tcW w:w="4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6,589</w:t>
            </w:r>
          </w:p>
        </w:tc>
        <w:tc>
          <w:tcPr>
            <w:tcW w:w="9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985</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927</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6.3</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2,906</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2,805</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3.6</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1,335</w:t>
            </w:r>
          </w:p>
        </w:tc>
        <w:tc>
          <w:tcPr>
            <w:tcW w:w="4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1,288</w:t>
            </w:r>
          </w:p>
        </w:tc>
        <w:tc>
          <w:tcPr>
            <w:tcW w:w="118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7"/>
                <w:szCs w:val="17"/>
                <w:b w:val="1"/>
                <w:bCs w:val="1"/>
                <w:color w:val="auto"/>
              </w:rPr>
              <w:t>3.6 %</w:t>
            </w:r>
          </w:p>
        </w:tc>
        <w:tc>
          <w:tcPr>
            <w:tcW w:w="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3,988</w:t>
            </w:r>
          </w:p>
        </w:tc>
        <w:tc>
          <w:tcPr>
            <w:tcW w:w="4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3,784</w:t>
            </w:r>
          </w:p>
        </w:tc>
        <w:tc>
          <w:tcPr>
            <w:tcW w:w="112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7"/>
                <w:szCs w:val="17"/>
                <w:b w:val="1"/>
                <w:bCs w:val="1"/>
                <w:color w:val="auto"/>
              </w:rPr>
              <w:t>5.4 %</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 xml:space="preserve">Business services connectivity revenue </w:t>
      </w:r>
      <w:r>
        <w:rPr>
          <w:rFonts w:ascii="Arial" w:cs="Arial" w:eastAsia="Arial" w:hAnsi="Arial"/>
          <w:sz w:val="17"/>
          <w:szCs w:val="17"/>
          <w:color w:val="auto"/>
        </w:rPr>
        <w:t>primarily consists of revenue from our connectivity service offerings for small business locations, which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broadband, voice and wireless services, as well as our solutions for medium-sized customers and larger enterprises.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Business services connectivity revenue increased for the three and nine months ended September 30, 2023 compared to the same periods in 2022 primarily due to increases in revenue from small business customers driven by increases in average rates, and due to increases in revenue from medium-sized and enterprise customers.</w:t>
      </w:r>
    </w:p>
    <w:p>
      <w:pPr>
        <w:spacing w:after="0" w:line="5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 xml:space="preserve">Business services connectivity costs and expenses </w:t>
      </w:r>
      <w:r>
        <w:rPr>
          <w:rFonts w:ascii="Arial" w:cs="Arial" w:eastAsia="Arial" w:hAnsi="Arial"/>
          <w:sz w:val="17"/>
          <w:szCs w:val="17"/>
          <w:color w:val="auto"/>
        </w:rPr>
        <w:t>increased for the three months ended September 30, 2023 compared to the same period in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increases in direct product costs, technical and support expenses, and costs related to our sales force.</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Business services connectivity costs and expenses increased for the nine months ended September 30, 2023 compared to the same period in 2022 primarily due to increases in direct product costs, costs related to our sales force and technical and support expenses.</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Content &amp; Experiences Results of Operations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3"/>
          </w:tcPr>
          <w:p>
            <w:pPr>
              <w:jc w:val="right"/>
              <w:ind w:right="774"/>
              <w:spacing w:after="0"/>
              <w:rPr>
                <w:sz w:val="20"/>
                <w:szCs w:val="20"/>
                <w:color w:val="auto"/>
              </w:rPr>
            </w:pPr>
            <w:r>
              <w:rPr>
                <w:rFonts w:ascii="Arial" w:cs="Arial" w:eastAsia="Arial" w:hAnsi="Arial"/>
                <w:sz w:val="14"/>
                <w:szCs w:val="14"/>
                <w:color w:val="auto"/>
              </w:rPr>
              <w:t>Three Months Ended</w:t>
            </w:r>
          </w:p>
        </w:tc>
        <w:tc>
          <w:tcPr>
            <w:tcW w:w="960" w:type="dxa"/>
            <w:vAlign w:val="bottom"/>
            <w:vMerge w:val="restart"/>
          </w:tcPr>
          <w:p>
            <w:pPr>
              <w:jc w:val="right"/>
              <w:ind w:right="195"/>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gridSpan w:val="3"/>
          </w:tcPr>
          <w:p>
            <w:pPr>
              <w:jc w:val="right"/>
              <w:ind w:right="794"/>
              <w:spacing w:after="0"/>
              <w:rPr>
                <w:sz w:val="20"/>
                <w:szCs w:val="20"/>
                <w:color w:val="auto"/>
              </w:rPr>
            </w:pPr>
            <w:r>
              <w:rPr>
                <w:rFonts w:ascii="Arial" w:cs="Arial" w:eastAsia="Arial" w:hAnsi="Arial"/>
                <w:sz w:val="14"/>
                <w:szCs w:val="14"/>
                <w:color w:val="auto"/>
              </w:rPr>
              <w:t>Nine Months Ended</w:t>
            </w:r>
          </w:p>
        </w:tc>
        <w:tc>
          <w:tcPr>
            <w:tcW w:w="1160" w:type="dxa"/>
            <w:vAlign w:val="bottom"/>
            <w:vMerge w:val="restart"/>
          </w:tcPr>
          <w:p>
            <w:pPr>
              <w:jc w:val="right"/>
              <w:ind w:right="395"/>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w w:val="89"/>
              </w:rPr>
              <w:t>September 30,</w:t>
            </w:r>
          </w:p>
        </w:tc>
        <w:tc>
          <w:tcPr>
            <w:tcW w:w="10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89"/>
              </w:rPr>
              <w:t>2022</w:t>
            </w: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96"/>
              </w:rPr>
              <w:t>2022</w:t>
            </w: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7"/>
                <w:szCs w:val="17"/>
                <w:color w:val="auto"/>
              </w:rPr>
              <w:t>Media</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6,029</w:t>
            </w: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14"/>
              <w:spacing w:after="0"/>
              <w:rPr>
                <w:sz w:val="20"/>
                <w:szCs w:val="20"/>
                <w:color w:val="auto"/>
              </w:rPr>
            </w:pPr>
            <w:r>
              <w:rPr>
                <w:rFonts w:ascii="Arial" w:cs="Arial" w:eastAsia="Arial" w:hAnsi="Arial"/>
                <w:sz w:val="17"/>
                <w:szCs w:val="17"/>
                <w:color w:val="auto"/>
              </w:rPr>
              <w:t>6,005</w:t>
            </w:r>
          </w:p>
        </w:tc>
        <w:tc>
          <w:tcPr>
            <w:tcW w:w="960" w:type="dxa"/>
            <w:vAlign w:val="bottom"/>
          </w:tcPr>
          <w:p>
            <w:pPr>
              <w:jc w:val="right"/>
              <w:spacing w:after="0"/>
              <w:rPr>
                <w:sz w:val="20"/>
                <w:szCs w:val="20"/>
                <w:color w:val="auto"/>
              </w:rPr>
            </w:pPr>
            <w:r>
              <w:rPr>
                <w:rFonts w:ascii="Arial" w:cs="Arial" w:eastAsia="Arial" w:hAnsi="Arial"/>
                <w:sz w:val="17"/>
                <w:szCs w:val="17"/>
                <w:color w:val="auto"/>
              </w:rPr>
              <w:t>0.4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18,376</w:t>
            </w: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19,951</w:t>
            </w:r>
          </w:p>
        </w:tc>
        <w:tc>
          <w:tcPr>
            <w:tcW w:w="1160" w:type="dxa"/>
            <w:vAlign w:val="bottom"/>
          </w:tcPr>
          <w:p>
            <w:pPr>
              <w:jc w:val="right"/>
              <w:spacing w:after="0"/>
              <w:rPr>
                <w:sz w:val="20"/>
                <w:szCs w:val="20"/>
                <w:color w:val="auto"/>
              </w:rPr>
            </w:pPr>
            <w:r>
              <w:rPr>
                <w:rFonts w:ascii="Arial" w:cs="Arial" w:eastAsia="Arial" w:hAnsi="Arial"/>
                <w:sz w:val="17"/>
                <w:szCs w:val="17"/>
                <w:color w:val="auto"/>
              </w:rPr>
              <w:t>(7.9) %</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Studios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3,296</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8,561</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9,319</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7"/>
                <w:szCs w:val="17"/>
                <w:color w:val="auto"/>
              </w:rPr>
              <w:t>Theme Parks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2,418</w:t>
            </w:r>
          </w:p>
        </w:tc>
        <w:tc>
          <w:tcPr>
            <w:tcW w:w="460" w:type="dxa"/>
            <w:vAlign w:val="bottom"/>
          </w:tcPr>
          <w:p>
            <w:pPr>
              <w:spacing w:after="0"/>
              <w:rPr>
                <w:sz w:val="19"/>
                <w:szCs w:val="19"/>
                <w:color w:val="auto"/>
              </w:rPr>
            </w:pPr>
          </w:p>
        </w:tc>
        <w:tc>
          <w:tcPr>
            <w:tcW w:w="1000" w:type="dxa"/>
            <w:vAlign w:val="bottom"/>
          </w:tcPr>
          <w:p>
            <w:pPr>
              <w:jc w:val="right"/>
              <w:ind w:right="214"/>
              <w:spacing w:after="0"/>
              <w:rPr>
                <w:sz w:val="20"/>
                <w:szCs w:val="20"/>
                <w:color w:val="auto"/>
              </w:rPr>
            </w:pPr>
            <w:r>
              <w:rPr>
                <w:rFonts w:ascii="Arial" w:cs="Arial" w:eastAsia="Arial" w:hAnsi="Arial"/>
                <w:sz w:val="17"/>
                <w:szCs w:val="17"/>
                <w:color w:val="auto"/>
              </w:rPr>
              <w:t>2,064</w:t>
            </w:r>
          </w:p>
        </w:tc>
        <w:tc>
          <w:tcPr>
            <w:tcW w:w="960" w:type="dxa"/>
            <w:vAlign w:val="bottom"/>
          </w:tcPr>
          <w:p>
            <w:pPr>
              <w:jc w:val="right"/>
              <w:spacing w:after="0"/>
              <w:rPr>
                <w:sz w:val="20"/>
                <w:szCs w:val="20"/>
                <w:color w:val="auto"/>
              </w:rPr>
            </w:pPr>
            <w:r>
              <w:rPr>
                <w:rFonts w:ascii="Arial" w:cs="Arial" w:eastAsia="Arial" w:hAnsi="Arial"/>
                <w:sz w:val="17"/>
                <w:szCs w:val="17"/>
                <w:color w:val="auto"/>
              </w:rPr>
              <w:t>17.2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6,576</w:t>
            </w:r>
          </w:p>
        </w:tc>
        <w:tc>
          <w:tcPr>
            <w:tcW w:w="44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5,428</w:t>
            </w:r>
          </w:p>
        </w:tc>
        <w:tc>
          <w:tcPr>
            <w:tcW w:w="1160" w:type="dxa"/>
            <w:vAlign w:val="bottom"/>
          </w:tcPr>
          <w:p>
            <w:pPr>
              <w:jc w:val="right"/>
              <w:ind w:right="155"/>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Headquarters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22</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46</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Eliminations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w w:val="95"/>
              </w:rPr>
              <w:t>(419)</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(909)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(1,867)</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(2,474)</w:t>
            </w: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Content &amp; Experiences revenue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10,559</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10,477</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0.8 %</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31,690</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32,270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Media</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679</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2,847</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3,380</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 %</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7"/>
                <w:szCs w:val="17"/>
                <w:color w:val="auto"/>
              </w:rPr>
              <w:t>Studios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429</w:t>
            </w:r>
          </w:p>
        </w:tc>
        <w:tc>
          <w:tcPr>
            <w:tcW w:w="460" w:type="dxa"/>
            <w:vAlign w:val="bottom"/>
          </w:tcPr>
          <w:p>
            <w:pPr>
              <w:spacing w:after="0"/>
              <w:rPr>
                <w:sz w:val="19"/>
                <w:szCs w:val="19"/>
                <w:color w:val="auto"/>
              </w:rPr>
            </w:pPr>
          </w:p>
        </w:tc>
        <w:tc>
          <w:tcPr>
            <w:tcW w:w="1000" w:type="dxa"/>
            <w:vAlign w:val="bottom"/>
          </w:tcPr>
          <w:p>
            <w:pPr>
              <w:jc w:val="right"/>
              <w:ind w:right="214"/>
              <w:spacing w:after="0"/>
              <w:rPr>
                <w:sz w:val="20"/>
                <w:szCs w:val="20"/>
                <w:color w:val="auto"/>
              </w:rPr>
            </w:pPr>
            <w:r>
              <w:rPr>
                <w:rFonts w:ascii="Arial" w:cs="Arial" w:eastAsia="Arial" w:hAnsi="Arial"/>
                <w:sz w:val="17"/>
                <w:szCs w:val="17"/>
                <w:color w:val="auto"/>
              </w:rPr>
              <w:t>551</w:t>
            </w:r>
          </w:p>
        </w:tc>
        <w:tc>
          <w:tcPr>
            <w:tcW w:w="960" w:type="dxa"/>
            <w:vAlign w:val="bottom"/>
          </w:tcPr>
          <w:p>
            <w:pPr>
              <w:jc w:val="right"/>
              <w:spacing w:after="0"/>
              <w:rPr>
                <w:sz w:val="20"/>
                <w:szCs w:val="20"/>
                <w:color w:val="auto"/>
              </w:rPr>
            </w:pPr>
            <w:r>
              <w:rPr>
                <w:rFonts w:ascii="Arial" w:cs="Arial" w:eastAsia="Arial" w:hAnsi="Arial"/>
                <w:sz w:val="17"/>
                <w:szCs w:val="17"/>
                <w:color w:val="auto"/>
              </w:rPr>
              <w:t>(22.2)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961</w:t>
            </w:r>
          </w:p>
        </w:tc>
        <w:tc>
          <w:tcPr>
            <w:tcW w:w="44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793</w:t>
            </w:r>
          </w:p>
        </w:tc>
        <w:tc>
          <w:tcPr>
            <w:tcW w:w="1160" w:type="dxa"/>
            <w:vAlign w:val="bottom"/>
          </w:tcPr>
          <w:p>
            <w:pPr>
              <w:jc w:val="right"/>
              <w:ind w:right="155"/>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Theme Parks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819</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2,473</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1,902</w:t>
            </w: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7"/>
                <w:szCs w:val="17"/>
                <w:color w:val="auto"/>
              </w:rPr>
              <w:t>Headquarters and Other</w:t>
            </w:r>
          </w:p>
        </w:tc>
        <w:tc>
          <w:tcPr>
            <w:tcW w:w="280" w:type="dxa"/>
            <w:vAlign w:val="bottom"/>
          </w:tcPr>
          <w:p>
            <w:pPr>
              <w:spacing w:after="0"/>
              <w:rPr>
                <w:sz w:val="19"/>
                <w:szCs w:val="19"/>
                <w:color w:val="auto"/>
              </w:rPr>
            </w:pPr>
          </w:p>
        </w:tc>
        <w:tc>
          <w:tcPr>
            <w:tcW w:w="920" w:type="dxa"/>
            <w:vAlign w:val="bottom"/>
          </w:tcPr>
          <w:p>
            <w:pPr>
              <w:ind w:left="520"/>
              <w:spacing w:after="0"/>
              <w:rPr>
                <w:sz w:val="20"/>
                <w:szCs w:val="20"/>
                <w:color w:val="auto"/>
              </w:rPr>
            </w:pPr>
            <w:r>
              <w:rPr>
                <w:rFonts w:ascii="Arial" w:cs="Arial" w:eastAsia="Arial" w:hAnsi="Arial"/>
                <w:sz w:val="17"/>
                <w:szCs w:val="17"/>
                <w:color w:val="auto"/>
                <w:w w:val="95"/>
              </w:rPr>
              <w:t>(178)</w:t>
            </w:r>
          </w:p>
        </w:tc>
        <w:tc>
          <w:tcPr>
            <w:tcW w:w="460" w:type="dxa"/>
            <w:vAlign w:val="bottom"/>
          </w:tcPr>
          <w:p>
            <w:pPr>
              <w:spacing w:after="0"/>
              <w:rPr>
                <w:sz w:val="19"/>
                <w:szCs w:val="19"/>
                <w:color w:val="auto"/>
              </w:rPr>
            </w:pPr>
          </w:p>
        </w:tc>
        <w:tc>
          <w:tcPr>
            <w:tcW w:w="1000" w:type="dxa"/>
            <w:vAlign w:val="bottom"/>
          </w:tcPr>
          <w:p>
            <w:pPr>
              <w:jc w:val="right"/>
              <w:ind w:right="174"/>
              <w:spacing w:after="0"/>
              <w:rPr>
                <w:sz w:val="20"/>
                <w:szCs w:val="20"/>
                <w:color w:val="auto"/>
              </w:rPr>
            </w:pPr>
            <w:r>
              <w:rPr>
                <w:rFonts w:ascii="Arial" w:cs="Arial" w:eastAsia="Arial" w:hAnsi="Arial"/>
                <w:sz w:val="17"/>
                <w:szCs w:val="17"/>
                <w:color w:val="auto"/>
              </w:rPr>
              <w:t>(199)</w:t>
            </w:r>
          </w:p>
        </w:tc>
        <w:tc>
          <w:tcPr>
            <w:tcW w:w="960" w:type="dxa"/>
            <w:vAlign w:val="bottom"/>
          </w:tcPr>
          <w:p>
            <w:pPr>
              <w:jc w:val="right"/>
              <w:spacing w:after="0"/>
              <w:rPr>
                <w:sz w:val="20"/>
                <w:szCs w:val="20"/>
                <w:color w:val="auto"/>
              </w:rPr>
            </w:pPr>
            <w:r>
              <w:rPr>
                <w:rFonts w:ascii="Arial" w:cs="Arial" w:eastAsia="Arial" w:hAnsi="Arial"/>
                <w:sz w:val="17"/>
                <w:szCs w:val="17"/>
                <w:color w:val="auto"/>
              </w:rPr>
              <w:t>10.7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(610)</w:t>
            </w:r>
          </w:p>
        </w:tc>
        <w:tc>
          <w:tcPr>
            <w:tcW w:w="440" w:type="dxa"/>
            <w:vAlign w:val="bottom"/>
          </w:tcPr>
          <w:p>
            <w:pPr>
              <w:spacing w:after="0"/>
              <w:rPr>
                <w:sz w:val="19"/>
                <w:szCs w:val="19"/>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(528)</w:t>
            </w:r>
          </w:p>
        </w:tc>
        <w:tc>
          <w:tcPr>
            <w:tcW w:w="1160" w:type="dxa"/>
            <w:vAlign w:val="bottom"/>
          </w:tcPr>
          <w:p>
            <w:pPr>
              <w:jc w:val="right"/>
              <w:ind w:right="115"/>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(59)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(98)</w:t>
            </w:r>
          </w:p>
        </w:tc>
        <w:tc>
          <w:tcPr>
            <w:tcW w:w="11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64"/>
        </w:trPr>
        <w:tc>
          <w:tcPr>
            <w:tcW w:w="3440" w:type="dxa"/>
            <w:vAlign w:val="bottom"/>
          </w:tcPr>
          <w:p>
            <w:pPr>
              <w:spacing w:after="0" w:line="163" w:lineRule="exact"/>
              <w:rPr>
                <w:sz w:val="20"/>
                <w:szCs w:val="20"/>
                <w:color w:val="auto"/>
              </w:rPr>
            </w:pPr>
            <w:r>
              <w:rPr>
                <w:rFonts w:ascii="Arial" w:cs="Arial" w:eastAsia="Arial" w:hAnsi="Arial"/>
                <w:sz w:val="17"/>
                <w:szCs w:val="17"/>
                <w:b w:val="1"/>
                <w:bCs w:val="1"/>
                <w:color w:val="auto"/>
              </w:rPr>
              <w:t>Total Content &amp; Experiences Adjusted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44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EBITDA</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1,973</w:t>
            </w: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1,791</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10.2 %</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5,768</w:t>
            </w: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5,449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operate our Media segment as a combined television and streaming business. We expect that the number of subscribers and audience ratings at our linear networks will continue to decline as a result of the competitive environment and shifting video consumption patterns, which we aim to mitigate over time by continued growth in paid subscribers and advertising revenue at Peacock. We expect to continue to incur significant costs related to additional content and marketing at Peacock, with such costs increasing in 2023. Revenue and programming expenses are also impacted by the timing of certain sporting events, including the Olympics, Super Bowl and FIFA World Cup in 2022. Global economic conditions and consumer sentiment have in the past, and may continue to, adversely impact demand for our products and services and our results of operations.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Studios segment generates revenue primarily from third parties and from licensing content to our Media segment. While results of operations for our Studios segment are not impacted, results for our total Content &amp; Experiences business may be impacted as the Studios segment licenses content to the Media segment, including for Peacock, rather than licensing the content to third parties. The Writers Guild of America and the Screen Actors Guild - American Federation of Television and Radio Artists began work stoppages in May and July 2023, respectively (collectively the “work stoppages”). The Writers Guild of America work stoppage ended at the end of September 2023. The pause in production during the work stoppages has primarily resulted in reduced content licensing revenue and programming and production costs at our Studios segment, which will continue in the near term. The work stoppages will also result in reduced programming and production costs at our Media segment in the near term.</w:t>
      </w:r>
    </w:p>
    <w:p>
      <w:pPr>
        <w:spacing w:after="0" w:line="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continue to invest significantly in existing and new theme park attractions, hotels and infrastructure, including Epic Universe in Orlando, which we believe will have a positive impact on attendance and guest spending at our theme parks. Our results in prior periods were impacted by temporary restrictions and closures at our international theme parks due to COVID-19.</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Media Segment Results of Operations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754"/>
              <w:spacing w:after="0"/>
              <w:rPr>
                <w:sz w:val="20"/>
                <w:szCs w:val="20"/>
                <w:color w:val="auto"/>
              </w:rPr>
            </w:pPr>
            <w:r>
              <w:rPr>
                <w:rFonts w:ascii="Arial" w:cs="Arial" w:eastAsia="Arial" w:hAnsi="Arial"/>
                <w:sz w:val="14"/>
                <w:szCs w:val="14"/>
                <w:color w:val="auto"/>
              </w:rPr>
              <w:t>Three Months Ended</w:t>
            </w:r>
          </w:p>
        </w:tc>
        <w:tc>
          <w:tcPr>
            <w:tcW w:w="1220" w:type="dxa"/>
            <w:vAlign w:val="bottom"/>
            <w:vMerge w:val="restart"/>
          </w:tcPr>
          <w:p>
            <w:pPr>
              <w:jc w:val="center"/>
              <w:ind w:right="176"/>
              <w:spacing w:after="0"/>
              <w:rPr>
                <w:sz w:val="20"/>
                <w:szCs w:val="20"/>
                <w:color w:val="auto"/>
              </w:rPr>
            </w:pPr>
            <w:r>
              <w:rPr>
                <w:rFonts w:ascii="Arial" w:cs="Arial" w:eastAsia="Arial" w:hAnsi="Arial"/>
                <w:sz w:val="14"/>
                <w:szCs w:val="14"/>
                <w:color w:val="auto"/>
                <w:w w:val="89"/>
              </w:rPr>
              <w:t>Change</w:t>
            </w:r>
          </w:p>
        </w:tc>
        <w:tc>
          <w:tcPr>
            <w:tcW w:w="340" w:type="dxa"/>
            <w:vAlign w:val="bottom"/>
          </w:tcPr>
          <w:p>
            <w:pPr>
              <w:spacing w:after="0"/>
              <w:rPr>
                <w:sz w:val="14"/>
                <w:szCs w:val="14"/>
                <w:color w:val="auto"/>
              </w:rPr>
            </w:pPr>
          </w:p>
        </w:tc>
        <w:tc>
          <w:tcPr>
            <w:tcW w:w="2360" w:type="dxa"/>
            <w:vAlign w:val="bottom"/>
            <w:gridSpan w:val="3"/>
          </w:tcPr>
          <w:p>
            <w:pPr>
              <w:jc w:val="right"/>
              <w:ind w:right="774"/>
              <w:spacing w:after="0"/>
              <w:rPr>
                <w:sz w:val="20"/>
                <w:szCs w:val="20"/>
                <w:color w:val="auto"/>
              </w:rPr>
            </w:pPr>
            <w:r>
              <w:rPr>
                <w:rFonts w:ascii="Arial" w:cs="Arial" w:eastAsia="Arial" w:hAnsi="Arial"/>
                <w:sz w:val="14"/>
                <w:szCs w:val="14"/>
                <w:color w:val="auto"/>
              </w:rPr>
              <w:t>Nine Months Ended</w:t>
            </w:r>
          </w:p>
        </w:tc>
        <w:tc>
          <w:tcPr>
            <w:tcW w:w="1180" w:type="dxa"/>
            <w:vAlign w:val="bottom"/>
            <w:vMerge w:val="restart"/>
          </w:tcPr>
          <w:p>
            <w:pPr>
              <w:jc w:val="right"/>
              <w:ind w:right="396"/>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40" w:type="dxa"/>
            <w:vAlign w:val="bottom"/>
            <w:tcBorders>
              <w:bottom w:val="single" w:sz="8" w:color="auto"/>
            </w:tcBorders>
          </w:tcPr>
          <w:p>
            <w:pPr>
              <w:spacing w:after="0" w:line="160" w:lineRule="exact"/>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w w:val="89"/>
              </w:rPr>
              <w:t>2022</w:t>
            </w: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w w:val="96"/>
              </w:rPr>
              <w:t>2022</w:t>
            </w: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Pr>
          <w:p>
            <w:pPr>
              <w:ind w:left="120"/>
              <w:spacing w:after="0"/>
              <w:rPr>
                <w:sz w:val="20"/>
                <w:szCs w:val="20"/>
                <w:color w:val="auto"/>
              </w:rPr>
            </w:pPr>
            <w:r>
              <w:rPr>
                <w:rFonts w:ascii="Arial" w:cs="Arial" w:eastAsia="Arial" w:hAnsi="Arial"/>
                <w:sz w:val="17"/>
                <w:szCs w:val="17"/>
                <w:color w:val="auto"/>
              </w:rPr>
              <w:t>Domestic advertising</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1,913</w:t>
            </w:r>
          </w:p>
        </w:tc>
        <w:tc>
          <w:tcPr>
            <w:tcW w:w="48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2,089</w:t>
            </w:r>
          </w:p>
        </w:tc>
        <w:tc>
          <w:tcPr>
            <w:tcW w:w="1220" w:type="dxa"/>
            <w:vAlign w:val="bottom"/>
          </w:tcPr>
          <w:p>
            <w:pPr>
              <w:ind w:left="640"/>
              <w:spacing w:after="0"/>
              <w:rPr>
                <w:sz w:val="20"/>
                <w:szCs w:val="20"/>
                <w:color w:val="auto"/>
              </w:rPr>
            </w:pPr>
            <w:r>
              <w:rPr>
                <w:rFonts w:ascii="Arial" w:cs="Arial" w:eastAsia="Arial" w:hAnsi="Arial"/>
                <w:sz w:val="17"/>
                <w:szCs w:val="17"/>
                <w:color w:val="auto"/>
              </w:rPr>
              <w:t>(8.4) %</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5,965</w:t>
            </w:r>
          </w:p>
        </w:tc>
        <w:tc>
          <w:tcPr>
            <w:tcW w:w="46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7,530</w:t>
            </w:r>
          </w:p>
        </w:tc>
        <w:tc>
          <w:tcPr>
            <w:tcW w:w="1180" w:type="dxa"/>
            <w:vAlign w:val="bottom"/>
          </w:tcPr>
          <w:p>
            <w:pPr>
              <w:jc w:val="right"/>
              <w:spacing w:after="0"/>
              <w:rPr>
                <w:sz w:val="20"/>
                <w:szCs w:val="20"/>
                <w:color w:val="auto"/>
              </w:rPr>
            </w:pPr>
            <w:r>
              <w:rPr>
                <w:rFonts w:ascii="Arial" w:cs="Arial" w:eastAsia="Arial" w:hAnsi="Arial"/>
                <w:sz w:val="17"/>
                <w:szCs w:val="17"/>
                <w:color w:val="auto"/>
              </w:rPr>
              <w:t>(20.8) %</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Domestic distribution</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2,591</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2,497</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3.8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7,916</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7,993</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3440" w:type="dxa"/>
            <w:vAlign w:val="bottom"/>
          </w:tcPr>
          <w:p>
            <w:pPr>
              <w:ind w:left="120"/>
              <w:spacing w:after="0"/>
              <w:rPr>
                <w:sz w:val="20"/>
                <w:szCs w:val="20"/>
                <w:color w:val="auto"/>
              </w:rPr>
            </w:pPr>
            <w:r>
              <w:rPr>
                <w:rFonts w:ascii="Arial" w:cs="Arial" w:eastAsia="Arial" w:hAnsi="Arial"/>
                <w:sz w:val="17"/>
                <w:szCs w:val="17"/>
                <w:color w:val="auto"/>
              </w:rPr>
              <w:t>International networks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1,019</w:t>
            </w:r>
          </w:p>
        </w:tc>
        <w:tc>
          <w:tcPr>
            <w:tcW w:w="48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872</w:t>
            </w:r>
          </w:p>
        </w:tc>
        <w:tc>
          <w:tcPr>
            <w:tcW w:w="1220" w:type="dxa"/>
            <w:vAlign w:val="bottom"/>
          </w:tcPr>
          <w:p>
            <w:pPr>
              <w:jc w:val="right"/>
              <w:ind w:right="216"/>
              <w:spacing w:after="0"/>
              <w:rPr>
                <w:sz w:val="20"/>
                <w:szCs w:val="20"/>
                <w:color w:val="auto"/>
              </w:rPr>
            </w:pPr>
            <w:r>
              <w:rPr>
                <w:rFonts w:ascii="Arial" w:cs="Arial" w:eastAsia="Arial" w:hAnsi="Arial"/>
                <w:sz w:val="17"/>
                <w:szCs w:val="17"/>
                <w:color w:val="auto"/>
              </w:rPr>
              <w:t>16.9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3,062</w:t>
            </w:r>
          </w:p>
        </w:tc>
        <w:tc>
          <w:tcPr>
            <w:tcW w:w="46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2,837</w:t>
            </w: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547</w:t>
            </w:r>
          </w:p>
        </w:tc>
        <w:tc>
          <w:tcPr>
            <w:tcW w:w="12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(7.6)</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1,433</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1,591</w:t>
            </w: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6,029</w:t>
            </w:r>
          </w:p>
        </w:tc>
        <w:tc>
          <w:tcPr>
            <w:tcW w:w="480" w:type="dxa"/>
            <w:vAlign w:val="bottom"/>
          </w:tcPr>
          <w:p>
            <w:pPr>
              <w:spacing w:after="0"/>
              <w:rPr>
                <w:sz w:val="18"/>
                <w:szCs w:val="18"/>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b w:val="1"/>
                <w:bCs w:val="1"/>
                <w:color w:val="auto"/>
              </w:rPr>
              <w:t>6,005</w:t>
            </w:r>
          </w:p>
        </w:tc>
        <w:tc>
          <w:tcPr>
            <w:tcW w:w="1220" w:type="dxa"/>
            <w:vAlign w:val="bottom"/>
          </w:tcPr>
          <w:p>
            <w:pPr>
              <w:jc w:val="right"/>
              <w:ind w:right="216"/>
              <w:spacing w:after="0"/>
              <w:rPr>
                <w:sz w:val="20"/>
                <w:szCs w:val="20"/>
                <w:color w:val="auto"/>
              </w:rPr>
            </w:pPr>
            <w:r>
              <w:rPr>
                <w:rFonts w:ascii="Arial" w:cs="Arial" w:eastAsia="Arial" w:hAnsi="Arial"/>
                <w:sz w:val="17"/>
                <w:szCs w:val="17"/>
                <w:b w:val="1"/>
                <w:bCs w:val="1"/>
                <w:color w:val="auto"/>
              </w:rPr>
              <w:t>0.4</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18,376</w:t>
            </w:r>
          </w:p>
        </w:tc>
        <w:tc>
          <w:tcPr>
            <w:tcW w:w="460" w:type="dxa"/>
            <w:vAlign w:val="bottom"/>
          </w:tcPr>
          <w:p>
            <w:pPr>
              <w:spacing w:after="0"/>
              <w:rPr>
                <w:sz w:val="18"/>
                <w:szCs w:val="18"/>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b w:val="1"/>
                <w:bCs w:val="1"/>
                <w:color w:val="auto"/>
              </w:rPr>
              <w:t>19,951</w:t>
            </w:r>
          </w:p>
        </w:tc>
        <w:tc>
          <w:tcPr>
            <w:tcW w:w="1180" w:type="dxa"/>
            <w:vAlign w:val="bottom"/>
          </w:tcPr>
          <w:p>
            <w:pPr>
              <w:jc w:val="right"/>
              <w:ind w:right="116"/>
              <w:spacing w:after="0"/>
              <w:rPr>
                <w:sz w:val="20"/>
                <w:szCs w:val="20"/>
                <w:color w:val="auto"/>
              </w:rPr>
            </w:pPr>
            <w:r>
              <w:rPr>
                <w:rFonts w:ascii="Arial" w:cs="Arial" w:eastAsia="Arial" w:hAnsi="Arial"/>
                <w:sz w:val="17"/>
                <w:szCs w:val="17"/>
                <w:b w:val="1"/>
                <w:bCs w:val="1"/>
                <w:color w:val="auto"/>
              </w:rPr>
              <w:t>(7.9)</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Pr>
          <w:p>
            <w:pPr>
              <w:ind w:left="120"/>
              <w:spacing w:after="0"/>
              <w:rPr>
                <w:sz w:val="20"/>
                <w:szCs w:val="20"/>
                <w:color w:val="auto"/>
              </w:rPr>
            </w:pPr>
            <w:r>
              <w:rPr>
                <w:rFonts w:ascii="Arial" w:cs="Arial" w:eastAsia="Arial" w:hAnsi="Arial"/>
                <w:sz w:val="17"/>
                <w:szCs w:val="17"/>
                <w:color w:val="auto"/>
              </w:rPr>
              <w:t>Programming and production</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3,944</w:t>
            </w:r>
          </w:p>
        </w:tc>
        <w:tc>
          <w:tcPr>
            <w:tcW w:w="48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3,919</w:t>
            </w:r>
          </w:p>
        </w:tc>
        <w:tc>
          <w:tcPr>
            <w:tcW w:w="1220" w:type="dxa"/>
            <w:vAlign w:val="bottom"/>
          </w:tcPr>
          <w:p>
            <w:pPr>
              <w:jc w:val="right"/>
              <w:ind w:right="216"/>
              <w:spacing w:after="0"/>
              <w:rPr>
                <w:sz w:val="20"/>
                <w:szCs w:val="20"/>
                <w:color w:val="auto"/>
              </w:rPr>
            </w:pPr>
            <w:r>
              <w:rPr>
                <w:rFonts w:ascii="Arial" w:cs="Arial" w:eastAsia="Arial" w:hAnsi="Arial"/>
                <w:sz w:val="17"/>
                <w:szCs w:val="17"/>
                <w:color w:val="auto"/>
              </w:rPr>
              <w:t>0.6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11,567</w:t>
            </w:r>
          </w:p>
        </w:tc>
        <w:tc>
          <w:tcPr>
            <w:tcW w:w="46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12,546</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Marketing and promotion</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365</w:t>
            </w:r>
          </w:p>
        </w:tc>
        <w:tc>
          <w:tcPr>
            <w:tcW w:w="12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(9.9)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1,082</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1,042</w:t>
            </w:r>
          </w:p>
        </w:tc>
        <w:tc>
          <w:tcPr>
            <w:tcW w:w="122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(0.8)</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2,987</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2,943</w:t>
            </w: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costs and expenses</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5,326</w:t>
            </w:r>
          </w:p>
        </w:tc>
        <w:tc>
          <w:tcPr>
            <w:tcW w:w="12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(0.4)</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15,529</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16,571</w:t>
            </w: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723</w:t>
            </w:r>
          </w:p>
        </w:tc>
        <w:tc>
          <w:tcPr>
            <w:tcW w:w="48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679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6.5 %</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2,847</w:t>
            </w:r>
          </w:p>
        </w:tc>
        <w:tc>
          <w:tcPr>
            <w:tcW w:w="4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3,380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Revenue</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for the three months ended September 30, 2023 remained consistent compared to the same period in 2022 primarily due to increases in international networks revenue and domestic distribution revenue, offset by decreases in domestic advertising and other revenue.</w:t>
      </w:r>
    </w:p>
    <w:p>
      <w:pPr>
        <w:spacing w:after="0" w:line="5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Revenue decreased for the nine months ended September 30, 2023 compared to the same period in 2022 primarily due to our broadcasts of the Beijing Olympics and Super Bowl in the first quarter of 2022. Excluding incremental revenue associated with our broadcasts of these events, revenue for the nine months ended September 30, 2023 remained consistent compared to the same period in 2022 driven by declines in domestic advertising and other revenue, offset by increases in domestic distribution revenue and international networks revenue.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3"/>
          </w:tcPr>
          <w:p>
            <w:pPr>
              <w:jc w:val="right"/>
              <w:ind w:right="454"/>
              <w:spacing w:after="0"/>
              <w:rPr>
                <w:sz w:val="20"/>
                <w:szCs w:val="20"/>
                <w:color w:val="auto"/>
              </w:rPr>
            </w:pPr>
            <w:r>
              <w:rPr>
                <w:rFonts w:ascii="Arial" w:cs="Arial" w:eastAsia="Arial" w:hAnsi="Arial"/>
                <w:sz w:val="14"/>
                <w:szCs w:val="14"/>
                <w:color w:val="auto"/>
              </w:rPr>
              <w:t>Three Months Ended</w:t>
            </w:r>
          </w:p>
        </w:tc>
        <w:tc>
          <w:tcPr>
            <w:tcW w:w="1020" w:type="dxa"/>
            <w:vAlign w:val="bottom"/>
            <w:vMerge w:val="restart"/>
          </w:tcPr>
          <w:p>
            <w:pPr>
              <w:jc w:val="right"/>
              <w:ind w:right="296"/>
              <w:spacing w:after="0"/>
              <w:rPr>
                <w:sz w:val="20"/>
                <w:szCs w:val="20"/>
                <w:color w:val="auto"/>
              </w:rPr>
            </w:pPr>
            <w:r>
              <w:rPr>
                <w:rFonts w:ascii="Arial" w:cs="Arial" w:eastAsia="Arial" w:hAnsi="Arial"/>
                <w:sz w:val="14"/>
                <w:szCs w:val="14"/>
                <w:color w:val="auto"/>
              </w:rPr>
              <w:t>Change</w:t>
            </w:r>
          </w:p>
        </w:tc>
        <w:tc>
          <w:tcPr>
            <w:tcW w:w="300" w:type="dxa"/>
            <w:vAlign w:val="bottom"/>
          </w:tcPr>
          <w:p>
            <w:pPr>
              <w:spacing w:after="0"/>
              <w:rPr>
                <w:sz w:val="14"/>
                <w:szCs w:val="14"/>
                <w:color w:val="auto"/>
              </w:rPr>
            </w:pPr>
          </w:p>
        </w:tc>
        <w:tc>
          <w:tcPr>
            <w:tcW w:w="1880" w:type="dxa"/>
            <w:vAlign w:val="bottom"/>
            <w:gridSpan w:val="3"/>
          </w:tcPr>
          <w:p>
            <w:pPr>
              <w:jc w:val="right"/>
              <w:ind w:right="474"/>
              <w:spacing w:after="0"/>
              <w:rPr>
                <w:sz w:val="20"/>
                <w:szCs w:val="20"/>
                <w:color w:val="auto"/>
              </w:rPr>
            </w:pPr>
            <w:r>
              <w:rPr>
                <w:rFonts w:ascii="Arial" w:cs="Arial" w:eastAsia="Arial" w:hAnsi="Arial"/>
                <w:sz w:val="14"/>
                <w:szCs w:val="14"/>
                <w:color w:val="auto"/>
              </w:rPr>
              <w:t>Nine Months Ended</w:t>
            </w:r>
          </w:p>
        </w:tc>
        <w:tc>
          <w:tcPr>
            <w:tcW w:w="980" w:type="dxa"/>
            <w:vAlign w:val="bottom"/>
            <w:vMerge w:val="restart"/>
          </w:tcPr>
          <w:p>
            <w:pPr>
              <w:jc w:val="right"/>
              <w:ind w:right="256"/>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2"/>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2022</w:t>
            </w: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2022</w:t>
            </w: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6,029</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6,005</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30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18,376</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19,951</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Olympics and Super Bowl</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i w:val="1"/>
                <w:iCs w:val="1"/>
                <w:color w:val="auto"/>
              </w:rPr>
              <w:t>—</w:t>
            </w:r>
          </w:p>
        </w:tc>
        <w:tc>
          <w:tcPr>
            <w:tcW w:w="26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Arial" w:cs="Arial" w:eastAsia="Arial" w:hAnsi="Arial"/>
                <w:sz w:val="17"/>
                <w:szCs w:val="17"/>
                <w:b w:val="1"/>
                <w:bCs w:val="1"/>
                <w:i w:val="1"/>
                <w:iCs w:val="1"/>
                <w:color w:val="auto"/>
              </w:rPr>
              <w:t>—</w:t>
            </w:r>
          </w:p>
        </w:tc>
        <w:tc>
          <w:tcPr>
            <w:tcW w:w="1020" w:type="dxa"/>
            <w:vAlign w:val="bottom"/>
          </w:tcPr>
          <w:p>
            <w:pPr>
              <w:jc w:val="right"/>
              <w:ind w:right="196"/>
              <w:spacing w:after="0"/>
              <w:rPr>
                <w:sz w:val="20"/>
                <w:szCs w:val="20"/>
                <w:color w:val="auto"/>
              </w:rPr>
            </w:pPr>
            <w:r>
              <w:rPr>
                <w:rFonts w:ascii="Arial" w:cs="Arial" w:eastAsia="Arial" w:hAnsi="Arial"/>
                <w:sz w:val="17"/>
                <w:szCs w:val="17"/>
                <w:color w:val="auto"/>
              </w:rPr>
              <w:t>NM</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1,481</w:t>
            </w:r>
          </w:p>
        </w:tc>
        <w:tc>
          <w:tcPr>
            <w:tcW w:w="980" w:type="dxa"/>
            <w:vAlign w:val="bottom"/>
          </w:tcPr>
          <w:p>
            <w:pPr>
              <w:jc w:val="right"/>
              <w:ind w:right="136"/>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Total revenue, excluding Olympics and Super Bowl</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i w:val="1"/>
                <w:i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6,029</w:t>
            </w:r>
          </w:p>
        </w:tc>
        <w:tc>
          <w:tcPr>
            <w:tcW w:w="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i w:val="1"/>
                <w:iCs w:val="1"/>
                <w:color w:val="auto"/>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i w:val="1"/>
                <w:iCs w:val="1"/>
                <w:color w:val="auto"/>
              </w:rPr>
              <w:t>6,005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0.4 %</w:t>
            </w:r>
          </w:p>
        </w:tc>
        <w:tc>
          <w:tcPr>
            <w:tcW w:w="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i w:val="1"/>
                <w:i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18,376</w:t>
            </w:r>
          </w:p>
        </w:tc>
        <w:tc>
          <w:tcPr>
            <w:tcW w:w="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i w:val="1"/>
                <w:iCs w:val="1"/>
                <w:color w:val="auto"/>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i w:val="1"/>
                <w:iCs w:val="1"/>
                <w:color w:val="auto"/>
              </w:rPr>
              <w:t>18,470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(0.5)%</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7"/>
                <w:szCs w:val="17"/>
                <w:color w:val="auto"/>
              </w:rPr>
              <w:t>Total domestic advertising revenue</w:t>
            </w:r>
          </w:p>
        </w:tc>
        <w:tc>
          <w:tcPr>
            <w:tcW w:w="24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1,913</w:t>
            </w:r>
          </w:p>
        </w:tc>
        <w:tc>
          <w:tcPr>
            <w:tcW w:w="26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114"/>
              <w:spacing w:after="0"/>
              <w:rPr>
                <w:sz w:val="20"/>
                <w:szCs w:val="20"/>
                <w:color w:val="auto"/>
              </w:rPr>
            </w:pPr>
            <w:r>
              <w:rPr>
                <w:rFonts w:ascii="Arial" w:cs="Arial" w:eastAsia="Arial" w:hAnsi="Arial"/>
                <w:sz w:val="17"/>
                <w:szCs w:val="17"/>
                <w:b w:val="1"/>
                <w:bCs w:val="1"/>
                <w:color w:val="auto"/>
              </w:rPr>
              <w:t>2,089</w:t>
            </w:r>
          </w:p>
        </w:tc>
        <w:tc>
          <w:tcPr>
            <w:tcW w:w="1020" w:type="dxa"/>
            <w:vAlign w:val="bottom"/>
          </w:tcPr>
          <w:p>
            <w:pPr>
              <w:jc w:val="right"/>
              <w:spacing w:after="0"/>
              <w:rPr>
                <w:sz w:val="20"/>
                <w:szCs w:val="20"/>
                <w:color w:val="auto"/>
              </w:rPr>
            </w:pPr>
            <w:r>
              <w:rPr>
                <w:rFonts w:ascii="Arial" w:cs="Arial" w:eastAsia="Arial" w:hAnsi="Arial"/>
                <w:sz w:val="17"/>
                <w:szCs w:val="17"/>
                <w:color w:val="auto"/>
              </w:rPr>
              <w:t>(8.4)%</w:t>
            </w:r>
          </w:p>
        </w:tc>
        <w:tc>
          <w:tcPr>
            <w:tcW w:w="30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5,965</w:t>
            </w:r>
          </w:p>
        </w:tc>
        <w:tc>
          <w:tcPr>
            <w:tcW w:w="26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114"/>
              <w:spacing w:after="0"/>
              <w:rPr>
                <w:sz w:val="20"/>
                <w:szCs w:val="20"/>
                <w:color w:val="auto"/>
              </w:rPr>
            </w:pPr>
            <w:r>
              <w:rPr>
                <w:rFonts w:ascii="Arial" w:cs="Arial" w:eastAsia="Arial" w:hAnsi="Arial"/>
                <w:sz w:val="17"/>
                <w:szCs w:val="17"/>
                <w:b w:val="1"/>
                <w:bCs w:val="1"/>
                <w:color w:val="auto"/>
              </w:rPr>
              <w:t>7,530</w:t>
            </w:r>
          </w:p>
        </w:tc>
        <w:tc>
          <w:tcPr>
            <w:tcW w:w="980" w:type="dxa"/>
            <w:vAlign w:val="bottom"/>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Olympics and Super Bowl</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NM</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1,154</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w w:val="96"/>
              </w:rPr>
              <w:t>Domestic advertising revenue, excluding Olympics and Super Bowl</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i w:val="1"/>
                <w:i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1,913</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i w:val="1"/>
                <w:iCs w:val="1"/>
                <w:color w:val="auto"/>
              </w:rPr>
              <w:t>$</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i w:val="1"/>
                <w:iCs w:val="1"/>
                <w:color w:val="auto"/>
              </w:rPr>
              <w:t>2,089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(8.4)%</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i w:val="1"/>
                <w:i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5,965</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i w:val="1"/>
                <w:iCs w:val="1"/>
                <w:color w:val="auto"/>
              </w:rPr>
              <w:t>$</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i w:val="1"/>
                <w:iCs w:val="1"/>
                <w:color w:val="auto"/>
              </w:rPr>
              <w:t>6,376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(6.5)%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domestic distribution revenue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2,591</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2,497</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3.8 %</w:t>
            </w:r>
          </w:p>
        </w:tc>
        <w:tc>
          <w:tcPr>
            <w:tcW w:w="30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7,916</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7,993</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Olympics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i w:val="1"/>
                <w:iCs w:val="1"/>
                <w:color w:val="auto"/>
              </w:rPr>
              <w:t>—</w:t>
            </w:r>
          </w:p>
        </w:tc>
        <w:tc>
          <w:tcPr>
            <w:tcW w:w="26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Arial" w:cs="Arial" w:eastAsia="Arial" w:hAnsi="Arial"/>
                <w:sz w:val="17"/>
                <w:szCs w:val="17"/>
                <w:b w:val="1"/>
                <w:bCs w:val="1"/>
                <w:i w:val="1"/>
                <w:iCs w:val="1"/>
                <w:color w:val="auto"/>
              </w:rPr>
              <w:t>—</w:t>
            </w:r>
          </w:p>
        </w:tc>
        <w:tc>
          <w:tcPr>
            <w:tcW w:w="1020" w:type="dxa"/>
            <w:vAlign w:val="bottom"/>
          </w:tcPr>
          <w:p>
            <w:pPr>
              <w:jc w:val="right"/>
              <w:ind w:right="196"/>
              <w:spacing w:after="0"/>
              <w:rPr>
                <w:sz w:val="20"/>
                <w:szCs w:val="20"/>
                <w:color w:val="auto"/>
              </w:rPr>
            </w:pPr>
            <w:r>
              <w:rPr>
                <w:rFonts w:ascii="Arial" w:cs="Arial" w:eastAsia="Arial" w:hAnsi="Arial"/>
                <w:sz w:val="17"/>
                <w:szCs w:val="17"/>
                <w:color w:val="auto"/>
              </w:rPr>
              <w:t>NM</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327</w:t>
            </w:r>
          </w:p>
        </w:tc>
        <w:tc>
          <w:tcPr>
            <w:tcW w:w="980" w:type="dxa"/>
            <w:vAlign w:val="bottom"/>
          </w:tcPr>
          <w:p>
            <w:pPr>
              <w:jc w:val="right"/>
              <w:ind w:right="136"/>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Domestic distribution revenue, excluding Olympics</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i w:val="1"/>
                <w:i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2,591</w:t>
            </w:r>
          </w:p>
        </w:tc>
        <w:tc>
          <w:tcPr>
            <w:tcW w:w="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i w:val="1"/>
                <w:iCs w:val="1"/>
                <w:color w:val="auto"/>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i w:val="1"/>
                <w:iCs w:val="1"/>
                <w:color w:val="auto"/>
              </w:rPr>
              <w:t>2,497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3.8 %</w:t>
            </w:r>
          </w:p>
        </w:tc>
        <w:tc>
          <w:tcPr>
            <w:tcW w:w="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i w:val="1"/>
                <w:i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7,916</w:t>
            </w:r>
          </w:p>
        </w:tc>
        <w:tc>
          <w:tcPr>
            <w:tcW w:w="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i w:val="1"/>
                <w:iCs w:val="1"/>
                <w:color w:val="auto"/>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i w:val="1"/>
                <w:iCs w:val="1"/>
                <w:color w:val="auto"/>
              </w:rPr>
              <w:t>7,666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3.3 %</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 xml:space="preserve">Domestic advertising revenue </w:t>
      </w:r>
      <w:r>
        <w:rPr>
          <w:rFonts w:ascii="Arial" w:cs="Arial" w:eastAsia="Arial" w:hAnsi="Arial"/>
          <w:sz w:val="17"/>
          <w:szCs w:val="17"/>
          <w:color w:val="auto"/>
        </w:rPr>
        <w:t>consists of revenue generated from sales of advertising on our television networks, Peacock and other digital properties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predominantly in the United States.</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Domestic advertising revenue decreased for the three months ended September 30, 2023 compared to the same period in 2022 primarily due to a decrease in revenue at our networks, partially offset by an increase in revenue at Peacock.</w:t>
      </w:r>
    </w:p>
    <w:p>
      <w:pPr>
        <w:spacing w:after="0" w:line="5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Domestic advertising revenue decreased for the nine months ended September 30, 2023 compared to the same period in 2022 primarily due to our broadcasts of the Beijing Olympics and Super Bowl in the first quarter of 2022. Excluding the incremental revenue associated with our broadcasts of these events, domestic advertising revenue decreased for the nine months ended September 30, 2023 primarily due to a decrease in revenue at our networks, partially offset by an increase in revenue at Peacock.</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Domestic distribution revenue </w:t>
      </w:r>
      <w:r>
        <w:rPr>
          <w:rFonts w:ascii="Arial" w:cs="Arial" w:eastAsia="Arial" w:hAnsi="Arial"/>
          <w:sz w:val="17"/>
          <w:szCs w:val="17"/>
          <w:color w:val="auto"/>
        </w:rPr>
        <w:t>primarily includes revenue generated from the distribution of our television network programming for networks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predominantly in the United States to traditional and virtual multichannel video providers, and from NBC-affiliated and Telemundo-affiliated local broadcast stations. Our revenue from distribution agreements is generally based on the number of subscribers receiving the programming and the fees charged per subscriber. Distribution revenue also includes Peacock subscription fees.</w:t>
      </w:r>
    </w:p>
    <w:p>
      <w:pPr>
        <w:spacing w:after="0" w:line="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Domestic distribution revenue increased for the three months ended September 30, 2023 compared to the same period in 2022 primarily due to an increase in Peacock paid subscribers, partially offset by a decrease in revenue at our networks. The decrease at our networks was primarily due to a decline in the number of subscribers, partially offset by contractual rate increases.</w:t>
      </w:r>
    </w:p>
    <w:p>
      <w:pPr>
        <w:spacing w:after="0" w:line="66"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Domestic distribution revenue decreased for the nine months ended September 30, 2023 compared to the same period in 2022 and included our broadcast of the Beijing Olympics in the first quarter of 2022. Excluding the incremental revenue associated with our broadcast of the Beijing Olympics, domestic distribution revenue increased for the nine months ended September 30, 2023 primarily due to an increase in Peacock paid subscribers, partially offset by a decrease in revenue at our networks. The decrease at our networks was primarily due to a decline in the number of subscribers, partially offset by contractual rate increases.</w:t>
      </w:r>
    </w:p>
    <w:p>
      <w:pPr>
        <w:spacing w:after="0" w:line="3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International networks revenue </w:t>
      </w:r>
      <w:r>
        <w:rPr>
          <w:rFonts w:ascii="Arial" w:cs="Arial" w:eastAsia="Arial" w:hAnsi="Arial"/>
          <w:sz w:val="17"/>
          <w:szCs w:val="17"/>
          <w:color w:val="auto"/>
        </w:rPr>
        <w:t>consists of revenue generated by our networks operating predominantly outside the United States, including most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Sky Sports channels. This revenue primarily results from the distribution of network programming to multichannel video providers and other platforms, as well as sales of advertising. A significant portion of this revenue comes from the Residential Connectivity &amp; Platforms segment.</w:t>
      </w:r>
    </w:p>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International networks revenue increased for the three and nine months ended September 30, 2023 compared to the same periods in 2022 primarily due to increases in revenue associated with the distribution of sports channels. The increase for the three months ended September 30, 2023 was also due to the positive impact of foreign currency.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Other revenue </w:t>
      </w:r>
      <w:r>
        <w:rPr>
          <w:rFonts w:ascii="Arial" w:cs="Arial" w:eastAsia="Arial" w:hAnsi="Arial"/>
          <w:sz w:val="16"/>
          <w:szCs w:val="16"/>
          <w:color w:val="auto"/>
        </w:rPr>
        <w:t>consists primarily of revenue from the licensing of our owned content and technology, and revenue generated by various digital properties.</w:t>
      </w:r>
    </w:p>
    <w:p>
      <w:pPr>
        <w:spacing w:after="0" w:line="8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Other revenue decreased for the three and nine months ended September 30, 2023 compared to the same periods in 2022 primarily due to decreases in content licensing revenue, partially offset by increases in revenue from licensing our technology.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 * *</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Revenue included $830 million and $2.3 billion related to Peacock for the three and nine months ended September 30, 2023, respectively. Revenue included $506 million and $1.4 billion related to Peacock for the three and nine months ended September 30, 2022, respectively. We had 28 million and 16 million paid subscribers of Peacock as of September 30, 2023 and 2022, respectively. Peacock paid subscribers represent customers from which Peacock receives a subscription fee on a retail or wholesale basis. Paid subscribers do not include certain customers that receive Peacock as part of bundled services where Peacock does not receive fees.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Costs and Expenses</w:t>
      </w:r>
    </w:p>
    <w:p>
      <w:pPr>
        <w:spacing w:after="0" w:line="121" w:lineRule="exact"/>
        <w:rPr>
          <w:sz w:val="20"/>
          <w:szCs w:val="20"/>
          <w:color w:val="auto"/>
        </w:rPr>
      </w:pPr>
    </w:p>
    <w:p>
      <w:pPr>
        <w:jc w:val="both"/>
        <w:spacing w:after="0" w:line="313" w:lineRule="auto"/>
        <w:rPr>
          <w:sz w:val="20"/>
          <w:szCs w:val="20"/>
          <w:color w:val="auto"/>
        </w:rPr>
      </w:pPr>
      <w:r>
        <w:rPr>
          <w:rFonts w:ascii="Arial" w:cs="Arial" w:eastAsia="Arial" w:hAnsi="Arial"/>
          <w:sz w:val="16"/>
          <w:szCs w:val="16"/>
          <w:b w:val="1"/>
          <w:bCs w:val="1"/>
          <w:i w:val="1"/>
          <w:iCs w:val="1"/>
          <w:color w:val="auto"/>
        </w:rPr>
        <w:t xml:space="preserve">Programming and production costs </w:t>
      </w:r>
      <w:r>
        <w:rPr>
          <w:rFonts w:ascii="Arial" w:cs="Arial" w:eastAsia="Arial" w:hAnsi="Arial"/>
          <w:sz w:val="16"/>
          <w:szCs w:val="16"/>
          <w:color w:val="auto"/>
        </w:rPr>
        <w:t>include the amortization of owned and licensed content, including sports rights, direct production costs,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overhead, on-air talent costs and costs associated with the distribution of our programming to third-party networks and other distribution platforms.</w:t>
      </w:r>
    </w:p>
    <w:p>
      <w:pPr>
        <w:jc w:val="both"/>
        <w:spacing w:after="0" w:line="359" w:lineRule="auto"/>
        <w:rPr>
          <w:sz w:val="20"/>
          <w:szCs w:val="20"/>
          <w:color w:val="auto"/>
        </w:rPr>
      </w:pPr>
      <w:r>
        <w:rPr>
          <w:rFonts w:ascii="Arial" w:cs="Arial" w:eastAsia="Arial" w:hAnsi="Arial"/>
          <w:sz w:val="15"/>
          <w:szCs w:val="15"/>
          <w:color w:val="auto"/>
        </w:rPr>
        <w:t>Programming and production costs for the three months ended September 30, 2023 remained consistent compared to the same period in 2022 primarily due to higher programming costs at Peacock and increased sports programming costs, offset by a decrease in content costs for our entertainment television networks.</w:t>
      </w:r>
    </w:p>
    <w:p>
      <w:pPr>
        <w:spacing w:after="0" w:line="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Programming and production costs decreased for the nine months ended September 30, 2023 compared to the same period in 2022 primarily due to costs associated with our broadcast of the Beijing Olympics and Super Bowl in the prior year period and a decrease in content costs for our entertainment television networks, partially offset by higher programming costs at Peacock and an increase in sports programming costs. The increase in sports programming costs includes the impact of the timing of recognition of costs related to the 2022 FIFA World Cup, which resulted in a shift of certain European football matches and the related programming expense from the fourth quarter of 2022 primarily into the first half of 2023.</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Marketing and promotion expenses </w:t>
      </w:r>
      <w:r>
        <w:rPr>
          <w:rFonts w:ascii="Arial" w:cs="Arial" w:eastAsia="Arial" w:hAnsi="Arial"/>
          <w:sz w:val="17"/>
          <w:szCs w:val="17"/>
          <w:color w:val="auto"/>
        </w:rPr>
        <w:t>consist primarily of the costs associated with promoting our networks, Peacock and other digital properties.</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Marketing and promotion expenses decreased for the three and nine months ended September 30, 2023 compared to the same periods in 2022 primarily due to lower costs related to marketing for entertainment programming. The decrease for the nine months ended September 30, 2023 was partially offset by increased marketing spend at Peacock.</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Other expenses </w:t>
      </w:r>
      <w:r>
        <w:rPr>
          <w:rFonts w:ascii="Arial" w:cs="Arial" w:eastAsia="Arial" w:hAnsi="Arial"/>
          <w:sz w:val="17"/>
          <w:szCs w:val="17"/>
          <w:color w:val="auto"/>
        </w:rPr>
        <w:t>include salaries, employee benefits, rent and other overhead expenses.</w:t>
      </w:r>
    </w:p>
    <w:p>
      <w:pPr>
        <w:spacing w:after="0" w:line="75"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Other expenses for the three months ended September 30, 2023 remained consistent compared with the same period in 2022. Other expenses increased for the nine months ended September 30, 2023 compared to the same period in 2022 primarily due to an increase in costs related to Peacock.</w:t>
      </w:r>
    </w:p>
    <w:p>
      <w:pPr>
        <w:spacing w:after="0" w:line="30"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 * *</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Costs and expenses included $1.4 billion and $4.3 billion related to Peacock for the three and nine months ended September 30, 2023 respectively. Costs and expenses included $1.1 billion and $3.0 billion related to Peacock for the three and nine months ended September 30, 2022,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Studios Segment Results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3"/>
          </w:tcPr>
          <w:p>
            <w:pPr>
              <w:jc w:val="right"/>
              <w:ind w:right="734"/>
              <w:spacing w:after="0"/>
              <w:rPr>
                <w:sz w:val="20"/>
                <w:szCs w:val="20"/>
                <w:color w:val="auto"/>
              </w:rPr>
            </w:pPr>
            <w:r>
              <w:rPr>
                <w:rFonts w:ascii="Arial" w:cs="Arial" w:eastAsia="Arial" w:hAnsi="Arial"/>
                <w:sz w:val="14"/>
                <w:szCs w:val="14"/>
                <w:color w:val="auto"/>
              </w:rPr>
              <w:t>Three Months Ended</w:t>
            </w:r>
          </w:p>
        </w:tc>
        <w:tc>
          <w:tcPr>
            <w:tcW w:w="1220" w:type="dxa"/>
            <w:vAlign w:val="bottom"/>
            <w:vMerge w:val="restart"/>
          </w:tcPr>
          <w:p>
            <w:pPr>
              <w:jc w:val="right"/>
              <w:ind w:right="436"/>
              <w:spacing w:after="0"/>
              <w:rPr>
                <w:sz w:val="20"/>
                <w:szCs w:val="20"/>
                <w:color w:val="auto"/>
              </w:rPr>
            </w:pPr>
            <w:r>
              <w:rPr>
                <w:rFonts w:ascii="Arial" w:cs="Arial" w:eastAsia="Arial" w:hAnsi="Arial"/>
                <w:sz w:val="14"/>
                <w:szCs w:val="14"/>
                <w:color w:val="auto"/>
              </w:rPr>
              <w:t>Change</w:t>
            </w:r>
          </w:p>
        </w:tc>
        <w:tc>
          <w:tcPr>
            <w:tcW w:w="340" w:type="dxa"/>
            <w:vAlign w:val="bottom"/>
          </w:tcPr>
          <w:p>
            <w:pPr>
              <w:spacing w:after="0"/>
              <w:rPr>
                <w:sz w:val="14"/>
                <w:szCs w:val="14"/>
                <w:color w:val="auto"/>
              </w:rPr>
            </w:pPr>
          </w:p>
        </w:tc>
        <w:tc>
          <w:tcPr>
            <w:tcW w:w="2360" w:type="dxa"/>
            <w:vAlign w:val="bottom"/>
            <w:gridSpan w:val="3"/>
          </w:tcPr>
          <w:p>
            <w:pPr>
              <w:jc w:val="right"/>
              <w:ind w:right="774"/>
              <w:spacing w:after="0"/>
              <w:rPr>
                <w:sz w:val="20"/>
                <w:szCs w:val="20"/>
                <w:color w:val="auto"/>
              </w:rPr>
            </w:pPr>
            <w:r>
              <w:rPr>
                <w:rFonts w:ascii="Arial" w:cs="Arial" w:eastAsia="Arial" w:hAnsi="Arial"/>
                <w:sz w:val="14"/>
                <w:szCs w:val="14"/>
                <w:color w:val="auto"/>
              </w:rPr>
              <w:t>Nine Months Ended</w:t>
            </w:r>
          </w:p>
        </w:tc>
        <w:tc>
          <w:tcPr>
            <w:tcW w:w="1180" w:type="dxa"/>
            <w:vAlign w:val="bottom"/>
            <w:vMerge w:val="restart"/>
          </w:tcPr>
          <w:p>
            <w:pPr>
              <w:jc w:val="right"/>
              <w:ind w:right="396"/>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2"/>
        </w:trPr>
        <w:tc>
          <w:tcPr>
            <w:tcW w:w="3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8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w w:val="89"/>
              </w:rPr>
              <w:t>2022</w:t>
            </w: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w w:val="89"/>
              </w:rPr>
              <w:t>2022</w:t>
            </w: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20"/>
              <w:spacing w:after="0"/>
              <w:rPr>
                <w:sz w:val="20"/>
                <w:szCs w:val="20"/>
                <w:color w:val="auto"/>
              </w:rPr>
            </w:pPr>
            <w:r>
              <w:rPr>
                <w:rFonts w:ascii="Arial" w:cs="Arial" w:eastAsia="Arial" w:hAnsi="Arial"/>
                <w:sz w:val="17"/>
                <w:szCs w:val="17"/>
                <w:color w:val="auto"/>
              </w:rPr>
              <w:t>Content licensing</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1,691</w:t>
            </w: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2,267</w:t>
            </w:r>
          </w:p>
        </w:tc>
        <w:tc>
          <w:tcPr>
            <w:tcW w:w="1220" w:type="dxa"/>
            <w:vAlign w:val="bottom"/>
          </w:tcPr>
          <w:p>
            <w:pPr>
              <w:jc w:val="right"/>
              <w:spacing w:after="0"/>
              <w:rPr>
                <w:sz w:val="20"/>
                <w:szCs w:val="20"/>
                <w:color w:val="auto"/>
              </w:rPr>
            </w:pPr>
            <w:r>
              <w:rPr>
                <w:rFonts w:ascii="Arial" w:cs="Arial" w:eastAsia="Arial" w:hAnsi="Arial"/>
                <w:sz w:val="17"/>
                <w:szCs w:val="17"/>
                <w:color w:val="auto"/>
              </w:rPr>
              <w:t>(25.4) %</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5,856</w:t>
            </w: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6,965</w:t>
            </w:r>
          </w:p>
        </w:tc>
        <w:tc>
          <w:tcPr>
            <w:tcW w:w="1180" w:type="dxa"/>
            <w:vAlign w:val="bottom"/>
          </w:tcPr>
          <w:p>
            <w:pPr>
              <w:jc w:val="right"/>
              <w:spacing w:after="0"/>
              <w:rPr>
                <w:sz w:val="20"/>
                <w:szCs w:val="20"/>
                <w:color w:val="auto"/>
              </w:rPr>
            </w:pPr>
            <w:r>
              <w:rPr>
                <w:rFonts w:ascii="Arial" w:cs="Arial" w:eastAsia="Arial" w:hAnsi="Arial"/>
                <w:sz w:val="17"/>
                <w:szCs w:val="17"/>
                <w:color w:val="auto"/>
              </w:rPr>
              <w:t>(15.9) %</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Theatrical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673</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(25.1)</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1,391</w:t>
            </w: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22"/>
        </w:trPr>
        <w:tc>
          <w:tcPr>
            <w:tcW w:w="34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356</w:t>
            </w: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(9.0)</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963</w:t>
            </w: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2,518</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3,296</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(23.6)</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8,561</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9,319</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(8.1)</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Programming and production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2,149</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(27.0)</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6,663</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22"/>
        </w:trPr>
        <w:tc>
          <w:tcPr>
            <w:tcW w:w="3480" w:type="dxa"/>
            <w:vAlign w:val="bottom"/>
          </w:tcPr>
          <w:p>
            <w:pPr>
              <w:ind w:left="120"/>
              <w:spacing w:after="0"/>
              <w:rPr>
                <w:sz w:val="20"/>
                <w:szCs w:val="20"/>
                <w:color w:val="auto"/>
              </w:rPr>
            </w:pPr>
            <w:r>
              <w:rPr>
                <w:rFonts w:ascii="Arial" w:cs="Arial" w:eastAsia="Arial" w:hAnsi="Arial"/>
                <w:sz w:val="17"/>
                <w:szCs w:val="17"/>
                <w:color w:val="auto"/>
              </w:rPr>
              <w:t>Marketing and promotion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314</w:t>
            </w:r>
          </w:p>
        </w:tc>
        <w:tc>
          <w:tcPr>
            <w:tcW w:w="46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388</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(19.1)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1,155</w:t>
            </w:r>
          </w:p>
        </w:tc>
        <w:tc>
          <w:tcPr>
            <w:tcW w:w="46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1,247</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207</w:t>
            </w: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(0.9)</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616</w:t>
            </w: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2,089</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2,744</w:t>
            </w: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(23.9)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7,600</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8,526</w:t>
            </w: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22"/>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429</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551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(22.2)%</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961</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793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21.2 %</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Studios Segment – Revenue</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Content licensing revenue </w:t>
      </w:r>
      <w:r>
        <w:rPr>
          <w:rFonts w:ascii="Arial" w:cs="Arial" w:eastAsia="Arial" w:hAnsi="Arial"/>
          <w:sz w:val="17"/>
          <w:szCs w:val="17"/>
          <w:color w:val="auto"/>
        </w:rPr>
        <w:t>relates to the licensing of our owned film and television content in the United States and internationally to television networks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DTC streaming service providers, as well as through video on demand and pay-per-view services provided by multichannel video providers and OTT service providers.</w:t>
      </w:r>
    </w:p>
    <w:p>
      <w:pPr>
        <w:spacing w:after="0" w:line="10"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Content licensing revenue decreased for the three and nine months ended September 30, 2023 compared to the same periods in 2022 primarily due to the timing of when content was made available by our television studios under licensing agreements, including the impact of the work stoppages in the current year periods. The decrease for the nine months ended September 30, 2023 was partially offset by the timing of when content was made available by our film studios.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Theatrical revenue </w:t>
      </w:r>
      <w:r>
        <w:rPr>
          <w:rFonts w:ascii="Arial" w:cs="Arial" w:eastAsia="Arial" w:hAnsi="Arial"/>
          <w:sz w:val="17"/>
          <w:szCs w:val="17"/>
          <w:color w:val="auto"/>
        </w:rPr>
        <w:t>relates to the worldwide distribution of our produced and acquired films for exhibition in movie theaters.</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Theatrical revenue decreased for the three months ended September 30, 2023 compared to the same period in 2022 primarily due to higher revenue from releases in our 2022 slate, including </w:t>
      </w:r>
      <w:r>
        <w:rPr>
          <w:rFonts w:ascii="Arial" w:cs="Arial" w:eastAsia="Arial" w:hAnsi="Arial"/>
          <w:sz w:val="17"/>
          <w:szCs w:val="17"/>
          <w:i w:val="1"/>
          <w:iCs w:val="1"/>
          <w:color w:val="auto"/>
        </w:rPr>
        <w:t>Minions: The Rise of Gru</w:t>
      </w:r>
      <w:r>
        <w:rPr>
          <w:rFonts w:ascii="Arial" w:cs="Arial" w:eastAsia="Arial" w:hAnsi="Arial"/>
          <w:sz w:val="17"/>
          <w:szCs w:val="17"/>
          <w:color w:val="auto"/>
        </w:rPr>
        <w:t xml:space="preserve"> and </w:t>
      </w:r>
      <w:r>
        <w:rPr>
          <w:rFonts w:ascii="Arial" w:cs="Arial" w:eastAsia="Arial" w:hAnsi="Arial"/>
          <w:sz w:val="17"/>
          <w:szCs w:val="17"/>
          <w:i w:val="1"/>
          <w:iCs w:val="1"/>
          <w:color w:val="auto"/>
        </w:rPr>
        <w:t>Jurassic World: Dominion</w:t>
      </w:r>
      <w:r>
        <w:rPr>
          <w:rFonts w:ascii="Arial" w:cs="Arial" w:eastAsia="Arial" w:hAnsi="Arial"/>
          <w:sz w:val="17"/>
          <w:szCs w:val="17"/>
          <w:color w:val="auto"/>
        </w:rPr>
        <w:t xml:space="preserve"> in the prior year period, compared to revenue from releases in our 2023 slate, including </w:t>
      </w:r>
      <w:r>
        <w:rPr>
          <w:rFonts w:ascii="Arial" w:cs="Arial" w:eastAsia="Arial" w:hAnsi="Arial"/>
          <w:sz w:val="17"/>
          <w:szCs w:val="17"/>
          <w:i w:val="1"/>
          <w:iCs w:val="1"/>
          <w:color w:val="auto"/>
        </w:rPr>
        <w:t>Oppenheimer</w:t>
      </w:r>
      <w:r>
        <w:rPr>
          <w:rFonts w:ascii="Arial" w:cs="Arial" w:eastAsia="Arial" w:hAnsi="Arial"/>
          <w:sz w:val="17"/>
          <w:szCs w:val="17"/>
          <w:color w:val="auto"/>
        </w:rPr>
        <w:t xml:space="preserve"> in the current year period</w:t>
      </w:r>
      <w:r>
        <w:rPr>
          <w:rFonts w:ascii="Arial" w:cs="Arial" w:eastAsia="Arial" w:hAnsi="Arial"/>
          <w:sz w:val="17"/>
          <w:szCs w:val="17"/>
          <w:i w:val="1"/>
          <w:iCs w:val="1"/>
          <w:color w:val="auto"/>
        </w:rPr>
        <w:t>.</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Theatrical revenue increased for the nine months ended September 30, 2023 compared to the same period in 2022 primarily due to higher revenue from releases in our 2023 slate, including </w:t>
      </w:r>
      <w:r>
        <w:rPr>
          <w:rFonts w:ascii="Arial" w:cs="Arial" w:eastAsia="Arial" w:hAnsi="Arial"/>
          <w:sz w:val="17"/>
          <w:szCs w:val="17"/>
          <w:i w:val="1"/>
          <w:iCs w:val="1"/>
          <w:color w:val="auto"/>
        </w:rPr>
        <w:t>The Super Mario Bros. Movie</w:t>
      </w:r>
      <w:r>
        <w:rPr>
          <w:rFonts w:ascii="Arial" w:cs="Arial" w:eastAsia="Arial" w:hAnsi="Arial"/>
          <w:sz w:val="17"/>
          <w:szCs w:val="17"/>
          <w:color w:val="auto"/>
        </w:rPr>
        <w:t xml:space="preserve">, </w:t>
      </w:r>
      <w:r>
        <w:rPr>
          <w:rFonts w:ascii="Arial" w:cs="Arial" w:eastAsia="Arial" w:hAnsi="Arial"/>
          <w:sz w:val="17"/>
          <w:szCs w:val="17"/>
          <w:i w:val="1"/>
          <w:iCs w:val="1"/>
          <w:color w:val="auto"/>
        </w:rPr>
        <w:t>Oppenheimer</w:t>
      </w:r>
      <w:r>
        <w:rPr>
          <w:rFonts w:ascii="Arial" w:cs="Arial" w:eastAsia="Arial" w:hAnsi="Arial"/>
          <w:sz w:val="17"/>
          <w:szCs w:val="17"/>
          <w:color w:val="auto"/>
        </w:rPr>
        <w:t xml:space="preserve"> and </w:t>
      </w:r>
      <w:r>
        <w:rPr>
          <w:rFonts w:ascii="Arial" w:cs="Arial" w:eastAsia="Arial" w:hAnsi="Arial"/>
          <w:sz w:val="17"/>
          <w:szCs w:val="17"/>
          <w:i w:val="1"/>
          <w:iCs w:val="1"/>
          <w:color w:val="auto"/>
        </w:rPr>
        <w:t>Fast X</w:t>
      </w:r>
      <w:r>
        <w:rPr>
          <w:rFonts w:ascii="Arial" w:cs="Arial" w:eastAsia="Arial" w:hAnsi="Arial"/>
          <w:sz w:val="17"/>
          <w:szCs w:val="17"/>
          <w:color w:val="auto"/>
        </w:rPr>
        <w:t xml:space="preserve">, compared to revenue from releases in our 2022 slate, including </w:t>
      </w:r>
      <w:r>
        <w:rPr>
          <w:rFonts w:ascii="Arial" w:cs="Arial" w:eastAsia="Arial" w:hAnsi="Arial"/>
          <w:sz w:val="17"/>
          <w:szCs w:val="17"/>
          <w:i w:val="1"/>
          <w:iCs w:val="1"/>
          <w:color w:val="auto"/>
        </w:rPr>
        <w:t>Jurassic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World: Dominion </w:t>
      </w:r>
      <w:r>
        <w:rPr>
          <w:rFonts w:ascii="Arial" w:cs="Arial" w:eastAsia="Arial" w:hAnsi="Arial"/>
          <w:sz w:val="17"/>
          <w:szCs w:val="17"/>
          <w:color w:val="auto"/>
        </w:rPr>
        <w:t>and</w:t>
      </w:r>
      <w:r>
        <w:rPr>
          <w:rFonts w:ascii="Arial" w:cs="Arial" w:eastAsia="Arial" w:hAnsi="Arial"/>
          <w:sz w:val="17"/>
          <w:szCs w:val="17"/>
          <w:i w:val="1"/>
          <w:iCs w:val="1"/>
          <w:color w:val="auto"/>
        </w:rPr>
        <w:t xml:space="preserve"> Minions: The Rise of Gru.</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 xml:space="preserve">Other revenue </w:t>
      </w:r>
      <w:r>
        <w:rPr>
          <w:rFonts w:ascii="Arial" w:cs="Arial" w:eastAsia="Arial" w:hAnsi="Arial"/>
          <w:sz w:val="17"/>
          <w:szCs w:val="17"/>
          <w:color w:val="auto"/>
        </w:rPr>
        <w:t>consists primarily of the sale of physical and digital home entertainment products, as well as the production and licensing of live stage plays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distribution of content produced by third parties.</w:t>
      </w:r>
    </w:p>
    <w:p>
      <w:pPr>
        <w:spacing w:after="0"/>
        <w:rPr>
          <w:sz w:val="20"/>
          <w:szCs w:val="20"/>
          <w:color w:val="auto"/>
        </w:rPr>
      </w:pPr>
      <w:r>
        <w:rPr>
          <w:rFonts w:ascii="Arial" w:cs="Arial" w:eastAsia="Arial" w:hAnsi="Arial"/>
          <w:sz w:val="17"/>
          <w:szCs w:val="17"/>
          <w:b w:val="1"/>
          <w:bCs w:val="1"/>
          <w:color w:val="auto"/>
        </w:rPr>
        <w:t>Studios Segment – Costs and Expenses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Programming and production costs </w:t>
      </w:r>
      <w:r>
        <w:rPr>
          <w:rFonts w:ascii="Arial" w:cs="Arial" w:eastAsia="Arial" w:hAnsi="Arial"/>
          <w:sz w:val="17"/>
          <w:szCs w:val="17"/>
          <w:color w:val="auto"/>
        </w:rPr>
        <w:t>include the amortization of capitalized film and television production and acquisition costs; residuals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participations expenses; and distribution expenses. The costs associated with producing film and television content have generally increased in recent years and may continue to increase in the future.</w:t>
      </w:r>
    </w:p>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Programming and production costs decreased for the three and nine months ended September 30, 2023 compared to the same periods in 2022 primarily due to lower costs associated with content licensing sales, including the impact of work stoppages in the current year periods. The decrease for the nine months ended September 30, 2023 was partially offset by higher costs associated with theatrical releases in the current year period.</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Marketing and promotion expenses </w:t>
      </w:r>
      <w:r>
        <w:rPr>
          <w:rFonts w:ascii="Arial" w:cs="Arial" w:eastAsia="Arial" w:hAnsi="Arial"/>
          <w:sz w:val="17"/>
          <w:szCs w:val="17"/>
          <w:color w:val="auto"/>
        </w:rPr>
        <w:t>consist primarily of expenses associated with advertising for our theatrical releases.</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Marketing and promotion expenses decreased for the three and nine months ended September 30, 2023 compared to the same periods in 2022 primarily due to decreased spending on recent and upcoming theatrical film releases in the current year periods.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Other expenses </w:t>
      </w:r>
      <w:r>
        <w:rPr>
          <w:rFonts w:ascii="Arial" w:cs="Arial" w:eastAsia="Arial" w:hAnsi="Arial"/>
          <w:sz w:val="17"/>
          <w:szCs w:val="17"/>
          <w:color w:val="auto"/>
        </w:rPr>
        <w:t>include salaries, employee benefits, rent and other overhead expenses.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Theme Parks Segment Results of Operations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737"/>
              <w:spacing w:after="0"/>
              <w:rPr>
                <w:sz w:val="20"/>
                <w:szCs w:val="20"/>
                <w:color w:val="auto"/>
              </w:rPr>
            </w:pPr>
            <w:r>
              <w:rPr>
                <w:rFonts w:ascii="Arial" w:cs="Arial" w:eastAsia="Arial" w:hAnsi="Arial"/>
                <w:sz w:val="14"/>
                <w:szCs w:val="14"/>
                <w:color w:val="auto"/>
              </w:rPr>
              <w:t>Three Months Ended</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85"/>
              </w:rPr>
              <w:t>Change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3"/>
          </w:tcPr>
          <w:p>
            <w:pPr>
              <w:jc w:val="right"/>
              <w:ind w:right="777"/>
              <w:spacing w:after="0"/>
              <w:rPr>
                <w:sz w:val="20"/>
                <w:szCs w:val="20"/>
                <w:color w:val="auto"/>
              </w:rPr>
            </w:pPr>
            <w:r>
              <w:rPr>
                <w:rFonts w:ascii="Arial" w:cs="Arial" w:eastAsia="Arial" w:hAnsi="Arial"/>
                <w:sz w:val="14"/>
                <w:szCs w:val="14"/>
                <w:color w:val="auto"/>
              </w:rPr>
              <w:t>Nine Months Ended</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85"/>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6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w w:val="96"/>
              </w:rPr>
              <w:t>2022</w:t>
            </w: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w w:val="96"/>
              </w:rPr>
              <w:t>2022</w:t>
            </w: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w:t>
            </w:r>
          </w:p>
        </w:tc>
        <w:tc>
          <w:tcPr>
            <w:tcW w:w="46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2,064</w:t>
            </w:r>
          </w:p>
        </w:tc>
        <w:tc>
          <w:tcPr>
            <w:tcW w:w="98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6"/>
              </w:rPr>
              <w:t>17.2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6,576</w:t>
            </w: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5,428</w:t>
            </w:r>
          </w:p>
        </w:tc>
        <w:tc>
          <w:tcPr>
            <w:tcW w:w="98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6"/>
              </w:rPr>
              <w:t>21.2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1,435</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1,244</w:t>
            </w: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6"/>
              </w:rPr>
              <w:t>15.4</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4,103</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3,526</w:t>
            </w: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6"/>
              </w:rPr>
              <w:t>16.4</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983</w:t>
            </w:r>
          </w:p>
        </w:tc>
        <w:tc>
          <w:tcPr>
            <w:tcW w:w="4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819</w:t>
            </w:r>
          </w:p>
        </w:tc>
        <w:tc>
          <w:tcPr>
            <w:tcW w:w="124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7"/>
                <w:szCs w:val="17"/>
                <w:b w:val="1"/>
                <w:bCs w:val="1"/>
                <w:color w:val="auto"/>
              </w:rPr>
              <w:t>20.0 %</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2,473</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1,902</w:t>
            </w:r>
          </w:p>
        </w:tc>
        <w:tc>
          <w:tcPr>
            <w:tcW w:w="120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7"/>
                <w:szCs w:val="17"/>
                <w:b w:val="1"/>
                <w:bCs w:val="1"/>
                <w:color w:val="auto"/>
              </w:rPr>
              <w:t>30.1 %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 xml:space="preserve">Theme parks segment revenue </w:t>
      </w:r>
      <w:r>
        <w:rPr>
          <w:rFonts w:ascii="Arial" w:cs="Arial" w:eastAsia="Arial" w:hAnsi="Arial"/>
          <w:sz w:val="17"/>
          <w:szCs w:val="17"/>
          <w:color w:val="auto"/>
        </w:rPr>
        <w:t>primarily relates to guest spending at our theme parks, including ticket sales and in-park spending, and to our consumer</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business.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Theme parks revenue increased for the three and nine months ended September 30, 2023 compared to the same periods in 2022 driven by increases at our international theme parks, which had COVID-19 related restrictions during certain periods in the prior year periods. The increase was also driven by our domestic theme parks, primarily due to higher revenue at our theme park in Hollywood in the current year period driven by the opening of Super Nintendo World, partially offset by lower revenue at our theme park in Orlando.</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color w:val="auto"/>
        </w:rPr>
        <w:t xml:space="preserve">Theme parks segment costs and expenses </w:t>
      </w:r>
      <w:r>
        <w:rPr>
          <w:rFonts w:ascii="Arial" w:cs="Arial" w:eastAsia="Arial" w:hAnsi="Arial"/>
          <w:sz w:val="17"/>
          <w:szCs w:val="17"/>
          <w:color w:val="auto"/>
        </w:rPr>
        <w:t>consist primarily of theme park operations, including repairs and maintenance and related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food, beverage and merchandise costs; labor costs; and sales and marketing costs.</w:t>
      </w:r>
    </w:p>
    <w:p>
      <w:pPr>
        <w:spacing w:after="0" w:line="4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Theme parks costs and expenses increased for the three and nine months ended September 30, 2023 compared to the same periods in 2022 due to higher costs primarily associated with increased guest attendance.</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Content &amp; Experiences Headquarters, Other and Eliminations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Headquarters and Other Results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3"/>
          </w:tcPr>
          <w:p>
            <w:pPr>
              <w:jc w:val="right"/>
              <w:ind w:right="777"/>
              <w:spacing w:after="0"/>
              <w:rPr>
                <w:sz w:val="20"/>
                <w:szCs w:val="20"/>
                <w:color w:val="auto"/>
              </w:rPr>
            </w:pPr>
            <w:r>
              <w:rPr>
                <w:rFonts w:ascii="Arial" w:cs="Arial" w:eastAsia="Arial" w:hAnsi="Arial"/>
                <w:sz w:val="14"/>
                <w:szCs w:val="14"/>
                <w:color w:val="auto"/>
              </w:rPr>
              <w:t>Three Months Ended</w:t>
            </w:r>
          </w:p>
        </w:tc>
        <w:tc>
          <w:tcPr>
            <w:tcW w:w="1200" w:type="dxa"/>
            <w:vAlign w:val="bottom"/>
            <w:vMerge w:val="restart"/>
          </w:tcPr>
          <w:p>
            <w:pPr>
              <w:jc w:val="right"/>
              <w:ind w:right="440"/>
              <w:spacing w:after="0"/>
              <w:rPr>
                <w:sz w:val="20"/>
                <w:szCs w:val="20"/>
                <w:color w:val="auto"/>
              </w:rPr>
            </w:pPr>
            <w:r>
              <w:rPr>
                <w:rFonts w:ascii="Arial" w:cs="Arial" w:eastAsia="Arial" w:hAnsi="Arial"/>
                <w:sz w:val="14"/>
                <w:szCs w:val="14"/>
                <w:color w:val="auto"/>
              </w:rPr>
              <w:t>Change</w:t>
            </w:r>
          </w:p>
        </w:tc>
        <w:tc>
          <w:tcPr>
            <w:tcW w:w="340" w:type="dxa"/>
            <w:vAlign w:val="bottom"/>
          </w:tcPr>
          <w:p>
            <w:pPr>
              <w:spacing w:after="0"/>
              <w:rPr>
                <w:sz w:val="14"/>
                <w:szCs w:val="14"/>
                <w:color w:val="auto"/>
              </w:rPr>
            </w:pPr>
          </w:p>
        </w:tc>
        <w:tc>
          <w:tcPr>
            <w:tcW w:w="2380" w:type="dxa"/>
            <w:vAlign w:val="bottom"/>
            <w:gridSpan w:val="3"/>
          </w:tcPr>
          <w:p>
            <w:pPr>
              <w:jc w:val="right"/>
              <w:ind w:right="797"/>
              <w:spacing w:after="0"/>
              <w:rPr>
                <w:sz w:val="20"/>
                <w:szCs w:val="20"/>
                <w:color w:val="auto"/>
              </w:rPr>
            </w:pPr>
            <w:r>
              <w:rPr>
                <w:rFonts w:ascii="Arial" w:cs="Arial" w:eastAsia="Arial" w:hAnsi="Arial"/>
                <w:sz w:val="14"/>
                <w:szCs w:val="14"/>
                <w:color w:val="auto"/>
              </w:rPr>
              <w:t>Nine Months Ended</w:t>
            </w:r>
          </w:p>
        </w:tc>
        <w:tc>
          <w:tcPr>
            <w:tcW w:w="1160" w:type="dxa"/>
            <w:vAlign w:val="bottom"/>
            <w:vMerge w:val="restart"/>
          </w:tcPr>
          <w:p>
            <w:pPr>
              <w:jc w:val="right"/>
              <w:ind w:righ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2"/>
        </w:trPr>
        <w:tc>
          <w:tcPr>
            <w:tcW w:w="3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w w:val="89"/>
              </w:rPr>
              <w:t>September 30,</w:t>
            </w:r>
          </w:p>
        </w:tc>
        <w:tc>
          <w:tcPr>
            <w:tcW w:w="10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w w:val="89"/>
              </w:rPr>
              <w:t>September 30,</w:t>
            </w:r>
          </w:p>
        </w:tc>
        <w:tc>
          <w:tcPr>
            <w:tcW w:w="10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2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w w:val="89"/>
              </w:rPr>
              <w:t>2022</w:t>
            </w: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w w:val="89"/>
              </w:rPr>
              <w:t>2022</w:t>
            </w: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22</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 %</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45</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46</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221</w:t>
            </w: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rPr>
              <w:t>(13.5)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654</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574</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b w:val="1"/>
                <w:bCs w:val="1"/>
                <w:color w:val="auto"/>
                <w:w w:val="95"/>
              </w:rPr>
              <w:t>(178)</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(199)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10.7 %</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b w:val="1"/>
                <w:bCs w:val="1"/>
                <w:color w:val="auto"/>
                <w:w w:val="95"/>
              </w:rPr>
              <w:t>(610)</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(528)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(15.6)%</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Headquarters and Other expenses include overhead, personnel costs and costs associated with corporate initiatives.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3"/>
          </w:tcPr>
          <w:p>
            <w:pPr>
              <w:jc w:val="right"/>
              <w:ind w:right="777"/>
              <w:spacing w:after="0"/>
              <w:rPr>
                <w:sz w:val="20"/>
                <w:szCs w:val="20"/>
                <w:color w:val="auto"/>
              </w:rPr>
            </w:pPr>
            <w:r>
              <w:rPr>
                <w:rFonts w:ascii="Arial" w:cs="Arial" w:eastAsia="Arial" w:hAnsi="Arial"/>
                <w:sz w:val="14"/>
                <w:szCs w:val="14"/>
                <w:color w:val="auto"/>
              </w:rPr>
              <w:t>Three Months Ended</w:t>
            </w:r>
          </w:p>
        </w:tc>
        <w:tc>
          <w:tcPr>
            <w:tcW w:w="1180" w:type="dxa"/>
            <w:vAlign w:val="bottom"/>
            <w:vMerge w:val="restart"/>
          </w:tcPr>
          <w:p>
            <w:pPr>
              <w:jc w:val="center"/>
              <w:ind w:right="200"/>
              <w:spacing w:after="0"/>
              <w:rPr>
                <w:sz w:val="20"/>
                <w:szCs w:val="20"/>
                <w:color w:val="auto"/>
              </w:rPr>
            </w:pPr>
            <w:r>
              <w:rPr>
                <w:rFonts w:ascii="Arial" w:cs="Arial" w:eastAsia="Arial" w:hAnsi="Arial"/>
                <w:sz w:val="14"/>
                <w:szCs w:val="14"/>
                <w:color w:val="auto"/>
                <w:w w:val="85"/>
              </w:rPr>
              <w:t>Change</w:t>
            </w:r>
          </w:p>
        </w:tc>
        <w:tc>
          <w:tcPr>
            <w:tcW w:w="340" w:type="dxa"/>
            <w:vAlign w:val="bottom"/>
          </w:tcPr>
          <w:p>
            <w:pPr>
              <w:spacing w:after="0"/>
              <w:rPr>
                <w:sz w:val="14"/>
                <w:szCs w:val="14"/>
                <w:color w:val="auto"/>
              </w:rPr>
            </w:pPr>
          </w:p>
        </w:tc>
        <w:tc>
          <w:tcPr>
            <w:tcW w:w="2400" w:type="dxa"/>
            <w:vAlign w:val="bottom"/>
            <w:gridSpan w:val="3"/>
          </w:tcPr>
          <w:p>
            <w:pPr>
              <w:jc w:val="right"/>
              <w:ind w:right="797"/>
              <w:spacing w:after="0"/>
              <w:rPr>
                <w:sz w:val="20"/>
                <w:szCs w:val="20"/>
                <w:color w:val="auto"/>
              </w:rPr>
            </w:pPr>
            <w:r>
              <w:rPr>
                <w:rFonts w:ascii="Arial" w:cs="Arial" w:eastAsia="Arial" w:hAnsi="Arial"/>
                <w:sz w:val="14"/>
                <w:szCs w:val="14"/>
                <w:color w:val="auto"/>
              </w:rPr>
              <w:t>Nine Months Ended</w:t>
            </w:r>
          </w:p>
        </w:tc>
        <w:tc>
          <w:tcPr>
            <w:tcW w:w="1140" w:type="dxa"/>
            <w:vAlign w:val="bottom"/>
            <w:vMerge w:val="restart"/>
          </w:tcPr>
          <w:p>
            <w:pPr>
              <w:jc w:val="center"/>
              <w:ind w:right="140"/>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w w:val="87"/>
              </w:rPr>
              <w:t>September 30,</w:t>
            </w:r>
          </w:p>
        </w:tc>
        <w:tc>
          <w:tcPr>
            <w:tcW w:w="10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2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w w:val="96"/>
              </w:rPr>
              <w:t>2022</w:t>
            </w: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w w:val="96"/>
              </w:rPr>
              <w:t>2022</w:t>
            </w: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5"/>
              </w:rPr>
              <w:t>(419)</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(909)</w:t>
            </w:r>
          </w:p>
        </w:tc>
        <w:tc>
          <w:tcPr>
            <w:tcW w:w="11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(53.8)%</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(2,474)</w:t>
            </w:r>
          </w:p>
        </w:tc>
        <w:tc>
          <w:tcPr>
            <w:tcW w:w="1140" w:type="dxa"/>
            <w:vAlign w:val="bottom"/>
            <w:shd w:val="clear" w:color="auto" w:fill="CCEEFF"/>
          </w:tcPr>
          <w:p>
            <w:pPr>
              <w:ind w:left="560"/>
              <w:spacing w:after="0"/>
              <w:rPr>
                <w:sz w:val="20"/>
                <w:szCs w:val="20"/>
                <w:color w:val="auto"/>
              </w:rPr>
            </w:pPr>
            <w:r>
              <w:rPr>
                <w:rFonts w:ascii="Arial" w:cs="Arial" w:eastAsia="Arial" w:hAnsi="Arial"/>
                <w:sz w:val="17"/>
                <w:szCs w:val="17"/>
                <w:color w:val="auto"/>
                <w:w w:val="94"/>
              </w:rPr>
              <w:t>(24.5)%</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w w:val="95"/>
              </w:rPr>
              <w:t>(436)</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(849)</w:t>
            </w: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(48.6)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(1,965)</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(2,376)</w:t>
            </w:r>
          </w:p>
        </w:tc>
        <w:tc>
          <w:tcPr>
            <w:tcW w:w="11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(59)</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b w:val="1"/>
                <w:bCs w:val="1"/>
                <w:color w:val="auto"/>
              </w:rPr>
              <w:t>NM</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(98)</w:t>
            </w:r>
          </w:p>
        </w:tc>
        <w:tc>
          <w:tcPr>
            <w:tcW w:w="11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b w:val="1"/>
                <w:bCs w:val="1"/>
                <w:color w:val="auto"/>
              </w:rPr>
              <w:t>NM</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Amounts represent eliminations of transactions between segments in our Content &amp; Experiences business, the most significant being content licensing between the Studios and Media segments, which are affected by the timing of recognition of content licenses.</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Eliminations increase or decrease to the extent that additional content is made available to our other segments within the Content &amp; Experiences business. Refer to Note 2 for additional information on transactions between our segments.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Other and Eliminations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 Results of Operations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3"/>
          </w:tcPr>
          <w:p>
            <w:pPr>
              <w:jc w:val="right"/>
              <w:ind w:right="757"/>
              <w:spacing w:after="0"/>
              <w:rPr>
                <w:sz w:val="20"/>
                <w:szCs w:val="20"/>
                <w:color w:val="auto"/>
              </w:rPr>
            </w:pPr>
            <w:r>
              <w:rPr>
                <w:rFonts w:ascii="Arial" w:cs="Arial" w:eastAsia="Arial" w:hAnsi="Arial"/>
                <w:sz w:val="14"/>
                <w:szCs w:val="14"/>
                <w:color w:val="auto"/>
              </w:rPr>
              <w:t>Three Months Ended</w:t>
            </w:r>
          </w:p>
        </w:tc>
        <w:tc>
          <w:tcPr>
            <w:tcW w:w="1220" w:type="dxa"/>
            <w:vAlign w:val="bottom"/>
            <w:vMerge w:val="restart"/>
          </w:tcPr>
          <w:p>
            <w:pPr>
              <w:jc w:val="right"/>
              <w:ind w:right="460"/>
              <w:spacing w:after="0"/>
              <w:rPr>
                <w:sz w:val="20"/>
                <w:szCs w:val="20"/>
                <w:color w:val="auto"/>
              </w:rPr>
            </w:pPr>
            <w:r>
              <w:rPr>
                <w:rFonts w:ascii="Arial" w:cs="Arial" w:eastAsia="Arial" w:hAnsi="Arial"/>
                <w:sz w:val="14"/>
                <w:szCs w:val="14"/>
                <w:color w:val="auto"/>
              </w:rPr>
              <w:t>Change</w:t>
            </w:r>
          </w:p>
        </w:tc>
        <w:tc>
          <w:tcPr>
            <w:tcW w:w="340" w:type="dxa"/>
            <w:vAlign w:val="bottom"/>
          </w:tcPr>
          <w:p>
            <w:pPr>
              <w:spacing w:after="0"/>
              <w:rPr>
                <w:sz w:val="14"/>
                <w:szCs w:val="14"/>
                <w:color w:val="auto"/>
              </w:rPr>
            </w:pPr>
          </w:p>
        </w:tc>
        <w:tc>
          <w:tcPr>
            <w:tcW w:w="2360" w:type="dxa"/>
            <w:vAlign w:val="bottom"/>
            <w:gridSpan w:val="3"/>
          </w:tcPr>
          <w:p>
            <w:pPr>
              <w:jc w:val="right"/>
              <w:ind w:right="797"/>
              <w:spacing w:after="0"/>
              <w:rPr>
                <w:sz w:val="20"/>
                <w:szCs w:val="20"/>
                <w:color w:val="auto"/>
              </w:rPr>
            </w:pPr>
            <w:r>
              <w:rPr>
                <w:rFonts w:ascii="Arial" w:cs="Arial" w:eastAsia="Arial" w:hAnsi="Arial"/>
                <w:sz w:val="14"/>
                <w:szCs w:val="14"/>
                <w:color w:val="auto"/>
              </w:rPr>
              <w:t>Nine Months Ended</w:t>
            </w: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w w:val="89"/>
              </w:rPr>
              <w:t>September 30,</w:t>
            </w:r>
          </w:p>
        </w:tc>
        <w:tc>
          <w:tcPr>
            <w:tcW w:w="10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8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w w:val="96"/>
              </w:rPr>
              <w:t>2022</w:t>
            </w: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w w:val="96"/>
              </w:rPr>
              <w:t>2022</w:t>
            </w: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center"/>
              <w:ind w:left="461"/>
              <w:spacing w:after="0"/>
              <w:rPr>
                <w:sz w:val="20"/>
                <w:szCs w:val="20"/>
                <w:color w:val="auto"/>
              </w:rPr>
            </w:pPr>
            <w:r>
              <w:rPr>
                <w:rFonts w:ascii="Arial" w:cs="Arial" w:eastAsia="Arial" w:hAnsi="Arial"/>
                <w:sz w:val="17"/>
                <w:szCs w:val="17"/>
                <w:color w:val="auto"/>
                <w:w w:val="91"/>
              </w:rPr>
              <w:t>643</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center"/>
              <w:ind w:left="97"/>
              <w:spacing w:after="0"/>
              <w:rPr>
                <w:sz w:val="20"/>
                <w:szCs w:val="20"/>
                <w:color w:val="auto"/>
              </w:rPr>
            </w:pPr>
            <w:r>
              <w:rPr>
                <w:rFonts w:ascii="Arial" w:cs="Arial" w:eastAsia="Arial" w:hAnsi="Arial"/>
                <w:sz w:val="17"/>
                <w:szCs w:val="17"/>
                <w:color w:val="auto"/>
                <w:w w:val="91"/>
              </w:rPr>
              <w:t>601</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7.0 %</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1,931</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61"/>
              <w:spacing w:after="0"/>
              <w:rPr>
                <w:sz w:val="20"/>
                <w:szCs w:val="20"/>
                <w:color w:val="auto"/>
              </w:rPr>
            </w:pPr>
            <w:r>
              <w:rPr>
                <w:rFonts w:ascii="Arial" w:cs="Arial" w:eastAsia="Arial" w:hAnsi="Arial"/>
                <w:sz w:val="17"/>
                <w:szCs w:val="17"/>
                <w:color w:val="auto"/>
                <w:w w:val="91"/>
              </w:rPr>
              <w:t>893</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97"/>
              <w:spacing w:after="0"/>
              <w:rPr>
                <w:sz w:val="20"/>
                <w:szCs w:val="20"/>
                <w:color w:val="auto"/>
              </w:rPr>
            </w:pPr>
            <w:r>
              <w:rPr>
                <w:rFonts w:ascii="Arial" w:cs="Arial" w:eastAsia="Arial" w:hAnsi="Arial"/>
                <w:sz w:val="17"/>
                <w:szCs w:val="17"/>
                <w:color w:val="auto"/>
                <w:w w:val="91"/>
              </w:rPr>
              <w:t>919</w:t>
            </w: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color w:val="auto"/>
              </w:rPr>
              <w:t>(2.9)</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2,844</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2,651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shd w:val="clear" w:color="auto" w:fill="CCEEFF"/>
          </w:tcPr>
          <w:p>
            <w:pPr>
              <w:jc w:val="center"/>
              <w:ind w:left="421"/>
              <w:spacing w:after="0"/>
              <w:rPr>
                <w:sz w:val="20"/>
                <w:szCs w:val="20"/>
                <w:color w:val="auto"/>
              </w:rPr>
            </w:pPr>
            <w:r>
              <w:rPr>
                <w:rFonts w:ascii="Arial" w:cs="Arial" w:eastAsia="Arial" w:hAnsi="Arial"/>
                <w:sz w:val="17"/>
                <w:szCs w:val="17"/>
                <w:b w:val="1"/>
                <w:bCs w:val="1"/>
                <w:color w:val="auto"/>
                <w:w w:val="95"/>
              </w:rPr>
              <w:t>(249)</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center"/>
              <w:ind w:left="57"/>
              <w:spacing w:after="0"/>
              <w:rPr>
                <w:sz w:val="20"/>
                <w:szCs w:val="20"/>
                <w:color w:val="auto"/>
              </w:rPr>
            </w:pPr>
            <w:r>
              <w:rPr>
                <w:rFonts w:ascii="Arial" w:cs="Arial" w:eastAsia="Arial" w:hAnsi="Arial"/>
                <w:sz w:val="17"/>
                <w:szCs w:val="17"/>
                <w:b w:val="1"/>
                <w:bCs w:val="1"/>
                <w:color w:val="auto"/>
                <w:w w:val="95"/>
              </w:rPr>
              <w:t>(318)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21.6 %</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b w:val="1"/>
                <w:bCs w:val="1"/>
                <w:color w:val="auto"/>
                <w:w w:val="95"/>
              </w:rPr>
              <w:t>(841)</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(720)</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(16.8)%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Corporate and Other primarily includes overhead and personnel costs; Sky operations outside of the Connectivity &amp; Platforms markets; Comcast Spectacor, which owns the Philadelphia Flyers and the Wells Fargo Center arena in Philadelphia, Pennsylvania; and Xumo, our consolidated streaming platform joint venture beginning in June 2022.</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3"/>
          </w:tcPr>
          <w:p>
            <w:pPr>
              <w:jc w:val="right"/>
              <w:ind w:right="777"/>
              <w:spacing w:after="0"/>
              <w:rPr>
                <w:sz w:val="20"/>
                <w:szCs w:val="20"/>
                <w:color w:val="auto"/>
              </w:rPr>
            </w:pPr>
            <w:r>
              <w:rPr>
                <w:rFonts w:ascii="Arial" w:cs="Arial" w:eastAsia="Arial" w:hAnsi="Arial"/>
                <w:sz w:val="14"/>
                <w:szCs w:val="14"/>
                <w:color w:val="auto"/>
              </w:rPr>
              <w:t>Three Months Ended</w:t>
            </w: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3"/>
          </w:tcPr>
          <w:p>
            <w:pPr>
              <w:jc w:val="right"/>
              <w:ind w:right="797"/>
              <w:spacing w:after="0"/>
              <w:rPr>
                <w:sz w:val="20"/>
                <w:szCs w:val="20"/>
                <w:color w:val="auto"/>
              </w:rPr>
            </w:pPr>
            <w:r>
              <w:rPr>
                <w:rFonts w:ascii="Arial" w:cs="Arial" w:eastAsia="Arial" w:hAnsi="Arial"/>
                <w:sz w:val="14"/>
                <w:szCs w:val="14"/>
                <w:color w:val="auto"/>
              </w:rPr>
              <w:t>Nine Months Ended</w:t>
            </w:r>
          </w:p>
        </w:tc>
        <w:tc>
          <w:tcPr>
            <w:tcW w:w="1140" w:type="dxa"/>
            <w:vAlign w:val="bottom"/>
            <w:vMerge w:val="restart"/>
          </w:tcPr>
          <w:p>
            <w:pPr>
              <w:jc w:val="center"/>
              <w:ind w:right="140"/>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82"/>
        </w:trPr>
        <w:tc>
          <w:tcPr>
            <w:tcW w:w="3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2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w w:val="96"/>
              </w:rPr>
              <w:t>2022</w:t>
            </w: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w w:val="96"/>
              </w:rPr>
              <w:t>2022</w:t>
            </w: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(1,277)</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(4,220)</w:t>
            </w:r>
          </w:p>
        </w:tc>
        <w:tc>
          <w:tcPr>
            <w:tcW w:w="114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5"/>
              </w:rPr>
              <w:t>(1.5)%</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(1,375)</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(1,303)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(4,191)</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(4,128)</w:t>
            </w: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b w:val="1"/>
                <w:bCs w:val="1"/>
                <w:color w:val="auto"/>
              </w:rPr>
              <w:t>26</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36.5 %</w:t>
            </w:r>
          </w:p>
        </w:tc>
        <w:tc>
          <w:tcPr>
            <w:tcW w:w="3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(93)</w:t>
            </w:r>
          </w:p>
        </w:tc>
        <w:tc>
          <w:tcPr>
            <w:tcW w:w="11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b w:val="1"/>
                <w:bCs w:val="1"/>
                <w:color w:val="auto"/>
              </w:rPr>
              <w:t>NM</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Eliminations of transactions between segments within Content &amp; Experiences are presented separately. Refer to Note 2 for additional information on transactions between our segments.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Non-GAAP Financial Measures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Adjusted EBITDA</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from Net Income Attributable to Comcast Corporation to Adjusted EBITDA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tcPr>
          <w:p>
            <w:pPr>
              <w:jc w:val="right"/>
              <w:ind w:right="299"/>
              <w:spacing w:after="0"/>
              <w:rPr>
                <w:sz w:val="20"/>
                <w:szCs w:val="20"/>
                <w:color w:val="auto"/>
              </w:rPr>
            </w:pPr>
            <w:r>
              <w:rPr>
                <w:rFonts w:ascii="Arial" w:cs="Arial" w:eastAsia="Arial" w:hAnsi="Arial"/>
                <w:sz w:val="14"/>
                <w:szCs w:val="14"/>
                <w:color w:val="auto"/>
                <w:w w:val="93"/>
              </w:rPr>
              <w:t>Three Months Ended</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82"/>
        </w:trPr>
        <w:tc>
          <w:tcPr>
            <w:tcW w:w="4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4"/>
                <w:szCs w:val="14"/>
                <w:color w:val="auto"/>
              </w:rPr>
              <w:t>September 30,</w:t>
            </w:r>
          </w:p>
        </w:tc>
        <w:tc>
          <w:tcPr>
            <w:tcW w:w="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r>
      <w:tr>
        <w:trPr>
          <w:trHeight w:val="190"/>
        </w:trPr>
        <w:tc>
          <w:tcPr>
            <w:tcW w:w="492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2022</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 attributable to Comcast Corporation</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7"/>
                <w:szCs w:val="17"/>
                <w:b w:val="1"/>
                <w:bCs w:val="1"/>
                <w:color w:val="auto"/>
                <w:w w:val="84"/>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4,046</w:t>
            </w:r>
          </w:p>
        </w:tc>
        <w:tc>
          <w:tcPr>
            <w:tcW w:w="980" w:type="dxa"/>
            <w:vAlign w:val="bottom"/>
            <w:shd w:val="clear" w:color="auto" w:fill="CCEEFF"/>
          </w:tcPr>
          <w:p>
            <w:pPr>
              <w:jc w:val="right"/>
              <w:ind w:right="699"/>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92"/>
              </w:rPr>
              <w:t>(4,598)</w:t>
            </w:r>
          </w:p>
        </w:tc>
        <w:tc>
          <w:tcPr>
            <w:tcW w:w="460" w:type="dxa"/>
            <w:vAlign w:val="bottom"/>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12,128</w:t>
            </w:r>
          </w:p>
        </w:tc>
        <w:tc>
          <w:tcPr>
            <w:tcW w:w="640" w:type="dxa"/>
            <w:vAlign w:val="bottom"/>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2,347</w:t>
            </w: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880" w:type="dxa"/>
            <w:vAlign w:val="bottom"/>
          </w:tcPr>
          <w:p>
            <w:pPr>
              <w:spacing w:after="0"/>
              <w:rPr>
                <w:sz w:val="19"/>
                <w:szCs w:val="19"/>
                <w:color w:val="auto"/>
              </w:rPr>
            </w:pPr>
          </w:p>
        </w:tc>
        <w:tc>
          <w:tcPr>
            <w:tcW w:w="640" w:type="dxa"/>
            <w:vAlign w:val="bottom"/>
          </w:tcPr>
          <w:p>
            <w:pPr>
              <w:jc w:val="right"/>
              <w:ind w:right="56"/>
              <w:spacing w:after="0"/>
              <w:rPr>
                <w:sz w:val="20"/>
                <w:szCs w:val="20"/>
                <w:color w:val="auto"/>
              </w:rPr>
            </w:pPr>
            <w:r>
              <w:rPr>
                <w:rFonts w:ascii="Arial" w:cs="Arial" w:eastAsia="Arial" w:hAnsi="Arial"/>
                <w:sz w:val="17"/>
                <w:szCs w:val="17"/>
                <w:color w:val="auto"/>
              </w:rPr>
              <w:t>(49)</w:t>
            </w:r>
          </w:p>
        </w:tc>
        <w:tc>
          <w:tcPr>
            <w:tcW w:w="98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Arial" w:cs="Arial" w:eastAsia="Arial" w:hAnsi="Arial"/>
                <w:sz w:val="17"/>
                <w:szCs w:val="17"/>
                <w:color w:val="auto"/>
              </w:rPr>
              <w:t>(68)</w:t>
            </w:r>
          </w:p>
        </w:tc>
        <w:tc>
          <w:tcPr>
            <w:tcW w:w="46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(175)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(295)</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1,468</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1,014</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4,481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3,562</w:t>
            </w: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880" w:type="dxa"/>
            <w:vAlign w:val="bottom"/>
          </w:tcPr>
          <w:p>
            <w:pPr>
              <w:spacing w:after="0"/>
              <w:rPr>
                <w:sz w:val="19"/>
                <w:szCs w:val="19"/>
                <w:color w:val="auto"/>
              </w:rPr>
            </w:pPr>
          </w:p>
        </w:tc>
        <w:tc>
          <w:tcPr>
            <w:tcW w:w="640" w:type="dxa"/>
            <w:vAlign w:val="bottom"/>
          </w:tcPr>
          <w:p>
            <w:pPr>
              <w:jc w:val="right"/>
              <w:ind w:right="96"/>
              <w:spacing w:after="0"/>
              <w:rPr>
                <w:sz w:val="20"/>
                <w:szCs w:val="20"/>
                <w:color w:val="auto"/>
              </w:rPr>
            </w:pPr>
            <w:r>
              <w:rPr>
                <w:rFonts w:ascii="Arial" w:cs="Arial" w:eastAsia="Arial" w:hAnsi="Arial"/>
                <w:sz w:val="17"/>
                <w:szCs w:val="17"/>
                <w:color w:val="auto"/>
              </w:rPr>
              <w:t>1,060</w:t>
            </w:r>
          </w:p>
        </w:tc>
        <w:tc>
          <w:tcPr>
            <w:tcW w:w="98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960</w:t>
            </w:r>
          </w:p>
        </w:tc>
        <w:tc>
          <w:tcPr>
            <w:tcW w:w="46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3,068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2,922</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and other (income) loss, net</w:t>
            </w: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(50)</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266</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(672)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w:t>
            </w: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880" w:type="dxa"/>
            <w:vAlign w:val="bottom"/>
          </w:tcPr>
          <w:p>
            <w:pPr>
              <w:spacing w:after="0"/>
              <w:rPr>
                <w:sz w:val="19"/>
                <w:szCs w:val="19"/>
                <w:color w:val="auto"/>
              </w:rPr>
            </w:pPr>
          </w:p>
        </w:tc>
        <w:tc>
          <w:tcPr>
            <w:tcW w:w="640" w:type="dxa"/>
            <w:vAlign w:val="bottom"/>
          </w:tcPr>
          <w:p>
            <w:pPr>
              <w:jc w:val="right"/>
              <w:ind w:right="96"/>
              <w:spacing w:after="0"/>
              <w:rPr>
                <w:sz w:val="20"/>
                <w:szCs w:val="20"/>
                <w:color w:val="auto"/>
              </w:rPr>
            </w:pPr>
            <w:r>
              <w:rPr>
                <w:rFonts w:ascii="Arial" w:cs="Arial" w:eastAsia="Arial" w:hAnsi="Arial"/>
                <w:sz w:val="17"/>
                <w:szCs w:val="17"/>
                <w:color w:val="auto"/>
              </w:rPr>
              <w:t>2,203</w:t>
            </w:r>
          </w:p>
        </w:tc>
        <w:tc>
          <w:tcPr>
            <w:tcW w:w="98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2,150</w:t>
            </w:r>
          </w:p>
        </w:tc>
        <w:tc>
          <w:tcPr>
            <w:tcW w:w="46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6,662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6,525</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w:t>
            </w: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1,290</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1,183</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4,146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3,824</w:t>
            </w: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Goodwill and long-lived asset impairments</w:t>
            </w:r>
          </w:p>
        </w:tc>
        <w:tc>
          <w:tcPr>
            <w:tcW w:w="880" w:type="dxa"/>
            <w:vAlign w:val="bottom"/>
          </w:tcPr>
          <w:p>
            <w:pPr>
              <w:spacing w:after="0"/>
              <w:rPr>
                <w:sz w:val="19"/>
                <w:szCs w:val="19"/>
                <w:color w:val="auto"/>
              </w:rPr>
            </w:pPr>
          </w:p>
        </w:tc>
        <w:tc>
          <w:tcPr>
            <w:tcW w:w="64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8,583</w:t>
            </w:r>
          </w:p>
        </w:tc>
        <w:tc>
          <w:tcPr>
            <w:tcW w:w="46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8,583</w:t>
            </w:r>
          </w:p>
        </w:tc>
      </w:tr>
      <w:tr>
        <w:trPr>
          <w:trHeight w:val="223"/>
        </w:trPr>
        <w:tc>
          <w:tcPr>
            <w:tcW w:w="492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7"/>
                <w:szCs w:val="17"/>
                <w:color w:val="auto"/>
              </w:rPr>
              <w:t>Adjustments</w:t>
            </w:r>
            <w:r>
              <w:rPr>
                <w:rFonts w:ascii="Arial" w:cs="Arial" w:eastAsia="Arial" w:hAnsi="Arial"/>
                <w:sz w:val="22"/>
                <w:szCs w:val="22"/>
                <w:color w:val="auto"/>
                <w:vertAlign w:val="superscript"/>
              </w:rPr>
              <w:t>(a)</w:t>
            </w:r>
          </w:p>
        </w:tc>
        <w:tc>
          <w:tcPr>
            <w:tcW w:w="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(6)</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(9)</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(16)</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9,962</w:t>
            </w:r>
          </w:p>
        </w:tc>
        <w:tc>
          <w:tcPr>
            <w:tcW w:w="980" w:type="dxa"/>
            <w:vAlign w:val="bottom"/>
            <w:tcBorders>
              <w:bottom w:val="single" w:sz="8" w:color="auto"/>
            </w:tcBorders>
          </w:tcPr>
          <w:p>
            <w:pPr>
              <w:jc w:val="right"/>
              <w:ind w:right="699"/>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9,482</w:t>
            </w:r>
          </w:p>
        </w:tc>
        <w:tc>
          <w:tcPr>
            <w:tcW w:w="4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29,621</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28,459</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(a) Amounts represent the impact of certain events, gains, losses or other charges that are excluded from Adjusted EBITDA, including costs related to our investment portfolio.</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Constant Currency</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evaluate their underlying performance.</w:t>
      </w:r>
    </w:p>
    <w:p>
      <w:pPr>
        <w:spacing w:after="0" w:line="77"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of Connectivity &amp; Platforms Constant Currency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6"/>
          </w:tcPr>
          <w:p>
            <w:pPr>
              <w:jc w:val="center"/>
              <w:spacing w:after="0"/>
              <w:rPr>
                <w:sz w:val="20"/>
                <w:szCs w:val="20"/>
                <w:color w:val="auto"/>
              </w:rPr>
            </w:pPr>
            <w:r>
              <w:rPr>
                <w:rFonts w:ascii="Arial" w:cs="Arial" w:eastAsia="Arial" w:hAnsi="Arial"/>
                <w:sz w:val="14"/>
                <w:szCs w:val="14"/>
                <w:color w:val="auto"/>
                <w:w w:val="88"/>
              </w:rPr>
              <w:t>Three Months Ended September 30, 2022</w:t>
            </w:r>
          </w:p>
        </w:tc>
        <w:tc>
          <w:tcPr>
            <w:tcW w:w="520" w:type="dxa"/>
            <w:vAlign w:val="bottom"/>
          </w:tcPr>
          <w:p>
            <w:pPr>
              <w:spacing w:after="0"/>
              <w:rPr>
                <w:sz w:val="15"/>
                <w:szCs w:val="15"/>
                <w:color w:val="auto"/>
              </w:rPr>
            </w:pPr>
          </w:p>
        </w:tc>
        <w:tc>
          <w:tcPr>
            <w:tcW w:w="3460" w:type="dxa"/>
            <w:vAlign w:val="bottom"/>
            <w:gridSpan w:val="6"/>
          </w:tcPr>
          <w:p>
            <w:pPr>
              <w:jc w:val="center"/>
              <w:spacing w:after="0"/>
              <w:rPr>
                <w:sz w:val="20"/>
                <w:szCs w:val="20"/>
                <w:color w:val="auto"/>
              </w:rPr>
            </w:pPr>
            <w:r>
              <w:rPr>
                <w:rFonts w:ascii="Arial" w:cs="Arial" w:eastAsia="Arial" w:hAnsi="Arial"/>
                <w:sz w:val="14"/>
                <w:szCs w:val="14"/>
                <w:color w:val="auto"/>
                <w:w w:val="88"/>
              </w:rPr>
              <w:t>Nine months ended September 30, 2022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3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1"/>
                <w:szCs w:val="11"/>
                <w:color w:val="auto"/>
              </w:rPr>
            </w:pPr>
          </w:p>
        </w:tc>
        <w:tc>
          <w:tcPr>
            <w:tcW w:w="940" w:type="dxa"/>
            <w:vAlign w:val="bottom"/>
            <w:vMerge w:val="restart"/>
          </w:tcPr>
          <w:p>
            <w:pPr>
              <w:jc w:val="right"/>
              <w:ind w:right="56"/>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11"/>
                <w:szCs w:val="11"/>
                <w:color w:val="auto"/>
              </w:rPr>
            </w:pPr>
          </w:p>
        </w:tc>
        <w:tc>
          <w:tcPr>
            <w:tcW w:w="118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91"/>
              </w:rPr>
              <w:t>Effects of Foreign</w:t>
            </w:r>
          </w:p>
        </w:tc>
        <w:tc>
          <w:tcPr>
            <w:tcW w:w="120" w:type="dxa"/>
            <w:vAlign w:val="bottom"/>
          </w:tcPr>
          <w:p>
            <w:pPr>
              <w:spacing w:after="0"/>
              <w:rPr>
                <w:sz w:val="11"/>
                <w:szCs w:val="11"/>
                <w:color w:val="auto"/>
              </w:rPr>
            </w:pPr>
          </w:p>
        </w:tc>
        <w:tc>
          <w:tcPr>
            <w:tcW w:w="1540" w:type="dxa"/>
            <w:vAlign w:val="bottom"/>
            <w:gridSpan w:val="2"/>
          </w:tcPr>
          <w:p>
            <w:pPr>
              <w:jc w:val="right"/>
              <w:ind w:right="373"/>
              <w:spacing w:after="0" w:line="132" w:lineRule="exact"/>
              <w:rPr>
                <w:sz w:val="20"/>
                <w:szCs w:val="20"/>
                <w:color w:val="auto"/>
              </w:rPr>
            </w:pPr>
            <w:r>
              <w:rPr>
                <w:rFonts w:ascii="Arial" w:cs="Arial" w:eastAsia="Arial" w:hAnsi="Arial"/>
                <w:sz w:val="14"/>
                <w:szCs w:val="14"/>
                <w:color w:val="auto"/>
                <w:w w:val="90"/>
              </w:rPr>
              <w:t>Constant Currency</w:t>
            </w:r>
          </w:p>
        </w:tc>
        <w:tc>
          <w:tcPr>
            <w:tcW w:w="940" w:type="dxa"/>
            <w:vAlign w:val="bottom"/>
            <w:vMerge w:val="restart"/>
          </w:tcPr>
          <w:p>
            <w:pPr>
              <w:jc w:val="right"/>
              <w:ind w:right="36"/>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11"/>
                <w:szCs w:val="11"/>
                <w:color w:val="auto"/>
              </w:rPr>
            </w:pPr>
          </w:p>
        </w:tc>
        <w:tc>
          <w:tcPr>
            <w:tcW w:w="118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92"/>
              </w:rPr>
              <w:t>Effects of Foreign</w:t>
            </w:r>
          </w:p>
        </w:tc>
        <w:tc>
          <w:tcPr>
            <w:tcW w:w="120" w:type="dxa"/>
            <w:vAlign w:val="bottom"/>
          </w:tcPr>
          <w:p>
            <w:pPr>
              <w:spacing w:after="0"/>
              <w:rPr>
                <w:sz w:val="11"/>
                <w:szCs w:val="11"/>
                <w:color w:val="auto"/>
              </w:rPr>
            </w:pPr>
          </w:p>
        </w:tc>
        <w:tc>
          <w:tcPr>
            <w:tcW w:w="1220" w:type="dxa"/>
            <w:vAlign w:val="bottom"/>
            <w:gridSpan w:val="2"/>
          </w:tcPr>
          <w:p>
            <w:pPr>
              <w:jc w:val="right"/>
              <w:ind w:right="53"/>
              <w:spacing w:after="0" w:line="132" w:lineRule="exact"/>
              <w:rPr>
                <w:sz w:val="20"/>
                <w:szCs w:val="20"/>
                <w:color w:val="auto"/>
              </w:rPr>
            </w:pPr>
            <w:r>
              <w:rPr>
                <w:rFonts w:ascii="Arial" w:cs="Arial" w:eastAsia="Arial" w:hAnsi="Arial"/>
                <w:sz w:val="14"/>
                <w:szCs w:val="14"/>
                <w:color w:val="auto"/>
                <w:w w:val="90"/>
              </w:rPr>
              <w:t>Constant Currency</w:t>
            </w:r>
          </w:p>
        </w:tc>
        <w:tc>
          <w:tcPr>
            <w:tcW w:w="0" w:type="dxa"/>
            <w:vAlign w:val="bottom"/>
          </w:tcPr>
          <w:p>
            <w:pPr>
              <w:spacing w:after="0"/>
              <w:rPr>
                <w:sz w:val="1"/>
                <w:szCs w:val="1"/>
                <w:color w:val="auto"/>
              </w:rPr>
            </w:pPr>
          </w:p>
        </w:tc>
      </w:tr>
      <w:tr>
        <w:trPr>
          <w:trHeight w:val="184"/>
        </w:trPr>
        <w:tc>
          <w:tcPr>
            <w:tcW w:w="33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w w:val="91"/>
              </w:rPr>
              <w:t>Currency</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Amounts</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w w:val="91"/>
              </w:rPr>
              <w:t>Currency</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Amounts</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80" w:type="dxa"/>
            <w:vAlign w:val="bottom"/>
          </w:tcPr>
          <w:p>
            <w:pPr>
              <w:ind w:left="20"/>
              <w:spacing w:after="0"/>
              <w:rPr>
                <w:sz w:val="20"/>
                <w:szCs w:val="20"/>
                <w:color w:val="auto"/>
              </w:rPr>
            </w:pPr>
            <w:r>
              <w:rPr>
                <w:rFonts w:ascii="Arial" w:cs="Arial" w:eastAsia="Arial" w:hAnsi="Arial"/>
                <w:sz w:val="17"/>
                <w:szCs w:val="17"/>
                <w:color w:val="auto"/>
              </w:rPr>
              <w:t>Residential Connectivity &amp; Platforms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17,833</w:t>
            </w:r>
          </w:p>
        </w:tc>
        <w:tc>
          <w:tcPr>
            <w:tcW w:w="2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18,021</w:t>
            </w: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54,305</w:t>
            </w:r>
          </w:p>
        </w:tc>
        <w:tc>
          <w:tcPr>
            <w:tcW w:w="2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54,176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Business Services Connectivity</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2,215</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2,215</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6,589</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6,589</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Connectivity &amp; Platforms revenue</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20,048</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20,236</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60,894</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60,765</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tcPr>
          <w:p>
            <w:pPr>
              <w:ind w:left="20"/>
              <w:spacing w:after="0"/>
              <w:rPr>
                <w:sz w:val="20"/>
                <w:szCs w:val="20"/>
                <w:color w:val="auto"/>
              </w:rPr>
            </w:pPr>
            <w:r>
              <w:rPr>
                <w:rFonts w:ascii="Arial" w:cs="Arial" w:eastAsia="Arial" w:hAnsi="Arial"/>
                <w:sz w:val="17"/>
                <w:szCs w:val="17"/>
                <w:color w:val="auto"/>
              </w:rPr>
              <w:t>Residential Connectivity &amp; Platforms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6,695</w:t>
            </w:r>
          </w:p>
        </w:tc>
        <w:tc>
          <w:tcPr>
            <w:tcW w:w="2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6,723</w:t>
            </w: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20,039</w:t>
            </w:r>
          </w:p>
        </w:tc>
        <w:tc>
          <w:tcPr>
            <w:tcW w:w="2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Business Services Connectivity</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3,784</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3,784</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line="172" w:lineRule="exact"/>
              <w:rPr>
                <w:sz w:val="20"/>
                <w:szCs w:val="20"/>
                <w:color w:val="auto"/>
              </w:rPr>
            </w:pPr>
            <w:r>
              <w:rPr>
                <w:rFonts w:ascii="Arial" w:cs="Arial" w:eastAsia="Arial" w:hAnsi="Arial"/>
                <w:sz w:val="17"/>
                <w:szCs w:val="17"/>
                <w:b w:val="1"/>
                <w:bCs w:val="1"/>
                <w:color w:val="auto"/>
              </w:rPr>
              <w:t>Total Connectivity &amp; Platforms Adjusted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3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EBITDA</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7,983</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8,011</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23,822</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23,796</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 Margin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tcPr>
          <w:p>
            <w:pPr>
              <w:ind w:left="20"/>
              <w:spacing w:after="0"/>
              <w:rPr>
                <w:sz w:val="20"/>
                <w:szCs w:val="20"/>
                <w:color w:val="auto"/>
              </w:rPr>
            </w:pPr>
            <w:r>
              <w:rPr>
                <w:rFonts w:ascii="Arial" w:cs="Arial" w:eastAsia="Arial" w:hAnsi="Arial"/>
                <w:sz w:val="17"/>
                <w:szCs w:val="17"/>
                <w:color w:val="auto"/>
              </w:rPr>
              <w:t>Residential Connectivity &amp; Platforms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60" w:type="dxa"/>
            <w:vAlign w:val="bottom"/>
          </w:tcPr>
          <w:p>
            <w:pPr>
              <w:jc w:val="center"/>
              <w:ind w:left="254"/>
              <w:spacing w:after="0"/>
              <w:rPr>
                <w:sz w:val="20"/>
                <w:szCs w:val="20"/>
                <w:color w:val="auto"/>
              </w:rPr>
            </w:pPr>
            <w:r>
              <w:rPr>
                <w:rFonts w:ascii="Arial" w:cs="Arial" w:eastAsia="Arial" w:hAnsi="Arial"/>
                <w:sz w:val="17"/>
                <w:szCs w:val="17"/>
                <w:color w:val="auto"/>
                <w:w w:val="92"/>
              </w:rPr>
              <w:t>(20) bps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37.3</w:t>
            </w:r>
          </w:p>
        </w:tc>
        <w:tc>
          <w:tcPr>
            <w:tcW w:w="52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36.9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 bps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Business Services Connectivity</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54"/>
              <w:spacing w:after="0"/>
              <w:rPr>
                <w:sz w:val="20"/>
                <w:szCs w:val="20"/>
                <w:color w:val="auto"/>
              </w:rPr>
            </w:pPr>
            <w:r>
              <w:rPr>
                <w:rFonts w:ascii="Arial" w:cs="Arial" w:eastAsia="Arial" w:hAnsi="Arial"/>
                <w:sz w:val="17"/>
                <w:szCs w:val="17"/>
                <w:color w:val="auto"/>
                <w:w w:val="92"/>
              </w:rPr>
              <w:t>(10) bps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bps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line="172" w:lineRule="exact"/>
              <w:rPr>
                <w:sz w:val="20"/>
                <w:szCs w:val="20"/>
                <w:color w:val="auto"/>
              </w:rPr>
            </w:pPr>
            <w:r>
              <w:rPr>
                <w:rFonts w:ascii="Arial" w:cs="Arial" w:eastAsia="Arial" w:hAnsi="Arial"/>
                <w:sz w:val="17"/>
                <w:szCs w:val="17"/>
                <w:b w:val="1"/>
                <w:bCs w:val="1"/>
                <w:color w:val="auto"/>
              </w:rPr>
              <w:t>Total Connectivity &amp; Platforms Adjusted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3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EBITDA margin</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39.8 %</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34"/>
              <w:spacing w:after="0"/>
              <w:rPr>
                <w:sz w:val="20"/>
                <w:szCs w:val="20"/>
                <w:color w:val="auto"/>
              </w:rPr>
            </w:pPr>
            <w:r>
              <w:rPr>
                <w:rFonts w:ascii="Arial" w:cs="Arial" w:eastAsia="Arial" w:hAnsi="Arial"/>
                <w:sz w:val="17"/>
                <w:szCs w:val="17"/>
                <w:b w:val="1"/>
                <w:bCs w:val="1"/>
                <w:color w:val="auto"/>
                <w:w w:val="91"/>
              </w:rPr>
              <w:t>(20) bps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7"/>
                <w:szCs w:val="17"/>
                <w:b w:val="1"/>
                <w:bCs w:val="1"/>
                <w:color w:val="auto"/>
              </w:rPr>
              <w:t>39.6 %</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39.1 %</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 bps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39.2 %</w:t>
            </w:r>
          </w:p>
        </w:tc>
        <w:tc>
          <w:tcPr>
            <w:tcW w:w="0" w:type="dxa"/>
            <w:vAlign w:val="bottom"/>
          </w:tcPr>
          <w:p>
            <w:pPr>
              <w:spacing w:after="0"/>
              <w:rPr>
                <w:sz w:val="1"/>
                <w:szCs w:val="1"/>
                <w:color w:val="auto"/>
              </w:rPr>
            </w:pPr>
          </w:p>
        </w:tc>
      </w:tr>
      <w:tr>
        <w:trPr>
          <w:trHeight w:val="884"/>
        </w:trPr>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center"/>
              <w:ind w:left="294"/>
              <w:spacing w:after="0"/>
              <w:rPr>
                <w:sz w:val="20"/>
                <w:szCs w:val="20"/>
                <w:color w:val="auto"/>
              </w:rPr>
            </w:pPr>
            <w:r>
              <w:rPr>
                <w:rFonts w:ascii="Arial" w:cs="Arial" w:eastAsia="Arial" w:hAnsi="Arial"/>
                <w:sz w:val="17"/>
                <w:szCs w:val="17"/>
                <w:color w:val="auto"/>
                <w:w w:val="94"/>
              </w:rPr>
              <w:t>29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80" w:type="dxa"/>
            <w:vAlign w:val="bottom"/>
            <w:gridSpan w:val="5"/>
          </w:tcPr>
          <w:p>
            <w:pPr>
              <w:jc w:val="center"/>
              <w:ind w:right="135"/>
              <w:spacing w:after="0"/>
              <w:rPr>
                <w:sz w:val="20"/>
                <w:szCs w:val="20"/>
                <w:color w:val="auto"/>
              </w:rPr>
            </w:pPr>
            <w:r>
              <w:rPr>
                <w:rFonts w:ascii="Arial" w:cs="Arial" w:eastAsia="Arial" w:hAnsi="Arial"/>
                <w:sz w:val="14"/>
                <w:szCs w:val="14"/>
                <w:color w:val="auto"/>
                <w:w w:val="88"/>
              </w:rPr>
              <w:t>Three Months Ended September 30, 2022</w:t>
            </w:r>
          </w:p>
        </w:tc>
        <w:tc>
          <w:tcPr>
            <w:tcW w:w="260" w:type="dxa"/>
            <w:vAlign w:val="bottom"/>
          </w:tcPr>
          <w:p>
            <w:pPr>
              <w:spacing w:after="0"/>
              <w:rPr>
                <w:sz w:val="15"/>
                <w:szCs w:val="15"/>
                <w:color w:val="auto"/>
              </w:rPr>
            </w:pPr>
          </w:p>
        </w:tc>
        <w:tc>
          <w:tcPr>
            <w:tcW w:w="3540" w:type="dxa"/>
            <w:vAlign w:val="bottom"/>
            <w:gridSpan w:val="5"/>
          </w:tcPr>
          <w:p>
            <w:pPr>
              <w:jc w:val="center"/>
              <w:ind w:right="95"/>
              <w:spacing w:after="0"/>
              <w:rPr>
                <w:sz w:val="20"/>
                <w:szCs w:val="20"/>
                <w:color w:val="auto"/>
              </w:rPr>
            </w:pPr>
            <w:r>
              <w:rPr>
                <w:rFonts w:ascii="Arial" w:cs="Arial" w:eastAsia="Arial" w:hAnsi="Arial"/>
                <w:sz w:val="14"/>
                <w:szCs w:val="14"/>
                <w:color w:val="auto"/>
                <w:w w:val="88"/>
              </w:rPr>
              <w:t>Nine months ended September 30, 2022</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restart"/>
          </w:tcPr>
          <w:p>
            <w:pPr>
              <w:jc w:val="right"/>
              <w:ind w:right="177"/>
              <w:spacing w:after="0"/>
              <w:rPr>
                <w:sz w:val="20"/>
                <w:szCs w:val="20"/>
                <w:color w:val="auto"/>
              </w:rPr>
            </w:pPr>
            <w:r>
              <w:rPr>
                <w:rFonts w:ascii="Arial" w:cs="Arial" w:eastAsia="Arial" w:hAnsi="Arial"/>
                <w:sz w:val="14"/>
                <w:szCs w:val="14"/>
                <w:color w:val="auto"/>
                <w:w w:val="97"/>
              </w:rPr>
              <w:t>As Reported</w:t>
            </w:r>
          </w:p>
        </w:tc>
        <w:tc>
          <w:tcPr>
            <w:tcW w:w="120" w:type="dxa"/>
            <w:vAlign w:val="bottom"/>
          </w:tcPr>
          <w:p>
            <w:pPr>
              <w:spacing w:after="0"/>
              <w:rPr>
                <w:sz w:val="11"/>
                <w:szCs w:val="11"/>
                <w:color w:val="auto"/>
              </w:rPr>
            </w:pPr>
          </w:p>
        </w:tc>
        <w:tc>
          <w:tcPr>
            <w:tcW w:w="1140" w:type="dxa"/>
            <w:vAlign w:val="bottom"/>
          </w:tcPr>
          <w:p>
            <w:pPr>
              <w:jc w:val="center"/>
              <w:ind w:right="17"/>
              <w:spacing w:after="0" w:line="132" w:lineRule="exact"/>
              <w:rPr>
                <w:sz w:val="20"/>
                <w:szCs w:val="20"/>
                <w:color w:val="auto"/>
              </w:rPr>
            </w:pPr>
            <w:r>
              <w:rPr>
                <w:rFonts w:ascii="Arial" w:cs="Arial" w:eastAsia="Arial" w:hAnsi="Arial"/>
                <w:sz w:val="14"/>
                <w:szCs w:val="14"/>
                <w:color w:val="auto"/>
                <w:w w:val="91"/>
              </w:rPr>
              <w:t>Effects of Foreign</w:t>
            </w:r>
          </w:p>
        </w:tc>
        <w:tc>
          <w:tcPr>
            <w:tcW w:w="128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89"/>
              </w:rPr>
              <w:t>Constant Currency</w:t>
            </w:r>
          </w:p>
        </w:tc>
        <w:tc>
          <w:tcPr>
            <w:tcW w:w="260" w:type="dxa"/>
            <w:vAlign w:val="bottom"/>
          </w:tcPr>
          <w:p>
            <w:pPr>
              <w:spacing w:after="0"/>
              <w:rPr>
                <w:sz w:val="11"/>
                <w:szCs w:val="11"/>
                <w:color w:val="auto"/>
              </w:rPr>
            </w:pPr>
          </w:p>
        </w:tc>
        <w:tc>
          <w:tcPr>
            <w:tcW w:w="1020" w:type="dxa"/>
            <w:vAlign w:val="bottom"/>
            <w:vMerge w:val="restart"/>
          </w:tcPr>
          <w:p>
            <w:pPr>
              <w:jc w:val="right"/>
              <w:ind w:right="157"/>
              <w:spacing w:after="0"/>
              <w:rPr>
                <w:sz w:val="20"/>
                <w:szCs w:val="20"/>
                <w:color w:val="auto"/>
              </w:rPr>
            </w:pPr>
            <w:r>
              <w:rPr>
                <w:rFonts w:ascii="Arial" w:cs="Arial" w:eastAsia="Arial" w:hAnsi="Arial"/>
                <w:sz w:val="14"/>
                <w:szCs w:val="14"/>
                <w:color w:val="auto"/>
                <w:w w:val="97"/>
              </w:rPr>
              <w:t>As Reported</w:t>
            </w:r>
          </w:p>
        </w:tc>
        <w:tc>
          <w:tcPr>
            <w:tcW w:w="140" w:type="dxa"/>
            <w:vAlign w:val="bottom"/>
          </w:tcPr>
          <w:p>
            <w:pPr>
              <w:spacing w:after="0"/>
              <w:rPr>
                <w:sz w:val="11"/>
                <w:szCs w:val="11"/>
                <w:color w:val="auto"/>
              </w:rPr>
            </w:pPr>
          </w:p>
        </w:tc>
        <w:tc>
          <w:tcPr>
            <w:tcW w:w="1140" w:type="dxa"/>
            <w:vAlign w:val="bottom"/>
          </w:tcPr>
          <w:p>
            <w:pPr>
              <w:jc w:val="center"/>
              <w:ind w:right="17"/>
              <w:spacing w:after="0" w:line="132" w:lineRule="exact"/>
              <w:rPr>
                <w:sz w:val="20"/>
                <w:szCs w:val="20"/>
                <w:color w:val="auto"/>
              </w:rPr>
            </w:pPr>
            <w:r>
              <w:rPr>
                <w:rFonts w:ascii="Arial" w:cs="Arial" w:eastAsia="Arial" w:hAnsi="Arial"/>
                <w:sz w:val="14"/>
                <w:szCs w:val="14"/>
                <w:color w:val="auto"/>
                <w:w w:val="91"/>
              </w:rPr>
              <w:t>Effects of Foreign</w:t>
            </w:r>
          </w:p>
        </w:tc>
        <w:tc>
          <w:tcPr>
            <w:tcW w:w="124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89"/>
              </w:rPr>
              <w:t>Constant Currency</w:t>
            </w:r>
          </w:p>
        </w:tc>
        <w:tc>
          <w:tcPr>
            <w:tcW w:w="0" w:type="dxa"/>
            <w:vAlign w:val="bottom"/>
          </w:tcPr>
          <w:p>
            <w:pPr>
              <w:spacing w:after="0"/>
              <w:rPr>
                <w:sz w:val="1"/>
                <w:szCs w:val="1"/>
                <w:color w:val="auto"/>
              </w:rPr>
            </w:pPr>
          </w:p>
        </w:tc>
      </w:tr>
      <w:tr>
        <w:trPr>
          <w:trHeight w:val="184"/>
        </w:trPr>
        <w:tc>
          <w:tcPr>
            <w:tcW w:w="3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1"/>
              </w:rPr>
              <w:t>Currency</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color w:val="auto"/>
                <w:w w:val="94"/>
              </w:rPr>
              <w:t>Amounts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1"/>
              </w:rPr>
              <w:t>Currency</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w w:val="94"/>
              </w:rPr>
              <w:t>Amounts</w:t>
            </w:r>
          </w:p>
        </w:tc>
        <w:tc>
          <w:tcPr>
            <w:tcW w:w="0" w:type="dxa"/>
            <w:vAlign w:val="bottom"/>
          </w:tcPr>
          <w:p>
            <w:pPr>
              <w:spacing w:after="0"/>
              <w:rPr>
                <w:sz w:val="1"/>
                <w:szCs w:val="1"/>
                <w:color w:val="auto"/>
              </w:rPr>
            </w:pPr>
          </w:p>
        </w:tc>
      </w:tr>
      <w:tr>
        <w:trPr>
          <w:trHeight w:val="169"/>
        </w:trPr>
        <w:tc>
          <w:tcPr>
            <w:tcW w:w="36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Average monthly total Connectivity &amp; Platforms</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revenue per customer relationship</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128.75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128.79</w:t>
            </w:r>
          </w:p>
        </w:tc>
        <w:tc>
          <w:tcPr>
            <w:tcW w:w="0" w:type="dxa"/>
            <w:vAlign w:val="bottom"/>
          </w:tcPr>
          <w:p>
            <w:pPr>
              <w:spacing w:after="0"/>
              <w:rPr>
                <w:sz w:val="1"/>
                <w:szCs w:val="1"/>
                <w:color w:val="auto"/>
              </w:rPr>
            </w:pPr>
          </w:p>
        </w:tc>
      </w:tr>
      <w:tr>
        <w:trPr>
          <w:trHeight w:val="171"/>
        </w:trPr>
        <w:tc>
          <w:tcPr>
            <w:tcW w:w="3680" w:type="dxa"/>
            <w:vAlign w:val="bottom"/>
          </w:tcPr>
          <w:p>
            <w:pPr>
              <w:ind w:left="20"/>
              <w:spacing w:after="0" w:line="171" w:lineRule="exact"/>
              <w:rPr>
                <w:sz w:val="20"/>
                <w:szCs w:val="20"/>
                <w:color w:val="auto"/>
              </w:rPr>
            </w:pPr>
            <w:r>
              <w:rPr>
                <w:rFonts w:ascii="Arial" w:cs="Arial" w:eastAsia="Arial" w:hAnsi="Arial"/>
                <w:sz w:val="17"/>
                <w:szCs w:val="17"/>
                <w:color w:val="auto"/>
              </w:rPr>
              <w:t>Average monthly total Connectivity &amp; Platforms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Adjusted EBITDA per customer relationship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50.97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50.43</w:t>
            </w:r>
          </w:p>
        </w:tc>
        <w:tc>
          <w:tcPr>
            <w:tcW w:w="0" w:type="dxa"/>
            <w:vAlign w:val="bottom"/>
          </w:tcPr>
          <w:p>
            <w:pPr>
              <w:spacing w:after="0"/>
              <w:rPr>
                <w:sz w:val="1"/>
                <w:szCs w:val="1"/>
                <w:color w:val="auto"/>
              </w:rPr>
            </w:pPr>
          </w:p>
        </w:tc>
      </w:tr>
      <w:tr>
        <w:trPr>
          <w:trHeight w:val="402"/>
        </w:trPr>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5"/>
          </w:tcPr>
          <w:p>
            <w:pPr>
              <w:jc w:val="center"/>
              <w:ind w:right="135"/>
              <w:spacing w:after="0"/>
              <w:rPr>
                <w:sz w:val="20"/>
                <w:szCs w:val="20"/>
                <w:color w:val="auto"/>
              </w:rPr>
            </w:pPr>
            <w:r>
              <w:rPr>
                <w:rFonts w:ascii="Arial" w:cs="Arial" w:eastAsia="Arial" w:hAnsi="Arial"/>
                <w:sz w:val="14"/>
                <w:szCs w:val="14"/>
                <w:color w:val="auto"/>
                <w:w w:val="88"/>
              </w:rPr>
              <w:t>Three Months Ended September 30, 2022</w:t>
            </w:r>
          </w:p>
        </w:tc>
        <w:tc>
          <w:tcPr>
            <w:tcW w:w="260" w:type="dxa"/>
            <w:vAlign w:val="bottom"/>
          </w:tcPr>
          <w:p>
            <w:pPr>
              <w:spacing w:after="0"/>
              <w:rPr>
                <w:sz w:val="24"/>
                <w:szCs w:val="24"/>
                <w:color w:val="auto"/>
              </w:rPr>
            </w:pPr>
          </w:p>
        </w:tc>
        <w:tc>
          <w:tcPr>
            <w:tcW w:w="3540" w:type="dxa"/>
            <w:vAlign w:val="bottom"/>
            <w:gridSpan w:val="5"/>
          </w:tcPr>
          <w:p>
            <w:pPr>
              <w:jc w:val="center"/>
              <w:ind w:right="95"/>
              <w:spacing w:after="0"/>
              <w:rPr>
                <w:sz w:val="20"/>
                <w:szCs w:val="20"/>
                <w:color w:val="auto"/>
              </w:rPr>
            </w:pPr>
            <w:r>
              <w:rPr>
                <w:rFonts w:ascii="Arial" w:cs="Arial" w:eastAsia="Arial" w:hAnsi="Arial"/>
                <w:sz w:val="14"/>
                <w:szCs w:val="14"/>
                <w:color w:val="auto"/>
                <w:w w:val="88"/>
              </w:rPr>
              <w:t>Nine months ended September 30, 2022</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040" w:type="dxa"/>
            <w:vAlign w:val="bottom"/>
            <w:vMerge w:val="restart"/>
          </w:tcPr>
          <w:p>
            <w:pPr>
              <w:jc w:val="right"/>
              <w:ind w:right="177"/>
              <w:spacing w:after="0"/>
              <w:rPr>
                <w:sz w:val="20"/>
                <w:szCs w:val="20"/>
                <w:color w:val="auto"/>
              </w:rPr>
            </w:pPr>
            <w:r>
              <w:rPr>
                <w:rFonts w:ascii="Arial" w:cs="Arial" w:eastAsia="Arial" w:hAnsi="Arial"/>
                <w:sz w:val="14"/>
                <w:szCs w:val="14"/>
                <w:color w:val="auto"/>
                <w:w w:val="97"/>
              </w:rPr>
              <w:t>As Reported</w:t>
            </w:r>
          </w:p>
        </w:tc>
        <w:tc>
          <w:tcPr>
            <w:tcW w:w="120" w:type="dxa"/>
            <w:vAlign w:val="bottom"/>
          </w:tcPr>
          <w:p>
            <w:pPr>
              <w:spacing w:after="0"/>
              <w:rPr>
                <w:sz w:val="11"/>
                <w:szCs w:val="11"/>
                <w:color w:val="auto"/>
              </w:rPr>
            </w:pPr>
          </w:p>
        </w:tc>
        <w:tc>
          <w:tcPr>
            <w:tcW w:w="1140" w:type="dxa"/>
            <w:vAlign w:val="bottom"/>
          </w:tcPr>
          <w:p>
            <w:pPr>
              <w:jc w:val="center"/>
              <w:ind w:right="17"/>
              <w:spacing w:after="0" w:line="132" w:lineRule="exact"/>
              <w:rPr>
                <w:sz w:val="20"/>
                <w:szCs w:val="20"/>
                <w:color w:val="auto"/>
              </w:rPr>
            </w:pPr>
            <w:r>
              <w:rPr>
                <w:rFonts w:ascii="Arial" w:cs="Arial" w:eastAsia="Arial" w:hAnsi="Arial"/>
                <w:sz w:val="14"/>
                <w:szCs w:val="14"/>
                <w:color w:val="auto"/>
                <w:w w:val="91"/>
              </w:rPr>
              <w:t>Effects of Foreign</w:t>
            </w:r>
          </w:p>
        </w:tc>
        <w:tc>
          <w:tcPr>
            <w:tcW w:w="128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89"/>
              </w:rPr>
              <w:t>Constant Currency</w:t>
            </w:r>
          </w:p>
        </w:tc>
        <w:tc>
          <w:tcPr>
            <w:tcW w:w="260" w:type="dxa"/>
            <w:vAlign w:val="bottom"/>
          </w:tcPr>
          <w:p>
            <w:pPr>
              <w:spacing w:after="0"/>
              <w:rPr>
                <w:sz w:val="11"/>
                <w:szCs w:val="11"/>
                <w:color w:val="auto"/>
              </w:rPr>
            </w:pPr>
          </w:p>
        </w:tc>
        <w:tc>
          <w:tcPr>
            <w:tcW w:w="1020" w:type="dxa"/>
            <w:vAlign w:val="bottom"/>
            <w:vMerge w:val="restart"/>
          </w:tcPr>
          <w:p>
            <w:pPr>
              <w:jc w:val="right"/>
              <w:ind w:right="157"/>
              <w:spacing w:after="0"/>
              <w:rPr>
                <w:sz w:val="20"/>
                <w:szCs w:val="20"/>
                <w:color w:val="auto"/>
              </w:rPr>
            </w:pPr>
            <w:r>
              <w:rPr>
                <w:rFonts w:ascii="Arial" w:cs="Arial" w:eastAsia="Arial" w:hAnsi="Arial"/>
                <w:sz w:val="14"/>
                <w:szCs w:val="14"/>
                <w:color w:val="auto"/>
                <w:w w:val="97"/>
              </w:rPr>
              <w:t>As Reported</w:t>
            </w:r>
          </w:p>
        </w:tc>
        <w:tc>
          <w:tcPr>
            <w:tcW w:w="140" w:type="dxa"/>
            <w:vAlign w:val="bottom"/>
          </w:tcPr>
          <w:p>
            <w:pPr>
              <w:spacing w:after="0"/>
              <w:rPr>
                <w:sz w:val="11"/>
                <w:szCs w:val="11"/>
                <w:color w:val="auto"/>
              </w:rPr>
            </w:pPr>
          </w:p>
        </w:tc>
        <w:tc>
          <w:tcPr>
            <w:tcW w:w="1140" w:type="dxa"/>
            <w:vAlign w:val="bottom"/>
          </w:tcPr>
          <w:p>
            <w:pPr>
              <w:jc w:val="center"/>
              <w:ind w:right="17"/>
              <w:spacing w:after="0" w:line="132" w:lineRule="exact"/>
              <w:rPr>
                <w:sz w:val="20"/>
                <w:szCs w:val="20"/>
                <w:color w:val="auto"/>
              </w:rPr>
            </w:pPr>
            <w:r>
              <w:rPr>
                <w:rFonts w:ascii="Arial" w:cs="Arial" w:eastAsia="Arial" w:hAnsi="Arial"/>
                <w:sz w:val="14"/>
                <w:szCs w:val="14"/>
                <w:color w:val="auto"/>
                <w:w w:val="91"/>
              </w:rPr>
              <w:t>Effects of Foreign</w:t>
            </w:r>
          </w:p>
        </w:tc>
        <w:tc>
          <w:tcPr>
            <w:tcW w:w="124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89"/>
              </w:rPr>
              <w:t>Constant Currency</w:t>
            </w:r>
          </w:p>
        </w:tc>
        <w:tc>
          <w:tcPr>
            <w:tcW w:w="0" w:type="dxa"/>
            <w:vAlign w:val="bottom"/>
          </w:tcPr>
          <w:p>
            <w:pPr>
              <w:spacing w:after="0"/>
              <w:rPr>
                <w:sz w:val="1"/>
                <w:szCs w:val="1"/>
                <w:color w:val="auto"/>
              </w:rPr>
            </w:pPr>
          </w:p>
        </w:tc>
      </w:tr>
      <w:tr>
        <w:trPr>
          <w:trHeight w:val="184"/>
        </w:trPr>
        <w:tc>
          <w:tcPr>
            <w:tcW w:w="36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1"/>
              </w:rPr>
              <w:t>Currency</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color w:val="auto"/>
                <w:w w:val="94"/>
              </w:rPr>
              <w:t>Amounts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1"/>
              </w:rPr>
              <w:t>Currency</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w w:val="94"/>
              </w:rPr>
              <w:t>Amounts</w:t>
            </w:r>
          </w:p>
        </w:tc>
        <w:tc>
          <w:tcPr>
            <w:tcW w:w="0" w:type="dxa"/>
            <w:vAlign w:val="bottom"/>
          </w:tcPr>
          <w:p>
            <w:pPr>
              <w:spacing w:after="0"/>
              <w:rPr>
                <w:sz w:val="1"/>
                <w:szCs w:val="1"/>
                <w:color w:val="auto"/>
              </w:rPr>
            </w:pPr>
          </w:p>
        </w:tc>
      </w:tr>
      <w:tr>
        <w:trPr>
          <w:trHeight w:val="221"/>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Costs and Expenses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180"/>
              <w:spacing w:after="0"/>
              <w:rPr>
                <w:sz w:val="20"/>
                <w:szCs w:val="20"/>
                <w:color w:val="auto"/>
              </w:rPr>
            </w:pPr>
            <w:r>
              <w:rPr>
                <w:rFonts w:ascii="Arial" w:cs="Arial" w:eastAsia="Arial" w:hAnsi="Arial"/>
                <w:sz w:val="17"/>
                <w:szCs w:val="17"/>
                <w:color w:val="auto"/>
              </w:rPr>
              <w:t>Programming</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4,464</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56</w:t>
            </w:r>
          </w:p>
        </w:tc>
        <w:tc>
          <w:tcPr>
            <w:tcW w:w="240" w:type="dxa"/>
            <w:vAlign w:val="bottom"/>
          </w:tcPr>
          <w:p>
            <w:pPr>
              <w:jc w:val="right"/>
              <w:ind w:right="59"/>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4,520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14,027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(36)</w:t>
            </w:r>
          </w:p>
        </w:tc>
        <w:tc>
          <w:tcPr>
            <w:tcW w:w="240" w:type="dxa"/>
            <w:vAlign w:val="bottom"/>
          </w:tcPr>
          <w:p>
            <w:pPr>
              <w:jc w:val="right"/>
              <w:ind w:right="59"/>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13,991</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Technical and support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1,928</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5,768</w:t>
            </w:r>
          </w:p>
        </w:tc>
        <w:tc>
          <w:tcPr>
            <w:tcW w:w="0" w:type="dxa"/>
            <w:vAlign w:val="bottom"/>
          </w:tcPr>
          <w:p>
            <w:pPr>
              <w:spacing w:after="0"/>
              <w:rPr>
                <w:sz w:val="1"/>
                <w:szCs w:val="1"/>
                <w:color w:val="auto"/>
              </w:rPr>
            </w:pPr>
          </w:p>
        </w:tc>
      </w:tr>
      <w:tr>
        <w:trPr>
          <w:trHeight w:val="222"/>
        </w:trPr>
        <w:tc>
          <w:tcPr>
            <w:tcW w:w="3680" w:type="dxa"/>
            <w:vAlign w:val="bottom"/>
          </w:tcPr>
          <w:p>
            <w:pPr>
              <w:ind w:left="180"/>
              <w:spacing w:after="0"/>
              <w:rPr>
                <w:sz w:val="20"/>
                <w:szCs w:val="20"/>
                <w:color w:val="auto"/>
              </w:rPr>
            </w:pPr>
            <w:r>
              <w:rPr>
                <w:rFonts w:ascii="Arial" w:cs="Arial" w:eastAsia="Arial" w:hAnsi="Arial"/>
                <w:sz w:val="17"/>
                <w:szCs w:val="17"/>
                <w:color w:val="auto"/>
              </w:rPr>
              <w:t>Direct product costs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1,377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w:t>
            </w:r>
          </w:p>
        </w:tc>
        <w:tc>
          <w:tcPr>
            <w:tcW w:w="24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1,414</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4,045</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4,019</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Marketing and promotion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1,263</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3,868</w:t>
            </w:r>
          </w:p>
        </w:tc>
        <w:tc>
          <w:tcPr>
            <w:tcW w:w="0" w:type="dxa"/>
            <w:vAlign w:val="bottom"/>
          </w:tcPr>
          <w:p>
            <w:pPr>
              <w:spacing w:after="0"/>
              <w:rPr>
                <w:sz w:val="1"/>
                <w:szCs w:val="1"/>
                <w:color w:val="auto"/>
              </w:rPr>
            </w:pPr>
          </w:p>
        </w:tc>
      </w:tr>
      <w:tr>
        <w:trPr>
          <w:trHeight w:val="222"/>
        </w:trPr>
        <w:tc>
          <w:tcPr>
            <w:tcW w:w="3680" w:type="dxa"/>
            <w:vAlign w:val="bottom"/>
          </w:tcPr>
          <w:p>
            <w:pPr>
              <w:ind w:left="180"/>
              <w:spacing w:after="0"/>
              <w:rPr>
                <w:sz w:val="20"/>
                <w:szCs w:val="20"/>
                <w:color w:val="auto"/>
              </w:rPr>
            </w:pPr>
            <w:r>
              <w:rPr>
                <w:rFonts w:ascii="Arial" w:cs="Arial" w:eastAsia="Arial" w:hAnsi="Arial"/>
                <w:sz w:val="17"/>
                <w:szCs w:val="17"/>
                <w:color w:val="auto"/>
              </w:rPr>
              <w:t>Customer service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720</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2,168</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2,163</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2,354</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2,382</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7,182</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7,161</w:t>
            </w:r>
          </w:p>
        </w:tc>
        <w:tc>
          <w:tcPr>
            <w:tcW w:w="0" w:type="dxa"/>
            <w:vAlign w:val="bottom"/>
          </w:tcPr>
          <w:p>
            <w:pPr>
              <w:spacing w:after="0"/>
              <w:rPr>
                <w:sz w:val="1"/>
                <w:szCs w:val="1"/>
                <w:color w:val="auto"/>
              </w:rPr>
            </w:pPr>
          </w:p>
        </w:tc>
      </w:tr>
      <w:tr>
        <w:trPr>
          <w:trHeight w:val="164"/>
        </w:trPr>
        <w:tc>
          <w:tcPr>
            <w:tcW w:w="3680" w:type="dxa"/>
            <w:vAlign w:val="bottom"/>
          </w:tcPr>
          <w:p>
            <w:pPr>
              <w:ind w:left="20"/>
              <w:spacing w:after="0" w:line="163" w:lineRule="exact"/>
              <w:rPr>
                <w:sz w:val="20"/>
                <w:szCs w:val="20"/>
                <w:color w:val="auto"/>
              </w:rPr>
            </w:pPr>
            <w:r>
              <w:rPr>
                <w:rFonts w:ascii="Arial" w:cs="Arial" w:eastAsia="Arial" w:hAnsi="Arial"/>
                <w:sz w:val="17"/>
                <w:szCs w:val="17"/>
                <w:b w:val="1"/>
                <w:bCs w:val="1"/>
                <w:color w:val="auto"/>
              </w:rPr>
              <w:t>Total Connectivity &amp; Platforms costs and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6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12,065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12,226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37,072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36,969</w:t>
            </w:r>
          </w:p>
        </w:tc>
        <w:tc>
          <w:tcPr>
            <w:tcW w:w="0" w:type="dxa"/>
            <w:vAlign w:val="bottom"/>
          </w:tcPr>
          <w:p>
            <w:pPr>
              <w:spacing w:after="0"/>
              <w:rPr>
                <w:sz w:val="1"/>
                <w:szCs w:val="1"/>
                <w:color w:val="auto"/>
              </w:rPr>
            </w:pPr>
          </w:p>
        </w:tc>
      </w:tr>
      <w:tr>
        <w:trPr>
          <w:trHeight w:val="424"/>
        </w:trPr>
        <w:tc>
          <w:tcPr>
            <w:tcW w:w="6160" w:type="dxa"/>
            <w:vAlign w:val="bottom"/>
            <w:gridSpan w:val="5"/>
          </w:tcPr>
          <w:p>
            <w:pPr>
              <w:spacing w:after="0"/>
              <w:rPr>
                <w:sz w:val="20"/>
                <w:szCs w:val="20"/>
                <w:color w:val="auto"/>
              </w:rPr>
            </w:pPr>
            <w:r>
              <w:rPr>
                <w:rFonts w:ascii="Arial" w:cs="Arial" w:eastAsia="Arial" w:hAnsi="Arial"/>
                <w:sz w:val="17"/>
                <w:szCs w:val="17"/>
                <w:b w:val="1"/>
                <w:bCs w:val="1"/>
                <w:i w:val="1"/>
                <w:iCs w:val="1"/>
                <w:color w:val="auto"/>
              </w:rPr>
              <w:t>Reconciliation of Residential Connectivity &amp; Platforms Constant Currency</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5"/>
          </w:tcPr>
          <w:p>
            <w:pPr>
              <w:jc w:val="center"/>
              <w:ind w:right="135"/>
              <w:spacing w:after="0"/>
              <w:rPr>
                <w:sz w:val="20"/>
                <w:szCs w:val="20"/>
                <w:color w:val="auto"/>
              </w:rPr>
            </w:pPr>
            <w:r>
              <w:rPr>
                <w:rFonts w:ascii="Arial" w:cs="Arial" w:eastAsia="Arial" w:hAnsi="Arial"/>
                <w:sz w:val="14"/>
                <w:szCs w:val="14"/>
                <w:color w:val="auto"/>
                <w:w w:val="88"/>
              </w:rPr>
              <w:t>Three Months Ended September 30, 2022</w:t>
            </w:r>
          </w:p>
        </w:tc>
        <w:tc>
          <w:tcPr>
            <w:tcW w:w="260" w:type="dxa"/>
            <w:vAlign w:val="bottom"/>
          </w:tcPr>
          <w:p>
            <w:pPr>
              <w:spacing w:after="0"/>
              <w:rPr>
                <w:sz w:val="24"/>
                <w:szCs w:val="24"/>
                <w:color w:val="auto"/>
              </w:rPr>
            </w:pPr>
          </w:p>
        </w:tc>
        <w:tc>
          <w:tcPr>
            <w:tcW w:w="3540" w:type="dxa"/>
            <w:vAlign w:val="bottom"/>
            <w:gridSpan w:val="5"/>
          </w:tcPr>
          <w:p>
            <w:pPr>
              <w:jc w:val="center"/>
              <w:ind w:right="95"/>
              <w:spacing w:after="0"/>
              <w:rPr>
                <w:sz w:val="20"/>
                <w:szCs w:val="20"/>
                <w:color w:val="auto"/>
              </w:rPr>
            </w:pPr>
            <w:r>
              <w:rPr>
                <w:rFonts w:ascii="Arial" w:cs="Arial" w:eastAsia="Arial" w:hAnsi="Arial"/>
                <w:sz w:val="14"/>
                <w:szCs w:val="14"/>
                <w:color w:val="auto"/>
                <w:w w:val="88"/>
              </w:rPr>
              <w:t>Nine months ended September 30, 2022</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0"/>
                <w:szCs w:val="10"/>
                <w:color w:val="auto"/>
              </w:rPr>
            </w:pPr>
          </w:p>
        </w:tc>
        <w:tc>
          <w:tcPr>
            <w:tcW w:w="1040" w:type="dxa"/>
            <w:vAlign w:val="bottom"/>
            <w:vMerge w:val="restart"/>
          </w:tcPr>
          <w:p>
            <w:pPr>
              <w:jc w:val="right"/>
              <w:ind w:right="177"/>
              <w:spacing w:after="0"/>
              <w:rPr>
                <w:sz w:val="20"/>
                <w:szCs w:val="20"/>
                <w:color w:val="auto"/>
              </w:rPr>
            </w:pPr>
            <w:r>
              <w:rPr>
                <w:rFonts w:ascii="Arial" w:cs="Arial" w:eastAsia="Arial" w:hAnsi="Arial"/>
                <w:sz w:val="14"/>
                <w:szCs w:val="14"/>
                <w:color w:val="auto"/>
                <w:w w:val="97"/>
              </w:rPr>
              <w:t>As Reported</w:t>
            </w:r>
          </w:p>
        </w:tc>
        <w:tc>
          <w:tcPr>
            <w:tcW w:w="120" w:type="dxa"/>
            <w:vAlign w:val="bottom"/>
          </w:tcPr>
          <w:p>
            <w:pPr>
              <w:spacing w:after="0"/>
              <w:rPr>
                <w:sz w:val="10"/>
                <w:szCs w:val="10"/>
                <w:color w:val="auto"/>
              </w:rPr>
            </w:pPr>
          </w:p>
        </w:tc>
        <w:tc>
          <w:tcPr>
            <w:tcW w:w="1140" w:type="dxa"/>
            <w:vAlign w:val="bottom"/>
          </w:tcPr>
          <w:p>
            <w:pPr>
              <w:jc w:val="center"/>
              <w:ind w:right="17"/>
              <w:spacing w:after="0" w:line="124" w:lineRule="exact"/>
              <w:rPr>
                <w:sz w:val="20"/>
                <w:szCs w:val="20"/>
                <w:color w:val="auto"/>
              </w:rPr>
            </w:pPr>
            <w:r>
              <w:rPr>
                <w:rFonts w:ascii="Arial" w:cs="Arial" w:eastAsia="Arial" w:hAnsi="Arial"/>
                <w:sz w:val="14"/>
                <w:szCs w:val="14"/>
                <w:color w:val="auto"/>
                <w:w w:val="91"/>
              </w:rPr>
              <w:t>Effects of Foreign</w:t>
            </w:r>
          </w:p>
        </w:tc>
        <w:tc>
          <w:tcPr>
            <w:tcW w:w="1280" w:type="dxa"/>
            <w:vAlign w:val="bottom"/>
            <w:gridSpan w:val="2"/>
          </w:tcPr>
          <w:p>
            <w:pPr>
              <w:jc w:val="center"/>
              <w:spacing w:after="0" w:line="124" w:lineRule="exact"/>
              <w:rPr>
                <w:sz w:val="20"/>
                <w:szCs w:val="20"/>
                <w:color w:val="auto"/>
              </w:rPr>
            </w:pPr>
            <w:r>
              <w:rPr>
                <w:rFonts w:ascii="Arial" w:cs="Arial" w:eastAsia="Arial" w:hAnsi="Arial"/>
                <w:sz w:val="14"/>
                <w:szCs w:val="14"/>
                <w:color w:val="auto"/>
                <w:w w:val="89"/>
              </w:rPr>
              <w:t>Constant Currency</w:t>
            </w:r>
          </w:p>
        </w:tc>
        <w:tc>
          <w:tcPr>
            <w:tcW w:w="260" w:type="dxa"/>
            <w:vAlign w:val="bottom"/>
          </w:tcPr>
          <w:p>
            <w:pPr>
              <w:spacing w:after="0"/>
              <w:rPr>
                <w:sz w:val="10"/>
                <w:szCs w:val="10"/>
                <w:color w:val="auto"/>
              </w:rPr>
            </w:pPr>
          </w:p>
        </w:tc>
        <w:tc>
          <w:tcPr>
            <w:tcW w:w="1020" w:type="dxa"/>
            <w:vAlign w:val="bottom"/>
            <w:vMerge w:val="restart"/>
          </w:tcPr>
          <w:p>
            <w:pPr>
              <w:jc w:val="right"/>
              <w:ind w:right="157"/>
              <w:spacing w:after="0"/>
              <w:rPr>
                <w:sz w:val="20"/>
                <w:szCs w:val="20"/>
                <w:color w:val="auto"/>
              </w:rPr>
            </w:pPr>
            <w:r>
              <w:rPr>
                <w:rFonts w:ascii="Arial" w:cs="Arial" w:eastAsia="Arial" w:hAnsi="Arial"/>
                <w:sz w:val="14"/>
                <w:szCs w:val="14"/>
                <w:color w:val="auto"/>
                <w:w w:val="97"/>
              </w:rPr>
              <w:t>As Reported</w:t>
            </w:r>
          </w:p>
        </w:tc>
        <w:tc>
          <w:tcPr>
            <w:tcW w:w="140" w:type="dxa"/>
            <w:vAlign w:val="bottom"/>
          </w:tcPr>
          <w:p>
            <w:pPr>
              <w:spacing w:after="0"/>
              <w:rPr>
                <w:sz w:val="10"/>
                <w:szCs w:val="10"/>
                <w:color w:val="auto"/>
              </w:rPr>
            </w:pPr>
          </w:p>
        </w:tc>
        <w:tc>
          <w:tcPr>
            <w:tcW w:w="1140" w:type="dxa"/>
            <w:vAlign w:val="bottom"/>
          </w:tcPr>
          <w:p>
            <w:pPr>
              <w:jc w:val="center"/>
              <w:ind w:right="17"/>
              <w:spacing w:after="0" w:line="124" w:lineRule="exact"/>
              <w:rPr>
                <w:sz w:val="20"/>
                <w:szCs w:val="20"/>
                <w:color w:val="auto"/>
              </w:rPr>
            </w:pPr>
            <w:r>
              <w:rPr>
                <w:rFonts w:ascii="Arial" w:cs="Arial" w:eastAsia="Arial" w:hAnsi="Arial"/>
                <w:sz w:val="14"/>
                <w:szCs w:val="14"/>
                <w:color w:val="auto"/>
                <w:w w:val="91"/>
              </w:rPr>
              <w:t>Effects of Foreign</w:t>
            </w:r>
          </w:p>
        </w:tc>
        <w:tc>
          <w:tcPr>
            <w:tcW w:w="1240" w:type="dxa"/>
            <w:vAlign w:val="bottom"/>
            <w:gridSpan w:val="2"/>
          </w:tcPr>
          <w:p>
            <w:pPr>
              <w:jc w:val="center"/>
              <w:spacing w:after="0" w:line="124" w:lineRule="exact"/>
              <w:rPr>
                <w:sz w:val="20"/>
                <w:szCs w:val="20"/>
                <w:color w:val="auto"/>
              </w:rPr>
            </w:pPr>
            <w:r>
              <w:rPr>
                <w:rFonts w:ascii="Arial" w:cs="Arial" w:eastAsia="Arial" w:hAnsi="Arial"/>
                <w:sz w:val="14"/>
                <w:szCs w:val="14"/>
                <w:color w:val="auto"/>
                <w:w w:val="89"/>
              </w:rPr>
              <w:t>Constant Currency</w:t>
            </w:r>
          </w:p>
        </w:tc>
        <w:tc>
          <w:tcPr>
            <w:tcW w:w="0" w:type="dxa"/>
            <w:vAlign w:val="bottom"/>
          </w:tcPr>
          <w:p>
            <w:pPr>
              <w:spacing w:after="0"/>
              <w:rPr>
                <w:sz w:val="1"/>
                <w:szCs w:val="1"/>
                <w:color w:val="auto"/>
              </w:rPr>
            </w:pPr>
          </w:p>
        </w:tc>
      </w:tr>
      <w:tr>
        <w:trPr>
          <w:trHeight w:val="190"/>
        </w:trPr>
        <w:tc>
          <w:tcPr>
            <w:tcW w:w="36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1"/>
              </w:rPr>
              <w:t>Currency</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color w:val="auto"/>
                <w:w w:val="94"/>
              </w:rPr>
              <w:t>Amounts</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1"/>
              </w:rPr>
              <w:t>Currency</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w w:val="94"/>
              </w:rPr>
              <w:t>Amounts</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240"/>
              <w:spacing w:after="0"/>
              <w:rPr>
                <w:sz w:val="20"/>
                <w:szCs w:val="20"/>
                <w:color w:val="auto"/>
              </w:rPr>
            </w:pPr>
            <w:r>
              <w:rPr>
                <w:rFonts w:ascii="Arial" w:cs="Arial" w:eastAsia="Arial" w:hAnsi="Arial"/>
                <w:sz w:val="17"/>
                <w:szCs w:val="17"/>
                <w:color w:val="auto"/>
              </w:rPr>
              <w:t>Domestic broadband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6,135</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59"/>
              <w:spacing w:after="0"/>
              <w:rPr>
                <w:sz w:val="20"/>
                <w:szCs w:val="20"/>
                <w:color w:val="auto"/>
              </w:rPr>
            </w:pPr>
            <w:r>
              <w:rPr>
                <w:rFonts w:ascii="Arial" w:cs="Arial" w:eastAsia="Arial" w:hAnsi="Arial"/>
                <w:sz w:val="17"/>
                <w:szCs w:val="17"/>
                <w:color w:val="auto"/>
              </w:rPr>
              <w:t>— $</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6,135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18,292</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59"/>
              <w:spacing w:after="0"/>
              <w:rPr>
                <w:sz w:val="20"/>
                <w:szCs w:val="20"/>
                <w:color w:val="auto"/>
              </w:rPr>
            </w:pPr>
            <w:r>
              <w:rPr>
                <w:rFonts w:ascii="Arial" w:cs="Arial" w:eastAsia="Arial" w:hAnsi="Arial"/>
                <w:sz w:val="17"/>
                <w:szCs w:val="17"/>
                <w:color w:val="auto"/>
              </w:rPr>
              <w:t>— $</w:t>
            </w:r>
          </w:p>
        </w:tc>
        <w:tc>
          <w:tcPr>
            <w:tcW w:w="1000" w:type="dxa"/>
            <w:vAlign w:val="bottom"/>
          </w:tcPr>
          <w:p>
            <w:pPr>
              <w:jc w:val="right"/>
              <w:spacing w:after="0"/>
              <w:rPr>
                <w:sz w:val="20"/>
                <w:szCs w:val="20"/>
                <w:color w:val="auto"/>
              </w:rPr>
            </w:pPr>
            <w:r>
              <w:rPr>
                <w:rFonts w:ascii="Arial" w:cs="Arial" w:eastAsia="Arial" w:hAnsi="Arial"/>
                <w:sz w:val="17"/>
                <w:szCs w:val="17"/>
                <w:color w:val="auto"/>
              </w:rPr>
              <w:t>18,292</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Domestic wireless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789</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2,188</w:t>
            </w:r>
          </w:p>
        </w:tc>
        <w:tc>
          <w:tcPr>
            <w:tcW w:w="0" w:type="dxa"/>
            <w:vAlign w:val="bottom"/>
          </w:tcPr>
          <w:p>
            <w:pPr>
              <w:spacing w:after="0"/>
              <w:rPr>
                <w:sz w:val="1"/>
                <w:szCs w:val="1"/>
                <w:color w:val="auto"/>
              </w:rPr>
            </w:pPr>
          </w:p>
        </w:tc>
      </w:tr>
      <w:tr>
        <w:trPr>
          <w:trHeight w:val="222"/>
        </w:trPr>
        <w:tc>
          <w:tcPr>
            <w:tcW w:w="36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International connectivity</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842</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886</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2,473</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residential connectivity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7,810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22,953</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22,924</w:t>
            </w:r>
          </w:p>
        </w:tc>
        <w:tc>
          <w:tcPr>
            <w:tcW w:w="0" w:type="dxa"/>
            <w:vAlign w:val="bottom"/>
          </w:tcPr>
          <w:p>
            <w:pPr>
              <w:spacing w:after="0"/>
              <w:rPr>
                <w:sz w:val="1"/>
                <w:szCs w:val="1"/>
                <w:color w:val="auto"/>
              </w:rPr>
            </w:pPr>
          </w:p>
        </w:tc>
      </w:tr>
      <w:tr>
        <w:trPr>
          <w:trHeight w:val="222"/>
        </w:trPr>
        <w:tc>
          <w:tcPr>
            <w:tcW w:w="3680" w:type="dxa"/>
            <w:vAlign w:val="bottom"/>
          </w:tcPr>
          <w:p>
            <w:pPr>
              <w:ind w:left="140"/>
              <w:spacing w:after="0"/>
              <w:rPr>
                <w:sz w:val="20"/>
                <w:szCs w:val="20"/>
                <w:color w:val="auto"/>
              </w:rPr>
            </w:pPr>
            <w:r>
              <w:rPr>
                <w:rFonts w:ascii="Arial" w:cs="Arial" w:eastAsia="Arial" w:hAnsi="Arial"/>
                <w:sz w:val="17"/>
                <w:szCs w:val="17"/>
                <w:color w:val="auto"/>
              </w:rPr>
              <w:t>Video</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7,428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w:t>
            </w:r>
          </w:p>
        </w:tc>
        <w:tc>
          <w:tcPr>
            <w:tcW w:w="24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7,535</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23,223</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23,159</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Advertising</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1,096</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3,249</w:t>
            </w:r>
          </w:p>
        </w:tc>
        <w:tc>
          <w:tcPr>
            <w:tcW w:w="0" w:type="dxa"/>
            <w:vAlign w:val="bottom"/>
          </w:tcPr>
          <w:p>
            <w:pPr>
              <w:spacing w:after="0"/>
              <w:rPr>
                <w:sz w:val="1"/>
                <w:szCs w:val="1"/>
                <w:color w:val="auto"/>
              </w:rPr>
            </w:pPr>
          </w:p>
        </w:tc>
      </w:tr>
      <w:tr>
        <w:trPr>
          <w:trHeight w:val="222"/>
        </w:trPr>
        <w:tc>
          <w:tcPr>
            <w:tcW w:w="36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1,561</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1,580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4,866</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17,833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188</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18,021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54,305</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54,176</w:t>
            </w:r>
          </w:p>
        </w:tc>
        <w:tc>
          <w:tcPr>
            <w:tcW w:w="0" w:type="dxa"/>
            <w:vAlign w:val="bottom"/>
          </w:tcPr>
          <w:p>
            <w:pPr>
              <w:spacing w:after="0"/>
              <w:rPr>
                <w:sz w:val="1"/>
                <w:szCs w:val="1"/>
                <w:color w:val="auto"/>
              </w:rPr>
            </w:pPr>
          </w:p>
        </w:tc>
      </w:tr>
      <w:tr>
        <w:trPr>
          <w:trHeight w:val="223"/>
        </w:trPr>
        <w:tc>
          <w:tcPr>
            <w:tcW w:w="368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Programming</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4,520</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13,991</w:t>
            </w:r>
          </w:p>
        </w:tc>
        <w:tc>
          <w:tcPr>
            <w:tcW w:w="0" w:type="dxa"/>
            <w:vAlign w:val="bottom"/>
          </w:tcPr>
          <w:p>
            <w:pPr>
              <w:spacing w:after="0"/>
              <w:rPr>
                <w:sz w:val="1"/>
                <w:szCs w:val="1"/>
                <w:color w:val="auto"/>
              </w:rPr>
            </w:pPr>
          </w:p>
        </w:tc>
      </w:tr>
      <w:tr>
        <w:trPr>
          <w:trHeight w:val="222"/>
        </w:trPr>
        <w:tc>
          <w:tcPr>
            <w:tcW w:w="36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6,674</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6,779</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20,239</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20,174</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11,138</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11,298</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34,266</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34,164</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6,695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6,723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20,011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Adjustments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20" w:type="dxa"/>
            <w:vAlign w:val="bottom"/>
          </w:tcPr>
          <w:p>
            <w:pPr>
              <w:jc w:val="center"/>
              <w:ind w:right="890"/>
              <w:spacing w:after="0"/>
              <w:rPr>
                <w:sz w:val="20"/>
                <w:szCs w:val="20"/>
                <w:color w:val="auto"/>
              </w:rPr>
            </w:pPr>
            <w:r>
              <w:rPr>
                <w:rFonts w:ascii="Arial" w:cs="Arial" w:eastAsia="Arial" w:hAnsi="Arial"/>
                <w:sz w:val="14"/>
                <w:szCs w:val="14"/>
                <w:color w:val="auto"/>
                <w:w w:val="92"/>
              </w:rPr>
              <w:t>Nine Months Ended</w:t>
            </w:r>
          </w:p>
        </w:tc>
      </w:tr>
      <w:tr>
        <w:trPr>
          <w:trHeight w:val="182"/>
        </w:trPr>
        <w:tc>
          <w:tcPr>
            <w:tcW w:w="80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890"/>
              <w:spacing w:after="0"/>
              <w:rPr>
                <w:sz w:val="20"/>
                <w:szCs w:val="20"/>
                <w:color w:val="auto"/>
              </w:rPr>
            </w:pPr>
            <w:r>
              <w:rPr>
                <w:rFonts w:ascii="Arial" w:cs="Arial" w:eastAsia="Arial" w:hAnsi="Arial"/>
                <w:sz w:val="14"/>
                <w:szCs w:val="14"/>
                <w:color w:val="auto"/>
                <w:w w:val="89"/>
              </w:rPr>
              <w:t>September 30,</w:t>
            </w:r>
          </w:p>
        </w:tc>
      </w:tr>
      <w:tr>
        <w:trPr>
          <w:trHeight w:val="178"/>
        </w:trPr>
        <w:tc>
          <w:tcPr>
            <w:tcW w:w="8040" w:type="dxa"/>
            <w:vAlign w:val="bottom"/>
          </w:tcPr>
          <w:p>
            <w:pPr>
              <w:spacing w:after="0" w:line="160" w:lineRule="exact"/>
              <w:rPr>
                <w:sz w:val="20"/>
                <w:szCs w:val="20"/>
                <w:color w:val="auto"/>
              </w:rPr>
            </w:pPr>
            <w:r>
              <w:rPr>
                <w:rFonts w:ascii="Arial" w:cs="Arial" w:eastAsia="Arial" w:hAnsi="Arial"/>
                <w:sz w:val="14"/>
                <w:szCs w:val="14"/>
                <w:color w:val="auto"/>
              </w:rPr>
              <w:t>(in billions)</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2023</w:t>
            </w:r>
          </w:p>
        </w:tc>
        <w:tc>
          <w:tcPr>
            <w:tcW w:w="2220" w:type="dxa"/>
            <w:vAlign w:val="bottom"/>
          </w:tcPr>
          <w:p>
            <w:pPr>
              <w:jc w:val="right"/>
              <w:ind w:right="530"/>
              <w:spacing w:after="0"/>
              <w:rPr>
                <w:sz w:val="20"/>
                <w:szCs w:val="20"/>
                <w:color w:val="auto"/>
              </w:rPr>
            </w:pPr>
            <w:r>
              <w:rPr>
                <w:rFonts w:ascii="Arial" w:cs="Arial" w:eastAsia="Arial" w:hAnsi="Arial"/>
                <w:sz w:val="14"/>
                <w:szCs w:val="14"/>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provided by operating activities</w:t>
            </w:r>
          </w:p>
        </w:tc>
        <w:tc>
          <w:tcPr>
            <w:tcW w:w="328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22.6</w:t>
            </w:r>
          </w:p>
        </w:tc>
        <w:tc>
          <w:tcPr>
            <w:tcW w:w="68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center"/>
              <w:ind w:left="373"/>
              <w:spacing w:after="0"/>
              <w:rPr>
                <w:sz w:val="20"/>
                <w:szCs w:val="20"/>
                <w:color w:val="auto"/>
              </w:rPr>
            </w:pPr>
            <w:r>
              <w:rPr>
                <w:rFonts w:ascii="Arial" w:cs="Arial" w:eastAsia="Arial" w:hAnsi="Arial"/>
                <w:sz w:val="17"/>
                <w:szCs w:val="17"/>
                <w:color w:val="auto"/>
                <w:w w:val="96"/>
              </w:rPr>
              <w:t>20.5</w:t>
            </w:r>
          </w:p>
        </w:tc>
      </w:tr>
      <w:tr>
        <w:trPr>
          <w:trHeight w:val="222"/>
        </w:trPr>
        <w:tc>
          <w:tcPr>
            <w:tcW w:w="536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3280" w:type="dxa"/>
            <w:vAlign w:val="bottom"/>
          </w:tcPr>
          <w:p>
            <w:pPr>
              <w:jc w:val="right"/>
              <w:ind w:right="39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3"/>
              <w:spacing w:after="0"/>
              <w:rPr>
                <w:sz w:val="20"/>
                <w:szCs w:val="20"/>
                <w:color w:val="auto"/>
              </w:rPr>
            </w:pPr>
            <w:r>
              <w:rPr>
                <w:rFonts w:ascii="Arial" w:cs="Arial" w:eastAsia="Arial" w:hAnsi="Arial"/>
                <w:sz w:val="17"/>
                <w:szCs w:val="17"/>
                <w:color w:val="auto"/>
              </w:rPr>
              <w:t>(11.7)</w:t>
            </w:r>
          </w:p>
        </w:tc>
        <w:tc>
          <w:tcPr>
            <w:tcW w:w="680" w:type="dxa"/>
            <w:vAlign w:val="bottom"/>
          </w:tcPr>
          <w:p>
            <w:pPr>
              <w:jc w:val="right"/>
              <w:ind w:right="393"/>
              <w:spacing w:after="0"/>
              <w:rPr>
                <w:sz w:val="20"/>
                <w:szCs w:val="20"/>
                <w:color w:val="auto"/>
              </w:rPr>
            </w:pPr>
            <w:r>
              <w:rPr>
                <w:rFonts w:ascii="Arial" w:cs="Arial" w:eastAsia="Arial" w:hAnsi="Arial"/>
                <w:sz w:val="17"/>
                <w:szCs w:val="17"/>
                <w:color w:val="auto"/>
              </w:rPr>
              <w:t>$</w:t>
            </w:r>
          </w:p>
        </w:tc>
        <w:tc>
          <w:tcPr>
            <w:tcW w:w="900" w:type="dxa"/>
            <w:vAlign w:val="bottom"/>
          </w:tcPr>
          <w:p>
            <w:pPr>
              <w:jc w:val="center"/>
              <w:ind w:left="353"/>
              <w:spacing w:after="0"/>
              <w:rPr>
                <w:sz w:val="20"/>
                <w:szCs w:val="20"/>
                <w:color w:val="auto"/>
              </w:rPr>
            </w:pPr>
            <w:r>
              <w:rPr>
                <w:rFonts w:ascii="Arial" w:cs="Arial" w:eastAsia="Arial" w:hAnsi="Arial"/>
                <w:sz w:val="17"/>
                <w:szCs w:val="17"/>
                <w:color w:val="auto"/>
                <w:w w:val="94"/>
              </w:rPr>
              <w:t>(10.2)</w:t>
            </w: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used in financing activities</w:t>
            </w:r>
          </w:p>
        </w:tc>
        <w:tc>
          <w:tcPr>
            <w:tcW w:w="32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(9.1)</w:t>
            </w:r>
          </w:p>
        </w:tc>
        <w:tc>
          <w:tcPr>
            <w:tcW w:w="6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7"/>
                <w:szCs w:val="17"/>
                <w:color w:val="auto"/>
                <w:w w:val="94"/>
              </w:rPr>
              <w:t>(13.3)</w:t>
            </w:r>
          </w:p>
        </w:tc>
      </w:tr>
    </w:tbl>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8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3080" w:type="dxa"/>
            <w:vAlign w:val="bottom"/>
          </w:tcPr>
          <w:p>
            <w:pPr>
              <w:spacing w:after="0"/>
              <w:rPr>
                <w:sz w:val="15"/>
                <w:szCs w:val="15"/>
                <w:color w:val="auto"/>
              </w:rPr>
            </w:pPr>
          </w:p>
        </w:tc>
        <w:tc>
          <w:tcPr>
            <w:tcW w:w="1440" w:type="dxa"/>
            <w:vAlign w:val="bottom"/>
          </w:tcPr>
          <w:p>
            <w:pPr>
              <w:jc w:val="right"/>
              <w:ind w:right="199"/>
              <w:spacing w:after="0"/>
              <w:rPr>
                <w:sz w:val="20"/>
                <w:szCs w:val="20"/>
                <w:color w:val="auto"/>
              </w:rPr>
            </w:pPr>
            <w:r>
              <w:rPr>
                <w:rFonts w:ascii="Arial" w:cs="Arial" w:eastAsia="Arial" w:hAnsi="Arial"/>
                <w:sz w:val="14"/>
                <w:szCs w:val="14"/>
                <w:color w:val="auto"/>
                <w:w w:val="89"/>
              </w:rPr>
              <w:t>September 30, 2023</w:t>
            </w:r>
          </w:p>
        </w:tc>
        <w:tc>
          <w:tcPr>
            <w:tcW w:w="280" w:type="dxa"/>
            <w:vAlign w:val="bottom"/>
          </w:tcPr>
          <w:p>
            <w:pPr>
              <w:spacing w:after="0"/>
              <w:rPr>
                <w:sz w:val="15"/>
                <w:szCs w:val="15"/>
                <w:color w:val="auto"/>
              </w:rPr>
            </w:pPr>
          </w:p>
        </w:tc>
        <w:tc>
          <w:tcPr>
            <w:tcW w:w="1360" w:type="dxa"/>
            <w:vAlign w:val="bottom"/>
          </w:tcPr>
          <w:p>
            <w:pPr>
              <w:jc w:val="right"/>
              <w:ind w:right="139"/>
              <w:spacing w:after="0"/>
              <w:rPr>
                <w:sz w:val="20"/>
                <w:szCs w:val="20"/>
                <w:color w:val="auto"/>
              </w:rPr>
            </w:pPr>
            <w:r>
              <w:rPr>
                <w:rFonts w:ascii="Arial" w:cs="Arial" w:eastAsia="Arial" w:hAnsi="Arial"/>
                <w:sz w:val="14"/>
                <w:szCs w:val="14"/>
                <w:color w:val="auto"/>
                <w:w w:val="91"/>
              </w:rPr>
              <w:t>December 31, 2022</w:t>
            </w:r>
          </w:p>
        </w:tc>
      </w:tr>
      <w:tr>
        <w:trPr>
          <w:trHeight w:val="23"/>
        </w:trPr>
        <w:tc>
          <w:tcPr>
            <w:tcW w:w="50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6.4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22"/>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Short-term and long-term debt</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97.3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w:t>
            </w:r>
          </w:p>
        </w:tc>
      </w:tr>
    </w:tbl>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September 30, 2023, amounts available under our revolving credit facility, net of amounts outstanding under our commercial paper program and outstanding letters of credit and bank guarantees, totaled $11.0 billion.</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the third quarter of 2023, we amended our agreements with The Walt Disney Company regarding our ownership interest in Hulu and the related put and call provisions, which may now be exercised as early as November 2023. See Note 6 for additional information.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Components of Net Cash Provided by Operating Activities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0"/>
        </w:trPr>
        <w:tc>
          <w:tcPr>
            <w:tcW w:w="818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2022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18,830</w:t>
            </w:r>
          </w:p>
        </w:tc>
        <w:tc>
          <w:tcPr>
            <w:tcW w:w="6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9,511</w:t>
            </w: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10,807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10,349</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and long-lived asset impairments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8,583</w:t>
            </w: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Noncash share-based compensation</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955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989</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(2,030)</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w:t>
            </w: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Payments of interest</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(2,566)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(2,341)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 of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(3,823)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(4,022)</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Proceeds from investments and 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406</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r>
      <w:tr>
        <w:trPr>
          <w:trHeight w:val="222"/>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22,579</w:t>
            </w:r>
          </w:p>
        </w:tc>
        <w:tc>
          <w:tcPr>
            <w:tcW w:w="6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20,530</w:t>
            </w:r>
          </w:p>
        </w:tc>
      </w:tr>
    </w:tbl>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variance in changes in operating assets and liabilities for the nine months ended September 30, 2023 compared to the same period in 2022 was primarily related to the timing of amortization and related payments for our film and television costs, including reduced spending due to the work stoppages and the timing of sporting events, and the timing of recognition of deferred revenue.</w:t>
      </w:r>
    </w:p>
    <w:p>
      <w:pPr>
        <w:spacing w:after="0" w:line="66"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The increase in payments of interest for the nine months ended September 30, 2023 compared to the same period in 2022 was primarily due to higher weighted-average interest rates and cash proceeds from the settlement of interest rate swaps related to the collateralized obligation in the prior year period.</w:t>
      </w:r>
    </w:p>
    <w:p>
      <w:pPr>
        <w:spacing w:after="0" w:line="3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decrease in payments of income taxes for the nine months ended September 30, 2023 compared to the same period in 2022 was primarily due to higher payments in the prior year period relating to the preceding tax year, partially offset by higher taxable income in the current year period.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Net cash used in investing activities increased for the nine months ended September 30, 2023 compared to the same period in 2022, primarily due to increased capital expenditures, decreased proceeds from the maturity of short-term investments, increased cash paid for intangible assets related to software development and a sale of a business in the prior year period. These increases were partially offset by decreased purchases of short-term investments and decreased cash paid related to the construction of Universal Beijing Resort in the current year period. Capital expenditures increased for the nine months ended September 30, 2023 compared to the same period in 2022, primarily reflecting increased spending on scalable infrastructure and line extensions by the Connectivity &amp; Platforms businesses and increased spending on the development of the Epic Universe theme park in Orlando, as well as $271 million associated with the acquisition of land for potential theme park expansion opportunities.</w:t>
      </w:r>
    </w:p>
    <w:p>
      <w:pPr>
        <w:spacing w:after="0" w:line="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2023, we entered into an agreement with T-Mobile to sell certain of our spectrum licenses. The agreement provides us with a right to remove certain licenses from the transaction, resulting in total cash consideration between $1.2 billion and $3.3 billion. The sale is expected to close in 2028 subject to various conditions and approvals.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in financing activities decreased for the nine months ended September 30, 2023 compared to the same period in 2022 primarily due to higher proceeds from borrowings in the current year period and a decrease in the repurchases of common stock under our share repurchase program and employee plans, partially offset by higher repurchases and repayments of debt and repayments of short-term borrowings in the current year period.</w:t>
      </w:r>
    </w:p>
    <w:p>
      <w:pPr>
        <w:spacing w:after="0" w:line="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May 2023, we issued $5.0 billion aggregate principal amount of fixed-rate senior notes maturing between 2029 and 2064, of which $2.9 billion was used to purchase senior notes maturing in 2024 and 2025. In February 2023, we issued $1.0 billion aggregate principal amount of fixed-rate senior notes maturing in 2033 and an amount equal to the net proceeds from this issuance is intended to finance or refinance one or more green projects, assets or activities that meet certain specified eligibility criteria.</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2023, we made total debt repayments of $3.0 billion, including the $2.9 billion purchase of senior notes.</w:t>
      </w:r>
    </w:p>
    <w:p>
      <w:pPr>
        <w:spacing w:after="0" w:line="119"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See Notes 5 and 8 for additional information on our financing activities.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 and Dividends</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nine months ended September 30, 2023, we repurchased a total of 180.5 million shares of our Class A common stock for $7.5 billion. As of September 30, 2023, we had $8.5 billion remaining under our existing share repurchase program. Under this authorization, which does not have an expiration date, we expect to repurchase additional shares of our Class A common stock in the open market or in private transactions, subject to market and other conditions.</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addition, we paid $270 million for the nine months ended September 30, 2023 related to employee taxes associated with the administration of our share-based compensation plans.</w:t>
      </w:r>
    </w:p>
    <w:p>
      <w:pPr>
        <w:spacing w:after="0" w:line="5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2023, our Board of Directors approved a 7.4% increase in our dividend to $1.16 per share on an annualized basis. During the nine months ended September 30, 2023, we paid dividends of $3.6 billion. In July 2023, our Board of Directors approved our third quarter dividend of $0.29 per share, which was paid in October 2023. We expect to continue to pay quarterly dividends, although each dividend is subject to approval by our Board of Directors.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 Structure</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Debt and Guarantee Structure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4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460" w:type="dxa"/>
            <w:vAlign w:val="bottom"/>
          </w:tcPr>
          <w:p>
            <w:pPr>
              <w:spacing w:after="0"/>
              <w:rPr>
                <w:sz w:val="15"/>
                <w:szCs w:val="15"/>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color w:val="auto"/>
                <w:w w:val="94"/>
              </w:rPr>
              <w:t>September 30, 2023</w:t>
            </w:r>
          </w:p>
        </w:tc>
        <w:tc>
          <w:tcPr>
            <w:tcW w:w="200" w:type="dxa"/>
            <w:vAlign w:val="bottom"/>
          </w:tcPr>
          <w:p>
            <w:pPr>
              <w:spacing w:after="0"/>
              <w:rPr>
                <w:sz w:val="15"/>
                <w:szCs w:val="15"/>
                <w:color w:val="auto"/>
              </w:rPr>
            </w:pPr>
          </w:p>
        </w:tc>
        <w:tc>
          <w:tcPr>
            <w:tcW w:w="1520" w:type="dxa"/>
            <w:vAlign w:val="bottom"/>
          </w:tcPr>
          <w:p>
            <w:pPr>
              <w:jc w:val="right"/>
              <w:ind w:right="234"/>
              <w:spacing w:after="0"/>
              <w:rPr>
                <w:sz w:val="20"/>
                <w:szCs w:val="20"/>
                <w:color w:val="auto"/>
              </w:rPr>
            </w:pPr>
            <w:r>
              <w:rPr>
                <w:rFonts w:ascii="Arial" w:cs="Arial" w:eastAsia="Arial" w:hAnsi="Arial"/>
                <w:sz w:val="14"/>
                <w:szCs w:val="14"/>
                <w:color w:val="auto"/>
                <w:w w:val="95"/>
              </w:rPr>
              <w:t>December 31, 2022</w:t>
            </w:r>
          </w:p>
        </w:tc>
      </w:tr>
      <w:tr>
        <w:trPr>
          <w:trHeight w:val="23"/>
        </w:trPr>
        <w:tc>
          <w:tcPr>
            <w:tcW w:w="7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Debt Subject to Cross-Guarantees</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7"/>
                <w:szCs w:val="17"/>
                <w:color w:val="auto"/>
              </w:rPr>
              <w:t>Comcast</w:t>
            </w:r>
          </w:p>
        </w:tc>
        <w:tc>
          <w:tcPr>
            <w:tcW w:w="4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91.6</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88.4</w:t>
            </w:r>
          </w:p>
        </w:tc>
      </w:tr>
      <w:tr>
        <w:trPr>
          <w:trHeight w:val="223"/>
        </w:trPr>
        <w:tc>
          <w:tcPr>
            <w:tcW w:w="75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NBCUniversal</w:t>
            </w:r>
            <w:r>
              <w:rPr>
                <w:rFonts w:ascii="Arial" w:cs="Arial" w:eastAsia="Arial" w:hAnsi="Arial"/>
                <w:sz w:val="22"/>
                <w:szCs w:val="22"/>
                <w:color w:val="auto"/>
                <w:vertAlign w:val="superscript"/>
              </w:rPr>
              <w:t>(a)</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3"/>
        </w:trPr>
        <w:tc>
          <w:tcPr>
            <w:tcW w:w="754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7"/>
                <w:szCs w:val="17"/>
                <w:color w:val="auto"/>
              </w:rPr>
              <w:t>Comcast Cable</w:t>
            </w:r>
            <w:r>
              <w:rPr>
                <w:rFonts w:ascii="Arial" w:cs="Arial" w:eastAsia="Arial" w:hAnsi="Arial"/>
                <w:sz w:val="22"/>
                <w:szCs w:val="22"/>
                <w:color w:val="auto"/>
                <w:vertAlign w:val="superscript"/>
              </w:rPr>
              <w:t>(a)</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r>
      <w:tr>
        <w:trPr>
          <w:trHeight w:val="216"/>
        </w:trPr>
        <w:tc>
          <w:tcPr>
            <w:tcW w:w="7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Debt Subject to One-Way Guarantees</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Sky</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23"/>
        </w:trPr>
        <w:tc>
          <w:tcPr>
            <w:tcW w:w="754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(a)</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7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Debt Not Guaranteed</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75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Universal Beijing Resort</w:t>
            </w:r>
            <w:r>
              <w:rPr>
                <w:rFonts w:ascii="Arial" w:cs="Arial" w:eastAsia="Arial" w:hAnsi="Arial"/>
                <w:sz w:val="22"/>
                <w:szCs w:val="22"/>
                <w:color w:val="auto"/>
                <w:vertAlign w:val="superscript"/>
              </w:rPr>
              <w:t>(b)</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7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171"/>
        </w:trPr>
        <w:tc>
          <w:tcPr>
            <w:tcW w:w="7540" w:type="dxa"/>
            <w:vAlign w:val="bottom"/>
          </w:tcPr>
          <w:p>
            <w:pPr>
              <w:ind w:left="20"/>
              <w:spacing w:after="0" w:line="171" w:lineRule="exact"/>
              <w:rPr>
                <w:sz w:val="20"/>
                <w:szCs w:val="20"/>
                <w:color w:val="auto"/>
              </w:rPr>
            </w:pPr>
            <w:r>
              <w:rPr>
                <w:rFonts w:ascii="Arial" w:cs="Arial" w:eastAsia="Arial" w:hAnsi="Arial"/>
                <w:sz w:val="17"/>
                <w:szCs w:val="17"/>
                <w:color w:val="auto"/>
                <w:w w:val="95"/>
              </w:rPr>
              <w:t>Debt issuance costs, premiums, discounts, fair value adjustments for acquisition accounting and hedged</w:t>
            </w: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5"/>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positions, net</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r>
      <w:tr>
        <w:trPr>
          <w:trHeight w:val="222"/>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debt</w:t>
            </w: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97.3</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94.8</w:t>
            </w:r>
          </w:p>
        </w:tc>
      </w:tr>
    </w:tbl>
    <w:p>
      <w:pPr>
        <w:spacing w:after="0" w:line="178" w:lineRule="exact"/>
        <w:rPr>
          <w:sz w:val="20"/>
          <w:szCs w:val="20"/>
          <w:color w:val="auto"/>
        </w:rPr>
      </w:pPr>
    </w:p>
    <w:p>
      <w:pPr>
        <w:jc w:val="both"/>
        <w:ind w:left="320" w:hanging="315"/>
        <w:spacing w:after="0" w:line="266" w:lineRule="auto"/>
        <w:tabs>
          <w:tab w:leader="none" w:pos="317" w:val="left"/>
        </w:tabs>
        <w:numPr>
          <w:ilvl w:val="0"/>
          <w:numId w:val="20"/>
        </w:numPr>
        <w:rPr>
          <w:rFonts w:ascii="Arial" w:cs="Arial" w:eastAsia="Arial" w:hAnsi="Arial"/>
          <w:sz w:val="14"/>
          <w:szCs w:val="14"/>
          <w:color w:val="auto"/>
        </w:rPr>
      </w:pPr>
      <w:r>
        <w:rPr>
          <w:rFonts w:ascii="Arial" w:cs="Arial" w:eastAsia="Arial" w:hAnsi="Arial"/>
          <w:sz w:val="14"/>
          <w:szCs w:val="14"/>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14" w:lineRule="exact"/>
        <w:rPr>
          <w:rFonts w:ascii="Arial" w:cs="Arial" w:eastAsia="Arial" w:hAnsi="Arial"/>
          <w:sz w:val="14"/>
          <w:szCs w:val="14"/>
          <w:color w:val="auto"/>
        </w:rPr>
      </w:pPr>
    </w:p>
    <w:p>
      <w:pPr>
        <w:ind w:left="320" w:hanging="315"/>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Universal Beijing Resort debt financing is secured by the assets of Universal Beijing Resort and the equity interests of the investors. See Note 6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Cross-Guarantees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of September 30, 2023 and December 31, 2022, the combined Guarantors have noncurrent notes payable to non-guarantor subsidiaries of $134 billion and $128 billion, respectively, and noncurrent notes receivable from non-guarantor subsidiaries of $18 billion and $30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One-Way Guarantees</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Comcast provides full and unconditional guarantees of certain debt issued by Sky Limited (“Sky</w:t>
      </w:r>
      <w:r>
        <w:rPr>
          <w:rFonts w:ascii="Arial" w:cs="Arial" w:eastAsia="Arial" w:hAnsi="Arial"/>
          <w:sz w:val="13"/>
          <w:szCs w:val="13"/>
          <w:color w:val="auto"/>
        </w:rPr>
        <w:t>”)</w:t>
      </w:r>
      <w:r>
        <w:rPr>
          <w:rFonts w:ascii="Arial" w:cs="Arial" w:eastAsia="Arial" w:hAnsi="Arial"/>
          <w:sz w:val="17"/>
          <w:szCs w:val="17"/>
          <w:color w:val="auto"/>
        </w:rPr>
        <w:t>, including all of its senior notes, and other consolidated subsidiaries not subject to the periodic reporting requirements of the SEC.</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September 30, 2023 and December 31, 2022, Comcast and Comcast Holdings, the combined issuer and guarantor of the guaranteed subordinated debt, have noncurrent senior notes payable to non-guarantor subsidiaries of $102 billion and $97 billion, respectively, and noncurrent notes receivable from non-guarantor subsidiaries of $16 billion and $28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Judgments and Estimates</w:t>
      </w:r>
    </w:p>
    <w:p>
      <w:pPr>
        <w:spacing w:after="0" w:line="119"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4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Following the change in presentation of our segment operating results in the first quarter of 2023, we reassessed our reporting units related to goodwill and concluded that our reporting units are the same as our reportable business segments. See Note 2 for additional information.</w:t>
      </w:r>
    </w:p>
    <w:p>
      <w:pPr>
        <w:spacing w:after="0" w:line="5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our judgments and related estimates associated with the valuation and impairment testing of goodwill are critical in the preparation of our consolidated financial statements. We assessed goodwill for impairment in connection with our change in segment presentation in the first quarter of 2023. Based on our assessment, no impairment was required, and the estimated fair values of our reporting units substantially exceeded their carrying values.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2022, in connection with our annual impairment testing, we recorded an impairment of $8.1 billion related to goodwill in our Sky reporting unit (See Note 7). In preparing this assessment, we estimated the fair value of the Sky reporting unit using a discounted cash flow analysis. This analysis involved significant judgment, including market participant estimates of future cash flows expected to be generated by the business, including the estimated impact of macroeconomic conditions in the Sky territories, as well as the selection of the discount rate, which increased by 125 basis points compared to the prior analysis. When analyzing the fair value indicated under the discounted cash flow model, we also considered multiples of earnings from comparable public companies and recent market transactions.</w:t>
      </w:r>
    </w:p>
    <w:p>
      <w:pPr>
        <w:spacing w:after="0" w:line="77" w:lineRule="exact"/>
        <w:rPr>
          <w:sz w:val="20"/>
          <w:szCs w:val="20"/>
          <w:color w:val="auto"/>
        </w:rPr>
      </w:pPr>
    </w:p>
    <w:p>
      <w:pPr>
        <w:jc w:val="both"/>
        <w:spacing w:after="0" w:line="359" w:lineRule="auto"/>
        <w:rPr>
          <w:sz w:val="20"/>
          <w:szCs w:val="20"/>
          <w:color w:val="auto"/>
        </w:rPr>
      </w:pPr>
      <w:r>
        <w:rPr>
          <w:rFonts w:ascii="Arial" w:cs="Arial" w:eastAsia="Arial" w:hAnsi="Arial"/>
          <w:sz w:val="15"/>
          <w:szCs w:val="15"/>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2022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14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have evaluated the information required under this item that was disclosed in our 2022 Annual Report on Form 10-K and there have been no material changes to this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Conclusions regarding disclosure controls and procedures</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See Note 10 included in this Quarterly Report on Form 10-Q for a discussion of legal proceedings.</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from the risk factors previously disclosed in Item 1A of our 2022 Annual Report on Form 10-K.</w:t>
      </w:r>
    </w:p>
    <w:p>
      <w:pPr>
        <w:spacing w:after="0" w:line="217" w:lineRule="exact"/>
        <w:rPr>
          <w:sz w:val="20"/>
          <w:szCs w:val="20"/>
          <w:color w:val="auto"/>
        </w:rPr>
      </w:pPr>
    </w:p>
    <w:p>
      <w:pPr>
        <w:ind w:right="240"/>
        <w:spacing w:after="0" w:line="299" w:lineRule="auto"/>
        <w:rPr>
          <w:sz w:val="20"/>
          <w:szCs w:val="20"/>
          <w:color w:val="auto"/>
        </w:rPr>
      </w:pPr>
      <w:r>
        <w:rPr>
          <w:rFonts w:ascii="Arial" w:cs="Arial" w:eastAsia="Arial" w:hAnsi="Arial"/>
          <w:sz w:val="21"/>
          <w:szCs w:val="21"/>
          <w:b w:val="1"/>
          <w:bCs w:val="1"/>
          <w:color w:val="auto"/>
        </w:rPr>
        <w:t>ITEM 2: UNREGISTERED SALES OF EQUITY SECURITIES, USE OF PROCEEDS, AND ISSUER PURCHASES OF EQUITY SECURITIES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Comcast's common stock repurchases during the three months ended September 30, 2023.</w:t>
      </w:r>
    </w:p>
    <w:p>
      <w:pPr>
        <w:spacing w:after="0" w:line="108"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Purchases of Equity Securities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03"/>
              <w:spacing w:after="0"/>
              <w:rPr>
                <w:sz w:val="20"/>
                <w:szCs w:val="20"/>
                <w:color w:val="auto"/>
              </w:rPr>
            </w:pPr>
            <w:r>
              <w:rPr>
                <w:rFonts w:ascii="Arial" w:cs="Arial" w:eastAsia="Arial" w:hAnsi="Arial"/>
                <w:sz w:val="14"/>
                <w:szCs w:val="14"/>
                <w:color w:val="auto"/>
                <w:w w:val="92"/>
              </w:rPr>
              <w:t>Total Dollar</w:t>
            </w:r>
          </w:p>
        </w:tc>
        <w:tc>
          <w:tcPr>
            <w:tcW w:w="220" w:type="dxa"/>
            <w:vAlign w:val="bottom"/>
          </w:tcPr>
          <w:p>
            <w:pPr>
              <w:spacing w:after="0"/>
              <w:rPr>
                <w:sz w:val="14"/>
                <w:szCs w:val="14"/>
                <w:color w:val="auto"/>
              </w:rPr>
            </w:pPr>
          </w:p>
        </w:tc>
        <w:tc>
          <w:tcPr>
            <w:tcW w:w="1520" w:type="dxa"/>
            <w:vAlign w:val="bottom"/>
          </w:tcPr>
          <w:p>
            <w:pPr>
              <w:jc w:val="center"/>
              <w:ind w:right="102"/>
              <w:spacing w:after="0"/>
              <w:rPr>
                <w:sz w:val="20"/>
                <w:szCs w:val="20"/>
                <w:color w:val="auto"/>
              </w:rPr>
            </w:pPr>
            <w:r>
              <w:rPr>
                <w:rFonts w:ascii="Arial" w:cs="Arial" w:eastAsia="Arial" w:hAnsi="Arial"/>
                <w:sz w:val="14"/>
                <w:szCs w:val="14"/>
                <w:color w:val="auto"/>
                <w:w w:val="96"/>
              </w:rPr>
              <w:t>Maximum Dollar</w:t>
            </w:r>
          </w:p>
        </w:tc>
      </w:tr>
      <w:tr>
        <w:trPr>
          <w:trHeight w:val="139"/>
        </w:trPr>
        <w:tc>
          <w:tcPr>
            <w:tcW w:w="2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03"/>
              <w:spacing w:after="0" w:line="139" w:lineRule="exact"/>
              <w:rPr>
                <w:sz w:val="20"/>
                <w:szCs w:val="20"/>
                <w:color w:val="auto"/>
              </w:rPr>
            </w:pPr>
            <w:r>
              <w:rPr>
                <w:rFonts w:ascii="Arial" w:cs="Arial" w:eastAsia="Arial" w:hAnsi="Arial"/>
                <w:sz w:val="14"/>
                <w:szCs w:val="14"/>
                <w:color w:val="auto"/>
                <w:w w:val="95"/>
              </w:rPr>
              <w:t>Amount</w:t>
            </w:r>
          </w:p>
        </w:tc>
        <w:tc>
          <w:tcPr>
            <w:tcW w:w="220" w:type="dxa"/>
            <w:vAlign w:val="bottom"/>
          </w:tcPr>
          <w:p>
            <w:pPr>
              <w:spacing w:after="0"/>
              <w:rPr>
                <w:sz w:val="12"/>
                <w:szCs w:val="12"/>
                <w:color w:val="auto"/>
              </w:rPr>
            </w:pPr>
          </w:p>
        </w:tc>
        <w:tc>
          <w:tcPr>
            <w:tcW w:w="1520" w:type="dxa"/>
            <w:vAlign w:val="bottom"/>
          </w:tcPr>
          <w:p>
            <w:pPr>
              <w:jc w:val="center"/>
              <w:ind w:right="102"/>
              <w:spacing w:after="0" w:line="139" w:lineRule="exact"/>
              <w:rPr>
                <w:sz w:val="20"/>
                <w:szCs w:val="20"/>
                <w:color w:val="auto"/>
              </w:rPr>
            </w:pPr>
            <w:r>
              <w:rPr>
                <w:rFonts w:ascii="Arial" w:cs="Arial" w:eastAsia="Arial" w:hAnsi="Arial"/>
                <w:sz w:val="14"/>
                <w:szCs w:val="14"/>
                <w:color w:val="auto"/>
                <w:w w:val="89"/>
              </w:rPr>
              <w:t>Value of Shares That</w:t>
            </w:r>
          </w:p>
        </w:tc>
      </w:tr>
      <w:tr>
        <w:trPr>
          <w:trHeight w:val="136"/>
        </w:trPr>
        <w:tc>
          <w:tcPr>
            <w:tcW w:w="2120" w:type="dxa"/>
            <w:vAlign w:val="bottom"/>
          </w:tcPr>
          <w:p>
            <w:pPr>
              <w:spacing w:after="0"/>
              <w:rPr>
                <w:sz w:val="11"/>
                <w:szCs w:val="11"/>
                <w:color w:val="auto"/>
              </w:rPr>
            </w:pPr>
          </w:p>
        </w:tc>
        <w:tc>
          <w:tcPr>
            <w:tcW w:w="1880" w:type="dxa"/>
            <w:vAlign w:val="bottom"/>
          </w:tcPr>
          <w:p>
            <w:pPr>
              <w:jc w:val="center"/>
              <w:ind w:right="61"/>
              <w:spacing w:after="0" w:line="137" w:lineRule="exact"/>
              <w:rPr>
                <w:sz w:val="20"/>
                <w:szCs w:val="20"/>
                <w:color w:val="auto"/>
              </w:rPr>
            </w:pPr>
            <w:r>
              <w:rPr>
                <w:rFonts w:ascii="Arial" w:cs="Arial" w:eastAsia="Arial" w:hAnsi="Arial"/>
                <w:sz w:val="14"/>
                <w:szCs w:val="14"/>
                <w:color w:val="auto"/>
                <w:w w:val="96"/>
              </w:rPr>
              <w:t>Total</w:t>
            </w:r>
          </w:p>
        </w:tc>
        <w:tc>
          <w:tcPr>
            <w:tcW w:w="440" w:type="dxa"/>
            <w:vAlign w:val="bottom"/>
          </w:tcPr>
          <w:p>
            <w:pPr>
              <w:spacing w:after="0"/>
              <w:rPr>
                <w:sz w:val="11"/>
                <w:szCs w:val="11"/>
                <w:color w:val="auto"/>
              </w:rPr>
            </w:pPr>
          </w:p>
        </w:tc>
        <w:tc>
          <w:tcPr>
            <w:tcW w:w="1100" w:type="dxa"/>
            <w:vAlign w:val="bottom"/>
          </w:tcPr>
          <w:p>
            <w:pPr>
              <w:jc w:val="center"/>
              <w:ind w:right="281"/>
              <w:spacing w:after="0" w:line="137" w:lineRule="exact"/>
              <w:rPr>
                <w:sz w:val="20"/>
                <w:szCs w:val="20"/>
                <w:color w:val="auto"/>
              </w:rPr>
            </w:pPr>
            <w:r>
              <w:rPr>
                <w:rFonts w:ascii="Arial" w:cs="Arial" w:eastAsia="Arial" w:hAnsi="Arial"/>
                <w:sz w:val="14"/>
                <w:szCs w:val="14"/>
                <w:color w:val="auto"/>
                <w:w w:val="88"/>
              </w:rPr>
              <w:t>Average</w:t>
            </w:r>
          </w:p>
        </w:tc>
        <w:tc>
          <w:tcPr>
            <w:tcW w:w="1920" w:type="dxa"/>
            <w:vAlign w:val="bottom"/>
          </w:tcPr>
          <w:p>
            <w:pPr>
              <w:jc w:val="center"/>
              <w:ind w:right="1"/>
              <w:spacing w:after="0" w:line="137" w:lineRule="exact"/>
              <w:rPr>
                <w:sz w:val="20"/>
                <w:szCs w:val="20"/>
                <w:color w:val="auto"/>
              </w:rPr>
            </w:pPr>
            <w:r>
              <w:rPr>
                <w:rFonts w:ascii="Arial" w:cs="Arial" w:eastAsia="Arial" w:hAnsi="Arial"/>
                <w:sz w:val="14"/>
                <w:szCs w:val="14"/>
                <w:color w:val="auto"/>
                <w:w w:val="91"/>
              </w:rPr>
              <w:t>Total Number of</w:t>
            </w:r>
          </w:p>
        </w:tc>
        <w:tc>
          <w:tcPr>
            <w:tcW w:w="240" w:type="dxa"/>
            <w:vAlign w:val="bottom"/>
          </w:tcPr>
          <w:p>
            <w:pPr>
              <w:spacing w:after="0"/>
              <w:rPr>
                <w:sz w:val="11"/>
                <w:szCs w:val="11"/>
                <w:color w:val="auto"/>
              </w:rPr>
            </w:pPr>
          </w:p>
        </w:tc>
        <w:tc>
          <w:tcPr>
            <w:tcW w:w="1440" w:type="dxa"/>
            <w:vAlign w:val="bottom"/>
          </w:tcPr>
          <w:p>
            <w:pPr>
              <w:jc w:val="center"/>
              <w:ind w:right="103"/>
              <w:spacing w:after="0" w:line="137" w:lineRule="exact"/>
              <w:rPr>
                <w:sz w:val="20"/>
                <w:szCs w:val="20"/>
                <w:color w:val="auto"/>
              </w:rPr>
            </w:pPr>
            <w:r>
              <w:rPr>
                <w:rFonts w:ascii="Arial" w:cs="Arial" w:eastAsia="Arial" w:hAnsi="Arial"/>
                <w:sz w:val="14"/>
                <w:szCs w:val="14"/>
                <w:color w:val="auto"/>
                <w:w w:val="86"/>
              </w:rPr>
              <w:t>Purchased</w:t>
            </w:r>
          </w:p>
        </w:tc>
        <w:tc>
          <w:tcPr>
            <w:tcW w:w="220" w:type="dxa"/>
            <w:vAlign w:val="bottom"/>
          </w:tcPr>
          <w:p>
            <w:pPr>
              <w:spacing w:after="0"/>
              <w:rPr>
                <w:sz w:val="11"/>
                <w:szCs w:val="11"/>
                <w:color w:val="auto"/>
              </w:rPr>
            </w:pPr>
          </w:p>
        </w:tc>
        <w:tc>
          <w:tcPr>
            <w:tcW w:w="1520" w:type="dxa"/>
            <w:vAlign w:val="bottom"/>
          </w:tcPr>
          <w:p>
            <w:pPr>
              <w:jc w:val="center"/>
              <w:ind w:right="102"/>
              <w:spacing w:after="0" w:line="137" w:lineRule="exact"/>
              <w:rPr>
                <w:sz w:val="20"/>
                <w:szCs w:val="20"/>
                <w:color w:val="auto"/>
              </w:rPr>
            </w:pPr>
            <w:r>
              <w:rPr>
                <w:rFonts w:ascii="Arial" w:cs="Arial" w:eastAsia="Arial" w:hAnsi="Arial"/>
                <w:sz w:val="14"/>
                <w:szCs w:val="14"/>
                <w:color w:val="auto"/>
                <w:w w:val="91"/>
              </w:rPr>
              <w:t>May Yet Be</w:t>
            </w:r>
          </w:p>
        </w:tc>
      </w:tr>
      <w:tr>
        <w:trPr>
          <w:trHeight w:val="144"/>
        </w:trPr>
        <w:tc>
          <w:tcPr>
            <w:tcW w:w="2120" w:type="dxa"/>
            <w:vAlign w:val="bottom"/>
          </w:tcPr>
          <w:p>
            <w:pPr>
              <w:spacing w:after="0"/>
              <w:rPr>
                <w:sz w:val="12"/>
                <w:szCs w:val="12"/>
                <w:color w:val="auto"/>
              </w:rPr>
            </w:pPr>
          </w:p>
        </w:tc>
        <w:tc>
          <w:tcPr>
            <w:tcW w:w="1880" w:type="dxa"/>
            <w:vAlign w:val="bottom"/>
          </w:tcPr>
          <w:p>
            <w:pPr>
              <w:jc w:val="center"/>
              <w:ind w:right="61"/>
              <w:spacing w:after="0" w:line="144"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1100" w:type="dxa"/>
            <w:vAlign w:val="bottom"/>
          </w:tcPr>
          <w:p>
            <w:pPr>
              <w:jc w:val="center"/>
              <w:ind w:right="281"/>
              <w:spacing w:after="0" w:line="144" w:lineRule="exact"/>
              <w:rPr>
                <w:sz w:val="20"/>
                <w:szCs w:val="20"/>
                <w:color w:val="auto"/>
              </w:rPr>
            </w:pPr>
            <w:r>
              <w:rPr>
                <w:rFonts w:ascii="Arial" w:cs="Arial" w:eastAsia="Arial" w:hAnsi="Arial"/>
                <w:sz w:val="14"/>
                <w:szCs w:val="14"/>
                <w:color w:val="auto"/>
                <w:w w:val="93"/>
              </w:rPr>
              <w:t>Price</w:t>
            </w:r>
          </w:p>
        </w:tc>
        <w:tc>
          <w:tcPr>
            <w:tcW w:w="1920" w:type="dxa"/>
            <w:vAlign w:val="bottom"/>
          </w:tcPr>
          <w:p>
            <w:pPr>
              <w:jc w:val="center"/>
              <w:ind w:right="21"/>
              <w:spacing w:after="0" w:line="144" w:lineRule="exact"/>
              <w:rPr>
                <w:sz w:val="20"/>
                <w:szCs w:val="20"/>
                <w:color w:val="auto"/>
              </w:rPr>
            </w:pPr>
            <w:r>
              <w:rPr>
                <w:rFonts w:ascii="Arial" w:cs="Arial" w:eastAsia="Arial" w:hAnsi="Arial"/>
                <w:sz w:val="14"/>
                <w:szCs w:val="14"/>
                <w:color w:val="auto"/>
                <w:w w:val="85"/>
              </w:rPr>
              <w:t>Shares Purchased</w:t>
            </w:r>
          </w:p>
        </w:tc>
        <w:tc>
          <w:tcPr>
            <w:tcW w:w="240" w:type="dxa"/>
            <w:vAlign w:val="bottom"/>
          </w:tcPr>
          <w:p>
            <w:pPr>
              <w:spacing w:after="0"/>
              <w:rPr>
                <w:sz w:val="12"/>
                <w:szCs w:val="12"/>
                <w:color w:val="auto"/>
              </w:rPr>
            </w:pPr>
          </w:p>
        </w:tc>
        <w:tc>
          <w:tcPr>
            <w:tcW w:w="1440" w:type="dxa"/>
            <w:vAlign w:val="bottom"/>
          </w:tcPr>
          <w:p>
            <w:pPr>
              <w:jc w:val="center"/>
              <w:ind w:right="103"/>
              <w:spacing w:after="0" w:line="144" w:lineRule="exact"/>
              <w:rPr>
                <w:sz w:val="20"/>
                <w:szCs w:val="20"/>
                <w:color w:val="auto"/>
              </w:rPr>
            </w:pPr>
            <w:r>
              <w:rPr>
                <w:rFonts w:ascii="Arial" w:cs="Arial" w:eastAsia="Arial" w:hAnsi="Arial"/>
                <w:sz w:val="14"/>
                <w:szCs w:val="14"/>
                <w:color w:val="auto"/>
                <w:w w:val="93"/>
              </w:rPr>
              <w:t>Under the Publicly</w:t>
            </w:r>
          </w:p>
        </w:tc>
        <w:tc>
          <w:tcPr>
            <w:tcW w:w="1740" w:type="dxa"/>
            <w:vAlign w:val="bottom"/>
            <w:gridSpan w:val="2"/>
          </w:tcPr>
          <w:p>
            <w:pPr>
              <w:ind w:left="60"/>
              <w:spacing w:after="0" w:line="144" w:lineRule="exact"/>
              <w:rPr>
                <w:sz w:val="20"/>
                <w:szCs w:val="20"/>
                <w:color w:val="auto"/>
              </w:rPr>
            </w:pPr>
            <w:r>
              <w:rPr>
                <w:rFonts w:ascii="Arial" w:cs="Arial" w:eastAsia="Arial" w:hAnsi="Arial"/>
                <w:sz w:val="14"/>
                <w:szCs w:val="14"/>
                <w:color w:val="auto"/>
                <w:w w:val="89"/>
              </w:rPr>
              <w:t>Purchased Under the Publicly</w:t>
            </w:r>
          </w:p>
        </w:tc>
      </w:tr>
      <w:tr>
        <w:trPr>
          <w:trHeight w:val="134"/>
        </w:trPr>
        <w:tc>
          <w:tcPr>
            <w:tcW w:w="2120" w:type="dxa"/>
            <w:vAlign w:val="bottom"/>
          </w:tcPr>
          <w:p>
            <w:pPr>
              <w:spacing w:after="0"/>
              <w:rPr>
                <w:sz w:val="11"/>
                <w:szCs w:val="11"/>
                <w:color w:val="auto"/>
              </w:rPr>
            </w:pPr>
          </w:p>
        </w:tc>
        <w:tc>
          <w:tcPr>
            <w:tcW w:w="1880" w:type="dxa"/>
            <w:vAlign w:val="bottom"/>
          </w:tcPr>
          <w:p>
            <w:pPr>
              <w:jc w:val="center"/>
              <w:ind w:right="61"/>
              <w:spacing w:after="0" w:line="134" w:lineRule="exact"/>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1"/>
                <w:szCs w:val="11"/>
                <w:color w:val="auto"/>
              </w:rPr>
            </w:pPr>
          </w:p>
        </w:tc>
        <w:tc>
          <w:tcPr>
            <w:tcW w:w="1100" w:type="dxa"/>
            <w:vAlign w:val="bottom"/>
          </w:tcPr>
          <w:p>
            <w:pPr>
              <w:jc w:val="center"/>
              <w:ind w:right="281"/>
              <w:spacing w:after="0" w:line="134"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ind w:right="21"/>
              <w:spacing w:after="0" w:line="134" w:lineRule="exact"/>
              <w:rPr>
                <w:sz w:val="20"/>
                <w:szCs w:val="20"/>
                <w:color w:val="auto"/>
              </w:rPr>
            </w:pPr>
            <w:r>
              <w:rPr>
                <w:rFonts w:ascii="Arial" w:cs="Arial" w:eastAsia="Arial" w:hAnsi="Arial"/>
                <w:sz w:val="14"/>
                <w:szCs w:val="14"/>
                <w:color w:val="auto"/>
                <w:w w:val="90"/>
              </w:rPr>
              <w:t>as Part of Publicly</w:t>
            </w:r>
          </w:p>
        </w:tc>
        <w:tc>
          <w:tcPr>
            <w:tcW w:w="240" w:type="dxa"/>
            <w:vAlign w:val="bottom"/>
          </w:tcPr>
          <w:p>
            <w:pPr>
              <w:spacing w:after="0"/>
              <w:rPr>
                <w:sz w:val="11"/>
                <w:szCs w:val="11"/>
                <w:color w:val="auto"/>
              </w:rPr>
            </w:pPr>
          </w:p>
        </w:tc>
        <w:tc>
          <w:tcPr>
            <w:tcW w:w="1440" w:type="dxa"/>
            <w:vAlign w:val="bottom"/>
          </w:tcPr>
          <w:p>
            <w:pPr>
              <w:jc w:val="center"/>
              <w:ind w:right="103"/>
              <w:spacing w:after="0" w:line="134" w:lineRule="exact"/>
              <w:rPr>
                <w:sz w:val="20"/>
                <w:szCs w:val="20"/>
                <w:color w:val="auto"/>
              </w:rPr>
            </w:pPr>
            <w:r>
              <w:rPr>
                <w:rFonts w:ascii="Arial" w:cs="Arial" w:eastAsia="Arial" w:hAnsi="Arial"/>
                <w:sz w:val="14"/>
                <w:szCs w:val="14"/>
                <w:color w:val="auto"/>
                <w:w w:val="93"/>
              </w:rPr>
              <w:t>Announced</w:t>
            </w:r>
          </w:p>
        </w:tc>
        <w:tc>
          <w:tcPr>
            <w:tcW w:w="220" w:type="dxa"/>
            <w:vAlign w:val="bottom"/>
          </w:tcPr>
          <w:p>
            <w:pPr>
              <w:spacing w:after="0"/>
              <w:rPr>
                <w:sz w:val="11"/>
                <w:szCs w:val="11"/>
                <w:color w:val="auto"/>
              </w:rPr>
            </w:pPr>
          </w:p>
        </w:tc>
        <w:tc>
          <w:tcPr>
            <w:tcW w:w="1520" w:type="dxa"/>
            <w:vAlign w:val="bottom"/>
          </w:tcPr>
          <w:p>
            <w:pPr>
              <w:jc w:val="center"/>
              <w:ind w:right="102"/>
              <w:spacing w:after="0" w:line="134" w:lineRule="exact"/>
              <w:rPr>
                <w:sz w:val="20"/>
                <w:szCs w:val="20"/>
                <w:color w:val="auto"/>
              </w:rPr>
            </w:pPr>
            <w:r>
              <w:rPr>
                <w:rFonts w:ascii="Arial" w:cs="Arial" w:eastAsia="Arial" w:hAnsi="Arial"/>
                <w:sz w:val="14"/>
                <w:szCs w:val="14"/>
                <w:color w:val="auto"/>
                <w:w w:val="93"/>
              </w:rPr>
              <w:t>Announced</w:t>
            </w:r>
          </w:p>
        </w:tc>
      </w:tr>
      <w:tr>
        <w:trPr>
          <w:trHeight w:val="207"/>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Period</w:t>
            </w:r>
          </w:p>
        </w:tc>
        <w:tc>
          <w:tcPr>
            <w:tcW w:w="1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86"/>
              </w:rPr>
              <w:t>Purchased</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color w:val="auto"/>
                <w:w w:val="85"/>
              </w:rPr>
              <w:t>Share</w:t>
            </w:r>
          </w:p>
        </w:tc>
        <w:tc>
          <w:tcPr>
            <w:tcW w:w="19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93"/>
              </w:rPr>
              <w:t>Announced Authorization</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w w:val="95"/>
              </w:rPr>
              <w:t>Authorization</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89"/>
              </w:rPr>
              <w:t>Authorization</w:t>
            </w:r>
            <w:r>
              <w:rPr>
                <w:rFonts w:ascii="Arial" w:cs="Arial" w:eastAsia="Arial" w:hAnsi="Arial"/>
                <w:sz w:val="18"/>
                <w:szCs w:val="18"/>
                <w:color w:val="auto"/>
                <w:w w:val="89"/>
                <w:vertAlign w:val="superscript"/>
              </w:rPr>
              <w:t>(a)</w:t>
            </w: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1-31, 2023</w:t>
            </w:r>
          </w:p>
        </w:tc>
        <w:tc>
          <w:tcPr>
            <w:tcW w:w="188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15,873,678</w:t>
            </w:r>
          </w:p>
        </w:tc>
        <w:tc>
          <w:tcPr>
            <w:tcW w:w="4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42.84</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15,873,678</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679,999,821</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11,320,001,072</w:t>
            </w:r>
          </w:p>
        </w:tc>
      </w:tr>
      <w:tr>
        <w:trPr>
          <w:trHeight w:val="236"/>
        </w:trPr>
        <w:tc>
          <w:tcPr>
            <w:tcW w:w="2120" w:type="dxa"/>
            <w:vAlign w:val="bottom"/>
          </w:tcPr>
          <w:p>
            <w:pPr>
              <w:ind w:left="20"/>
              <w:spacing w:after="0"/>
              <w:rPr>
                <w:sz w:val="20"/>
                <w:szCs w:val="20"/>
                <w:color w:val="auto"/>
              </w:rPr>
            </w:pPr>
            <w:r>
              <w:rPr>
                <w:rFonts w:ascii="Arial" w:cs="Arial" w:eastAsia="Arial" w:hAnsi="Arial"/>
                <w:sz w:val="17"/>
                <w:szCs w:val="17"/>
                <w:color w:val="auto"/>
              </w:rPr>
              <w:t>August 1-31, 2023</w:t>
            </w:r>
          </w:p>
        </w:tc>
        <w:tc>
          <w:tcPr>
            <w:tcW w:w="1880" w:type="dxa"/>
            <w:vAlign w:val="bottom"/>
          </w:tcPr>
          <w:p>
            <w:pPr>
              <w:jc w:val="right"/>
              <w:ind w:right="141"/>
              <w:spacing w:after="0"/>
              <w:rPr>
                <w:sz w:val="20"/>
                <w:szCs w:val="20"/>
                <w:color w:val="auto"/>
              </w:rPr>
            </w:pPr>
            <w:r>
              <w:rPr>
                <w:rFonts w:ascii="Arial" w:cs="Arial" w:eastAsia="Arial" w:hAnsi="Arial"/>
                <w:sz w:val="17"/>
                <w:szCs w:val="17"/>
                <w:color w:val="auto"/>
              </w:rPr>
              <w:t>39,661,056</w:t>
            </w:r>
          </w:p>
        </w:tc>
        <w:tc>
          <w:tcPr>
            <w:tcW w:w="4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01"/>
              <w:spacing w:after="0"/>
              <w:rPr>
                <w:sz w:val="20"/>
                <w:szCs w:val="20"/>
                <w:color w:val="auto"/>
              </w:rPr>
            </w:pPr>
            <w:r>
              <w:rPr>
                <w:rFonts w:ascii="Arial" w:cs="Arial" w:eastAsia="Arial" w:hAnsi="Arial"/>
                <w:sz w:val="17"/>
                <w:szCs w:val="17"/>
                <w:color w:val="auto"/>
              </w:rPr>
              <w:t>46.03</w:t>
            </w:r>
          </w:p>
        </w:tc>
        <w:tc>
          <w:tcPr>
            <w:tcW w:w="1920" w:type="dxa"/>
            <w:vAlign w:val="bottom"/>
          </w:tcPr>
          <w:p>
            <w:pPr>
              <w:jc w:val="right"/>
              <w:spacing w:after="0"/>
              <w:rPr>
                <w:sz w:val="20"/>
                <w:szCs w:val="20"/>
                <w:color w:val="auto"/>
              </w:rPr>
            </w:pPr>
            <w:r>
              <w:rPr>
                <w:rFonts w:ascii="Arial" w:cs="Arial" w:eastAsia="Arial" w:hAnsi="Arial"/>
                <w:sz w:val="17"/>
                <w:szCs w:val="17"/>
                <w:color w:val="auto"/>
              </w:rPr>
              <w:t>39,661,056</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1,825,638,063</w:t>
            </w:r>
          </w:p>
        </w:tc>
        <w:tc>
          <w:tcPr>
            <w:tcW w:w="220" w:type="dxa"/>
            <w:vAlign w:val="bottom"/>
          </w:tcPr>
          <w:p>
            <w:pPr>
              <w:ind w:left="6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9,494,363,009</w:t>
            </w:r>
          </w:p>
        </w:tc>
      </w:tr>
      <w:tr>
        <w:trPr>
          <w:trHeight w:val="223"/>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September 1-30, 2023</w:t>
            </w:r>
          </w:p>
        </w:tc>
        <w:tc>
          <w:tcPr>
            <w:tcW w:w="18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7"/>
                <w:szCs w:val="17"/>
                <w:color w:val="auto"/>
              </w:rPr>
              <w:t>21,929,296</w:t>
            </w:r>
          </w:p>
        </w:tc>
        <w:tc>
          <w:tcPr>
            <w:tcW w:w="4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7"/>
                <w:szCs w:val="17"/>
                <w:color w:val="auto"/>
              </w:rPr>
              <w:t>45.34</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21,929,296</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994,362,768</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8,500,000,241</w:t>
            </w:r>
          </w:p>
        </w:tc>
      </w:tr>
      <w:tr>
        <w:trPr>
          <w:trHeight w:val="222"/>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188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b w:val="1"/>
                <w:bCs w:val="1"/>
                <w:color w:val="auto"/>
              </w:rPr>
              <w:t>77,464,030</w:t>
            </w: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7"/>
                <w:szCs w:val="17"/>
                <w:b w:val="1"/>
                <w:bCs w:val="1"/>
                <w:color w:val="auto"/>
              </w:rPr>
              <w:t>45.18</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77,464,030</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3,500,000,652</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8,500,000,241</w:t>
            </w:r>
          </w:p>
        </w:tc>
      </w:tr>
    </w:tbl>
    <w:p>
      <w:pPr>
        <w:spacing w:after="0" w:line="86" w:lineRule="exact"/>
        <w:rPr>
          <w:sz w:val="20"/>
          <w:szCs w:val="20"/>
          <w:color w:val="auto"/>
        </w:rPr>
      </w:pPr>
    </w:p>
    <w:p>
      <w:pPr>
        <w:ind w:left="320" w:hanging="315"/>
        <w:spacing w:after="0" w:line="260" w:lineRule="auto"/>
        <w:tabs>
          <w:tab w:leader="none" w:pos="317" w:val="left"/>
        </w:tabs>
        <w:numPr>
          <w:ilvl w:val="0"/>
          <w:numId w:val="21"/>
        </w:numPr>
        <w:rPr>
          <w:rFonts w:ascii="Arial" w:cs="Arial" w:eastAsia="Arial" w:hAnsi="Arial"/>
          <w:sz w:val="14"/>
          <w:szCs w:val="14"/>
          <w:color w:val="auto"/>
        </w:rPr>
      </w:pPr>
      <w:r>
        <w:rPr>
          <w:rFonts w:ascii="Arial" w:cs="Arial" w:eastAsia="Arial" w:hAnsi="Arial"/>
          <w:sz w:val="14"/>
          <w:szCs w:val="14"/>
          <w:color w:val="auto"/>
        </w:rPr>
        <w:t>Effective September 13, 2022, our Board of Directors approved a new share repurchase program authorization of $20 billion. Under the authorization, which does not have an expiration date, we expect to repurchase additional shares, which may be in the open market or in private transactions, subject to market and other conditions.</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8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3" w:lineRule="exact"/>
        <w:rPr>
          <w:sz w:val="20"/>
          <w:szCs w:val="20"/>
          <w:color w:val="auto"/>
        </w:rPr>
      </w:pPr>
    </w:p>
    <w:p>
      <w:pPr>
        <w:ind w:left="880" w:hanging="858"/>
        <w:spacing w:after="0"/>
        <w:tabs>
          <w:tab w:leader="none" w:pos="880" w:val="left"/>
        </w:tabs>
        <w:numPr>
          <w:ilvl w:val="0"/>
          <w:numId w:val="22"/>
        </w:numPr>
        <w:rPr>
          <w:rFonts w:ascii="Arial" w:cs="Arial" w:eastAsia="Arial" w:hAnsi="Arial"/>
          <w:sz w:val="17"/>
          <w:szCs w:val="17"/>
          <w:u w:val="single" w:color="auto"/>
          <w:color w:val="0000FF"/>
        </w:rPr>
      </w:pPr>
      <w:r>
        <w:rPr>
          <w:rFonts w:ascii="Arial" w:cs="Arial" w:eastAsia="Arial" w:hAnsi="Arial"/>
          <w:sz w:val="17"/>
          <w:szCs w:val="17"/>
          <w:color w:val="auto"/>
        </w:rPr>
        <w:t>Certification of Chief Executive Officer and Chief Financial Officer pursuant to Section 302 of the Sarbanes-Oxley Act of 2002.</w:t>
      </w:r>
    </w:p>
    <w:p>
      <w:pPr>
        <w:spacing w:after="0" w:line="27" w:lineRule="exact"/>
        <w:rPr>
          <w:rFonts w:ascii="Arial" w:cs="Arial" w:eastAsia="Arial" w:hAnsi="Arial"/>
          <w:sz w:val="17"/>
          <w:szCs w:val="17"/>
          <w:u w:val="single" w:color="auto"/>
          <w:color w:val="0000FF"/>
        </w:rPr>
      </w:pPr>
    </w:p>
    <w:p>
      <w:pPr>
        <w:ind w:left="880" w:hanging="858"/>
        <w:spacing w:after="0"/>
        <w:tabs>
          <w:tab w:leader="none" w:pos="880" w:val="left"/>
        </w:tabs>
        <w:numPr>
          <w:ilvl w:val="0"/>
          <w:numId w:val="22"/>
        </w:numPr>
        <w:rPr>
          <w:rFonts w:ascii="Arial" w:cs="Arial" w:eastAsia="Arial" w:hAnsi="Arial"/>
          <w:sz w:val="17"/>
          <w:szCs w:val="17"/>
          <w:u w:val="single" w:color="auto"/>
          <w:color w:val="0000FF"/>
        </w:rPr>
      </w:pPr>
      <w:r>
        <w:rPr>
          <w:rFonts w:ascii="Arial" w:cs="Arial" w:eastAsia="Arial" w:hAnsi="Arial"/>
          <w:sz w:val="17"/>
          <w:szCs w:val="17"/>
          <w:color w:val="auto"/>
        </w:rPr>
        <w:t>Certification of Chief Executive Officer and Chief Financial Officer pursuant to Section 906 of the Sarbanes-Oxley Act of 2002.</w:t>
      </w:r>
    </w:p>
    <w:p>
      <w:pPr>
        <w:spacing w:after="0" w:line="27" w:lineRule="exact"/>
        <w:rPr>
          <w:sz w:val="20"/>
          <w:szCs w:val="20"/>
          <w:color w:val="auto"/>
        </w:rPr>
      </w:pPr>
    </w:p>
    <w:p>
      <w:pPr>
        <w:jc w:val="both"/>
        <w:ind w:left="880" w:right="20" w:hanging="858"/>
        <w:spacing w:after="0" w:line="239"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nine months ended September 30, 2023, filed with the Securities and Exchange Commission on October 26, 2023, formatted in Inline Extensible Business Reporting Language (iXBRL):</w:t>
      </w:r>
    </w:p>
    <w:p>
      <w:pPr>
        <w:spacing w:after="0" w:line="1" w:lineRule="exact"/>
        <w:rPr>
          <w:rFonts w:ascii="Arial" w:cs="Arial" w:eastAsia="Arial" w:hAnsi="Arial"/>
          <w:sz w:val="16"/>
          <w:szCs w:val="16"/>
          <w:color w:val="auto"/>
        </w:rPr>
      </w:pPr>
    </w:p>
    <w:p>
      <w:pPr>
        <w:jc w:val="both"/>
        <w:ind w:left="880" w:right="20"/>
        <w:spacing w:after="0" w:line="229" w:lineRule="auto"/>
        <w:rPr>
          <w:rFonts w:ascii="Arial" w:cs="Arial" w:eastAsia="Arial" w:hAnsi="Arial"/>
          <w:sz w:val="16"/>
          <w:szCs w:val="16"/>
          <w:color w:val="auto"/>
        </w:rPr>
      </w:pPr>
      <w:r>
        <w:rPr>
          <w:rFonts w:ascii="Arial" w:cs="Arial" w:eastAsia="Arial" w:hAnsi="Arial"/>
          <w:sz w:val="17"/>
          <w:szCs w:val="17"/>
          <w:color w:val="auto"/>
        </w:rPr>
        <w:t>(i) 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p>
      <w:pPr>
        <w:spacing w:after="0" w:line="3"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1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3" w:lineRule="exact"/>
        <w:rPr>
          <w:sz w:val="20"/>
          <w:szCs w:val="20"/>
          <w:color w:val="auto"/>
        </w:rPr>
      </w:pPr>
    </w:p>
    <w:p>
      <w:pPr>
        <w:ind w:left="880" w:hanging="858"/>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92"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COMCAST CORPORATION</w:t>
      </w:r>
    </w:p>
    <w:p>
      <w:pPr>
        <w:spacing w:after="0" w:line="80" w:lineRule="exact"/>
        <w:rPr>
          <w:sz w:val="20"/>
          <w:szCs w:val="20"/>
          <w:color w:val="auto"/>
        </w:rPr>
      </w:pPr>
    </w:p>
    <w:p>
      <w:pPr>
        <w:ind w:left="5800"/>
        <w:spacing w:after="0"/>
        <w:tabs>
          <w:tab w:leader="none" w:pos="63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16510</wp:posOffset>
            </wp:positionV>
            <wp:extent cx="3102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20"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Daniel C. Murdock</w:t>
      </w:r>
    </w:p>
    <w:p>
      <w:pPr>
        <w:ind w:left="6380"/>
        <w:spacing w:after="0" w:line="224" w:lineRule="auto"/>
        <w:rPr>
          <w:sz w:val="20"/>
          <w:szCs w:val="20"/>
          <w:color w:val="auto"/>
        </w:rPr>
      </w:pPr>
      <w:r>
        <w:rPr>
          <w:rFonts w:ascii="Arial" w:cs="Arial" w:eastAsia="Arial" w:hAnsi="Arial"/>
          <w:sz w:val="16"/>
          <w:szCs w:val="16"/>
          <w:color w:val="auto"/>
        </w:rPr>
        <w:t>Executive Vice President, Chief Accounting Officer and Controller</w:t>
      </w:r>
    </w:p>
    <w:p>
      <w:pPr>
        <w:ind w:left="6380"/>
        <w:spacing w:after="0"/>
        <w:rPr>
          <w:sz w:val="20"/>
          <w:szCs w:val="20"/>
          <w:color w:val="auto"/>
        </w:rPr>
      </w:pPr>
      <w:r>
        <w:rPr>
          <w:rFonts w:ascii="Arial" w:cs="Arial" w:eastAsia="Arial" w:hAnsi="Arial"/>
          <w:sz w:val="17"/>
          <w:szCs w:val="17"/>
          <w:color w:val="auto"/>
        </w:rPr>
        <w:t>(Principal Accounting Officer)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Date: October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17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31</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 Brian L. Roberts, certify that:</w:t>
      </w:r>
    </w:p>
    <w:p>
      <w:pPr>
        <w:spacing w:after="0" w:line="119" w:lineRule="exact"/>
        <w:rPr>
          <w:sz w:val="20"/>
          <w:szCs w:val="20"/>
          <w:color w:val="auto"/>
        </w:rPr>
      </w:pPr>
    </w:p>
    <w:p>
      <w:pPr>
        <w:ind w:left="640" w:hanging="635"/>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Comcast Corporation;</w:t>
      </w:r>
    </w:p>
    <w:p>
      <w:pPr>
        <w:spacing w:after="0" w:line="118" w:lineRule="exact"/>
        <w:rPr>
          <w:rFonts w:ascii="Arial" w:cs="Arial" w:eastAsia="Arial" w:hAnsi="Arial"/>
          <w:sz w:val="17"/>
          <w:szCs w:val="17"/>
          <w:color w:val="auto"/>
        </w:rPr>
      </w:pPr>
    </w:p>
    <w:p>
      <w:pPr>
        <w:jc w:val="both"/>
        <w:ind w:left="640" w:right="460" w:hanging="635"/>
        <w:spacing w:after="0" w:line="273"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7"/>
          <w:szCs w:val="17"/>
          <w:color w:val="auto"/>
        </w:rPr>
      </w:pPr>
    </w:p>
    <w:p>
      <w:pPr>
        <w:ind w:left="640" w:right="420" w:hanging="635"/>
        <w:spacing w:after="0" w:line="289"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40" w:right="40" w:hanging="635"/>
        <w:spacing w:after="0" w:line="273"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7"/>
          <w:szCs w:val="17"/>
          <w:color w:val="auto"/>
        </w:rPr>
      </w:pPr>
    </w:p>
    <w:p>
      <w:pPr>
        <w:jc w:val="both"/>
        <w:ind w:left="1260" w:right="120" w:hanging="626"/>
        <w:spacing w:after="0" w:line="273" w:lineRule="auto"/>
        <w:tabs>
          <w:tab w:leader="none" w:pos="1251"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7"/>
          <w:szCs w:val="17"/>
          <w:color w:val="auto"/>
        </w:rPr>
      </w:pPr>
    </w:p>
    <w:p>
      <w:pPr>
        <w:ind w:left="1260" w:right="380" w:hanging="626"/>
        <w:spacing w:after="0" w:line="273" w:lineRule="auto"/>
        <w:tabs>
          <w:tab w:leader="none" w:pos="12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ind w:left="1260" w:right="540" w:hanging="626"/>
        <w:spacing w:after="0" w:line="359" w:lineRule="auto"/>
        <w:tabs>
          <w:tab w:leader="none" w:pos="1251"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ind w:left="1260" w:right="120" w:hanging="626"/>
        <w:spacing w:after="0" w:line="273" w:lineRule="auto"/>
        <w:tabs>
          <w:tab w:leader="none" w:pos="12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7"/>
          <w:szCs w:val="17"/>
          <w:color w:val="auto"/>
        </w:rPr>
      </w:pPr>
    </w:p>
    <w:p>
      <w:pPr>
        <w:ind w:left="640" w:right="340" w:hanging="635"/>
        <w:spacing w:after="0" w:line="322"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260" w:right="40" w:hanging="626"/>
        <w:spacing w:after="0" w:line="289" w:lineRule="auto"/>
        <w:tabs>
          <w:tab w:leader="none" w:pos="1251"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1260" w:right="540" w:hanging="626"/>
        <w:spacing w:after="0" w:line="289" w:lineRule="auto"/>
        <w:tabs>
          <w:tab w:leader="none" w:pos="12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Date: October 26, 2023</w:t>
      </w:r>
    </w:p>
    <w:p>
      <w:pPr>
        <w:spacing w:after="0" w:line="5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683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Name: Brian L. Roberts</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1240"/>
          </w:cols>
          <w:pgMar w:left="320" w:top="35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I, Jason S. Armstrong, certify that:</w:t>
      </w:r>
    </w:p>
    <w:p>
      <w:pPr>
        <w:spacing w:after="0" w:line="66" w:lineRule="exact"/>
        <w:rPr>
          <w:sz w:val="20"/>
          <w:szCs w:val="20"/>
          <w:color w:val="auto"/>
        </w:rPr>
      </w:pPr>
    </w:p>
    <w:p>
      <w:pPr>
        <w:ind w:left="640" w:hanging="635"/>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Comcast Corporation;</w:t>
      </w:r>
    </w:p>
    <w:p>
      <w:pPr>
        <w:spacing w:after="0" w:line="118" w:lineRule="exact"/>
        <w:rPr>
          <w:rFonts w:ascii="Arial" w:cs="Arial" w:eastAsia="Arial" w:hAnsi="Arial"/>
          <w:sz w:val="17"/>
          <w:szCs w:val="17"/>
          <w:color w:val="auto"/>
        </w:rPr>
      </w:pPr>
    </w:p>
    <w:p>
      <w:pPr>
        <w:jc w:val="both"/>
        <w:ind w:left="640" w:right="420" w:hanging="635"/>
        <w:spacing w:after="0" w:line="273"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7"/>
          <w:szCs w:val="17"/>
          <w:color w:val="auto"/>
        </w:rPr>
      </w:pPr>
    </w:p>
    <w:p>
      <w:pPr>
        <w:ind w:left="640" w:right="380" w:hanging="635"/>
        <w:spacing w:after="0" w:line="289"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40" w:hanging="635"/>
        <w:spacing w:after="0" w:line="273"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7"/>
          <w:szCs w:val="17"/>
          <w:color w:val="auto"/>
        </w:rPr>
      </w:pPr>
    </w:p>
    <w:p>
      <w:pPr>
        <w:jc w:val="both"/>
        <w:ind w:left="1260" w:right="80" w:hanging="626"/>
        <w:spacing w:after="0" w:line="273" w:lineRule="auto"/>
        <w:tabs>
          <w:tab w:leader="none" w:pos="1251"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7"/>
          <w:szCs w:val="17"/>
          <w:color w:val="auto"/>
        </w:rPr>
      </w:pPr>
    </w:p>
    <w:p>
      <w:pPr>
        <w:ind w:left="1260" w:right="340" w:hanging="626"/>
        <w:spacing w:after="0" w:line="273" w:lineRule="auto"/>
        <w:tabs>
          <w:tab w:leader="none" w:pos="124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ind w:left="1260" w:right="500" w:hanging="626"/>
        <w:spacing w:after="0" w:line="359" w:lineRule="auto"/>
        <w:tabs>
          <w:tab w:leader="none" w:pos="1251"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ind w:left="1260" w:right="80" w:hanging="626"/>
        <w:spacing w:after="0" w:line="273" w:lineRule="auto"/>
        <w:tabs>
          <w:tab w:leader="none" w:pos="124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7"/>
          <w:szCs w:val="17"/>
          <w:color w:val="auto"/>
        </w:rPr>
      </w:pPr>
    </w:p>
    <w:p>
      <w:pPr>
        <w:ind w:left="640" w:right="300" w:hanging="635"/>
        <w:spacing w:after="0" w:line="322"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260" w:hanging="626"/>
        <w:spacing w:after="0" w:line="289" w:lineRule="auto"/>
        <w:tabs>
          <w:tab w:leader="none" w:pos="1251"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1260" w:right="500" w:hanging="626"/>
        <w:spacing w:after="0" w:line="289" w:lineRule="auto"/>
        <w:tabs>
          <w:tab w:leader="none" w:pos="1248"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Date: October 26, 2023</w:t>
      </w:r>
    </w:p>
    <w:p>
      <w:pPr>
        <w:spacing w:after="0" w:line="197"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683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Name: Jason S. Armstrong</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11200"/>
          </w:cols>
          <w:pgMar w:left="320" w:top="1109"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SECTION 906 OF THE SARBANES-OXLEY ACT</w:t>
      </w:r>
    </w:p>
    <w:p>
      <w:pPr>
        <w:spacing w:after="0" w:line="119"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October 26, 2023</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Brian L. Roberts, the Chief Executive Officer and Jason S. Armstrong, the Chief Financial Officer of Comcast Corporation, each certifies that, to the best of his knowledge:</w:t>
      </w:r>
    </w:p>
    <w:p>
      <w:pPr>
        <w:spacing w:after="0" w:line="53" w:lineRule="exact"/>
        <w:rPr>
          <w:sz w:val="20"/>
          <w:szCs w:val="20"/>
          <w:color w:val="auto"/>
        </w:rPr>
      </w:pPr>
    </w:p>
    <w:p>
      <w:pPr>
        <w:ind w:left="640" w:hanging="635"/>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118" w:lineRule="exact"/>
        <w:rPr>
          <w:rFonts w:ascii="Arial" w:cs="Arial" w:eastAsia="Arial" w:hAnsi="Arial"/>
          <w:sz w:val="17"/>
          <w:szCs w:val="17"/>
          <w:color w:val="auto"/>
        </w:rPr>
      </w:pPr>
    </w:p>
    <w:p>
      <w:pPr>
        <w:ind w:left="640" w:right="840" w:hanging="635"/>
        <w:spacing w:after="0" w:line="289"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Comcast Corporation.</w:t>
      </w:r>
    </w:p>
    <w:p>
      <w:pPr>
        <w:spacing w:after="0" w:line="92"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16510</wp:posOffset>
            </wp:positionV>
            <wp:extent cx="34683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Name: Brian L. Roberts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338" w:lineRule="exact"/>
        <w:rPr>
          <w:sz w:val="20"/>
          <w:szCs w:val="20"/>
          <w:color w:val="auto"/>
        </w:rPr>
      </w:pPr>
    </w:p>
    <w:p>
      <w:pPr>
        <w:ind w:left="7480"/>
        <w:spacing w:after="0"/>
        <w:rPr>
          <w:sz w:val="20"/>
          <w:szCs w:val="20"/>
          <w:color w:val="auto"/>
        </w:rPr>
      </w:pPr>
      <w:r>
        <w:rPr>
          <w:rFonts w:ascii="Arial" w:cs="Arial" w:eastAsia="Arial" w:hAnsi="Arial"/>
          <w:sz w:val="17"/>
          <w:szCs w:val="17"/>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16510</wp:posOffset>
            </wp:positionV>
            <wp:extent cx="34683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Name: Jason S. Armstrong</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Title: Chief Financial Officer</w:t>
      </w:r>
    </w:p>
    <w:sectPr>
      <w:pgSz w:w="11900" w:h="16838" w:orient="portrait"/>
      <w:cols w:equalWidth="0" w:num="1">
        <w:col w:w="11240"/>
      </w:cols>
      <w:pgMar w:left="320" w:top="3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2"/>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31"/>
    </w:lvl>
  </w:abstractNum>
  <w:abstractNum w:abstractNumId="22">
    <w:nsid w:val="79838CB2"/>
    <w:multiLevelType w:val="hybridMultilevel"/>
    <w:lvl w:ilvl="0">
      <w:lvlJc w:val="left"/>
      <w:lvlText w:val="%1"/>
      <w:numFmt w:val="decimal"/>
      <w:start w:val="10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2023-10-26T14:05:59Z</dcterms:created>
  <dcterms:modified xsi:type="dcterms:W3CDTF">2023-10-26T14:05:59Z</dcterms:modified>
</cp:coreProperties>
</file>