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SCHEDULE 13D - AMENDMENT NO. 2</w:t>
      </w:r>
    </w:p>
    <w:p>
      <w:pPr>
        <w:spacing w:after="0" w:line="198"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Jones Intercable, Inc.</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CLASS A COMMON STOCK, PAR VALUE $.01</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COMMON STOCK, PAR VALUE $.01</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480206-200</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Stanley Wang</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8" w:lineRule="exact"/>
        <w:rPr>
          <w:sz w:val="24"/>
          <w:szCs w:val="24"/>
          <w:color w:val="auto"/>
        </w:rPr>
      </w:pPr>
    </w:p>
    <w:p>
      <w:pPr>
        <w:ind w:left="3840" w:hanging="586"/>
        <w:spacing w:after="0"/>
        <w:tabs>
          <w:tab w:leader="none" w:pos="38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665-1700</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April 7, 1999</w:t>
      </w:r>
    </w:p>
    <w:p>
      <w:pPr>
        <w:spacing w:after="0" w:line="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8" w:lineRule="exact"/>
        <w:rPr>
          <w:sz w:val="24"/>
          <w:szCs w:val="24"/>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5" w:lineRule="exact"/>
        <w:rPr>
          <w:sz w:val="24"/>
          <w:szCs w:val="24"/>
          <w:color w:val="auto"/>
        </w:rPr>
      </w:pPr>
    </w:p>
    <w:p>
      <w:pPr>
        <w:jc w:val="both"/>
        <w:ind w:right="2339"/>
        <w:spacing w:after="0" w:line="257"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13d-a(a) for other parties to whom copies are to be sent.</w:t>
      </w:r>
    </w:p>
    <w:p>
      <w:pPr>
        <w:spacing w:after="0" w:line="370" w:lineRule="exact"/>
        <w:rPr>
          <w:sz w:val="24"/>
          <w:szCs w:val="24"/>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 of 13</w:t>
      </w:r>
    </w:p>
    <w:p>
      <w:pPr>
        <w:spacing w:after="0" w:line="198" w:lineRule="exact"/>
        <w:rPr>
          <w:sz w:val="24"/>
          <w:szCs w:val="24"/>
          <w:color w:val="auto"/>
        </w:rPr>
      </w:pPr>
    </w:p>
    <w:p>
      <w:pPr>
        <w:ind w:left="6020" w:right="2339" w:hanging="6019"/>
        <w:spacing w:after="0" w:line="502" w:lineRule="auto"/>
        <w:tabs>
          <w:tab w:leader="none" w:pos="4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 Comcast Corporation</w:t>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2.</w:t>
            </w:r>
          </w:p>
        </w:tc>
        <w:tc>
          <w:tcPr>
            <w:tcW w:w="5920" w:type="dxa"/>
            <w:vAlign w:val="bottom"/>
          </w:tcPr>
          <w:p>
            <w:pPr>
              <w:ind w:left="16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1280" w:type="dxa"/>
            <w:vAlign w:val="bottom"/>
          </w:tcPr>
          <w:p>
            <w:pPr>
              <w:ind w:left="94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3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80" w:type="dxa"/>
            <w:vAlign w:val="bottom"/>
          </w:tcPr>
          <w:p>
            <w:pPr>
              <w:ind w:left="94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8" w:lineRule="exact"/>
        <w:rPr>
          <w:sz w:val="24"/>
          <w:szCs w:val="24"/>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 4. SOURCE OF FUNDS*</w:t>
      </w:r>
    </w:p>
    <w:p>
      <w:pPr>
        <w:ind w:left="7700"/>
        <w:spacing w:after="0"/>
        <w:rPr>
          <w:sz w:val="20"/>
          <w:szCs w:val="20"/>
          <w:color w:val="auto"/>
        </w:rPr>
      </w:pPr>
      <w:r>
        <w:rPr>
          <w:rFonts w:ascii="Courier New" w:cs="Courier New" w:eastAsia="Courier New" w:hAnsi="Courier New"/>
          <w:sz w:val="16"/>
          <w:szCs w:val="16"/>
          <w:color w:val="auto"/>
        </w:rPr>
        <w:t>WC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500" w:right="2439" w:hanging="499"/>
        <w:spacing w:after="0" w:line="251"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(e)</w:t>
      </w:r>
    </w:p>
    <w:p>
      <w:pPr>
        <w:ind w:left="7600"/>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 6. CITIZENSHIP OR PLACE OF ORGANIZATION</w:t>
      </w:r>
    </w:p>
    <w:p>
      <w:pPr>
        <w:ind w:left="6700"/>
        <w:spacing w:after="0"/>
        <w:rPr>
          <w:sz w:val="20"/>
          <w:szCs w:val="20"/>
          <w:color w:val="auto"/>
        </w:rPr>
      </w:pPr>
      <w:r>
        <w:rPr>
          <w:rFonts w:ascii="Courier New" w:cs="Courier New" w:eastAsia="Courier New" w:hAnsi="Courier New"/>
          <w:sz w:val="16"/>
          <w:szCs w:val="16"/>
          <w:color w:val="auto"/>
        </w:rPr>
        <w:t>Pennsylvania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NUMBERS OF SHARES BENEFICIALLY OWNED BY EACH REPORTING PERSON WITH</w:t>
      </w:r>
    </w:p>
    <w:p>
      <w:pPr>
        <w:spacing w:after="0" w:line="198" w:lineRule="exact"/>
        <w:rPr>
          <w:sz w:val="24"/>
          <w:szCs w:val="24"/>
          <w:color w:val="auto"/>
        </w:rPr>
      </w:pPr>
    </w:p>
    <w:p>
      <w:pPr>
        <w:ind w:left="500"/>
        <w:spacing w:after="0"/>
        <w:tabs>
          <w:tab w:leader="none" w:pos="960" w:val="left"/>
        </w:tabs>
        <w:rPr>
          <w:sz w:val="20"/>
          <w:szCs w:val="20"/>
          <w:color w:val="auto"/>
        </w:rPr>
      </w:pPr>
      <w:r>
        <w:rPr>
          <w:rFonts w:ascii="Courier New" w:cs="Courier New" w:eastAsia="Courier New" w:hAnsi="Courier New"/>
          <w:sz w:val="16"/>
          <w:szCs w:val="16"/>
          <w:color w:val="auto"/>
        </w:rPr>
        <w:t>7.</w:t>
        <w:tab/>
        <w:t>SOLE VOTING POWER</w:t>
      </w:r>
    </w:p>
    <w:p>
      <w:pPr>
        <w:spacing w:after="0" w:line="198" w:lineRule="exact"/>
        <w:rPr>
          <w:sz w:val="24"/>
          <w:szCs w:val="24"/>
          <w:color w:val="auto"/>
        </w:rPr>
      </w:pPr>
    </w:p>
    <w:p>
      <w:pPr>
        <w:jc w:val="right"/>
        <w:ind w:right="2339"/>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4"/>
          <w:szCs w:val="24"/>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980" w:hanging="486"/>
        <w:spacing w:after="0"/>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904" w:orient="portrait"/>
          <w:cols w:equalWidth="0" w:num="1">
            <w:col w:w="10219"/>
          </w:cols>
          <w:pgMar w:left="240" w:top="432" w:right="1440" w:bottom="0" w:gutter="0" w:footer="0" w:header="0"/>
        </w:sectPr>
      </w:pPr>
    </w:p>
    <w:bookmarkStart w:id="1" w:name="page2"/>
    <w:bookmarkEnd w:id="1"/>
    <w:p>
      <w:pPr>
        <w:ind w:left="500"/>
        <w:spacing w:after="0"/>
        <w:tabs>
          <w:tab w:leader="none" w:pos="960" w:val="left"/>
        </w:tabs>
        <w:rPr>
          <w:sz w:val="20"/>
          <w:szCs w:val="20"/>
          <w:color w:val="auto"/>
        </w:rPr>
      </w:pPr>
      <w:r>
        <w:rPr>
          <w:rFonts w:ascii="Courier New" w:cs="Courier New" w:eastAsia="Courier New" w:hAnsi="Courier New"/>
          <w:sz w:val="16"/>
          <w:szCs w:val="16"/>
          <w:color w:val="auto"/>
        </w:rPr>
        <w:t>9.</w:t>
        <w:tab/>
        <w:t>SOLE DISPOSITIVE POWER</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CHECK BOX IF THE AGGREGATE AMOUNT IN ROW (11) EXCLUDES CERTAIN SHARES</w:t>
      </w:r>
    </w:p>
    <w:p>
      <w:pPr>
        <w:spacing w:after="0" w:line="198"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13.</w:t>
        <w:tab/>
        <w:t>PERCENT OF CLASS REPRESENTED BY AMOUNT IN ROW (11)</w:t>
      </w:r>
    </w:p>
    <w:p>
      <w:pPr>
        <w:spacing w:after="0" w:line="198"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35.3%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14.</w:t>
        <w:tab/>
        <w:t>TYPE OF REPORTING PERSON*</w:t>
      </w:r>
    </w:p>
    <w:p>
      <w:pPr>
        <w:spacing w:after="0" w:line="8"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CO</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3 of 13</w:t>
      </w:r>
    </w:p>
    <w:p>
      <w:pPr>
        <w:spacing w:after="0" w:line="198" w:lineRule="exact"/>
        <w:rPr>
          <w:sz w:val="20"/>
          <w:szCs w:val="20"/>
          <w:color w:val="auto"/>
        </w:rPr>
      </w:pPr>
    </w:p>
    <w:p>
      <w:pPr>
        <w:ind w:left="6020" w:right="2339" w:hanging="6019"/>
        <w:spacing w:after="0" w:line="502" w:lineRule="auto"/>
        <w:tabs>
          <w:tab w:leader="none" w:pos="49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 Comcast Corporation</w:t>
      </w:r>
    </w:p>
    <w:p>
      <w:pPr>
        <w:ind w:right="2339"/>
        <w:spacing w:after="0" w:line="255"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84"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(b)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 4. SOURCE OF FUNDS*</w:t>
      </w:r>
    </w:p>
    <w:p>
      <w:pPr>
        <w:spacing w:after="0" w:line="18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right="2439" w:hanging="499"/>
        <w:spacing w:after="0" w:line="255" w:lineRule="auto"/>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(e)</w:t>
      </w:r>
    </w:p>
    <w:p>
      <w:pPr>
        <w:spacing w:after="0" w:line="18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p>
    <w:p>
      <w:pPr>
        <w:spacing w:after="0" w:line="19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NUMBERS OF SHARES BENEFICIALLY OWNED BY EACH REPORTING PERSON WITH</w:t>
      </w:r>
    </w:p>
    <w:p>
      <w:pPr>
        <w:spacing w:after="0" w:line="198" w:lineRule="exact"/>
        <w:rPr>
          <w:sz w:val="20"/>
          <w:szCs w:val="20"/>
          <w:color w:val="auto"/>
        </w:rPr>
      </w:pPr>
    </w:p>
    <w:p>
      <w:pPr>
        <w:ind w:left="500"/>
        <w:spacing w:after="0"/>
        <w:tabs>
          <w:tab w:leader="none" w:pos="960" w:val="left"/>
        </w:tabs>
        <w:rPr>
          <w:sz w:val="20"/>
          <w:szCs w:val="20"/>
          <w:color w:val="auto"/>
        </w:rPr>
      </w:pPr>
      <w:r>
        <w:rPr>
          <w:rFonts w:ascii="Courier New" w:cs="Courier New" w:eastAsia="Courier New" w:hAnsi="Courier New"/>
          <w:sz w:val="16"/>
          <w:szCs w:val="16"/>
          <w:color w:val="auto"/>
        </w:rPr>
        <w:t>7.</w:t>
        <w:tab/>
        <w:t>SOLE VOTING POWER</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 9. SOLE DISPOSITIVE POWER</w:t>
      </w:r>
    </w:p>
    <w:p>
      <w:pPr>
        <w:spacing w:after="0" w:line="184"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8"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CHECK BOX IF THE AGGREGATE AMOUNT IN ROW (11) EXCLUDES CERTAIN SHARES</w:t>
      </w:r>
    </w:p>
    <w:p>
      <w:pPr>
        <w:spacing w:after="0" w:line="198"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13.</w:t>
        <w:tab/>
        <w:t>PERCENT OF CLASS REPRESENTED BY AMOUNT IN ROW (11)</w:t>
      </w:r>
    </w:p>
    <w:p>
      <w:pPr>
        <w:spacing w:after="0" w:line="198"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56.3%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14.</w:t>
        <w:tab/>
        <w:t>TYPE OF REPORTING PERSON*</w:t>
      </w:r>
    </w:p>
    <w:p>
      <w:pPr>
        <w:spacing w:after="0" w:line="8"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CO</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496" w:right="1440" w:bottom="1440" w:gutter="0" w:footer="0" w:header="0"/>
        </w:sectPr>
      </w:pPr>
    </w:p>
    <w:bookmarkStart w:id="3" w:name="page4"/>
    <w:bookmarkEnd w:id="3"/>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4 of 13</w:t>
      </w:r>
    </w:p>
    <w:p>
      <w:pPr>
        <w:spacing w:after="0" w:line="388" w:lineRule="exact"/>
        <w:rPr>
          <w:sz w:val="20"/>
          <w:szCs w:val="20"/>
          <w:color w:val="auto"/>
        </w:rPr>
      </w:pPr>
    </w:p>
    <w:p>
      <w:pPr>
        <w:ind w:left="500" w:hanging="499"/>
        <w:spacing w:after="0"/>
        <w:tabs>
          <w:tab w:leader="none" w:pos="5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w:t>
      </w:r>
    </w:p>
    <w:p>
      <w:pPr>
        <w:spacing w:after="0" w:line="19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 2. CHECK THE APPROPRIATE BOX IF A MEMBER OF A GROUP*</w:t>
      </w:r>
    </w:p>
    <w:p>
      <w:pPr>
        <w:ind w:left="7200"/>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(b)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hanging="499"/>
        <w:spacing w:after="0"/>
        <w:tabs>
          <w:tab w:leader="none" w:pos="5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 4. SOURCE OF FUNDS*</w:t>
      </w:r>
    </w:p>
    <w:p>
      <w:pPr>
        <w:spacing w:after="0" w:line="18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right="2439" w:hanging="499"/>
        <w:spacing w:after="0" w:line="255"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(e)</w:t>
      </w:r>
    </w:p>
    <w:p>
      <w:pPr>
        <w:spacing w:after="0" w:line="18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p>
    <w:p>
      <w:pPr>
        <w:spacing w:after="0" w:line="198" w:lineRule="exact"/>
        <w:rPr>
          <w:sz w:val="20"/>
          <w:szCs w:val="20"/>
          <w:color w:val="auto"/>
        </w:rPr>
      </w:pPr>
    </w:p>
    <w:p>
      <w:pPr>
        <w:ind w:left="710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NUMBERS OF SHARES BENEFICIALLY OWNED BY EACH REPORTING PERSON WITH</w:t>
      </w:r>
    </w:p>
    <w:p>
      <w:pPr>
        <w:spacing w:after="0" w:line="198" w:lineRule="exact"/>
        <w:rPr>
          <w:sz w:val="20"/>
          <w:szCs w:val="20"/>
          <w:color w:val="auto"/>
        </w:rPr>
      </w:pPr>
    </w:p>
    <w:p>
      <w:pPr>
        <w:ind w:left="500"/>
        <w:spacing w:after="0"/>
        <w:tabs>
          <w:tab w:leader="none" w:pos="960" w:val="left"/>
        </w:tabs>
        <w:rPr>
          <w:sz w:val="20"/>
          <w:szCs w:val="20"/>
          <w:color w:val="auto"/>
        </w:rPr>
      </w:pPr>
      <w:r>
        <w:rPr>
          <w:rFonts w:ascii="Courier New" w:cs="Courier New" w:eastAsia="Courier New" w:hAnsi="Courier New"/>
          <w:sz w:val="16"/>
          <w:szCs w:val="16"/>
          <w:color w:val="auto"/>
        </w:rPr>
        <w:t>7.</w:t>
        <w:tab/>
        <w:t>SOLE VOTING POWER</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 9. SOLE DISPOSITIVE POWER</w:t>
      </w:r>
    </w:p>
    <w:p>
      <w:pPr>
        <w:spacing w:after="0" w:line="184"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Class A 12,782,500</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CHECK BOX IF THE AGGREGATE AMOUNT IN ROW (11) EXCLUDES CERTAIN SHARES</w:t>
      </w:r>
    </w:p>
    <w:p>
      <w:pPr>
        <w:spacing w:after="0" w:line="198"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13.</w:t>
        <w:tab/>
        <w:t>PERCENT OF CLASS REPRESENTED BY AMOUNT IN ROW (11)</w:t>
      </w:r>
    </w:p>
    <w:p>
      <w:pPr>
        <w:spacing w:after="0" w:line="198"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35.3%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14.</w:t>
        <w:tab/>
        <w:t>TYPE OF REPORTING PERSON*</w:t>
      </w:r>
    </w:p>
    <w:p>
      <w:pPr>
        <w:spacing w:after="0" w:line="8"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CO</w:t>
      </w:r>
    </w:p>
    <w:p>
      <w:pPr>
        <w:spacing w:after="0" w:line="8" w:lineRule="exact"/>
        <w:rPr>
          <w:sz w:val="20"/>
          <w:szCs w:val="20"/>
          <w:color w:val="auto"/>
        </w:rPr>
      </w:pPr>
    </w:p>
    <w:p>
      <w:pPr>
        <w:ind w:left="200" w:hanging="199"/>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496" w:right="1440" w:bottom="1440" w:gutter="0" w:footer="0" w:header="0"/>
        </w:sectPr>
      </w:pPr>
    </w:p>
    <w:bookmarkStart w:id="4" w:name="page5"/>
    <w:bookmarkEnd w:id="4"/>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5 of 13</w:t>
      </w:r>
    </w:p>
    <w:p>
      <w:pPr>
        <w:spacing w:after="0" w:line="198" w:lineRule="exact"/>
        <w:rPr>
          <w:sz w:val="20"/>
          <w:szCs w:val="20"/>
          <w:color w:val="auto"/>
        </w:rPr>
      </w:pPr>
    </w:p>
    <w:p>
      <w:pPr>
        <w:ind w:left="4540" w:right="2339" w:hanging="4539"/>
        <w:spacing w:after="0" w:line="502" w:lineRule="auto"/>
        <w:tabs>
          <w:tab w:leader="none" w:pos="49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 Comcast Cable Communications, Inc.</w:t>
      </w:r>
    </w:p>
    <w:p>
      <w:pPr>
        <w:ind w:right="2339"/>
        <w:spacing w:after="0" w:line="251" w:lineRule="auto"/>
        <w:rPr>
          <w:sz w:val="20"/>
          <w:szCs w:val="20"/>
          <w:color w:val="auto"/>
        </w:rPr>
      </w:pPr>
      <w:r>
        <w:rPr>
          <w:rFonts w:ascii="Courier New" w:cs="Courier New" w:eastAsia="Courier New" w:hAnsi="Courier New"/>
          <w:sz w:val="16"/>
          <w:szCs w:val="16"/>
          <w:color w:val="auto"/>
        </w:rPr>
        <w:t>================================================================================ 2. CHECK THE APPROPRIATE BOX IF A MEMBER OF A GROUP*</w:t>
      </w:r>
    </w:p>
    <w:p>
      <w:pPr>
        <w:ind w:left="7200"/>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(b)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hanging="499"/>
        <w:spacing w:after="0"/>
        <w:tabs>
          <w:tab w:leader="none" w:pos="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 4. SOURCE OF FUNDS*</w:t>
      </w:r>
    </w:p>
    <w:p>
      <w:pPr>
        <w:ind w:left="7700"/>
        <w:spacing w:after="0"/>
        <w:rPr>
          <w:sz w:val="20"/>
          <w:szCs w:val="20"/>
          <w:color w:val="auto"/>
        </w:rPr>
      </w:pPr>
      <w:r>
        <w:rPr>
          <w:rFonts w:ascii="Courier New" w:cs="Courier New" w:eastAsia="Courier New" w:hAnsi="Courier New"/>
          <w:sz w:val="16"/>
          <w:szCs w:val="16"/>
          <w:color w:val="auto"/>
        </w:rPr>
        <w:t>WC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right="2439" w:hanging="499"/>
        <w:spacing w:after="0" w:line="251"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(e)</w:t>
      </w: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p>
    <w:p>
      <w:pPr>
        <w:spacing w:after="0" w:line="198" w:lineRule="exact"/>
        <w:rPr>
          <w:sz w:val="20"/>
          <w:szCs w:val="20"/>
          <w:color w:val="auto"/>
        </w:rPr>
      </w:pPr>
    </w:p>
    <w:p>
      <w:pPr>
        <w:ind w:left="710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NUMBERS OF SHARES BENEFICIALLY OWNED BY EACH REPORTING PERSON WITH</w:t>
      </w:r>
    </w:p>
    <w:p>
      <w:pPr>
        <w:spacing w:after="0" w:line="198" w:lineRule="exact"/>
        <w:rPr>
          <w:sz w:val="20"/>
          <w:szCs w:val="20"/>
          <w:color w:val="auto"/>
        </w:rPr>
      </w:pPr>
    </w:p>
    <w:p>
      <w:pPr>
        <w:ind w:left="500"/>
        <w:spacing w:after="0"/>
        <w:tabs>
          <w:tab w:leader="none" w:pos="960" w:val="left"/>
        </w:tabs>
        <w:rPr>
          <w:sz w:val="20"/>
          <w:szCs w:val="20"/>
          <w:color w:val="auto"/>
        </w:rPr>
      </w:pPr>
      <w:r>
        <w:rPr>
          <w:rFonts w:ascii="Courier New" w:cs="Courier New" w:eastAsia="Courier New" w:hAnsi="Courier New"/>
          <w:sz w:val="16"/>
          <w:szCs w:val="16"/>
          <w:color w:val="auto"/>
        </w:rPr>
        <w:t>7.</w:t>
        <w:tab/>
        <w:t>SOLE VOTING POWER</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8" w:lineRule="exact"/>
        <w:rPr>
          <w:sz w:val="20"/>
          <w:szCs w:val="20"/>
          <w:color w:val="auto"/>
        </w:rPr>
      </w:pPr>
    </w:p>
    <w:p>
      <w:pPr>
        <w:ind w:left="500" w:right="2339"/>
        <w:spacing w:after="0" w:line="255" w:lineRule="auto"/>
        <w:rPr>
          <w:sz w:val="20"/>
          <w:szCs w:val="20"/>
          <w:color w:val="auto"/>
        </w:rPr>
      </w:pPr>
      <w:r>
        <w:rPr>
          <w:rFonts w:ascii="Courier New" w:cs="Courier New" w:eastAsia="Courier New" w:hAnsi="Courier New"/>
          <w:sz w:val="16"/>
          <w:szCs w:val="16"/>
          <w:color w:val="auto"/>
        </w:rPr>
        <w:t>=========================================================================== 9. SOLE DISPOSITIVE POWER</w:t>
      </w:r>
    </w:p>
    <w:p>
      <w:pPr>
        <w:spacing w:after="0" w:line="184"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80" w:hanging="486"/>
        <w:spacing w:after="0"/>
        <w:tabs>
          <w:tab w:leader="none" w:pos="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8"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Common 2,878,151</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CHECK BOX IF THE AGGREGATE AMOUNT IN ROW (11) EXCLUDES CERTAIN SHARES</w:t>
      </w:r>
    </w:p>
    <w:p>
      <w:pPr>
        <w:spacing w:after="0" w:line="198"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13.</w:t>
        <w:tab/>
        <w:t>PERCENT OF CLASS REPRESENTED BY AMOUNT IN ROW (11)</w:t>
      </w:r>
    </w:p>
    <w:p>
      <w:pPr>
        <w:spacing w:after="0" w:line="198"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56.3%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14.</w:t>
        <w:tab/>
        <w:t>TYPE OF REPORTING PERSON*</w:t>
      </w:r>
    </w:p>
    <w:p>
      <w:pPr>
        <w:spacing w:after="0" w:line="198"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CO</w:t>
      </w:r>
    </w:p>
    <w:p>
      <w:pPr>
        <w:spacing w:after="0" w:line="8" w:lineRule="exact"/>
        <w:rPr>
          <w:sz w:val="20"/>
          <w:szCs w:val="20"/>
          <w:color w:val="auto"/>
        </w:rPr>
      </w:pPr>
    </w:p>
    <w:p>
      <w:pPr>
        <w:ind w:left="200" w:hanging="199"/>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496" w:right="1440" w:bottom="1440" w:gutter="0" w:footer="0" w:header="0"/>
        </w:sectPr>
      </w:pPr>
    </w:p>
    <w:bookmarkStart w:id="5" w:name="page6"/>
    <w:bookmarkEnd w:id="5"/>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6 of 13</w:t>
      </w:r>
    </w:p>
    <w:p>
      <w:pPr>
        <w:spacing w:after="0" w:line="198" w:lineRule="exact"/>
        <w:rPr>
          <w:sz w:val="20"/>
          <w:szCs w:val="20"/>
          <w:color w:val="auto"/>
        </w:rPr>
      </w:pPr>
    </w:p>
    <w:p>
      <w:pPr>
        <w:ind w:right="2339" w:firstLine="986"/>
        <w:spacing w:after="0" w:line="251" w:lineRule="auto"/>
        <w:rPr>
          <w:sz w:val="20"/>
          <w:szCs w:val="20"/>
          <w:color w:val="auto"/>
        </w:rPr>
      </w:pPr>
      <w:r>
        <w:rPr>
          <w:rFonts w:ascii="Courier New" w:cs="Courier New" w:eastAsia="Courier New" w:hAnsi="Courier New"/>
          <w:sz w:val="16"/>
          <w:szCs w:val="16"/>
          <w:color w:val="auto"/>
        </w:rPr>
        <w:t>This Amendment No. 2 amends the Schedule 13D filed on June 1, 1998, as amended by Amendment No. 1 on August 14, 1998, by Comcast Corporation (the Schedule 13D, as so amended, is hereby referred to herein as the "Schedule 13D"), a Pennsylvania corporation ("Comcast"), with respect to the Class A Common Stock, par value $.01 per share ("Class A Common Stock"), and Common Stock, par value $.01 per share ("Common Stock"), of Jones Intercable, Inc., a Colorado corporation (the "Company"), whose principal executive office is located at P.O. Box 3309, Englewood, Colorado 80155-3309.</w:t>
      </w:r>
    </w:p>
    <w:p>
      <w:pPr>
        <w:spacing w:after="0" w:line="379" w:lineRule="exact"/>
        <w:rPr>
          <w:sz w:val="20"/>
          <w:szCs w:val="20"/>
          <w:color w:val="auto"/>
        </w:rPr>
      </w:pPr>
    </w:p>
    <w:p>
      <w:pPr>
        <w:ind w:right="2339" w:firstLine="986"/>
        <w:spacing w:after="0" w:line="255" w:lineRule="auto"/>
        <w:rPr>
          <w:sz w:val="20"/>
          <w:szCs w:val="20"/>
          <w:color w:val="auto"/>
        </w:rPr>
      </w:pPr>
      <w:r>
        <w:rPr>
          <w:rFonts w:ascii="Courier New" w:cs="Courier New" w:eastAsia="Courier New" w:hAnsi="Courier New"/>
          <w:sz w:val="16"/>
          <w:szCs w:val="16"/>
          <w:color w:val="auto"/>
        </w:rPr>
        <w:t>Capitalized terms used but not otherwise defined herein shall have the same meanings as in the Schedule 13D.</w:t>
      </w:r>
    </w:p>
    <w:p>
      <w:pPr>
        <w:spacing w:after="0" w:line="184" w:lineRule="exact"/>
        <w:rPr>
          <w:sz w:val="20"/>
          <w:szCs w:val="20"/>
          <w:color w:val="auto"/>
        </w:rPr>
      </w:pPr>
    </w:p>
    <w:p>
      <w:pPr>
        <w:ind w:right="2339" w:firstLine="986"/>
        <w:spacing w:after="0" w:line="251" w:lineRule="auto"/>
        <w:rPr>
          <w:sz w:val="20"/>
          <w:szCs w:val="20"/>
          <w:color w:val="auto"/>
        </w:rPr>
      </w:pPr>
      <w:r>
        <w:rPr>
          <w:rFonts w:ascii="Courier New" w:cs="Courier New" w:eastAsia="Courier New" w:hAnsi="Courier New"/>
          <w:sz w:val="16"/>
          <w:szCs w:val="16"/>
          <w:color w:val="auto"/>
        </w:rPr>
        <w:t>This Amendment No. 2 is being filed by Comcast and Comcast Cable Communications, Inc., a Delaware corporation and a wholly owned subsidiary of Comcast ("Cable Communications"), to report the closing of the transactions described in the Schedule 13D. On April 7, 1999, Comcast acquired sole beneficial ownership of the Shares pursuant to the terms of the various agreements described in the Schedule 13D. Immediately upon receipt of the Shares, Comcast contributed the Shares to Cable Communications. On April 7, 1999, the Bylaws of the Company were amended to establish the size of the board of directors as a range from eight to thirteen directors. The board was then reconstituted so as to have eight directors. Pursuant to the agreements described in the Schedule 13D, on April 7, 1999, the following directors of the Company resigned: Robert E. Cole, Josef J. Fridman, James J. Krejci, James B. O'Brien, Raphael M. Solot, Robert Kearney, Howard O. Thrall, Siim Vanaselja, Sanford Zisman and Glenn R. Jones. In addition, Donald L. Jacobs resigned as a director elected by the holders of Class A Common Stock and was elected by the remaining directors as a director elected by the holders of Common Stock. The remaining directors elected the following persons to fill the vacancies created by such resignations: Ralph J. Roberts, Brian L. Roberts, John R. Alchin, Stanley Wang and Lawrence S. Smith. All of the newly elected directors, with the exception of Mr. Jacobs, are officers of Comcast. The following persons were appointed as executive officers of the Company: Ralph J. Roberts, Brian L. Roberts, Lawrence S. Smith, John R. Alchin and Stanley Wang.</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Identity and Background</w:t>
      </w:r>
    </w:p>
    <w:p>
      <w:pPr>
        <w:spacing w:after="0" w:line="8" w:lineRule="exact"/>
        <w:rPr>
          <w:sz w:val="20"/>
          <w:szCs w:val="20"/>
          <w:color w:val="auto"/>
        </w:rPr>
      </w:pPr>
    </w:p>
    <w:p>
      <w:pPr>
        <w:ind w:left="200" w:hanging="199"/>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 is hereby amended to read in its entirety as follows.</w:t>
      </w:r>
    </w:p>
    <w:p>
      <w:pPr>
        <w:spacing w:after="0" w:line="197" w:lineRule="exact"/>
        <w:rPr>
          <w:rFonts w:ascii="Courier New" w:cs="Courier New" w:eastAsia="Courier New" w:hAnsi="Courier New"/>
          <w:sz w:val="16"/>
          <w:szCs w:val="16"/>
          <w:color w:val="auto"/>
        </w:rPr>
      </w:pPr>
    </w:p>
    <w:p>
      <w:pPr>
        <w:ind w:right="2439" w:firstLine="494"/>
        <w:spacing w:after="0" w:line="251" w:lineRule="auto"/>
        <w:tabs>
          <w:tab w:leader="none" w:pos="887"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on Schedule 13D is filed by Comcast, a Pennsylvania corporation and Cable Communications, a Delaware corporation and a wholly owned subsidiary of Comcast. Lists of the directors and executive officers of Comcast and Cable Communications are attached hereto as Annex A and Annex B, respectively. All of the executive officers and directors of Comcast and Cable Communications are citizens of the United States, except John Alchin who is a citizen of Australia.</w:t>
      </w:r>
    </w:p>
    <w:p>
      <w:pPr>
        <w:spacing w:after="0" w:line="189" w:lineRule="exact"/>
        <w:rPr>
          <w:rFonts w:ascii="Courier New" w:cs="Courier New" w:eastAsia="Courier New" w:hAnsi="Courier New"/>
          <w:sz w:val="16"/>
          <w:szCs w:val="16"/>
          <w:color w:val="auto"/>
        </w:rPr>
      </w:pPr>
    </w:p>
    <w:p>
      <w:pPr>
        <w:ind w:right="2919" w:firstLine="494"/>
        <w:spacing w:after="0" w:line="253" w:lineRule="auto"/>
        <w:tabs>
          <w:tab w:leader="none" w:pos="887"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Comcast's principal office is 1500 Market Street, Philadelphia, PA 19102-2148. The address of Cable Communications principal office is 1201 Market Street, Suite 2201, Wilmington, DE 19801.</w:t>
      </w:r>
    </w:p>
    <w:p>
      <w:pPr>
        <w:sectPr>
          <w:pgSz w:w="11900" w:h="16838" w:orient="portrait"/>
          <w:cols w:equalWidth="0" w:num="1">
            <w:col w:w="10219"/>
          </w:cols>
          <w:pgMar w:left="240" w:top="685" w:right="1440" w:bottom="1440" w:gutter="0" w:footer="0" w:header="0"/>
        </w:sectPr>
      </w:pPr>
    </w:p>
    <w:bookmarkStart w:id="6" w:name="page7"/>
    <w:bookmarkEnd w:id="6"/>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7 of 13</w:t>
      </w:r>
    </w:p>
    <w:p>
      <w:pPr>
        <w:spacing w:after="0" w:line="198" w:lineRule="exact"/>
        <w:rPr>
          <w:sz w:val="20"/>
          <w:szCs w:val="20"/>
          <w:color w:val="auto"/>
        </w:rPr>
      </w:pPr>
    </w:p>
    <w:p>
      <w:pPr>
        <w:ind w:right="2619" w:firstLine="494"/>
        <w:spacing w:after="0" w:line="252" w:lineRule="auto"/>
        <w:tabs>
          <w:tab w:leader="none" w:pos="88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is principally engaged in the development, management and operation of broadband cable networks and in the provision of content through programming investments. Cable Communications is principally engaged in the development, management and operation of broadband cable networks.</w:t>
      </w:r>
    </w:p>
    <w:p>
      <w:pPr>
        <w:spacing w:after="0" w:line="187"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(d)-(e) Neither Comcast, Cable Communications, nor, to the best of their knowledge, any person named in Annex A or Annex B of this statement, during the last five years (i) has been convicted in a criminal proceeding (excluding traffic violations and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w:t>
      </w:r>
    </w:p>
    <w:p>
      <w:pPr>
        <w:spacing w:after="0" w:line="8" w:lineRule="exact"/>
        <w:rPr>
          <w:sz w:val="20"/>
          <w:szCs w:val="20"/>
          <w:color w:val="auto"/>
        </w:rPr>
      </w:pPr>
    </w:p>
    <w:p>
      <w:pPr>
        <w:ind w:left="200" w:hanging="199"/>
        <w:spacing w:after="0"/>
        <w:tabs>
          <w:tab w:leader="none" w:pos="2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3 is hereby amended to read in its entirety as follows.</w:t>
      </w:r>
    </w:p>
    <w:p>
      <w:pPr>
        <w:spacing w:after="0" w:line="19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Pursuant to the agreements described in Item 6 of the Schedule 13D, Comcast paid BCE Inc., as successor to BTH, $508,159,632.36 in cash and the Jones Entities $148,113,063.90 in cash. As described in Item 6 of the Schedule 13D, Comcast had previously paid the Jones Entities $50,000,000 in cash on August 12, 1999, pursuant to the terms of the Comcast/Jones Agreement. Comcast financed these payments through the use of working capital.</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Item 4 is hereby amended to read in its entirety as follows.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Comcast acquired the Shares (as defined in Item 5) as the result of having entered into the Amended and Restated Purchase and Sale Agreement and Comcast/Jones Agreement, both described in Item 6 of the Schedule 13D. Comcast entered into the Amended and Restated Purchase and Sale Agreement and the Comcast/Jones Agreement for the purpose of investing in, and obtaining control of shares of capital stock sufficient to elect a majority of the board of directors of, the Company. Comcast now owns a sufficient number of shares of Common Stock to elect 75% of the board of directors of the Company. Immediately upon receipt of the Shares, Comcast contributed the Shares to Cable Communications. On April 7, 1999, the Bylaws of the Company were amended to establish the size of the board of directors as a range from eight to thirteen, and the board was reconstituted so as to have eight directors. Pursuant to the agreements described in the Schedule 13D, on April 7, 1999, the following directors of the Company resigned: Robert E. Cole, Josef J. Fridman, James J. Krejci, James B. O'Brien, Raphael M. Solot, Robert Kearney, Howard O. Thrall, Siim Vanaselja, Sanford Zisman and Glenn R. Jones. In addition, Donald L. Jacobs resigned as a director elected by the holders of Class A Common Stock and was appointed as a director elected by the holders of Common Stock. The remaining directors elected the following persons to fill the vacancies created by such</w:t>
      </w:r>
    </w:p>
    <w:p>
      <w:pPr>
        <w:sectPr>
          <w:pgSz w:w="11900" w:h="16838" w:orient="portrait"/>
          <w:cols w:equalWidth="0" w:num="1">
            <w:col w:w="10219"/>
          </w:cols>
          <w:pgMar w:left="240" w:top="685" w:right="1440" w:bottom="1440" w:gutter="0" w:footer="0" w:header="0"/>
        </w:sectPr>
      </w:pPr>
    </w:p>
    <w:bookmarkStart w:id="7" w:name="page8"/>
    <w:bookmarkEnd w:id="7"/>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8 of 13</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resignations: Ralph J. Roberts, Brian L. Roberts, John R. Alchin, Stanley Wang and Lawrence S. Smith. All of the newly elected directors, with the exception of Mr. Jacobs, are officers of Comcast. The following persons were appointed as executive officers of the Company: Ralph J. Roberts, Brian L. Roberts, Lawrence S. Smith, John R. Alchin and Stanley Wang.</w:t>
      </w:r>
    </w:p>
    <w:p>
      <w:pPr>
        <w:spacing w:after="0" w:line="186"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independent members of the Company's board of directors have approved Comcast and the Company entering into a management agreement under which Comcast will provide supervisory management services to the Company for a fee of 4.5% of the Company's gross revenues derived from cable systems.</w:t>
      </w:r>
    </w:p>
    <w:p>
      <w:pPr>
        <w:spacing w:after="0" w:line="187"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Comcast may, subject to applicable securities laws, market conditions and its assessment of the business prospects of the Company, acquire additional shares of Class A Common Stock or Common Stock from time to time through open market purchases or otherwise, as it determines in its sole discretion. Comcast has not determined whether it will acquire additional shares or fixed any number of shares of Class A Common Stock or Common Stock it might seek to acquire or any amount of money it may be willing to invest in the Company. Comcast is continuously evaluating the business and business prospects of the Company, and its present and future interests in, and intentions with respect to, the Company and, may, at any time, decide to dispose of any or all of the Shares.</w:t>
      </w:r>
    </w:p>
    <w:p>
      <w:pPr>
        <w:spacing w:after="0" w:line="190"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Except as specifically described above, none of Comcast, Cable Communications, nor, to the best of Comcast's and Cable Communications' knowledge, any of the persons named on Annex A or Annex B of the Schedule 13D, has any plan or proposal which would relate to or would result in any of the following transactions:</w:t>
      </w:r>
    </w:p>
    <w:p>
      <w:pPr>
        <w:spacing w:after="0" w:line="186" w:lineRule="exact"/>
        <w:rPr>
          <w:sz w:val="20"/>
          <w:szCs w:val="20"/>
          <w:color w:val="auto"/>
        </w:rPr>
      </w:pPr>
    </w:p>
    <w:p>
      <w:pPr>
        <w:ind w:left="980" w:hanging="486"/>
        <w:spacing w:after="0"/>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or disposition of securities of the Company;</w:t>
      </w:r>
    </w:p>
    <w:p>
      <w:pPr>
        <w:spacing w:after="0" w:line="197" w:lineRule="exact"/>
        <w:rPr>
          <w:rFonts w:ascii="Courier New" w:cs="Courier New" w:eastAsia="Courier New" w:hAnsi="Courier New"/>
          <w:sz w:val="16"/>
          <w:szCs w:val="16"/>
          <w:color w:val="auto"/>
        </w:rPr>
      </w:pPr>
    </w:p>
    <w:p>
      <w:pPr>
        <w:ind w:left="980" w:right="2719" w:hanging="486"/>
        <w:spacing w:after="0" w:line="253"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corporate transaction, such as a merger, reorganization or liquidation, involving the Company or any of its subsidiaries;</w:t>
      </w:r>
    </w:p>
    <w:p>
      <w:pPr>
        <w:spacing w:after="0" w:line="185"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transfer of a material amount of the assets of the Company or any of its subsidiaries;</w:t>
      </w:r>
    </w:p>
    <w:p>
      <w:pPr>
        <w:spacing w:after="0" w:line="183" w:lineRule="exact"/>
        <w:rPr>
          <w:rFonts w:ascii="Courier New" w:cs="Courier New" w:eastAsia="Courier New" w:hAnsi="Courier New"/>
          <w:sz w:val="16"/>
          <w:szCs w:val="16"/>
          <w:color w:val="auto"/>
        </w:rPr>
      </w:pPr>
    </w:p>
    <w:p>
      <w:pPr>
        <w:ind w:left="980" w:right="2339" w:hanging="486"/>
        <w:spacing w:after="0" w:line="252"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occurred on April 7, 1999, any change in the present Board of Directors or management of the Company, including any change in the number or term of directors or the filling of any vacancies of the Board of Directors;</w:t>
      </w:r>
    </w:p>
    <w:p>
      <w:pPr>
        <w:spacing w:after="0" w:line="186"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the present capitalization or dividend policy of the Company;</w:t>
      </w:r>
    </w:p>
    <w:p>
      <w:pPr>
        <w:spacing w:after="0" w:line="183" w:lineRule="exact"/>
        <w:rPr>
          <w:rFonts w:ascii="Courier New" w:cs="Courier New" w:eastAsia="Courier New" w:hAnsi="Courier New"/>
          <w:sz w:val="16"/>
          <w:szCs w:val="16"/>
          <w:color w:val="auto"/>
        </w:rPr>
      </w:pPr>
    </w:p>
    <w:p>
      <w:pPr>
        <w:ind w:left="980" w:right="2819" w:hanging="486"/>
        <w:spacing w:after="0" w:line="255"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Management Agreement described above, any other material change in the Company's business or corporate structure;</w:t>
      </w:r>
    </w:p>
    <w:p>
      <w:pPr>
        <w:spacing w:after="0" w:line="183" w:lineRule="exact"/>
        <w:rPr>
          <w:rFonts w:ascii="Courier New" w:cs="Courier New" w:eastAsia="Courier New" w:hAnsi="Courier New"/>
          <w:sz w:val="16"/>
          <w:szCs w:val="16"/>
          <w:color w:val="auto"/>
        </w:rPr>
      </w:pPr>
    </w:p>
    <w:p>
      <w:pPr>
        <w:ind w:left="980" w:right="2339" w:hanging="486"/>
        <w:spacing w:after="0" w:line="252"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Company's charter, by-laws or instruments corresponding thereto, other than as occurred on April 7, 1999, or any other actions which may impede the acquisition of control of the Company by any person;</w:t>
      </w:r>
    </w:p>
    <w:p>
      <w:pPr>
        <w:sectPr>
          <w:pgSz w:w="11900" w:h="16838" w:orient="portrait"/>
          <w:cols w:equalWidth="0" w:num="1">
            <w:col w:w="10219"/>
          </w:cols>
          <w:pgMar w:left="240" w:top="685" w:right="1440" w:bottom="1440" w:gutter="0" w:footer="0" w:header="0"/>
        </w:sectPr>
      </w:pPr>
    </w:p>
    <w:bookmarkStart w:id="8" w:name="page9"/>
    <w:bookmarkEnd w:id="8"/>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9 of 13</w:t>
      </w:r>
    </w:p>
    <w:p>
      <w:pPr>
        <w:spacing w:after="0" w:line="198" w:lineRule="exact"/>
        <w:rPr>
          <w:sz w:val="20"/>
          <w:szCs w:val="20"/>
          <w:color w:val="auto"/>
        </w:rPr>
      </w:pPr>
    </w:p>
    <w:p>
      <w:pPr>
        <w:ind w:left="980" w:right="2719" w:hanging="486"/>
        <w:spacing w:after="0" w:line="252" w:lineRule="auto"/>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delisting of any class of securities of the Company from a national securities exchange or the ceasing to be authorized to be quoted in an interdealer quotation system of a registered national securities association;</w:t>
      </w:r>
    </w:p>
    <w:p>
      <w:pPr>
        <w:spacing w:after="0" w:line="186" w:lineRule="exact"/>
        <w:rPr>
          <w:rFonts w:ascii="Courier New" w:cs="Courier New" w:eastAsia="Courier New" w:hAnsi="Courier New"/>
          <w:sz w:val="16"/>
          <w:szCs w:val="16"/>
          <w:color w:val="auto"/>
        </w:rPr>
      </w:pPr>
    </w:p>
    <w:p>
      <w:pPr>
        <w:ind w:left="980" w:right="2619" w:hanging="486"/>
        <w:spacing w:after="0" w:line="253" w:lineRule="auto"/>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class of equity securities of the Company becoming eligible for termination of registration pursuant to Section 12(g)(4) of the Securities Exchange Act of 1934; or</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similar to any of those enumerated above.</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Comcast intends periodically to review the Company's business affairs, financial position and prospects. Based on such review, and on general economic, industry and market conditions existing at the time, and on such other factors as it may determine to be relevant, Comcast may consider additional or alternative courses of action. Such actions may include the items specified in</w:t>
      </w:r>
    </w:p>
    <w:p>
      <w:pPr>
        <w:ind w:right="2719" w:firstLine="1"/>
        <w:spacing w:after="0" w:line="252" w:lineRule="auto"/>
        <w:tabs>
          <w:tab w:leader="none" w:pos="39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 above or acquisitions of shares of Class A Common Stock or Common Stock through open market purchases or otherwise. There can be no assurance that Comcast will purchase any additional shares of Class A Common Stock or Common Stock.</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Issuer</w:t>
      </w:r>
    </w:p>
    <w:p>
      <w:pPr>
        <w:spacing w:after="0" w:line="8" w:lineRule="exact"/>
        <w:rPr>
          <w:sz w:val="20"/>
          <w:szCs w:val="20"/>
          <w:color w:val="auto"/>
        </w:rPr>
      </w:pPr>
    </w:p>
    <w:p>
      <w:pPr>
        <w:ind w:left="200" w:hanging="199"/>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5 is hereby amended to read in its entirety as follows.</w:t>
      </w:r>
    </w:p>
    <w:p>
      <w:pPr>
        <w:spacing w:after="0" w:line="197" w:lineRule="exact"/>
        <w:rPr>
          <w:rFonts w:ascii="Courier New" w:cs="Courier New" w:eastAsia="Courier New" w:hAnsi="Courier New"/>
          <w:sz w:val="16"/>
          <w:szCs w:val="16"/>
          <w:color w:val="auto"/>
        </w:rPr>
      </w:pPr>
    </w:p>
    <w:p>
      <w:pPr>
        <w:ind w:right="2339" w:firstLine="494"/>
        <w:spacing w:after="0" w:line="251" w:lineRule="auto"/>
        <w:tabs>
          <w:tab w:leader="none" w:pos="88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the Company's annual report on Form 10-K for the fiscal year ended December 31, 1998, filed with the Securities and Exchange Commission ("SEC"), Comcast believes that as of February 3, 1999, the Company had</w:t>
      </w:r>
    </w:p>
    <w:p>
      <w:pPr>
        <w:ind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36,226,476 shares of Class A Common Stock and 5,113,021 shares of Common Stock issued and outstanding. For purposes of Rule 13d-3 promulgated by the SEC under the Securities Exchange Act of 1934, as amended, Comcast and Cable Communications are the beneficial owners of 12,782,500 shares of Class A Common Stock and 2,878,151 shares of Common Stock (the "Shares") (which represents approximately 35.3% and 56.3% of each class, respectively).</w:t>
      </w:r>
    </w:p>
    <w:p>
      <w:pPr>
        <w:spacing w:after="0" w:line="189" w:lineRule="exact"/>
        <w:rPr>
          <w:rFonts w:ascii="Courier New" w:cs="Courier New" w:eastAsia="Courier New" w:hAnsi="Courier New"/>
          <w:sz w:val="16"/>
          <w:szCs w:val="16"/>
          <w:color w:val="auto"/>
        </w:rPr>
      </w:pPr>
    </w:p>
    <w:p>
      <w:pPr>
        <w:ind w:right="2339" w:firstLine="494"/>
        <w:spacing w:after="0" w:line="255" w:lineRule="auto"/>
        <w:tabs>
          <w:tab w:leader="none" w:pos="88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Cable Communications have sole voting and dispositive power over the Shares.</w:t>
      </w:r>
    </w:p>
    <w:p>
      <w:pPr>
        <w:spacing w:after="0" w:line="183" w:lineRule="exact"/>
        <w:rPr>
          <w:rFonts w:ascii="Courier New" w:cs="Courier New" w:eastAsia="Courier New" w:hAnsi="Courier New"/>
          <w:sz w:val="16"/>
          <w:szCs w:val="16"/>
          <w:color w:val="auto"/>
        </w:rPr>
      </w:pPr>
    </w:p>
    <w:p>
      <w:pPr>
        <w:ind w:right="2339" w:firstLine="494"/>
        <w:spacing w:after="0" w:line="252" w:lineRule="auto"/>
        <w:tabs>
          <w:tab w:leader="none" w:pos="88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purchase of the Shares on April 7, 1999, as described herein, no transactions in Class A Common Stock or Common Stock have been effected during the last sixty (60) days by Comcast, Cable Communications or, to the best of Comcast's and Cable Communications' knowledge, any director or executive officer of Comcast or Cable Communications.</w:t>
      </w:r>
    </w:p>
    <w:p>
      <w:pPr>
        <w:spacing w:after="0" w:line="185" w:lineRule="exact"/>
        <w:rPr>
          <w:rFonts w:ascii="Courier New" w:cs="Courier New" w:eastAsia="Courier New" w:hAnsi="Courier New"/>
          <w:sz w:val="16"/>
          <w:szCs w:val="16"/>
          <w:color w:val="auto"/>
        </w:rPr>
      </w:pPr>
    </w:p>
    <w:p>
      <w:pPr>
        <w:ind w:right="2339" w:firstLine="494"/>
        <w:spacing w:after="0" w:line="253" w:lineRule="auto"/>
        <w:tabs>
          <w:tab w:leader="none" w:pos="88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Cable Communications have the right to receive or the power to direct the receipt of dividends from, or the proceeds from the sale of, the Shares.</w:t>
      </w:r>
    </w:p>
    <w:p>
      <w:pPr>
        <w:spacing w:after="0" w:line="185"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Materials to be filed as Exhibits</w:t>
      </w:r>
    </w:p>
    <w:p>
      <w:pPr>
        <w:spacing w:after="0" w:line="8" w:lineRule="exact"/>
        <w:rPr>
          <w:sz w:val="20"/>
          <w:szCs w:val="20"/>
          <w:color w:val="auto"/>
        </w:rPr>
      </w:pPr>
    </w:p>
    <w:p>
      <w:pPr>
        <w:ind w:left="200" w:hanging="199"/>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7 is hereby amended to read in its entirety as follows.</w:t>
      </w:r>
    </w:p>
    <w:p>
      <w:pPr>
        <w:sectPr>
          <w:pgSz w:w="11900" w:h="16838" w:orient="portrait"/>
          <w:cols w:equalWidth="0" w:num="1">
            <w:col w:w="10219"/>
          </w:cols>
          <w:pgMar w:left="240" w:top="49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CUSIP No. 480206-200</w:t>
            </w:r>
          </w:p>
        </w:tc>
        <w:tc>
          <w:tcPr>
            <w:tcW w:w="196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13D</w:t>
            </w:r>
          </w:p>
        </w:tc>
        <w:tc>
          <w:tcPr>
            <w:tcW w:w="1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Page 10 of 13</w:t>
            </w:r>
          </w:p>
        </w:tc>
      </w:tr>
      <w:tr>
        <w:trPr>
          <w:trHeight w:val="569"/>
        </w:trPr>
        <w:tc>
          <w:tcPr>
            <w:tcW w:w="1980" w:type="dxa"/>
            <w:vAlign w:val="bottom"/>
          </w:tcPr>
          <w:p>
            <w:pPr>
              <w:spacing w:after="0"/>
              <w:rPr>
                <w:sz w:val="20"/>
                <w:szCs w:val="20"/>
                <w:color w:val="auto"/>
              </w:rPr>
            </w:pPr>
            <w:r>
              <w:rPr>
                <w:rFonts w:ascii="Courier New" w:cs="Courier New" w:eastAsia="Courier New" w:hAnsi="Courier New"/>
                <w:sz w:val="16"/>
                <w:szCs w:val="16"/>
                <w:color w:val="auto"/>
              </w:rPr>
              <w:t>Exhibit 1:</w:t>
            </w:r>
          </w:p>
        </w:tc>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Purchase and Sale Agreement dated May 22, 1998 by</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64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among Comcast, BTH,</w:t>
            </w:r>
          </w:p>
        </w:tc>
        <w:tc>
          <w:tcPr>
            <w:tcW w:w="3940" w:type="dxa"/>
            <w:vAlign w:val="bottom"/>
            <w:gridSpan w:val="4"/>
          </w:tcPr>
          <w:p>
            <w:pPr>
              <w:spacing w:after="0"/>
              <w:rPr>
                <w:sz w:val="20"/>
                <w:szCs w:val="20"/>
                <w:color w:val="auto"/>
              </w:rPr>
            </w:pPr>
            <w:r>
              <w:rPr>
                <w:rFonts w:ascii="Courier New" w:cs="Courier New" w:eastAsia="Courier New" w:hAnsi="Courier New"/>
                <w:sz w:val="16"/>
                <w:szCs w:val="16"/>
                <w:color w:val="auto"/>
              </w:rPr>
              <w:t>U.S. Cable and Intercable (Incorporated</w:t>
            </w:r>
          </w:p>
        </w:tc>
      </w:tr>
      <w:tr>
        <w:trPr>
          <w:trHeight w:val="190"/>
        </w:trPr>
        <w:tc>
          <w:tcPr>
            <w:tcW w:w="198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by Reference to the</w:t>
            </w: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Schedule 13-D)</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79"/>
        </w:trPr>
        <w:tc>
          <w:tcPr>
            <w:tcW w:w="1980" w:type="dxa"/>
            <w:vAlign w:val="bottom"/>
          </w:tcPr>
          <w:p>
            <w:pPr>
              <w:spacing w:after="0"/>
              <w:rPr>
                <w:sz w:val="20"/>
                <w:szCs w:val="20"/>
                <w:color w:val="auto"/>
              </w:rPr>
            </w:pPr>
            <w:r>
              <w:rPr>
                <w:rFonts w:ascii="Courier New" w:cs="Courier New" w:eastAsia="Courier New" w:hAnsi="Courier New"/>
                <w:sz w:val="16"/>
                <w:szCs w:val="16"/>
                <w:color w:val="auto"/>
              </w:rPr>
              <w:t>Exhibit 2:</w:t>
            </w: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Amendment to Option</w:t>
            </w:r>
          </w:p>
        </w:tc>
        <w:tc>
          <w:tcPr>
            <w:tcW w:w="2920" w:type="dxa"/>
            <w:vAlign w:val="bottom"/>
            <w:gridSpan w:val="2"/>
          </w:tcPr>
          <w:p>
            <w:pPr>
              <w:spacing w:after="0"/>
              <w:rPr>
                <w:sz w:val="20"/>
                <w:szCs w:val="20"/>
                <w:color w:val="auto"/>
              </w:rPr>
            </w:pPr>
            <w:r>
              <w:rPr>
                <w:rFonts w:ascii="Courier New" w:cs="Courier New" w:eastAsia="Courier New" w:hAnsi="Courier New"/>
                <w:sz w:val="16"/>
                <w:szCs w:val="16"/>
                <w:color w:val="auto"/>
              </w:rPr>
              <w:t>Agreements dated as of August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4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5260" w:type="dxa"/>
            <w:vAlign w:val="bottom"/>
            <w:gridSpan w:val="4"/>
          </w:tcPr>
          <w:p>
            <w:pPr>
              <w:spacing w:after="0"/>
              <w:rPr>
                <w:sz w:val="20"/>
                <w:szCs w:val="20"/>
                <w:color w:val="auto"/>
              </w:rPr>
            </w:pPr>
            <w:r>
              <w:rPr>
                <w:rFonts w:ascii="Courier New" w:cs="Courier New" w:eastAsia="Courier New" w:hAnsi="Courier New"/>
                <w:sz w:val="16"/>
                <w:szCs w:val="16"/>
                <w:color w:val="auto"/>
              </w:rPr>
              <w:t>1998, between Bank of New York, as successor agent to</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Morgan</w:t>
            </w:r>
          </w:p>
        </w:tc>
      </w:tr>
      <w:tr>
        <w:trPr>
          <w:trHeight w:val="190"/>
        </w:trPr>
        <w:tc>
          <w:tcPr>
            <w:tcW w:w="1980" w:type="dxa"/>
            <w:vAlign w:val="bottom"/>
          </w:tcPr>
          <w:p>
            <w:pPr>
              <w:spacing w:after="0"/>
              <w:rPr>
                <w:sz w:val="16"/>
                <w:szCs w:val="16"/>
                <w:color w:val="auto"/>
              </w:rPr>
            </w:pPr>
          </w:p>
        </w:tc>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Guaranty Trust Company of New York, (as agent for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BTH</w:t>
            </w:r>
          </w:p>
        </w:tc>
        <w:tc>
          <w:tcPr>
            <w:tcW w:w="6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and</w:t>
            </w:r>
          </w:p>
        </w:tc>
      </w:tr>
      <w:tr>
        <w:trPr>
          <w:trHeight w:val="190"/>
        </w:trPr>
        <w:tc>
          <w:tcPr>
            <w:tcW w:w="1980" w:type="dxa"/>
            <w:vAlign w:val="bottom"/>
          </w:tcPr>
          <w:p>
            <w:pPr>
              <w:spacing w:after="0"/>
              <w:rPr>
                <w:sz w:val="16"/>
                <w:szCs w:val="16"/>
                <w:color w:val="auto"/>
              </w:rPr>
            </w:pPr>
          </w:p>
        </w:tc>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Comcast) and the Jones Entities. (Incorporated by</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Reference</w:t>
            </w:r>
          </w:p>
        </w:tc>
      </w:tr>
      <w:tr>
        <w:trPr>
          <w:trHeight w:val="190"/>
        </w:trPr>
        <w:tc>
          <w:tcPr>
            <w:tcW w:w="198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to the Schedule 13D)</w:t>
            </w:r>
          </w:p>
        </w:tc>
        <w:tc>
          <w:tcPr>
            <w:tcW w:w="2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79"/>
        </w:trPr>
        <w:tc>
          <w:tcPr>
            <w:tcW w:w="1980" w:type="dxa"/>
            <w:vAlign w:val="bottom"/>
          </w:tcPr>
          <w:p>
            <w:pPr>
              <w:spacing w:after="0"/>
              <w:rPr>
                <w:sz w:val="20"/>
                <w:szCs w:val="20"/>
                <w:color w:val="auto"/>
              </w:rPr>
            </w:pPr>
            <w:r>
              <w:rPr>
                <w:rFonts w:ascii="Courier New" w:cs="Courier New" w:eastAsia="Courier New" w:hAnsi="Courier New"/>
                <w:sz w:val="16"/>
                <w:szCs w:val="16"/>
                <w:color w:val="auto"/>
              </w:rPr>
              <w:t>Exhibit 3:</w:t>
            </w:r>
          </w:p>
        </w:tc>
        <w:tc>
          <w:tcPr>
            <w:tcW w:w="5900" w:type="dxa"/>
            <w:vAlign w:val="bottom"/>
            <w:gridSpan w:val="5"/>
          </w:tcPr>
          <w:p>
            <w:pPr>
              <w:spacing w:after="0"/>
              <w:rPr>
                <w:sz w:val="20"/>
                <w:szCs w:val="20"/>
                <w:color w:val="auto"/>
              </w:rPr>
            </w:pPr>
            <w:r>
              <w:rPr>
                <w:rFonts w:ascii="Courier New" w:cs="Courier New" w:eastAsia="Courier New" w:hAnsi="Courier New"/>
                <w:sz w:val="16"/>
                <w:szCs w:val="16"/>
                <w:color w:val="auto"/>
              </w:rPr>
              <w:t>Amended and Restated Purchase and Sale Agreement dated as</w:t>
            </w:r>
          </w:p>
        </w:tc>
      </w:tr>
      <w:tr>
        <w:trPr>
          <w:trHeight w:val="190"/>
        </w:trPr>
        <w:tc>
          <w:tcPr>
            <w:tcW w:w="198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of May 22, 1998 and</w:t>
            </w:r>
          </w:p>
        </w:tc>
        <w:tc>
          <w:tcPr>
            <w:tcW w:w="2920" w:type="dxa"/>
            <w:vAlign w:val="bottom"/>
            <w:gridSpan w:val="2"/>
          </w:tcPr>
          <w:p>
            <w:pPr>
              <w:spacing w:after="0"/>
              <w:rPr>
                <w:sz w:val="20"/>
                <w:szCs w:val="20"/>
                <w:color w:val="auto"/>
              </w:rPr>
            </w:pPr>
            <w:r>
              <w:rPr>
                <w:rFonts w:ascii="Courier New" w:cs="Courier New" w:eastAsia="Courier New" w:hAnsi="Courier New"/>
                <w:sz w:val="16"/>
                <w:szCs w:val="16"/>
                <w:color w:val="auto"/>
              </w:rPr>
              <w:t>amended as of August 12, 1998</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among BTH,</w:t>
            </w:r>
          </w:p>
        </w:tc>
      </w:tr>
      <w:tr>
        <w:trPr>
          <w:trHeight w:val="190"/>
        </w:trPr>
        <w:tc>
          <w:tcPr>
            <w:tcW w:w="1980" w:type="dxa"/>
            <w:vAlign w:val="bottom"/>
          </w:tcPr>
          <w:p>
            <w:pPr>
              <w:spacing w:after="0"/>
              <w:rPr>
                <w:sz w:val="16"/>
                <w:szCs w:val="16"/>
                <w:color w:val="auto"/>
              </w:rPr>
            </w:pPr>
          </w:p>
        </w:tc>
        <w:tc>
          <w:tcPr>
            <w:tcW w:w="5260" w:type="dxa"/>
            <w:vAlign w:val="bottom"/>
            <w:gridSpan w:val="4"/>
          </w:tcPr>
          <w:p>
            <w:pPr>
              <w:spacing w:after="0"/>
              <w:rPr>
                <w:sz w:val="20"/>
                <w:szCs w:val="20"/>
                <w:color w:val="auto"/>
              </w:rPr>
            </w:pPr>
            <w:r>
              <w:rPr>
                <w:rFonts w:ascii="Courier New" w:cs="Courier New" w:eastAsia="Courier New" w:hAnsi="Courier New"/>
                <w:sz w:val="16"/>
                <w:szCs w:val="16"/>
                <w:color w:val="auto"/>
              </w:rPr>
              <w:t>U.S. Cable, Intercable, and Comcast. (Incorporated by</w:t>
            </w:r>
          </w:p>
        </w:tc>
        <w:tc>
          <w:tcPr>
            <w:tcW w:w="640" w:type="dxa"/>
            <w:vAlign w:val="bottom"/>
          </w:tcPr>
          <w:p>
            <w:pPr>
              <w:spacing w:after="0"/>
              <w:rPr>
                <w:sz w:val="16"/>
                <w:szCs w:val="16"/>
                <w:color w:val="auto"/>
              </w:rPr>
            </w:pPr>
          </w:p>
        </w:tc>
      </w:tr>
      <w:tr>
        <w:trPr>
          <w:trHeight w:val="190"/>
        </w:trPr>
        <w:tc>
          <w:tcPr>
            <w:tcW w:w="198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Reference to the Schedule 13D)</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194" w:lineRule="exact"/>
        <w:rPr>
          <w:sz w:val="20"/>
          <w:szCs w:val="20"/>
          <w:color w:val="auto"/>
        </w:rPr>
      </w:pPr>
    </w:p>
    <w:p>
      <w:pPr>
        <w:ind w:left="1980" w:right="2719" w:hanging="1971"/>
        <w:spacing w:after="0" w:line="253" w:lineRule="auto"/>
        <w:tabs>
          <w:tab w:leader="none" w:pos="1960" w:val="left"/>
        </w:tabs>
        <w:rPr>
          <w:sz w:val="20"/>
          <w:szCs w:val="20"/>
          <w:color w:val="auto"/>
        </w:rPr>
      </w:pPr>
      <w:r>
        <w:rPr>
          <w:rFonts w:ascii="Courier New" w:cs="Courier New" w:eastAsia="Courier New" w:hAnsi="Courier New"/>
          <w:sz w:val="16"/>
          <w:szCs w:val="16"/>
          <w:color w:val="auto"/>
        </w:rPr>
        <w:t>Exhibit 4:</w:t>
      </w:r>
      <w:r>
        <w:rPr>
          <w:sz w:val="20"/>
          <w:szCs w:val="20"/>
          <w:color w:val="auto"/>
        </w:rPr>
        <w:tab/>
      </w:r>
      <w:r>
        <w:rPr>
          <w:rFonts w:ascii="Courier New" w:cs="Courier New" w:eastAsia="Courier New" w:hAnsi="Courier New"/>
          <w:sz w:val="16"/>
          <w:szCs w:val="16"/>
          <w:color w:val="auto"/>
        </w:rPr>
        <w:t>Agreement dated as of August 12, 1998, among Comcast and the Jones Entities. (Incorporated by Reference to the Schedule 13D)</w:t>
      </w:r>
    </w:p>
    <w:p>
      <w:pPr>
        <w:spacing w:after="0" w:line="185" w:lineRule="exact"/>
        <w:rPr>
          <w:sz w:val="20"/>
          <w:szCs w:val="20"/>
          <w:color w:val="auto"/>
        </w:rPr>
      </w:pPr>
    </w:p>
    <w:p>
      <w:pPr>
        <w:ind w:left="1980" w:right="2439" w:hanging="1971"/>
        <w:spacing w:after="0" w:line="252" w:lineRule="auto"/>
        <w:tabs>
          <w:tab w:leader="none" w:pos="1960" w:val="left"/>
        </w:tabs>
        <w:rPr>
          <w:sz w:val="20"/>
          <w:szCs w:val="20"/>
          <w:color w:val="auto"/>
        </w:rPr>
      </w:pPr>
      <w:r>
        <w:rPr>
          <w:rFonts w:ascii="Courier New" w:cs="Courier New" w:eastAsia="Courier New" w:hAnsi="Courier New"/>
          <w:sz w:val="16"/>
          <w:szCs w:val="16"/>
          <w:color w:val="auto"/>
        </w:rPr>
        <w:t>Exhibit 5:</w:t>
      </w:r>
      <w:r>
        <w:rPr>
          <w:sz w:val="20"/>
          <w:szCs w:val="20"/>
          <w:color w:val="auto"/>
        </w:rPr>
        <w:tab/>
      </w:r>
      <w:r>
        <w:rPr>
          <w:rFonts w:ascii="Courier New" w:cs="Courier New" w:eastAsia="Courier New" w:hAnsi="Courier New"/>
          <w:sz w:val="16"/>
          <w:szCs w:val="16"/>
          <w:color w:val="auto"/>
        </w:rPr>
        <w:t>Agreement and Amendment No. 1 to Shareholders Agreement, entered into as of August 12, 1998, amending the Shareholders Agreement dated as of December 20, 1994, among the Company, the Jones Entities and BTH. (Incorporated by Reference to the Schedule 13D)</w:t>
      </w:r>
    </w:p>
    <w:p>
      <w:pPr>
        <w:spacing w:after="0" w:line="186"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Exhibit 6</w:t>
      </w:r>
      <w:r>
        <w:rPr>
          <w:sz w:val="20"/>
          <w:szCs w:val="20"/>
          <w:color w:val="auto"/>
        </w:rPr>
        <w:tab/>
      </w:r>
      <w:r>
        <w:rPr>
          <w:rFonts w:ascii="Courier New" w:cs="Courier New" w:eastAsia="Courier New" w:hAnsi="Courier New"/>
          <w:sz w:val="16"/>
          <w:szCs w:val="16"/>
          <w:color w:val="auto"/>
        </w:rPr>
        <w:t>Joint Filing Agreement, dated April 8, 1999.</w:t>
      </w:r>
    </w:p>
    <w:p>
      <w:pPr>
        <w:sectPr>
          <w:pgSz w:w="11900" w:h="16838" w:orient="portrait"/>
          <w:cols w:equalWidth="0" w:num="1">
            <w:col w:w="10219"/>
          </w:cols>
          <w:pgMar w:left="240" w:top="496" w:right="1440" w:bottom="1440" w:gutter="0" w:footer="0" w:header="0"/>
        </w:sectPr>
      </w:pPr>
    </w:p>
    <w:bookmarkStart w:id="10" w:name="page11"/>
    <w:bookmarkEnd w:id="10"/>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11 of 13</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96"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8, 1999</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198" w:lineRule="exact"/>
        <w:rPr>
          <w:sz w:val="20"/>
          <w:szCs w:val="20"/>
          <w:color w:val="auto"/>
        </w:rPr>
      </w:pPr>
    </w:p>
    <w:p>
      <w:pPr>
        <w:sectPr>
          <w:pgSz w:w="11900" w:h="16838" w:orient="portrait"/>
          <w:cols w:equalWidth="0" w:num="2">
            <w:col w:w="3220" w:space="720"/>
            <w:col w:w="6279"/>
          </w:cols>
          <w:pgMar w:left="240" w:top="496" w:right="1440" w:bottom="1440" w:gutter="0" w:footer="0" w:header="0"/>
          <w:type w:val="continuous"/>
        </w:sectPr>
      </w:pPr>
    </w:p>
    <w:p>
      <w:pPr>
        <w:ind w:left="3940"/>
        <w:spacing w:after="0"/>
        <w:rPr>
          <w:sz w:val="20"/>
          <w:szCs w:val="20"/>
          <w:color w:val="auto"/>
        </w:rPr>
      </w:pPr>
      <w:r>
        <w:rPr>
          <w:rFonts w:ascii="Courier New" w:cs="Courier New" w:eastAsia="Courier New" w:hAnsi="Courier New"/>
          <w:sz w:val="16"/>
          <w:szCs w:val="16"/>
          <w:color w:val="auto"/>
        </w:rPr>
        <w:t>By: /s/ 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/s/ 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1">
            <w:col w:w="10219"/>
          </w:cols>
          <w:pgMar w:left="240" w:top="496"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CUSIP No. 480206-200</w:t>
            </w:r>
          </w:p>
        </w:tc>
        <w:tc>
          <w:tcPr>
            <w:tcW w:w="1880" w:type="dxa"/>
            <w:vAlign w:val="bottom"/>
          </w:tcPr>
          <w:p>
            <w:pPr>
              <w:ind w:left="1380"/>
              <w:spacing w:after="0"/>
              <w:rPr>
                <w:sz w:val="20"/>
                <w:szCs w:val="20"/>
                <w:color w:val="auto"/>
              </w:rPr>
            </w:pPr>
            <w:r>
              <w:rPr>
                <w:rFonts w:ascii="Courier New" w:cs="Courier New" w:eastAsia="Courier New" w:hAnsi="Courier New"/>
                <w:sz w:val="16"/>
                <w:szCs w:val="16"/>
                <w:color w:val="auto"/>
              </w:rPr>
              <w:t>13D</w:t>
            </w:r>
          </w:p>
        </w:tc>
        <w:tc>
          <w:tcPr>
            <w:tcW w:w="3640" w:type="dxa"/>
            <w:vAlign w:val="bottom"/>
          </w:tcPr>
          <w:p>
            <w:pPr>
              <w:ind w:left="2160"/>
              <w:spacing w:after="0"/>
              <w:rPr>
                <w:sz w:val="20"/>
                <w:szCs w:val="20"/>
                <w:color w:val="auto"/>
              </w:rPr>
            </w:pPr>
            <w:r>
              <w:rPr>
                <w:rFonts w:ascii="Courier New" w:cs="Courier New" w:eastAsia="Courier New" w:hAnsi="Courier New"/>
                <w:sz w:val="16"/>
                <w:szCs w:val="16"/>
                <w:color w:val="auto"/>
              </w:rPr>
              <w:t>Page 12 of 13</w:t>
            </w:r>
          </w:p>
        </w:tc>
        <w:tc>
          <w:tcPr>
            <w:tcW w:w="34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80"/>
              <w:spacing w:after="0"/>
              <w:rPr>
                <w:sz w:val="20"/>
                <w:szCs w:val="20"/>
                <w:color w:val="auto"/>
              </w:rPr>
            </w:pPr>
            <w:r>
              <w:rPr>
                <w:rFonts w:ascii="Courier New" w:cs="Courier New" w:eastAsia="Courier New" w:hAnsi="Courier New"/>
                <w:sz w:val="16"/>
                <w:szCs w:val="16"/>
                <w:color w:val="auto"/>
              </w:rPr>
              <w:t>Annex B</w:t>
            </w:r>
          </w:p>
        </w:tc>
        <w:tc>
          <w:tcPr>
            <w:tcW w:w="364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379"/>
        </w:trPr>
        <w:tc>
          <w:tcPr>
            <w:tcW w:w="440" w:type="dxa"/>
            <w:vAlign w:val="bottom"/>
          </w:tcPr>
          <w:p>
            <w:pPr>
              <w:spacing w:after="0"/>
              <w:rPr>
                <w:sz w:val="24"/>
                <w:szCs w:val="24"/>
                <w:color w:val="auto"/>
              </w:rPr>
            </w:pPr>
          </w:p>
        </w:tc>
        <w:tc>
          <w:tcPr>
            <w:tcW w:w="76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Executive Officers and Directors of Comcast Cable Communications, Inc.</w:t>
            </w:r>
          </w:p>
        </w:tc>
        <w:tc>
          <w:tcPr>
            <w:tcW w:w="3440" w:type="dxa"/>
            <w:vAlign w:val="bottom"/>
          </w:tcPr>
          <w:p>
            <w:pPr>
              <w:spacing w:after="0"/>
              <w:rPr>
                <w:sz w:val="24"/>
                <w:szCs w:val="24"/>
                <w:color w:val="auto"/>
              </w:rPr>
            </w:pPr>
          </w:p>
        </w:tc>
      </w:tr>
      <w:tr>
        <w:trPr>
          <w:trHeight w:val="758"/>
        </w:trPr>
        <w:tc>
          <w:tcPr>
            <w:tcW w:w="4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120" w:type="dxa"/>
            <w:vAlign w:val="bottom"/>
          </w:tcPr>
          <w:p>
            <w:pPr>
              <w:spacing w:after="0"/>
              <w:rPr>
                <w:sz w:val="24"/>
                <w:szCs w:val="24"/>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Position</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Principal Occupation and Business</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Principal Business in which such</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Address</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employment is conducted</w:t>
            </w:r>
          </w:p>
        </w:tc>
      </w:tr>
      <w:tr>
        <w:trPr>
          <w:trHeight w:val="190"/>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8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3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Ralph J. Roberts</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Officer and</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Vice Chairman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Officer and</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Officer and</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Lawrence S. Smith</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John R. Alchin 1</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Treasurer</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37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Stanley Wang</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Secretary</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Ownership and operation of cable</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and General Counsel</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television systems and broadband</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communication services</w:t>
            </w: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1500 Market Street</w:t>
            </w:r>
          </w:p>
        </w:tc>
        <w:tc>
          <w:tcPr>
            <w:tcW w:w="344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3440" w:type="dxa"/>
            <w:vAlign w:val="bottom"/>
          </w:tcPr>
          <w:p>
            <w:pPr>
              <w:spacing w:after="0"/>
              <w:rPr>
                <w:sz w:val="16"/>
                <w:szCs w:val="16"/>
                <w:color w:val="auto"/>
              </w:rPr>
            </w:pPr>
          </w:p>
        </w:tc>
      </w:tr>
      <w:tr>
        <w:trPr>
          <w:trHeight w:val="569"/>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__________________</w:t>
            </w:r>
          </w:p>
        </w:tc>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0"/>
        </w:trPr>
        <w:tc>
          <w:tcPr>
            <w:tcW w:w="4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Citizen of Australia</w:t>
            </w:r>
          </w:p>
        </w:tc>
        <w:tc>
          <w:tcPr>
            <w:tcW w:w="18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40" w:type="dxa"/>
            <w:vAlign w:val="bottom"/>
          </w:tcPr>
          <w:p>
            <w:pPr>
              <w:spacing w:after="0"/>
              <w:rPr>
                <w:sz w:val="16"/>
                <w:szCs w:val="16"/>
                <w:color w:val="auto"/>
              </w:rPr>
            </w:pPr>
          </w:p>
        </w:tc>
      </w:tr>
    </w:tbl>
    <w:p>
      <w:pPr>
        <w:sectPr>
          <w:pgSz w:w="11900" w:h="16838" w:orient="portrait"/>
          <w:cols w:equalWidth="0" w:num="1">
            <w:col w:w="11520"/>
          </w:cols>
          <w:pgMar w:left="240" w:top="496" w:right="139" w:bottom="1440" w:gutter="0" w:footer="0" w:header="0"/>
        </w:sectPr>
      </w:pPr>
    </w:p>
    <w:bookmarkStart w:id="12" w:name="page13"/>
    <w:bookmarkEnd w:id="12"/>
    <w:p>
      <w:pPr>
        <w:spacing w:after="0"/>
        <w:tabs>
          <w:tab w:leader="none" w:pos="3920" w:val="left"/>
          <w:tab w:leader="none" w:pos="6580" w:val="left"/>
        </w:tabs>
        <w:rPr>
          <w:sz w:val="20"/>
          <w:szCs w:val="20"/>
          <w:color w:val="auto"/>
        </w:rPr>
      </w:pPr>
      <w:r>
        <w:rPr>
          <w:rFonts w:ascii="Courier New" w:cs="Courier New" w:eastAsia="Courier New" w:hAnsi="Courier New"/>
          <w:sz w:val="16"/>
          <w:szCs w:val="16"/>
          <w:color w:val="auto"/>
        </w:rPr>
        <w:t>CUSIP No. 480206-200</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13 of 13</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Exhibit 6</w:t>
      </w:r>
    </w:p>
    <w:p>
      <w:pPr>
        <w:spacing w:after="0" w:line="200" w:lineRule="exact"/>
        <w:rPr>
          <w:sz w:val="20"/>
          <w:szCs w:val="20"/>
          <w:color w:val="auto"/>
        </w:rPr>
      </w:pPr>
    </w:p>
    <w:p>
      <w:pPr>
        <w:spacing w:after="0" w:line="37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JOINT FILING AGREEMENT</w:t>
      </w:r>
    </w:p>
    <w:p>
      <w:pPr>
        <w:spacing w:after="0" w:line="388"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Pursuant to Rule 13d-1(k) promulgated under the Securities Exchange Act of 1934, the undersigned hereby agree to the joint filing of this Statement on Schedule 13D including any amendments thereto.</w:t>
      </w:r>
    </w:p>
    <w:p>
      <w:pPr>
        <w:spacing w:after="0" w:line="185"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This Agreement may be executed in any number of counterparts, each of which shall be deemed an original, but all of which shall constitute one and the same instrument.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8, 1999</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By: /s/ 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By: /s/ 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Arthur R. Block</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215"/>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5"/>
    </w:lvl>
  </w:abstractNum>
  <w:abstractNum w:abstractNumId="4">
    <w:nsid w:val="628C895D"/>
    <w:multiLevelType w:val="hybridMultilevel"/>
    <w:lvl w:ilvl="0">
      <w:lvlJc w:val="left"/>
      <w:lvlText w:val="%1."/>
      <w:numFmt w:val="decimal"/>
      <w:start w:val="8"/>
    </w:lvl>
  </w:abstractNum>
  <w:abstractNum w:abstractNumId="5">
    <w:nsid w:val="333AB105"/>
    <w:multiLevelType w:val="hybridMultilevel"/>
    <w:lvl w:ilvl="0">
      <w:lvlJc w:val="left"/>
      <w:lvlText w:val="%1."/>
      <w:numFmt w:val="decimal"/>
      <w:start w:val="10"/>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5"/>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5"/>
    </w:lvl>
  </w:abstractNum>
  <w:abstractNum w:abstractNumId="18">
    <w:nsid w:val="2CA88611"/>
    <w:multiLevelType w:val="hybridMultilevel"/>
    <w:lvl w:ilvl="0">
      <w:lvlJc w:val="left"/>
      <w:lvlText w:val="%1."/>
      <w:numFmt w:val="decimal"/>
      <w:start w:val="8"/>
    </w:lvl>
  </w:abstractNum>
  <w:abstractNum w:abstractNumId="19">
    <w:nsid w:val="836C40E"/>
    <w:multiLevelType w:val="hybridMultilevel"/>
    <w:lvl w:ilvl="0">
      <w:lvlJc w:val="left"/>
      <w:lvlText w:val="%1."/>
      <w:numFmt w:val="decimal"/>
      <w:start w:val="10"/>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3"/>
    </w:lvl>
  </w:abstractNum>
  <w:abstractNum w:abstractNumId="24">
    <w:nsid w:val="7C3DBD3D"/>
    <w:multiLevelType w:val="hybridMultilevel"/>
    <w:lvl w:ilvl="0">
      <w:lvlJc w:val="left"/>
      <w:lvlText w:val="%1."/>
      <w:numFmt w:val="decimal"/>
      <w:start w:val="5"/>
    </w:lvl>
  </w:abstractNum>
  <w:abstractNum w:abstractNumId="25">
    <w:nsid w:val="737B8DDC"/>
    <w:multiLevelType w:val="hybridMultilevel"/>
    <w:lvl w:ilvl="0">
      <w:lvlJc w:val="left"/>
      <w:lvlText w:val="%1."/>
      <w:numFmt w:val="decimal"/>
      <w:start w:val="8"/>
    </w:lvl>
  </w:abstractNum>
  <w:abstractNum w:abstractNumId="26">
    <w:nsid w:val="6CEAF087"/>
    <w:multiLevelType w:val="hybridMultilevel"/>
    <w:lvl w:ilvl="0">
      <w:lvlJc w:val="left"/>
      <w:lvlText w:val="%1."/>
      <w:numFmt w:val="decimal"/>
      <w:start w:val="10"/>
    </w:lvl>
  </w:abstractNum>
  <w:abstractNum w:abstractNumId="27">
    <w:nsid w:val="22221A70"/>
    <w:multiLevelType w:val="hybridMultilevel"/>
    <w:lvl w:ilvl="0">
      <w:lvlJc w:val="left"/>
      <w:lvlText w:val="%1."/>
      <w:numFmt w:val="decimal"/>
      <w:start w:val="1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lvl w:ilvl="1">
      <w:lvlJc w:val="left"/>
      <w:lvlText w:val="(%2)"/>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8"/>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
      <w:numFmt w:val="bullet"/>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2019-12-16T14:33:04Z</dcterms:created>
  <dcterms:modified xsi:type="dcterms:W3CDTF">2019-12-16T14:33:04Z</dcterms:modified>
</cp:coreProperties>
</file>