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605790</wp:posOffset>
            </wp:positionH>
            <wp:positionV relativeFrom="page">
              <wp:posOffset>471805</wp:posOffset>
            </wp:positionV>
            <wp:extent cx="67983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8310" cy="8255"/>
                    </a:xfrm>
                    <a:prstGeom prst="rect">
                      <a:avLst/>
                    </a:prstGeom>
                    <a:noFill/>
                  </pic:spPr>
                </pic:pic>
              </a:graphicData>
            </a:graphic>
          </wp:anchor>
        </w:drawing>
        <w:drawing>
          <wp:anchor simplePos="0" relativeHeight="251657728" behindDoc="1" locked="0" layoutInCell="0" allowOverlap="1">
            <wp:simplePos x="0" y="0"/>
            <wp:positionH relativeFrom="page">
              <wp:posOffset>605790</wp:posOffset>
            </wp:positionH>
            <wp:positionV relativeFrom="page">
              <wp:posOffset>438150</wp:posOffset>
            </wp:positionV>
            <wp:extent cx="6798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831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4" w:lineRule="exact"/>
        <w:rPr>
          <w:sz w:val="24"/>
          <w:szCs w:val="24"/>
          <w:color w:val="auto"/>
        </w:rPr>
      </w:pPr>
    </w:p>
    <w:p>
      <w:pPr>
        <w:ind w:left="1100" w:hanging="938"/>
        <w:spacing w:after="0"/>
        <w:tabs>
          <w:tab w:leader="none" w:pos="11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27" w:lineRule="exact"/>
        <w:rPr>
          <w:sz w:val="24"/>
          <w:szCs w:val="24"/>
          <w:color w:val="auto"/>
        </w:rPr>
      </w:pPr>
    </w:p>
    <w:p>
      <w:pPr>
        <w:ind w:left="1060" w:hanging="891"/>
        <w:spacing w:after="0"/>
        <w:tabs>
          <w:tab w:leader="none" w:pos="10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3" w:lineRule="exact"/>
        <w:rPr>
          <w:sz w:val="24"/>
          <w:szCs w:val="24"/>
          <w:color w:val="auto"/>
        </w:rPr>
      </w:pPr>
    </w:p>
    <w:p>
      <w:pPr>
        <w:ind w:left="3780"/>
        <w:spacing w:after="0"/>
        <w:tabs>
          <w:tab w:leader="none" w:pos="70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1957705</wp:posOffset>
            </wp:positionH>
            <wp:positionV relativeFrom="paragraph">
              <wp:posOffset>153670</wp:posOffset>
            </wp:positionV>
            <wp:extent cx="3185795" cy="507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5795" cy="507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7"/>
                <w:szCs w:val="17"/>
                <w:color w:val="auto"/>
                <w:w w:val="93"/>
              </w:rPr>
              <w:t>Exact Name of Registrant; State of</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20" w:type="dxa"/>
            <w:vAlign w:val="bottom"/>
            <w:vMerge w:val="restart"/>
          </w:tcPr>
          <w:p>
            <w:pPr>
              <w:jc w:val="center"/>
              <w:ind w:right="933"/>
              <w:spacing w:after="0"/>
              <w:rPr>
                <w:sz w:val="20"/>
                <w:szCs w:val="20"/>
                <w:color w:val="auto"/>
              </w:rPr>
            </w:pPr>
            <w:r>
              <w:rPr>
                <w:rFonts w:ascii="Arial" w:cs="Arial" w:eastAsia="Arial" w:hAnsi="Arial"/>
                <w:sz w:val="17"/>
                <w:szCs w:val="17"/>
                <w:color w:val="auto"/>
                <w:w w:val="95"/>
              </w:rPr>
              <w:t>Commission File Number</w:t>
            </w:r>
          </w:p>
        </w:tc>
        <w:tc>
          <w:tcPr>
            <w:tcW w:w="2980" w:type="dxa"/>
            <w:vAlign w:val="bottom"/>
            <w:gridSpan w:val="6"/>
          </w:tcPr>
          <w:p>
            <w:pPr>
              <w:jc w:val="center"/>
              <w:ind w:right="20"/>
              <w:spacing w:after="0" w:line="171" w:lineRule="exact"/>
              <w:rPr>
                <w:sz w:val="20"/>
                <w:szCs w:val="20"/>
                <w:color w:val="auto"/>
              </w:rPr>
            </w:pPr>
            <w:r>
              <w:rPr>
                <w:rFonts w:ascii="Arial" w:cs="Arial" w:eastAsia="Arial" w:hAnsi="Arial"/>
                <w:sz w:val="17"/>
                <w:szCs w:val="17"/>
                <w:color w:val="auto"/>
                <w:w w:val="92"/>
              </w:rPr>
              <w:t>Incorporation; Address and Telephone</w:t>
            </w:r>
          </w:p>
        </w:tc>
        <w:tc>
          <w:tcPr>
            <w:tcW w:w="4100" w:type="dxa"/>
            <w:vAlign w:val="bottom"/>
            <w:vMerge w:val="restart"/>
          </w:tcPr>
          <w:p>
            <w:pPr>
              <w:jc w:val="center"/>
              <w:ind w:left="913"/>
              <w:spacing w:after="0"/>
              <w:rPr>
                <w:sz w:val="20"/>
                <w:szCs w:val="20"/>
                <w:color w:val="auto"/>
              </w:rPr>
            </w:pPr>
            <w:r>
              <w:rPr>
                <w:rFonts w:ascii="Arial" w:cs="Arial" w:eastAsia="Arial" w:hAnsi="Arial"/>
                <w:sz w:val="17"/>
                <w:szCs w:val="17"/>
                <w:color w:val="auto"/>
                <w:w w:val="96"/>
              </w:rPr>
              <w:t>I.R.S. Employer Identification No.</w:t>
            </w:r>
          </w:p>
        </w:tc>
        <w:tc>
          <w:tcPr>
            <w:tcW w:w="0" w:type="dxa"/>
            <w:vAlign w:val="bottom"/>
          </w:tcPr>
          <w:p>
            <w:pPr>
              <w:spacing w:after="0"/>
              <w:rPr>
                <w:sz w:val="1"/>
                <w:szCs w:val="1"/>
                <w:color w:val="auto"/>
              </w:rPr>
            </w:pPr>
          </w:p>
        </w:tc>
      </w:tr>
      <w:tr>
        <w:trPr>
          <w:trHeight w:val="222"/>
        </w:trPr>
        <w:tc>
          <w:tcPr>
            <w:tcW w:w="412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7"/>
                <w:szCs w:val="17"/>
                <w:color w:val="auto"/>
                <w:w w:val="96"/>
              </w:rPr>
              <w:t>Number of Principal Executive Offices</w:t>
            </w:r>
          </w:p>
        </w:tc>
        <w:tc>
          <w:tcPr>
            <w:tcW w:w="4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20" w:type="dxa"/>
            <w:vAlign w:val="bottom"/>
          </w:tcPr>
          <w:p>
            <w:pPr>
              <w:jc w:val="right"/>
              <w:ind w:right="2113"/>
              <w:spacing w:after="0"/>
              <w:rPr>
                <w:sz w:val="20"/>
                <w:szCs w:val="20"/>
                <w:color w:val="auto"/>
              </w:rPr>
            </w:pPr>
            <w:r>
              <w:rPr>
                <w:rFonts w:ascii="Arial" w:cs="Arial" w:eastAsia="Arial" w:hAnsi="Arial"/>
                <w:sz w:val="17"/>
                <w:szCs w:val="17"/>
                <w:b w:val="1"/>
                <w:bCs w:val="1"/>
                <w:color w:val="auto"/>
              </w:rPr>
              <w:t>001-32871</w:t>
            </w:r>
          </w:p>
        </w:tc>
        <w:tc>
          <w:tcPr>
            <w:tcW w:w="200" w:type="dxa"/>
            <w:vAlign w:val="bottom"/>
          </w:tcPr>
          <w:p>
            <w:pPr>
              <w:spacing w:after="0"/>
              <w:rPr>
                <w:sz w:val="19"/>
                <w:szCs w:val="19"/>
                <w:color w:val="auto"/>
              </w:rPr>
            </w:pPr>
          </w:p>
        </w:tc>
        <w:tc>
          <w:tcPr>
            <w:tcW w:w="278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COMCAST CORPORATION</w:t>
            </w:r>
          </w:p>
        </w:tc>
        <w:tc>
          <w:tcPr>
            <w:tcW w:w="4100" w:type="dxa"/>
            <w:vAlign w:val="bottom"/>
          </w:tcPr>
          <w:p>
            <w:pPr>
              <w:jc w:val="right"/>
              <w:ind w:right="1053"/>
              <w:spacing w:after="0"/>
              <w:rPr>
                <w:sz w:val="20"/>
                <w:szCs w:val="20"/>
                <w:color w:val="auto"/>
              </w:rPr>
            </w:pPr>
            <w:r>
              <w:rPr>
                <w:rFonts w:ascii="Arial" w:cs="Arial" w:eastAsia="Arial" w:hAnsi="Arial"/>
                <w:sz w:val="17"/>
                <w:szCs w:val="17"/>
                <w:b w:val="1"/>
                <w:bCs w:val="1"/>
                <w:color w:val="auto"/>
              </w:rPr>
              <w:t>27-0000798</w:t>
            </w:r>
          </w:p>
        </w:tc>
        <w:tc>
          <w:tcPr>
            <w:tcW w:w="0" w:type="dxa"/>
            <w:vAlign w:val="bottom"/>
          </w:tcPr>
          <w:p>
            <w:pPr>
              <w:spacing w:after="0"/>
              <w:rPr>
                <w:sz w:val="1"/>
                <w:szCs w:val="1"/>
                <w:color w:val="auto"/>
              </w:rPr>
            </w:pPr>
          </w:p>
        </w:tc>
      </w:tr>
      <w:tr>
        <w:trPr>
          <w:trHeight w:val="278"/>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7"/>
                <w:szCs w:val="17"/>
                <w:b w:val="1"/>
                <w:bCs w:val="1"/>
                <w:color w:val="auto"/>
                <w:w w:val="91"/>
              </w:rPr>
              <w:t>Pennsylvania</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7"/>
                <w:szCs w:val="17"/>
                <w:b w:val="1"/>
                <w:bCs w:val="1"/>
                <w:color w:val="auto"/>
                <w:w w:val="92"/>
              </w:rPr>
              <w:t>One Comcast Center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w w:val="93"/>
              </w:rPr>
              <w:t>Philadelphia, PA 19103-2838</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3"/>
          </w:tcPr>
          <w:p>
            <w:pPr>
              <w:jc w:val="center"/>
              <w:ind w:left="373"/>
              <w:spacing w:after="0"/>
              <w:rPr>
                <w:sz w:val="20"/>
                <w:szCs w:val="20"/>
                <w:color w:val="auto"/>
              </w:rPr>
            </w:pPr>
            <w:r>
              <w:rPr>
                <w:rFonts w:ascii="Arial" w:cs="Arial" w:eastAsia="Arial" w:hAnsi="Arial"/>
                <w:sz w:val="17"/>
                <w:szCs w:val="17"/>
                <w:b w:val="1"/>
                <w:bCs w:val="1"/>
                <w:color w:val="auto"/>
                <w:w w:val="92"/>
              </w:rPr>
              <w:t>(215) 286-1700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120" w:type="dxa"/>
            <w:vAlign w:val="bottom"/>
          </w:tcPr>
          <w:p>
            <w:pPr>
              <w:spacing w:after="0"/>
              <w:rPr>
                <w:sz w:val="20"/>
                <w:szCs w:val="20"/>
                <w:color w:val="auto"/>
              </w:rPr>
            </w:pPr>
            <w:r>
              <w:rPr>
                <w:rFonts w:ascii="Arial" w:cs="Arial" w:eastAsia="Arial" w:hAnsi="Arial"/>
                <w:sz w:val="17"/>
                <w:szCs w:val="17"/>
                <w:color w:val="auto"/>
                <w:w w:val="94"/>
              </w:rPr>
              <w:t>Securities registered pursuant to Section 12(b) of the Act: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120" w:type="dxa"/>
            <w:vAlign w:val="bottom"/>
            <w:tcBorders>
              <w:bottom w:val="single" w:sz="8" w:color="auto"/>
            </w:tcBorders>
          </w:tcPr>
          <w:p>
            <w:pPr>
              <w:jc w:val="center"/>
              <w:ind w:left="473"/>
              <w:spacing w:after="0"/>
              <w:rPr>
                <w:sz w:val="20"/>
                <w:szCs w:val="20"/>
                <w:color w:val="auto"/>
              </w:rPr>
            </w:pPr>
            <w:r>
              <w:rPr>
                <w:rFonts w:ascii="Arial" w:cs="Arial" w:eastAsia="Arial" w:hAnsi="Arial"/>
                <w:sz w:val="17"/>
                <w:szCs w:val="17"/>
                <w:b w:val="1"/>
                <w:bCs w:val="1"/>
                <w:color w:val="auto"/>
                <w:w w:val="90"/>
              </w:rPr>
              <w:t>Title of each class</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center"/>
              <w:ind w:right="453"/>
              <w:spacing w:after="0"/>
              <w:rPr>
                <w:sz w:val="20"/>
                <w:szCs w:val="20"/>
                <w:color w:val="auto"/>
              </w:rPr>
            </w:pPr>
            <w:r>
              <w:rPr>
                <w:rFonts w:ascii="Arial" w:cs="Arial" w:eastAsia="Arial" w:hAnsi="Arial"/>
                <w:sz w:val="17"/>
                <w:szCs w:val="17"/>
                <w:b w:val="1"/>
                <w:bCs w:val="1"/>
                <w:color w:val="auto"/>
                <w:w w:val="90"/>
              </w:rPr>
              <w:t>Name of each exchange on which registered</w:t>
            </w:r>
          </w:p>
        </w:tc>
        <w:tc>
          <w:tcPr>
            <w:tcW w:w="0" w:type="dxa"/>
            <w:vAlign w:val="bottom"/>
          </w:tcPr>
          <w:p>
            <w:pPr>
              <w:spacing w:after="0"/>
              <w:rPr>
                <w:sz w:val="1"/>
                <w:szCs w:val="1"/>
                <w:color w:val="auto"/>
              </w:rPr>
            </w:pPr>
          </w:p>
        </w:tc>
      </w:tr>
      <w:tr>
        <w:trPr>
          <w:trHeight w:val="216"/>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Class A Common Stock, $0.01 par value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rPr>
              <w:t>CMCSA</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7"/>
              </w:rPr>
              <w:t>NASDAQ Global Select Market</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0.000% Notes due 2026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CMCS26</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8"/>
              </w:rPr>
              <w:t>NASDAQ Global Market</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0.250% Notes due 2027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CMCS27</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8"/>
              </w:rPr>
              <w:t>NASDAQ Global Market</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1.500%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CMCS29</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8"/>
              </w:rPr>
              <w:t>NASDAQ Global Market</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0.250%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7"/>
              </w:rPr>
              <w:t>CMCS29A</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8"/>
              </w:rPr>
              <w:t>NASDAQ Global Market</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0.750% Notes due 2032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CMCS32</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8"/>
              </w:rPr>
              <w:t>NASDAQ Global Market</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1.875% Notes due 2036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CMCS36</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8"/>
              </w:rPr>
              <w:t>NASDAQ Global Market</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1.250% Notes due 2040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5"/>
              </w:rPr>
              <w:t>CMCS40</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8"/>
              </w:rPr>
              <w:t>NASDAQ Global Market</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0"/>
              </w:rPr>
              <w:t>9.455% Guaranteed Notes due 2022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6"/>
              </w:rPr>
              <w:t>CMCSA/22</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3"/>
              </w:rPr>
              <w:t>New York Stock Exchange</w:t>
            </w:r>
          </w:p>
        </w:tc>
        <w:tc>
          <w:tcPr>
            <w:tcW w:w="0" w:type="dxa"/>
            <w:vAlign w:val="bottom"/>
          </w:tcPr>
          <w:p>
            <w:pPr>
              <w:spacing w:after="0"/>
              <w:rPr>
                <w:sz w:val="1"/>
                <w:szCs w:val="1"/>
                <w:color w:val="auto"/>
              </w:rPr>
            </w:pPr>
          </w:p>
        </w:tc>
      </w:tr>
      <w:tr>
        <w:trPr>
          <w:trHeight w:val="223"/>
        </w:trPr>
        <w:tc>
          <w:tcPr>
            <w:tcW w:w="4120" w:type="dxa"/>
            <w:vAlign w:val="bottom"/>
          </w:tcPr>
          <w:p>
            <w:pPr>
              <w:jc w:val="center"/>
              <w:ind w:left="473"/>
              <w:spacing w:after="0"/>
              <w:rPr>
                <w:sz w:val="20"/>
                <w:szCs w:val="20"/>
                <w:color w:val="auto"/>
              </w:rPr>
            </w:pPr>
            <w:r>
              <w:rPr>
                <w:rFonts w:ascii="Arial" w:cs="Arial" w:eastAsia="Arial" w:hAnsi="Arial"/>
                <w:sz w:val="17"/>
                <w:szCs w:val="17"/>
                <w:color w:val="auto"/>
                <w:w w:val="92"/>
              </w:rPr>
              <w:t>5.50%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7"/>
                <w:szCs w:val="17"/>
                <w:color w:val="auto"/>
                <w:w w:val="93"/>
              </w:rPr>
              <w:t>CCGBP29</w:t>
            </w:r>
          </w:p>
        </w:tc>
        <w:tc>
          <w:tcPr>
            <w:tcW w:w="4100" w:type="dxa"/>
            <w:vAlign w:val="bottom"/>
          </w:tcPr>
          <w:p>
            <w:pPr>
              <w:jc w:val="center"/>
              <w:ind w:right="453"/>
              <w:spacing w:after="0"/>
              <w:rPr>
                <w:sz w:val="20"/>
                <w:szCs w:val="20"/>
                <w:color w:val="auto"/>
              </w:rPr>
            </w:pPr>
            <w:r>
              <w:rPr>
                <w:rFonts w:ascii="Arial" w:cs="Arial" w:eastAsia="Arial" w:hAnsi="Arial"/>
                <w:sz w:val="17"/>
                <w:szCs w:val="17"/>
                <w:color w:val="auto"/>
                <w:w w:val="93"/>
              </w:rPr>
              <w:t>New York Stock Exchange</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auto"/>
            </w:tcBorders>
            <w:gridSpan w:val="2"/>
          </w:tcPr>
          <w:p>
            <w:pPr>
              <w:jc w:val="center"/>
              <w:ind w:left="273"/>
              <w:spacing w:after="0"/>
              <w:rPr>
                <w:sz w:val="20"/>
                <w:szCs w:val="20"/>
                <w:color w:val="auto"/>
              </w:rPr>
            </w:pPr>
            <w:r>
              <w:rPr>
                <w:rFonts w:ascii="Arial" w:cs="Arial" w:eastAsia="Arial" w:hAnsi="Arial"/>
                <w:sz w:val="17"/>
                <w:szCs w:val="17"/>
                <w:color w:val="auto"/>
                <w:w w:val="91"/>
              </w:rPr>
              <w:t>2.0% Exchangeable Subordinated Debentures due 2029</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CCZ</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center"/>
              <w:ind w:right="453"/>
              <w:spacing w:after="0"/>
              <w:rPr>
                <w:sz w:val="20"/>
                <w:szCs w:val="20"/>
                <w:color w:val="auto"/>
              </w:rPr>
            </w:pPr>
            <w:r>
              <w:rPr>
                <w:rFonts w:ascii="Arial" w:cs="Arial" w:eastAsia="Arial" w:hAnsi="Arial"/>
                <w:sz w:val="17"/>
                <w:szCs w:val="17"/>
                <w:color w:val="auto"/>
                <w:w w:val="93"/>
              </w:rPr>
              <w:t>New York Stock Exchange</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both"/>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8"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5" w:lineRule="exact"/>
        <w:rPr>
          <w:sz w:val="24"/>
          <w:szCs w:val="24"/>
          <w:color w:val="auto"/>
        </w:rPr>
      </w:pPr>
    </w:p>
    <w:p>
      <w:pPr>
        <w:jc w:val="both"/>
        <w:spacing w:after="0" w:line="25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7" w:lineRule="exact"/>
        <w:rPr>
          <w:sz w:val="24"/>
          <w:szCs w:val="24"/>
          <w:color w:val="auto"/>
        </w:rPr>
      </w:pPr>
    </w:p>
    <w:p>
      <w:pPr>
        <w:ind w:left="20"/>
        <w:spacing w:after="0" w:line="196" w:lineRule="exact"/>
        <w:tabs>
          <w:tab w:leader="none" w:pos="1680" w:val="left"/>
          <w:tab w:leader="none" w:pos="3340" w:val="left"/>
          <w:tab w:leader="none" w:pos="528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ab/>
        <w:t xml:space="preserve">☐ </w:t>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Smaller reporting company</w:t>
      </w:r>
      <w:r>
        <w:rPr>
          <w:rFonts w:ascii="MS PGothic" w:cs="MS PGothic" w:eastAsia="MS PGothic" w:hAnsi="MS PGothic"/>
          <w:sz w:val="15"/>
          <w:szCs w:val="15"/>
          <w:color w:val="auto"/>
        </w:rPr>
        <w:t xml:space="preserve">  ☐ </w:t>
      </w:r>
      <w:r>
        <w:rPr>
          <w:rFonts w:ascii="Arial" w:cs="Arial" w:eastAsia="Arial" w:hAnsi="Arial"/>
          <w:sz w:val="15"/>
          <w:szCs w:val="15"/>
          <w:color w:val="auto"/>
        </w:rPr>
        <w:t>Emerging growth company</w:t>
      </w:r>
      <w:r>
        <w:rPr>
          <w:rFonts w:ascii="MS PGothic" w:cs="MS PGothic" w:eastAsia="MS PGothic" w:hAnsi="MS PGothic"/>
          <w:sz w:val="15"/>
          <w:szCs w:val="15"/>
          <w:color w:val="auto"/>
        </w:rPr>
        <w:t xml:space="preserve">  ☐</w:t>
      </w:r>
    </w:p>
    <w:p>
      <w:pPr>
        <w:spacing w:after="0" w:line="215" w:lineRule="exact"/>
        <w:rPr>
          <w:sz w:val="24"/>
          <w:szCs w:val="24"/>
          <w:color w:val="auto"/>
        </w:rPr>
      </w:pPr>
    </w:p>
    <w:p>
      <w:pPr>
        <w:jc w:val="both"/>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5" w:lineRule="exact"/>
        <w:rPr>
          <w:sz w:val="24"/>
          <w:szCs w:val="24"/>
          <w:color w:val="auto"/>
        </w:rPr>
      </w:pPr>
    </w:p>
    <w:p>
      <w:pPr>
        <w:spacing w:after="0"/>
        <w:rPr>
          <w:sz w:val="20"/>
          <w:szCs w:val="20"/>
          <w:color w:val="auto"/>
        </w:rPr>
      </w:pPr>
      <w:r>
        <w:rPr>
          <w:rFonts w:ascii="Arial" w:cs="Arial" w:eastAsia="Arial" w:hAnsi="Arial"/>
          <w:sz w:val="13"/>
          <w:szCs w:val="13"/>
          <w:color w:val="auto"/>
        </w:rPr>
        <w:t>As of September 30, 2021, there were 4,559,478,670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535305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215265</wp:posOffset>
            </wp:positionV>
            <wp:extent cx="7019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181610</wp:posOffset>
            </wp:positionV>
            <wp:extent cx="7019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9925" cy="825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00" w:type="dxa"/>
            <w:vAlign w:val="bottom"/>
          </w:tcPr>
          <w:p>
            <w:pPr>
              <w:jc w:val="right"/>
              <w:ind w:right="195"/>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80" w:type="dxa"/>
            <w:vAlign w:val="bottom"/>
            <w:tcBorders>
              <w:bottom w:val="single" w:sz="8" w:color="0000FF"/>
            </w:tcBorders>
            <w:gridSpan w:val="9"/>
          </w:tcPr>
          <w:p>
            <w:pPr>
              <w:spacing w:after="0" w:line="179" w:lineRule="exact"/>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FINANCIAL INFORMATION</w:t>
              </w:r>
            </w:hyperlink>
          </w:p>
        </w:tc>
        <w:tc>
          <w:tcPr>
            <w:tcW w:w="6120" w:type="dxa"/>
            <w:vAlign w:val="bottom"/>
            <w:gridSpan w:val="11"/>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w:t>
            </w:r>
          </w:p>
        </w:tc>
        <w:tc>
          <w:tcPr>
            <w:tcW w:w="1460" w:type="dxa"/>
            <w:vAlign w:val="bottom"/>
            <w:tcBorders>
              <w:bottom w:val="single" w:sz="8" w:color="0000FF"/>
            </w:tcBorders>
            <w:gridSpan w:val="6"/>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Financial Statements</w:t>
              </w:r>
            </w:hyperlink>
          </w:p>
        </w:tc>
        <w:tc>
          <w:tcPr>
            <w:tcW w:w="6240" w:type="dxa"/>
            <w:vAlign w:val="bottom"/>
            <w:gridSpan w:val="12"/>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3">
              <w:r>
                <w:rPr>
                  <w:rFonts w:ascii="Arial" w:cs="Arial" w:eastAsia="Arial" w:hAnsi="Arial"/>
                  <w:sz w:val="17"/>
                  <w:szCs w:val="17"/>
                  <w:color w:val="2C2C2C"/>
                </w:rPr>
                <w:t>1</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2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Condensed Consolidated Statement of Income (Unaudited)</w:t>
              </w:r>
            </w:hyperlink>
          </w:p>
        </w:tc>
        <w:tc>
          <w:tcPr>
            <w:tcW w:w="3580" w:type="dxa"/>
            <w:vAlign w:val="bottom"/>
            <w:gridSpan w:val="8"/>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4">
              <w:r>
                <w:rPr>
                  <w:rFonts w:ascii="Arial" w:cs="Arial" w:eastAsia="Arial" w:hAnsi="Arial"/>
                  <w:sz w:val="17"/>
                  <w:szCs w:val="17"/>
                  <w:color w:val="2C2C2C"/>
                </w:rPr>
                <w:t>1</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tcBorders>
              <w:bottom w:val="single" w:sz="8" w:color="0000FF"/>
            </w:tcBorders>
            <w:gridSpan w:val="16"/>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Condensed Consolidated Statement of Comprehensive Income (Unaudited)</w:t>
              </w:r>
            </w:hyperlink>
          </w:p>
        </w:tc>
        <w:tc>
          <w:tcPr>
            <w:tcW w:w="2440" w:type="dxa"/>
            <w:vAlign w:val="bottom"/>
            <w:gridSpan w:val="2"/>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4">
              <w:r>
                <w:rPr>
                  <w:rFonts w:ascii="Arial" w:cs="Arial" w:eastAsia="Arial" w:hAnsi="Arial"/>
                  <w:sz w:val="17"/>
                  <w:szCs w:val="17"/>
                  <w:color w:val="2C2C2C"/>
                </w:rPr>
                <w:t>2</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20" w:type="dxa"/>
            <w:vAlign w:val="bottom"/>
            <w:tcBorders>
              <w:bottom w:val="single" w:sz="8" w:color="0000FF"/>
            </w:tcBorders>
            <w:gridSpan w:val="13"/>
          </w:tcPr>
          <w:p>
            <w:pPr>
              <w:spacing w:after="0"/>
              <w:rPr>
                <w:rFonts w:ascii="Arial" w:cs="Arial" w:eastAsia="Arial" w:hAnsi="Arial"/>
                <w:sz w:val="17"/>
                <w:szCs w:val="17"/>
                <w:color w:val="0000FF"/>
                <w:w w:val="91"/>
              </w:rPr>
            </w:pPr>
            <w:hyperlink w:anchor="page5">
              <w:r>
                <w:rPr>
                  <w:rFonts w:ascii="Arial" w:cs="Arial" w:eastAsia="Arial" w:hAnsi="Arial"/>
                  <w:sz w:val="17"/>
                  <w:szCs w:val="17"/>
                  <w:color w:val="0000FF"/>
                  <w:w w:val="91"/>
                </w:rPr>
                <w:t>Condensed Consolidated Statement of Cash Flows (Unaudited)</w:t>
              </w:r>
            </w:hyperlink>
          </w:p>
        </w:tc>
        <w:tc>
          <w:tcPr>
            <w:tcW w:w="3280" w:type="dxa"/>
            <w:vAlign w:val="bottom"/>
            <w:gridSpan w:val="5"/>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5">
              <w:r>
                <w:rPr>
                  <w:rFonts w:ascii="Arial" w:cs="Arial" w:eastAsia="Arial" w:hAnsi="Arial"/>
                  <w:sz w:val="17"/>
                  <w:szCs w:val="17"/>
                  <w:color w:val="2C2C2C"/>
                </w:rPr>
                <w:t>3</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tcBorders>
              <w:bottom w:val="single" w:sz="8" w:color="0000FF"/>
            </w:tcBorders>
            <w:gridSpan w:val="9"/>
          </w:tcPr>
          <w:p>
            <w:pPr>
              <w:spacing w:after="0"/>
              <w:rPr>
                <w:rFonts w:ascii="Arial" w:cs="Arial" w:eastAsia="Arial" w:hAnsi="Arial"/>
                <w:sz w:val="17"/>
                <w:szCs w:val="17"/>
                <w:color w:val="0000FF"/>
                <w:w w:val="91"/>
              </w:rPr>
            </w:pPr>
            <w:hyperlink w:anchor="page6">
              <w:r>
                <w:rPr>
                  <w:rFonts w:ascii="Arial" w:cs="Arial" w:eastAsia="Arial" w:hAnsi="Arial"/>
                  <w:sz w:val="17"/>
                  <w:szCs w:val="17"/>
                  <w:color w:val="0000FF"/>
                  <w:w w:val="91"/>
                </w:rPr>
                <w:t>Condensed Consolidated Balance Sheet (Unaudited)</w:t>
              </w:r>
            </w:hyperlink>
          </w:p>
        </w:tc>
        <w:tc>
          <w:tcPr>
            <w:tcW w:w="4040" w:type="dxa"/>
            <w:vAlign w:val="bottom"/>
            <w:gridSpan w:val="9"/>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6">
              <w:r>
                <w:rPr>
                  <w:rFonts w:ascii="Arial" w:cs="Arial" w:eastAsia="Arial" w:hAnsi="Arial"/>
                  <w:sz w:val="17"/>
                  <w:szCs w:val="17"/>
                  <w:color w:val="2C2C2C"/>
                </w:rPr>
                <w:t>4</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00" w:type="dxa"/>
            <w:vAlign w:val="bottom"/>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 of Changes in Equity (Unaudited)</w:t>
              </w:r>
            </w:hyperlink>
          </w:p>
        </w:tc>
        <w:tc>
          <w:tcPr>
            <w:tcW w:w="2100" w:type="dxa"/>
            <w:vAlign w:val="bottom"/>
          </w:tcPr>
          <w:p>
            <w:pPr>
              <w:jc w:val="right"/>
              <w:spacing w:after="0"/>
              <w:rPr>
                <w:rFonts w:ascii="Arial" w:cs="Arial" w:eastAsia="Arial" w:hAnsi="Arial"/>
                <w:sz w:val="17"/>
                <w:szCs w:val="17"/>
                <w:color w:val="2C2C2C"/>
              </w:rPr>
            </w:pPr>
            <w:hyperlink w:anchor="page7">
              <w:r>
                <w:rPr>
                  <w:rFonts w:ascii="Arial" w:cs="Arial" w:eastAsia="Arial" w:hAnsi="Arial"/>
                  <w:sz w:val="17"/>
                  <w:szCs w:val="17"/>
                  <w:color w:val="2C2C2C"/>
                </w:rPr>
                <w:t>5</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Item 2.</w:t>
            </w:r>
          </w:p>
        </w:tc>
        <w:tc>
          <w:tcPr>
            <w:tcW w:w="4760" w:type="dxa"/>
            <w:vAlign w:val="bottom"/>
            <w:tcBorders>
              <w:top w:val="single" w:sz="8" w:color="0000FF"/>
              <w:bottom w:val="single" w:sz="8" w:color="0000FF"/>
            </w:tcBorders>
            <w:gridSpan w:val="14"/>
          </w:tcPr>
          <w:p>
            <w:pPr>
              <w:spacing w:after="0"/>
              <w:rPr>
                <w:rFonts w:ascii="Arial" w:cs="Arial" w:eastAsia="Arial" w:hAnsi="Arial"/>
                <w:sz w:val="17"/>
                <w:szCs w:val="17"/>
                <w:color w:val="0000FF"/>
                <w:w w:val="91"/>
              </w:rPr>
            </w:pPr>
            <w:hyperlink w:anchor="page8">
              <w:r>
                <w:rPr>
                  <w:rFonts w:ascii="Arial" w:cs="Arial" w:eastAsia="Arial" w:hAnsi="Arial"/>
                  <w:sz w:val="17"/>
                  <w:szCs w:val="17"/>
                  <w:color w:val="0000FF"/>
                  <w:w w:val="91"/>
                </w:rPr>
                <w:t>Notes to Condensed Consolidated Financial Statements (Unaudited)</w:t>
              </w:r>
            </w:hyperlink>
          </w:p>
        </w:tc>
        <w:tc>
          <w:tcPr>
            <w:tcW w:w="120" w:type="dxa"/>
            <w:vAlign w:val="bottom"/>
            <w:tcBorders>
              <w:top w:val="single" w:sz="8" w:color="0000FF"/>
            </w:tcBorders>
          </w:tcPr>
          <w:p>
            <w:pPr>
              <w:spacing w:after="0"/>
              <w:rPr>
                <w:sz w:val="17"/>
                <w:szCs w:val="17"/>
                <w:color w:val="auto"/>
              </w:rPr>
            </w:pPr>
          </w:p>
        </w:tc>
        <w:tc>
          <w:tcPr>
            <w:tcW w:w="2820" w:type="dxa"/>
            <w:vAlign w:val="bottom"/>
            <w:gridSpan w:val="3"/>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2C2C2C"/>
              </w:rPr>
            </w:pPr>
            <w:hyperlink w:anchor="page8">
              <w:r>
                <w:rPr>
                  <w:rFonts w:ascii="Arial" w:cs="Arial" w:eastAsia="Arial" w:hAnsi="Arial"/>
                  <w:sz w:val="17"/>
                  <w:szCs w:val="17"/>
                  <w:color w:val="2C2C2C"/>
                </w:rPr>
                <w:t>6</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6260" w:type="dxa"/>
            <w:vAlign w:val="bottom"/>
            <w:tcBorders>
              <w:bottom w:val="single" w:sz="8" w:color="0000FF"/>
            </w:tcBorders>
            <w:gridSpan w:val="17"/>
          </w:tcPr>
          <w:p>
            <w:pPr>
              <w:spacing w:after="0"/>
              <w:rPr>
                <w:rFonts w:ascii="Arial" w:cs="Arial" w:eastAsia="Arial" w:hAnsi="Arial"/>
                <w:sz w:val="17"/>
                <w:szCs w:val="17"/>
                <w:color w:val="0000FF"/>
                <w:w w:val="93"/>
              </w:rPr>
            </w:pPr>
            <w:hyperlink w:anchor="page18">
              <w:r>
                <w:rPr>
                  <w:rFonts w:ascii="Arial" w:cs="Arial" w:eastAsia="Arial" w:hAnsi="Arial"/>
                  <w:sz w:val="17"/>
                  <w:szCs w:val="17"/>
                  <w:color w:val="0000FF"/>
                  <w:w w:val="93"/>
                </w:rPr>
                <w:t>Management’s Discussion and Analysis of Financial Condition and Results of Operations</w:t>
              </w:r>
            </w:hyperlink>
          </w:p>
        </w:tc>
        <w:tc>
          <w:tcPr>
            <w:tcW w:w="1440" w:type="dxa"/>
            <w:vAlign w:val="bottom"/>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18">
              <w:r>
                <w:rPr>
                  <w:rFonts w:ascii="Arial" w:cs="Arial" w:eastAsia="Arial" w:hAnsi="Arial"/>
                  <w:sz w:val="17"/>
                  <w:szCs w:val="17"/>
                  <w:color w:val="auto"/>
                </w:rPr>
                <w:t>16</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3.</w:t>
            </w:r>
          </w:p>
        </w:tc>
        <w:tc>
          <w:tcPr>
            <w:tcW w:w="4220" w:type="dxa"/>
            <w:vAlign w:val="bottom"/>
            <w:tcBorders>
              <w:bottom w:val="single" w:sz="8" w:color="0000FF"/>
            </w:tcBorders>
            <w:gridSpan w:val="12"/>
          </w:tcPr>
          <w:p>
            <w:pPr>
              <w:spacing w:after="0"/>
              <w:rPr>
                <w:rFonts w:ascii="Arial" w:cs="Arial" w:eastAsia="Arial" w:hAnsi="Arial"/>
                <w:sz w:val="17"/>
                <w:szCs w:val="17"/>
                <w:color w:val="0000FF"/>
                <w:w w:val="94"/>
              </w:rPr>
            </w:pPr>
            <w:hyperlink w:anchor="page38">
              <w:r>
                <w:rPr>
                  <w:rFonts w:ascii="Arial" w:cs="Arial" w:eastAsia="Arial" w:hAnsi="Arial"/>
                  <w:sz w:val="17"/>
                  <w:szCs w:val="17"/>
                  <w:color w:val="0000FF"/>
                  <w:w w:val="94"/>
                </w:rPr>
                <w:t>Quantitative and Qualitative Disclosures About Market Risk</w:t>
              </w:r>
            </w:hyperlink>
          </w:p>
        </w:tc>
        <w:tc>
          <w:tcPr>
            <w:tcW w:w="3480" w:type="dxa"/>
            <w:vAlign w:val="bottom"/>
            <w:gridSpan w:val="6"/>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38">
              <w:r>
                <w:rPr>
                  <w:rFonts w:ascii="Arial" w:cs="Arial" w:eastAsia="Arial" w:hAnsi="Arial"/>
                  <w:sz w:val="17"/>
                  <w:szCs w:val="17"/>
                  <w:color w:val="auto"/>
                </w:rPr>
                <w:t>35</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4.</w:t>
            </w:r>
          </w:p>
        </w:tc>
        <w:tc>
          <w:tcPr>
            <w:tcW w:w="7700" w:type="dxa"/>
            <w:vAlign w:val="bottom"/>
            <w:gridSpan w:val="18"/>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Controls and Procedures</w:t>
              </w:r>
            </w:hyperlink>
          </w:p>
        </w:tc>
        <w:tc>
          <w:tcPr>
            <w:tcW w:w="2100" w:type="dxa"/>
            <w:vAlign w:val="bottom"/>
          </w:tcPr>
          <w:p>
            <w:pPr>
              <w:jc w:val="right"/>
              <w:spacing w:after="0"/>
              <w:rPr>
                <w:rFonts w:ascii="Arial" w:cs="Arial" w:eastAsia="Arial" w:hAnsi="Arial"/>
                <w:sz w:val="17"/>
                <w:szCs w:val="17"/>
                <w:color w:val="auto"/>
              </w:rPr>
            </w:pPr>
            <w:hyperlink w:anchor="page38">
              <w:r>
                <w:rPr>
                  <w:rFonts w:ascii="Arial" w:cs="Arial" w:eastAsia="Arial" w:hAnsi="Arial"/>
                  <w:sz w:val="17"/>
                  <w:szCs w:val="17"/>
                  <w:color w:val="auto"/>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bottom w:val="single" w:sz="8" w:color="0000FF"/>
            </w:tcBorders>
            <w:gridSpan w:val="7"/>
          </w:tcPr>
          <w:p>
            <w:pPr>
              <w:spacing w:after="0"/>
              <w:rPr>
                <w:rFonts w:ascii="Arial" w:cs="Arial" w:eastAsia="Arial" w:hAnsi="Arial"/>
                <w:sz w:val="17"/>
                <w:szCs w:val="17"/>
                <w:b w:val="1"/>
                <w:bCs w:val="1"/>
                <w:color w:val="0000FF"/>
              </w:rPr>
            </w:pPr>
            <w:hyperlink w:anchor="page39">
              <w:r>
                <w:rPr>
                  <w:rFonts w:ascii="Arial" w:cs="Arial" w:eastAsia="Arial" w:hAnsi="Arial"/>
                  <w:sz w:val="17"/>
                  <w:szCs w:val="17"/>
                  <w:b w:val="1"/>
                  <w:bCs w:val="1"/>
                  <w:color w:val="0000FF"/>
                </w:rPr>
                <w:t>PART II. OTHER INFORMATION</w:t>
              </w:r>
            </w:hyperlink>
          </w:p>
        </w:tc>
        <w:tc>
          <w:tcPr>
            <w:tcW w:w="6400" w:type="dxa"/>
            <w:vAlign w:val="bottom"/>
            <w:gridSpan w:val="13"/>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w:t>
            </w:r>
          </w:p>
        </w:tc>
        <w:tc>
          <w:tcPr>
            <w:tcW w:w="7700" w:type="dxa"/>
            <w:vAlign w:val="bottom"/>
            <w:gridSpan w:val="18"/>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Legal Proceedings</w:t>
              </w:r>
            </w:hyperlink>
          </w:p>
        </w:tc>
        <w:tc>
          <w:tcPr>
            <w:tcW w:w="2100" w:type="dxa"/>
            <w:vAlign w:val="bottom"/>
          </w:tcPr>
          <w:p>
            <w:pPr>
              <w:jc w:val="right"/>
              <w:spacing w:after="0"/>
              <w:rPr>
                <w:rFonts w:ascii="Arial" w:cs="Arial" w:eastAsia="Arial" w:hAnsi="Arial"/>
                <w:sz w:val="17"/>
                <w:szCs w:val="17"/>
                <w:color w:val="auto"/>
              </w:rPr>
            </w:pPr>
            <w:hyperlink w:anchor="page40">
              <w:r>
                <w:rPr>
                  <w:rFonts w:ascii="Arial" w:cs="Arial" w:eastAsia="Arial" w:hAnsi="Arial"/>
                  <w:sz w:val="17"/>
                  <w:szCs w:val="17"/>
                  <w:color w:val="auto"/>
                </w:rPr>
                <w:t>37</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1A.</w:t>
            </w:r>
          </w:p>
        </w:tc>
        <w:tc>
          <w:tcPr>
            <w:tcW w:w="1280" w:type="dxa"/>
            <w:vAlign w:val="bottom"/>
            <w:tcBorders>
              <w:top w:val="single" w:sz="8" w:color="0000FF"/>
            </w:tcBorders>
            <w:gridSpan w:val="4"/>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Risk Factors</w:t>
              </w:r>
            </w:hyperlink>
          </w:p>
        </w:tc>
        <w:tc>
          <w:tcPr>
            <w:tcW w:w="6420" w:type="dxa"/>
            <w:vAlign w:val="bottom"/>
            <w:gridSpan w:val="14"/>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40">
              <w:r>
                <w:rPr>
                  <w:rFonts w:ascii="Arial" w:cs="Arial" w:eastAsia="Arial" w:hAnsi="Arial"/>
                  <w:sz w:val="17"/>
                  <w:szCs w:val="17"/>
                  <w:color w:val="auto"/>
                </w:rPr>
                <w:t>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Item 2.</w:t>
            </w: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7700" w:type="dxa"/>
            <w:vAlign w:val="bottom"/>
            <w:gridSpan w:val="18"/>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Unregistered Sales of Equity Securities and Use of Proceeds</w:t>
              </w:r>
            </w:hyperlink>
          </w:p>
        </w:tc>
        <w:tc>
          <w:tcPr>
            <w:tcW w:w="2100" w:type="dxa"/>
            <w:vAlign w:val="bottom"/>
          </w:tcPr>
          <w:p>
            <w:pPr>
              <w:jc w:val="right"/>
              <w:spacing w:after="0"/>
              <w:rPr>
                <w:rFonts w:ascii="Arial" w:cs="Arial" w:eastAsia="Arial" w:hAnsi="Arial"/>
                <w:sz w:val="17"/>
                <w:szCs w:val="17"/>
                <w:color w:val="auto"/>
              </w:rPr>
            </w:pPr>
            <w:hyperlink w:anchor="page40">
              <w:r>
                <w:rPr>
                  <w:rFonts w:ascii="Arial" w:cs="Arial" w:eastAsia="Arial" w:hAnsi="Arial"/>
                  <w:sz w:val="17"/>
                  <w:szCs w:val="17"/>
                  <w:color w:val="auto"/>
                </w:rPr>
                <w:t>37</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6.</w:t>
            </w:r>
          </w:p>
        </w:tc>
        <w:tc>
          <w:tcPr>
            <w:tcW w:w="4200" w:type="dxa"/>
            <w:vAlign w:val="bottom"/>
            <w:tcBorders>
              <w:top w:val="single" w:sz="8" w:color="0000FF"/>
            </w:tcBorders>
            <w:gridSpan w:val="11"/>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Exhibits</w:t>
              </w:r>
            </w:hyperlink>
          </w:p>
        </w:tc>
        <w:tc>
          <w:tcPr>
            <w:tcW w:w="3500" w:type="dxa"/>
            <w:vAlign w:val="bottom"/>
            <w:gridSpan w:val="7"/>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40">
              <w:r>
                <w:rPr>
                  <w:rFonts w:ascii="Arial" w:cs="Arial" w:eastAsia="Arial" w:hAnsi="Arial"/>
                  <w:sz w:val="17"/>
                  <w:szCs w:val="17"/>
                  <w:color w:val="auto"/>
                </w:rPr>
                <w:t>37</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SIGNATURES</w:t>
              </w:r>
            </w:hyperlink>
          </w:p>
        </w:tc>
        <w:tc>
          <w:tcPr>
            <w:tcW w:w="2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00" w:type="dxa"/>
            <w:vAlign w:val="bottom"/>
          </w:tcPr>
          <w:p>
            <w:pPr>
              <w:jc w:val="right"/>
              <w:spacing w:after="0"/>
              <w:rPr>
                <w:rFonts w:ascii="Arial" w:cs="Arial" w:eastAsia="Arial" w:hAnsi="Arial"/>
                <w:sz w:val="17"/>
                <w:szCs w:val="17"/>
                <w:color w:val="auto"/>
              </w:rPr>
            </w:pPr>
            <w:hyperlink w:anchor="page40">
              <w:r>
                <w:rPr>
                  <w:rFonts w:ascii="Arial" w:cs="Arial" w:eastAsia="Arial" w:hAnsi="Arial"/>
                  <w:sz w:val="17"/>
                  <w:szCs w:val="17"/>
                  <w:color w:val="auto"/>
                </w:rPr>
                <w:t>38</w:t>
              </w:r>
            </w:hyperlink>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This Quarterly Report on Form 10-Q is for the three and nine months ended September 30, 2021.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Unless indicated otherwise, throughout this Quarterly Report on Form 10-Q, we refer to Comcast and its consolidated subsidiaries, as “Comcast,” “we,” “us” and “our;” Comcast Cable Communications, LLC and its consolidated subsidiaries as “Comcast Cable;” Comcast Holdings Corporation as “Comcast Holdings;” NBCUniversal Media, LLC and its consolidated subsidiaries as “NBCUniversal;” and Sky Limited and its consolidated subsidiaries as “Sky.”</w:t>
      </w:r>
    </w:p>
    <w:p>
      <w:pPr>
        <w:spacing w:after="0" w:line="1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Numerical information in this report is presented on a rounded basis using actual amounts. Minor differences in totals and percentage calculations may exist due to rounding.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 CONCERNING FORWARD-LOOKING STATEMENTS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“may,” “should,” “could,” “will,” “would,” “will be,” “will continue,” “will likely result” and similar expressions.</w:t>
      </w:r>
    </w:p>
    <w:p>
      <w:pPr>
        <w:spacing w:after="0" w:line="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evaluating forward-looking statements, you should consider various factors, including the risks and uncertainties we describe in the “Risk Factors” sections of our Forms 10-K and 10-Q and other reports we file with the SEC. 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the ability to develop and protect intellectual property rights. Any of these factors could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530225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 w:name="page3"/>
    <w:bookmarkEnd w:id="2"/>
    <w:p>
      <w:pPr>
        <w:jc w:val="both"/>
        <w:spacing w:after="0" w:line="297" w:lineRule="auto"/>
        <w:rPr>
          <w:sz w:val="20"/>
          <w:szCs w:val="20"/>
          <w:color w:val="auto"/>
        </w:rPr>
      </w:pPr>
      <w:r>
        <w:rPr>
          <w:rFonts w:ascii="Arial" w:cs="Arial" w:eastAsia="Arial" w:hAnsi="Arial"/>
          <w:sz w:val="16"/>
          <w:szCs w:val="16"/>
          <w:color w:val="auto"/>
        </w:rPr>
        <w:t>our actual results to differ materially from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Our businesses may be affected by, among other things, the following:</w:t>
      </w:r>
    </w:p>
    <w:p>
      <w:pPr>
        <w:spacing w:after="0" w:line="66" w:lineRule="exact"/>
        <w:rPr>
          <w:sz w:val="20"/>
          <w:szCs w:val="20"/>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has had, and will likely continue to have, a material adverse effect on our businesses and results of operations</w:t>
      </w:r>
    </w:p>
    <w:p>
      <w:pPr>
        <w:spacing w:after="0" w:line="66" w:lineRule="exact"/>
        <w:rPr>
          <w:rFonts w:ascii="Arial" w:cs="Arial" w:eastAsia="Arial" w:hAnsi="Arial"/>
          <w:sz w:val="17"/>
          <w:szCs w:val="17"/>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operate in highly competitive and dynamic industries, and our businesses and results of operations could be adversely affected if we do not compete effectively</w:t>
      </w: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consumer behavior driven by online video distribution platforms for viewing content continue to adversely affect our businesses and challenge existing business models</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decline in advertisers’ expenditures or changes in advertising markets could negatively impact our businesses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programming expenses for our video services are increasing, which could adversely affect Cable Communications’ video businesses</w:t>
      </w:r>
    </w:p>
    <w:p>
      <w:pPr>
        <w:spacing w:after="0" w:line="66" w:lineRule="exact"/>
        <w:rPr>
          <w:rFonts w:ascii="Arial" w:cs="Arial" w:eastAsia="Arial" w:hAnsi="Arial"/>
          <w:sz w:val="17"/>
          <w:szCs w:val="17"/>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ind w:left="640" w:right="96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programming distribution and licensing agreements, or the renewal of these agreements on less favorable terms, could adversely affect our businesses</w:t>
      </w:r>
    </w:p>
    <w:p>
      <w:pPr>
        <w:ind w:left="640" w:right="960" w:hanging="321"/>
        <w:spacing w:after="0" w:line="307"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unable to obtain necessary hardware, software and operational support</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weak economic conditions may have a negative impact on our businesses</w:t>
      </w:r>
    </w:p>
    <w:p>
      <w:pPr>
        <w:spacing w:after="0" w:line="66" w:lineRule="exact"/>
        <w:rPr>
          <w:rFonts w:ascii="Arial" w:cs="Arial" w:eastAsia="Arial" w:hAnsi="Arial"/>
          <w:sz w:val="17"/>
          <w:szCs w:val="17"/>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and other strategic initiatives present many risks, and we may not realize the financial and strategic goals that we had contemplated</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risks relating to doing business internationally that could adversely affect our businesses</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keeping pace with technological developments</w:t>
      </w:r>
    </w:p>
    <w:p>
      <w:pPr>
        <w:spacing w:after="0" w:line="66" w:lineRule="exact"/>
        <w:rPr>
          <w:rFonts w:ascii="Arial" w:cs="Arial" w:eastAsia="Arial" w:hAnsi="Arial"/>
          <w:sz w:val="17"/>
          <w:szCs w:val="17"/>
          <w:color w:val="auto"/>
        </w:rPr>
      </w:pP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on network and information systems and other technologies, as well as key properties, and a disruption, cyber attack, failure or destruction of such networks, systems, technologies or properties may disrupt our businesses</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key management personnel or popular on-air and creative talent could have an adverse effect on our businesses</w:t>
      </w:r>
    </w:p>
    <w:p>
      <w:pPr>
        <w:spacing w:after="0" w:line="66" w:lineRule="exact"/>
        <w:rPr>
          <w:rFonts w:ascii="Arial" w:cs="Arial" w:eastAsia="Arial" w:hAnsi="Arial"/>
          <w:sz w:val="17"/>
          <w:szCs w:val="17"/>
          <w:color w:val="auto"/>
        </w:rPr>
      </w:pPr>
    </w:p>
    <w:p>
      <w:pPr>
        <w:ind w:left="640" w:right="96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ind w:left="640" w:right="9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unfavorable litigation or governmental investigation results could require us to pay significant amounts or lead to onerous operating procedures</w:t>
      </w:r>
    </w:p>
    <w:p>
      <w:pPr>
        <w:ind w:left="620" w:hanging="30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labor disputes, whether involving employees or sports organizations, may disrupt our operations and adversely affect our businesses</w:t>
      </w:r>
    </w:p>
    <w:p>
      <w:pPr>
        <w:spacing w:after="0" w:line="66" w:lineRule="exact"/>
        <w:rPr>
          <w:rFonts w:ascii="Arial" w:cs="Arial" w:eastAsia="Arial" w:hAnsi="Arial"/>
          <w:sz w:val="17"/>
          <w:szCs w:val="17"/>
          <w:color w:val="auto"/>
        </w:rPr>
      </w:pPr>
    </w:p>
    <w:p>
      <w:pPr>
        <w:ind w:left="640" w:right="940" w:hanging="321"/>
        <w:spacing w:after="0" w:line="322"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729615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jc w:val="center"/>
        <w:spacing w:after="0"/>
        <w:rPr>
          <w:sz w:val="20"/>
          <w:szCs w:val="20"/>
          <w:color w:val="auto"/>
        </w:rPr>
      </w:pPr>
      <w:r>
        <w:rPr>
          <w:rFonts w:ascii="Arial" w:cs="Arial" w:eastAsia="Arial" w:hAnsi="Arial"/>
          <w:sz w:val="17"/>
          <w:szCs w:val="17"/>
          <w:b w:val="1"/>
          <w:bCs w:val="1"/>
          <w:color w:val="auto"/>
        </w:rPr>
        <w:t>Condensed Consolidated Statement of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2020</w:t>
            </w: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30,298</w:t>
            </w:r>
          </w:p>
        </w:tc>
        <w:tc>
          <w:tcPr>
            <w:tcW w:w="640" w:type="dxa"/>
            <w:vAlign w:val="bottom"/>
          </w:tcPr>
          <w:p>
            <w:pPr>
              <w:jc w:val="right"/>
              <w:ind w:right="35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25,532</w:t>
            </w:r>
          </w:p>
        </w:tc>
        <w:tc>
          <w:tcPr>
            <w:tcW w:w="4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86,049</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75,856</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34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10,395</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8,565</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28,570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23,683</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Arial" w:cs="Arial" w:eastAsia="Arial" w:hAnsi="Arial"/>
                <w:sz w:val="17"/>
                <w:szCs w:val="17"/>
                <w:color w:val="auto"/>
              </w:rPr>
              <w:t>Other operating and administrative</w:t>
            </w:r>
          </w:p>
        </w:tc>
        <w:tc>
          <w:tcPr>
            <w:tcW w:w="34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8,981</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8,059</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25,799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23,959</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Arial" w:cs="Arial" w:eastAsia="Arial" w:hAnsi="Arial"/>
                <w:sz w:val="17"/>
                <w:szCs w:val="17"/>
                <w:color w:val="auto"/>
              </w:rPr>
              <w:t>Advertising, marketing and promotion</w:t>
            </w:r>
          </w:p>
        </w:tc>
        <w:tc>
          <w:tcPr>
            <w:tcW w:w="34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1,995</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1,512</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5,462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4,791</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2,177</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2,122</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6,407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6,328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1,301</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1,198</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3,815</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3,520</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costs and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24,848</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21,456</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70,053</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62,281</w:t>
            </w: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3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5,450</w:t>
            </w:r>
          </w:p>
        </w:tc>
        <w:tc>
          <w:tcPr>
            <w:tcW w:w="64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4,076</w:t>
            </w:r>
          </w:p>
        </w:tc>
        <w:tc>
          <w:tcPr>
            <w:tcW w:w="46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15,996</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13,575</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(1,050)</w:t>
            </w:r>
          </w:p>
        </w:tc>
        <w:tc>
          <w:tcPr>
            <w:tcW w:w="6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(1,220)</w:t>
            </w:r>
          </w:p>
        </w:tc>
        <w:tc>
          <w:tcPr>
            <w:tcW w:w="4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(3,161)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(3,544)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Investment and other income (loss),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766</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(86)</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2,374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5,166</w:t>
            </w:r>
          </w:p>
        </w:tc>
        <w:tc>
          <w:tcPr>
            <w:tcW w:w="64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2,770</w:t>
            </w:r>
          </w:p>
        </w:tc>
        <w:tc>
          <w:tcPr>
            <w:tcW w:w="46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15,208</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9,649</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(1,235)</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(739)</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(4,354)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(2,385)</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3,931</w:t>
            </w:r>
          </w:p>
        </w:tc>
        <w:tc>
          <w:tcPr>
            <w:tcW w:w="64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2,031</w:t>
            </w:r>
          </w:p>
        </w:tc>
        <w:tc>
          <w:tcPr>
            <w:tcW w:w="46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10,854</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7,264</w:t>
            </w: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line="172" w:lineRule="exact"/>
              <w:rPr>
                <w:sz w:val="20"/>
                <w:szCs w:val="20"/>
                <w:color w:val="auto"/>
              </w:rPr>
            </w:pPr>
            <w:r>
              <w:rPr>
                <w:rFonts w:ascii="Arial" w:cs="Arial" w:eastAsia="Arial" w:hAnsi="Arial"/>
                <w:sz w:val="17"/>
                <w:szCs w:val="17"/>
                <w:color w:val="auto"/>
                <w:w w:val="97"/>
              </w:rPr>
              <w:t>Less: Net income (loss) attributable to noncontrolling interests and</w:t>
            </w:r>
          </w:p>
        </w:tc>
        <w:tc>
          <w:tcPr>
            <w:tcW w:w="340" w:type="dxa"/>
            <w:vAlign w:val="bottom"/>
          </w:tcPr>
          <w:p>
            <w:pPr>
              <w:spacing w:after="0"/>
              <w:rPr>
                <w:sz w:val="14"/>
                <w:szCs w:val="14"/>
                <w:color w:val="auto"/>
              </w:rPr>
            </w:pPr>
          </w:p>
        </w:tc>
        <w:tc>
          <w:tcPr>
            <w:tcW w:w="1180" w:type="dxa"/>
            <w:vAlign w:val="bottom"/>
            <w:vMerge w:val="restart"/>
          </w:tcPr>
          <w:p>
            <w:pPr>
              <w:jc w:val="right"/>
              <w:ind w:right="55"/>
              <w:spacing w:after="0"/>
              <w:rPr>
                <w:sz w:val="20"/>
                <w:szCs w:val="20"/>
                <w:color w:val="auto"/>
              </w:rPr>
            </w:pPr>
            <w:r>
              <w:rPr>
                <w:rFonts w:ascii="Arial" w:cs="Arial" w:eastAsia="Arial" w:hAnsi="Arial"/>
                <w:sz w:val="17"/>
                <w:szCs w:val="17"/>
                <w:color w:val="auto"/>
              </w:rPr>
              <w:t>(104)</w:t>
            </w:r>
          </w:p>
        </w:tc>
        <w:tc>
          <w:tcPr>
            <w:tcW w:w="640" w:type="dxa"/>
            <w:vAlign w:val="bottom"/>
          </w:tcPr>
          <w:p>
            <w:pPr>
              <w:spacing w:after="0"/>
              <w:rPr>
                <w:sz w:val="14"/>
                <w:szCs w:val="14"/>
                <w:color w:val="auto"/>
              </w:rPr>
            </w:pPr>
          </w:p>
        </w:tc>
        <w:tc>
          <w:tcPr>
            <w:tcW w:w="980" w:type="dxa"/>
            <w:vAlign w:val="bottom"/>
            <w:vMerge w:val="restart"/>
          </w:tcPr>
          <w:p>
            <w:pPr>
              <w:jc w:val="right"/>
              <w:ind w:right="74"/>
              <w:spacing w:after="0"/>
              <w:rPr>
                <w:sz w:val="20"/>
                <w:szCs w:val="20"/>
                <w:color w:val="auto"/>
              </w:rPr>
            </w:pPr>
            <w:r>
              <w:rPr>
                <w:rFonts w:ascii="Arial" w:cs="Arial" w:eastAsia="Arial" w:hAnsi="Arial"/>
                <w:sz w:val="17"/>
                <w:szCs w:val="17"/>
                <w:color w:val="auto"/>
              </w:rPr>
              <w:t>12</w:t>
            </w:r>
          </w:p>
        </w:tc>
        <w:tc>
          <w:tcPr>
            <w:tcW w:w="460" w:type="dxa"/>
            <w:vAlign w:val="bottom"/>
          </w:tcPr>
          <w:p>
            <w:pPr>
              <w:spacing w:after="0"/>
              <w:rPr>
                <w:sz w:val="14"/>
                <w:szCs w:val="14"/>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7"/>
                <w:szCs w:val="17"/>
                <w:color w:val="auto"/>
              </w:rPr>
              <w:t>(249)</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redeemable subsidiary preferred stock</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 attributable to Comcast Corporation</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4,035</w:t>
            </w:r>
          </w:p>
        </w:tc>
        <w:tc>
          <w:tcPr>
            <w:tcW w:w="6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2,019</w:t>
            </w:r>
          </w:p>
        </w:tc>
        <w:tc>
          <w:tcPr>
            <w:tcW w:w="4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11,102</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7,154</w:t>
            </w:r>
          </w:p>
        </w:tc>
        <w:tc>
          <w:tcPr>
            <w:tcW w:w="0" w:type="dxa"/>
            <w:vAlign w:val="bottom"/>
          </w:tcPr>
          <w:p>
            <w:pPr>
              <w:spacing w:after="0"/>
              <w:rPr>
                <w:sz w:val="1"/>
                <w:szCs w:val="1"/>
                <w:color w:val="auto"/>
              </w:rPr>
            </w:pPr>
          </w:p>
        </w:tc>
      </w:tr>
      <w:tr>
        <w:trPr>
          <w:trHeight w:val="170"/>
        </w:trPr>
        <w:tc>
          <w:tcPr>
            <w:tcW w:w="4920" w:type="dxa"/>
            <w:vAlign w:val="bottom"/>
          </w:tcPr>
          <w:p>
            <w:pPr>
              <w:ind w:left="20"/>
              <w:spacing w:after="0" w:line="171" w:lineRule="exact"/>
              <w:rPr>
                <w:sz w:val="20"/>
                <w:szCs w:val="20"/>
                <w:color w:val="auto"/>
              </w:rPr>
            </w:pPr>
            <w:r>
              <w:rPr>
                <w:rFonts w:ascii="Arial" w:cs="Arial" w:eastAsia="Arial" w:hAnsi="Arial"/>
                <w:sz w:val="17"/>
                <w:szCs w:val="17"/>
                <w:b w:val="1"/>
                <w:bCs w:val="1"/>
                <w:color w:val="auto"/>
              </w:rPr>
              <w:t>Basic earnings per common share attributable to Comcast</w:t>
            </w:r>
          </w:p>
        </w:tc>
        <w:tc>
          <w:tcPr>
            <w:tcW w:w="340" w:type="dxa"/>
            <w:vAlign w:val="bottom"/>
            <w:vMerge w:val="restart"/>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0.88</w:t>
            </w:r>
          </w:p>
        </w:tc>
        <w:tc>
          <w:tcPr>
            <w:tcW w:w="640" w:type="dxa"/>
            <w:vAlign w:val="bottom"/>
            <w:vMerge w:val="restart"/>
          </w:tcPr>
          <w:p>
            <w:pPr>
              <w:jc w:val="right"/>
              <w:ind w:right="353"/>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rPr>
              <w:t>0.44</w:t>
            </w:r>
          </w:p>
        </w:tc>
        <w:tc>
          <w:tcPr>
            <w:tcW w:w="460" w:type="dxa"/>
            <w:vAlign w:val="bottom"/>
            <w:vMerge w:val="restart"/>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2.42</w:t>
            </w:r>
          </w:p>
        </w:tc>
        <w:tc>
          <w:tcPr>
            <w:tcW w:w="640" w:type="dxa"/>
            <w:vAlign w:val="bottom"/>
            <w:vMerge w:val="restart"/>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1.57</w:t>
            </w:r>
          </w:p>
        </w:tc>
        <w:tc>
          <w:tcPr>
            <w:tcW w:w="0" w:type="dxa"/>
            <w:vAlign w:val="bottom"/>
          </w:tcPr>
          <w:p>
            <w:pPr>
              <w:spacing w:after="0"/>
              <w:rPr>
                <w:sz w:val="1"/>
                <w:szCs w:val="1"/>
                <w:color w:val="auto"/>
              </w:rPr>
            </w:pPr>
          </w:p>
        </w:tc>
      </w:tr>
      <w:tr>
        <w:trPr>
          <w:trHeight w:val="217"/>
        </w:trPr>
        <w:tc>
          <w:tcPr>
            <w:tcW w:w="4920" w:type="dxa"/>
            <w:vAlign w:val="bottom"/>
          </w:tcPr>
          <w:p>
            <w:pPr>
              <w:ind w:left="180"/>
              <w:spacing w:after="0"/>
              <w:rPr>
                <w:sz w:val="20"/>
                <w:szCs w:val="20"/>
                <w:color w:val="auto"/>
              </w:rPr>
            </w:pPr>
            <w:r>
              <w:rPr>
                <w:rFonts w:ascii="Arial" w:cs="Arial" w:eastAsia="Arial" w:hAnsi="Arial"/>
                <w:sz w:val="17"/>
                <w:szCs w:val="17"/>
                <w:b w:val="1"/>
                <w:bCs w:val="1"/>
                <w:color w:val="auto"/>
              </w:rPr>
              <w:t>Corporation shareholders</w:t>
            </w:r>
          </w:p>
        </w:tc>
        <w:tc>
          <w:tcPr>
            <w:tcW w:w="3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Arial" w:cs="Arial" w:eastAsia="Arial" w:hAnsi="Arial"/>
                <w:sz w:val="17"/>
                <w:szCs w:val="17"/>
                <w:b w:val="1"/>
                <w:bCs w:val="1"/>
                <w:color w:val="auto"/>
              </w:rPr>
              <w:t>Diluted earnings per common share attributable to Comcast</w:t>
            </w:r>
          </w:p>
        </w:tc>
        <w:tc>
          <w:tcPr>
            <w:tcW w:w="340" w:type="dxa"/>
            <w:vAlign w:val="bottom"/>
            <w:vMerge w:val="restart"/>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0.86</w:t>
            </w:r>
          </w:p>
        </w:tc>
        <w:tc>
          <w:tcPr>
            <w:tcW w:w="640" w:type="dxa"/>
            <w:vAlign w:val="bottom"/>
            <w:vMerge w:val="restart"/>
          </w:tcPr>
          <w:p>
            <w:pPr>
              <w:jc w:val="right"/>
              <w:ind w:right="353"/>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rPr>
              <w:t>0.44</w:t>
            </w:r>
          </w:p>
        </w:tc>
        <w:tc>
          <w:tcPr>
            <w:tcW w:w="460" w:type="dxa"/>
            <w:vAlign w:val="bottom"/>
            <w:vMerge w:val="restart"/>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2.38</w:t>
            </w:r>
          </w:p>
        </w:tc>
        <w:tc>
          <w:tcPr>
            <w:tcW w:w="640" w:type="dxa"/>
            <w:vAlign w:val="bottom"/>
            <w:vMerge w:val="restart"/>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1.55</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Corporation shareholders</w:t>
            </w:r>
          </w:p>
        </w:tc>
        <w:tc>
          <w:tcPr>
            <w:tcW w:w="3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Comprehensive Income</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2020</w:t>
            </w: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3,931</w:t>
            </w:r>
          </w:p>
        </w:tc>
        <w:tc>
          <w:tcPr>
            <w:tcW w:w="640" w:type="dxa"/>
            <w:vAlign w:val="bottom"/>
          </w:tcPr>
          <w:p>
            <w:pPr>
              <w:jc w:val="right"/>
              <w:ind w:right="35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2,031</w:t>
            </w:r>
          </w:p>
        </w:tc>
        <w:tc>
          <w:tcPr>
            <w:tcW w:w="4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10,854</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7,264</w:t>
            </w: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line="172" w:lineRule="exact"/>
              <w:rPr>
                <w:sz w:val="20"/>
                <w:szCs w:val="20"/>
                <w:color w:val="auto"/>
              </w:rPr>
            </w:pPr>
            <w:r>
              <w:rPr>
                <w:rFonts w:ascii="Arial" w:cs="Arial" w:eastAsia="Arial" w:hAnsi="Arial"/>
                <w:sz w:val="17"/>
                <w:szCs w:val="17"/>
                <w:color w:val="auto"/>
                <w:w w:val="94"/>
              </w:rPr>
              <w:t>Currency translation adjustments, net of deferred taxes of $231, $40,</w:t>
            </w:r>
          </w:p>
        </w:tc>
        <w:tc>
          <w:tcPr>
            <w:tcW w:w="340" w:type="dxa"/>
            <w:vAlign w:val="bottom"/>
          </w:tcPr>
          <w:p>
            <w:pPr>
              <w:spacing w:after="0"/>
              <w:rPr>
                <w:sz w:val="14"/>
                <w:szCs w:val="14"/>
                <w:color w:val="auto"/>
              </w:rPr>
            </w:pPr>
          </w:p>
        </w:tc>
        <w:tc>
          <w:tcPr>
            <w:tcW w:w="1180" w:type="dxa"/>
            <w:vAlign w:val="bottom"/>
            <w:vMerge w:val="restart"/>
          </w:tcPr>
          <w:p>
            <w:pPr>
              <w:jc w:val="right"/>
              <w:ind w:right="57"/>
              <w:spacing w:after="0"/>
              <w:rPr>
                <w:sz w:val="20"/>
                <w:szCs w:val="20"/>
                <w:color w:val="auto"/>
              </w:rPr>
            </w:pPr>
            <w:r>
              <w:rPr>
                <w:rFonts w:ascii="Arial" w:cs="Arial" w:eastAsia="Arial" w:hAnsi="Arial"/>
                <w:sz w:val="17"/>
                <w:szCs w:val="17"/>
                <w:color w:val="auto"/>
              </w:rPr>
              <w:t>(692)</w:t>
            </w:r>
          </w:p>
        </w:tc>
        <w:tc>
          <w:tcPr>
            <w:tcW w:w="640" w:type="dxa"/>
            <w:vAlign w:val="bottom"/>
          </w:tcPr>
          <w:p>
            <w:pPr>
              <w:spacing w:after="0"/>
              <w:rPr>
                <w:sz w:val="14"/>
                <w:szCs w:val="14"/>
                <w:color w:val="auto"/>
              </w:rPr>
            </w:pPr>
          </w:p>
        </w:tc>
        <w:tc>
          <w:tcPr>
            <w:tcW w:w="980" w:type="dxa"/>
            <w:vAlign w:val="bottom"/>
            <w:vMerge w:val="restart"/>
          </w:tcPr>
          <w:p>
            <w:pPr>
              <w:jc w:val="right"/>
              <w:ind w:right="74"/>
              <w:spacing w:after="0"/>
              <w:rPr>
                <w:sz w:val="20"/>
                <w:szCs w:val="20"/>
                <w:color w:val="auto"/>
              </w:rPr>
            </w:pPr>
            <w:r>
              <w:rPr>
                <w:rFonts w:ascii="Arial" w:cs="Arial" w:eastAsia="Arial" w:hAnsi="Arial"/>
                <w:sz w:val="17"/>
                <w:szCs w:val="17"/>
                <w:color w:val="auto"/>
              </w:rPr>
              <w:t>1,642</w:t>
            </w:r>
          </w:p>
        </w:tc>
        <w:tc>
          <w:tcPr>
            <w:tcW w:w="460" w:type="dxa"/>
            <w:vAlign w:val="bottom"/>
          </w:tcPr>
          <w:p>
            <w:pPr>
              <w:spacing w:after="0"/>
              <w:rPr>
                <w:sz w:val="14"/>
                <w:szCs w:val="14"/>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7"/>
                <w:szCs w:val="17"/>
                <w:color w:val="auto"/>
              </w:rPr>
              <w:t>(666)</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22"/>
        </w:trPr>
        <w:tc>
          <w:tcPr>
            <w:tcW w:w="4920" w:type="dxa"/>
            <w:vAlign w:val="bottom"/>
          </w:tcPr>
          <w:p>
            <w:pPr>
              <w:ind w:left="180"/>
              <w:spacing w:after="0"/>
              <w:rPr>
                <w:sz w:val="20"/>
                <w:szCs w:val="20"/>
                <w:color w:val="auto"/>
              </w:rPr>
            </w:pPr>
            <w:r>
              <w:rPr>
                <w:rFonts w:ascii="Arial" w:cs="Arial" w:eastAsia="Arial" w:hAnsi="Arial"/>
                <w:sz w:val="17"/>
                <w:szCs w:val="17"/>
                <w:color w:val="auto"/>
              </w:rPr>
              <w:t>$122 and $24</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Cash flow hedges: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180"/>
              <w:spacing w:after="0" w:line="172" w:lineRule="exact"/>
              <w:rPr>
                <w:sz w:val="20"/>
                <w:szCs w:val="20"/>
                <w:color w:val="auto"/>
              </w:rPr>
            </w:pPr>
            <w:r>
              <w:rPr>
                <w:rFonts w:ascii="Arial" w:cs="Arial" w:eastAsia="Arial" w:hAnsi="Arial"/>
                <w:sz w:val="17"/>
                <w:szCs w:val="17"/>
                <w:color w:val="auto"/>
                <w:w w:val="95"/>
              </w:rPr>
              <w:t>Deferred gains (losses), net of deferred taxes of $1, $6, $(16) and</w:t>
            </w:r>
          </w:p>
        </w:tc>
        <w:tc>
          <w:tcPr>
            <w:tcW w:w="340" w:type="dxa"/>
            <w:vAlign w:val="bottom"/>
          </w:tcPr>
          <w:p>
            <w:pPr>
              <w:spacing w:after="0"/>
              <w:rPr>
                <w:sz w:val="14"/>
                <w:szCs w:val="14"/>
                <w:color w:val="auto"/>
              </w:rPr>
            </w:pPr>
          </w:p>
        </w:tc>
        <w:tc>
          <w:tcPr>
            <w:tcW w:w="1180" w:type="dxa"/>
            <w:vAlign w:val="bottom"/>
            <w:vMerge w:val="restart"/>
          </w:tcPr>
          <w:p>
            <w:pPr>
              <w:jc w:val="right"/>
              <w:ind w:right="97"/>
              <w:spacing w:after="0"/>
              <w:rPr>
                <w:sz w:val="20"/>
                <w:szCs w:val="20"/>
                <w:color w:val="auto"/>
              </w:rPr>
            </w:pPr>
            <w:r>
              <w:rPr>
                <w:rFonts w:ascii="Arial" w:cs="Arial" w:eastAsia="Arial" w:hAnsi="Arial"/>
                <w:sz w:val="17"/>
                <w:szCs w:val="17"/>
                <w:color w:val="auto"/>
              </w:rPr>
              <w:t>46</w:t>
            </w:r>
          </w:p>
        </w:tc>
        <w:tc>
          <w:tcPr>
            <w:tcW w:w="640" w:type="dxa"/>
            <w:vAlign w:val="bottom"/>
          </w:tcPr>
          <w:p>
            <w:pPr>
              <w:spacing w:after="0"/>
              <w:rPr>
                <w:sz w:val="14"/>
                <w:szCs w:val="14"/>
                <w:color w:val="auto"/>
              </w:rPr>
            </w:pPr>
          </w:p>
        </w:tc>
        <w:tc>
          <w:tcPr>
            <w:tcW w:w="980" w:type="dxa"/>
            <w:vAlign w:val="bottom"/>
            <w:vMerge w:val="restart"/>
          </w:tcPr>
          <w:p>
            <w:pPr>
              <w:jc w:val="right"/>
              <w:ind w:right="34"/>
              <w:spacing w:after="0"/>
              <w:rPr>
                <w:sz w:val="20"/>
                <w:szCs w:val="20"/>
                <w:color w:val="auto"/>
              </w:rPr>
            </w:pPr>
            <w:r>
              <w:rPr>
                <w:rFonts w:ascii="Arial" w:cs="Arial" w:eastAsia="Arial" w:hAnsi="Arial"/>
                <w:sz w:val="17"/>
                <w:szCs w:val="17"/>
                <w:color w:val="auto"/>
              </w:rPr>
              <w:t>(99)</w:t>
            </w:r>
          </w:p>
        </w:tc>
        <w:tc>
          <w:tcPr>
            <w:tcW w:w="460" w:type="dxa"/>
            <w:vAlign w:val="bottom"/>
          </w:tcPr>
          <w:p>
            <w:pPr>
              <w:spacing w:after="0"/>
              <w:rPr>
                <w:sz w:val="14"/>
                <w:szCs w:val="14"/>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7"/>
                <w:szCs w:val="17"/>
                <w:color w:val="auto"/>
              </w:rPr>
              <w:t>151</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2"/>
        </w:trPr>
        <w:tc>
          <w:tcPr>
            <w:tcW w:w="4920" w:type="dxa"/>
            <w:vAlign w:val="bottom"/>
          </w:tcPr>
          <w:p>
            <w:pPr>
              <w:ind w:left="340"/>
              <w:spacing w:after="0"/>
              <w:rPr>
                <w:sz w:val="20"/>
                <w:szCs w:val="20"/>
                <w:color w:val="auto"/>
              </w:rPr>
            </w:pPr>
            <w:r>
              <w:rPr>
                <w:rFonts w:ascii="Arial" w:cs="Arial" w:eastAsia="Arial" w:hAnsi="Arial"/>
                <w:sz w:val="17"/>
                <w:szCs w:val="17"/>
                <w:color w:val="auto"/>
              </w:rPr>
              <w:t>$23</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180"/>
              <w:spacing w:after="0" w:line="172" w:lineRule="exact"/>
              <w:rPr>
                <w:sz w:val="20"/>
                <w:szCs w:val="20"/>
                <w:color w:val="auto"/>
              </w:rPr>
            </w:pPr>
            <w:r>
              <w:rPr>
                <w:rFonts w:ascii="Arial" w:cs="Arial" w:eastAsia="Arial" w:hAnsi="Arial"/>
                <w:sz w:val="17"/>
                <w:szCs w:val="17"/>
                <w:color w:val="auto"/>
                <w:w w:val="95"/>
              </w:rPr>
              <w:t>Realized (gains) losses reclassified to net income, net of deferred</w:t>
            </w:r>
          </w:p>
        </w:tc>
        <w:tc>
          <w:tcPr>
            <w:tcW w:w="340" w:type="dxa"/>
            <w:vAlign w:val="bottom"/>
          </w:tcPr>
          <w:p>
            <w:pPr>
              <w:spacing w:after="0"/>
              <w:rPr>
                <w:sz w:val="14"/>
                <w:szCs w:val="14"/>
                <w:color w:val="auto"/>
              </w:rPr>
            </w:pPr>
          </w:p>
        </w:tc>
        <w:tc>
          <w:tcPr>
            <w:tcW w:w="1180" w:type="dxa"/>
            <w:vAlign w:val="bottom"/>
            <w:vMerge w:val="restart"/>
          </w:tcPr>
          <w:p>
            <w:pPr>
              <w:jc w:val="right"/>
              <w:ind w:right="57"/>
              <w:spacing w:after="0"/>
              <w:rPr>
                <w:sz w:val="20"/>
                <w:szCs w:val="20"/>
                <w:color w:val="auto"/>
              </w:rPr>
            </w:pPr>
            <w:r>
              <w:rPr>
                <w:rFonts w:ascii="Arial" w:cs="Arial" w:eastAsia="Arial" w:hAnsi="Arial"/>
                <w:sz w:val="17"/>
                <w:szCs w:val="17"/>
                <w:color w:val="auto"/>
              </w:rPr>
              <w:t>(9)</w:t>
            </w:r>
          </w:p>
        </w:tc>
        <w:tc>
          <w:tcPr>
            <w:tcW w:w="640" w:type="dxa"/>
            <w:vAlign w:val="bottom"/>
          </w:tcPr>
          <w:p>
            <w:pPr>
              <w:spacing w:after="0"/>
              <w:rPr>
                <w:sz w:val="14"/>
                <w:szCs w:val="14"/>
                <w:color w:val="auto"/>
              </w:rPr>
            </w:pPr>
          </w:p>
        </w:tc>
        <w:tc>
          <w:tcPr>
            <w:tcW w:w="980" w:type="dxa"/>
            <w:vAlign w:val="bottom"/>
            <w:vMerge w:val="restart"/>
          </w:tcPr>
          <w:p>
            <w:pPr>
              <w:jc w:val="right"/>
              <w:ind w:right="34"/>
              <w:spacing w:after="0"/>
              <w:rPr>
                <w:sz w:val="20"/>
                <w:szCs w:val="20"/>
                <w:color w:val="auto"/>
              </w:rPr>
            </w:pPr>
            <w:r>
              <w:rPr>
                <w:rFonts w:ascii="Arial" w:cs="Arial" w:eastAsia="Arial" w:hAnsi="Arial"/>
                <w:sz w:val="17"/>
                <w:szCs w:val="17"/>
                <w:color w:val="auto"/>
              </w:rPr>
              <w:t>(8)</w:t>
            </w:r>
          </w:p>
        </w:tc>
        <w:tc>
          <w:tcPr>
            <w:tcW w:w="460" w:type="dxa"/>
            <w:vAlign w:val="bottom"/>
          </w:tcPr>
          <w:p>
            <w:pPr>
              <w:spacing w:after="0"/>
              <w:rPr>
                <w:sz w:val="14"/>
                <w:szCs w:val="14"/>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22"/>
        </w:trPr>
        <w:tc>
          <w:tcPr>
            <w:tcW w:w="4920" w:type="dxa"/>
            <w:vAlign w:val="bottom"/>
          </w:tcPr>
          <w:p>
            <w:pPr>
              <w:ind w:left="340"/>
              <w:spacing w:after="0"/>
              <w:rPr>
                <w:sz w:val="20"/>
                <w:szCs w:val="20"/>
                <w:color w:val="auto"/>
              </w:rPr>
            </w:pPr>
            <w:r>
              <w:rPr>
                <w:rFonts w:ascii="Arial" w:cs="Arial" w:eastAsia="Arial" w:hAnsi="Arial"/>
                <w:sz w:val="17"/>
                <w:szCs w:val="17"/>
                <w:color w:val="auto"/>
              </w:rPr>
              <w:t>taxes of $(7), $8, $(7) and $29</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line="172" w:lineRule="exact"/>
              <w:rPr>
                <w:sz w:val="20"/>
                <w:szCs w:val="20"/>
                <w:color w:val="auto"/>
              </w:rPr>
            </w:pPr>
            <w:r>
              <w:rPr>
                <w:rFonts w:ascii="Arial" w:cs="Arial" w:eastAsia="Arial" w:hAnsi="Arial"/>
                <w:sz w:val="17"/>
                <w:szCs w:val="17"/>
                <w:color w:val="auto"/>
                <w:w w:val="96"/>
              </w:rPr>
              <w:t>Employee benefit obligations and other, net of deferred taxes of $2,</w:t>
            </w:r>
          </w:p>
        </w:tc>
        <w:tc>
          <w:tcPr>
            <w:tcW w:w="340" w:type="dxa"/>
            <w:vAlign w:val="bottom"/>
          </w:tcPr>
          <w:p>
            <w:pPr>
              <w:spacing w:after="0"/>
              <w:rPr>
                <w:sz w:val="14"/>
                <w:szCs w:val="14"/>
                <w:color w:val="auto"/>
              </w:rPr>
            </w:pPr>
          </w:p>
        </w:tc>
        <w:tc>
          <w:tcPr>
            <w:tcW w:w="1180" w:type="dxa"/>
            <w:vAlign w:val="bottom"/>
            <w:vMerge w:val="restart"/>
          </w:tcPr>
          <w:p>
            <w:pPr>
              <w:jc w:val="right"/>
              <w:ind w:right="57"/>
              <w:spacing w:after="0"/>
              <w:rPr>
                <w:sz w:val="20"/>
                <w:szCs w:val="20"/>
                <w:color w:val="auto"/>
              </w:rPr>
            </w:pPr>
            <w:r>
              <w:rPr>
                <w:rFonts w:ascii="Arial" w:cs="Arial" w:eastAsia="Arial" w:hAnsi="Arial"/>
                <w:sz w:val="17"/>
                <w:szCs w:val="17"/>
                <w:color w:val="auto"/>
              </w:rPr>
              <w:t>(8)</w:t>
            </w:r>
          </w:p>
        </w:tc>
        <w:tc>
          <w:tcPr>
            <w:tcW w:w="640" w:type="dxa"/>
            <w:vAlign w:val="bottom"/>
          </w:tcPr>
          <w:p>
            <w:pPr>
              <w:spacing w:after="0"/>
              <w:rPr>
                <w:sz w:val="14"/>
                <w:szCs w:val="14"/>
                <w:color w:val="auto"/>
              </w:rPr>
            </w:pPr>
          </w:p>
        </w:tc>
        <w:tc>
          <w:tcPr>
            <w:tcW w:w="980" w:type="dxa"/>
            <w:vAlign w:val="bottom"/>
            <w:vMerge w:val="restart"/>
          </w:tcPr>
          <w:p>
            <w:pPr>
              <w:jc w:val="right"/>
              <w:ind w:right="34"/>
              <w:spacing w:after="0"/>
              <w:rPr>
                <w:sz w:val="20"/>
                <w:szCs w:val="20"/>
                <w:color w:val="auto"/>
              </w:rPr>
            </w:pPr>
            <w:r>
              <w:rPr>
                <w:rFonts w:ascii="Arial" w:cs="Arial" w:eastAsia="Arial" w:hAnsi="Arial"/>
                <w:sz w:val="17"/>
                <w:szCs w:val="17"/>
                <w:color w:val="auto"/>
              </w:rPr>
              <w:t>(7)</w:t>
            </w:r>
          </w:p>
        </w:tc>
        <w:tc>
          <w:tcPr>
            <w:tcW w:w="460" w:type="dxa"/>
            <w:vAlign w:val="bottom"/>
          </w:tcPr>
          <w:p>
            <w:pPr>
              <w:spacing w:after="0"/>
              <w:rPr>
                <w:sz w:val="14"/>
                <w:szCs w:val="14"/>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7"/>
                <w:szCs w:val="17"/>
                <w:color w:val="auto"/>
              </w:rPr>
              <w:t>(25)</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$2, $7 and $8</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340" w:type="dxa"/>
            <w:vAlign w:val="bottom"/>
          </w:tcPr>
          <w:p>
            <w:pPr>
              <w:spacing w:after="0"/>
              <w:rPr>
                <w:sz w:val="18"/>
                <w:szCs w:val="18"/>
                <w:color w:val="auto"/>
              </w:rPr>
            </w:pP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3,268</w:t>
            </w:r>
          </w:p>
        </w:tc>
        <w:tc>
          <w:tcPr>
            <w:tcW w:w="64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3,559</w:t>
            </w:r>
          </w:p>
        </w:tc>
        <w:tc>
          <w:tcPr>
            <w:tcW w:w="460" w:type="dxa"/>
            <w:vAlign w:val="bottom"/>
          </w:tcPr>
          <w:p>
            <w:pPr>
              <w:spacing w:after="0"/>
              <w:rPr>
                <w:sz w:val="18"/>
                <w:szCs w:val="18"/>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10,309</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6,443</w:t>
            </w: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line="172" w:lineRule="exact"/>
              <w:rPr>
                <w:sz w:val="20"/>
                <w:szCs w:val="20"/>
                <w:color w:val="auto"/>
              </w:rPr>
            </w:pPr>
            <w:r>
              <w:rPr>
                <w:rFonts w:ascii="Arial" w:cs="Arial" w:eastAsia="Arial" w:hAnsi="Arial"/>
                <w:sz w:val="17"/>
                <w:szCs w:val="17"/>
                <w:color w:val="auto"/>
                <w:w w:val="97"/>
              </w:rPr>
              <w:t>Less: Net income (loss) attributable to noncontrolling interests and</w:t>
            </w:r>
          </w:p>
        </w:tc>
        <w:tc>
          <w:tcPr>
            <w:tcW w:w="340" w:type="dxa"/>
            <w:vAlign w:val="bottom"/>
          </w:tcPr>
          <w:p>
            <w:pPr>
              <w:spacing w:after="0"/>
              <w:rPr>
                <w:sz w:val="14"/>
                <w:szCs w:val="14"/>
                <w:color w:val="auto"/>
              </w:rPr>
            </w:pPr>
          </w:p>
        </w:tc>
        <w:tc>
          <w:tcPr>
            <w:tcW w:w="1180" w:type="dxa"/>
            <w:vAlign w:val="bottom"/>
            <w:vMerge w:val="restart"/>
          </w:tcPr>
          <w:p>
            <w:pPr>
              <w:jc w:val="right"/>
              <w:ind w:right="57"/>
              <w:spacing w:after="0"/>
              <w:rPr>
                <w:sz w:val="20"/>
                <w:szCs w:val="20"/>
                <w:color w:val="auto"/>
              </w:rPr>
            </w:pPr>
            <w:r>
              <w:rPr>
                <w:rFonts w:ascii="Arial" w:cs="Arial" w:eastAsia="Arial" w:hAnsi="Arial"/>
                <w:sz w:val="17"/>
                <w:szCs w:val="17"/>
                <w:color w:val="auto"/>
              </w:rPr>
              <w:t>(104)</w:t>
            </w:r>
          </w:p>
        </w:tc>
        <w:tc>
          <w:tcPr>
            <w:tcW w:w="640" w:type="dxa"/>
            <w:vAlign w:val="bottom"/>
          </w:tcPr>
          <w:p>
            <w:pPr>
              <w:spacing w:after="0"/>
              <w:rPr>
                <w:sz w:val="14"/>
                <w:szCs w:val="14"/>
                <w:color w:val="auto"/>
              </w:rPr>
            </w:pPr>
          </w:p>
        </w:tc>
        <w:tc>
          <w:tcPr>
            <w:tcW w:w="980" w:type="dxa"/>
            <w:vAlign w:val="bottom"/>
            <w:vMerge w:val="restart"/>
          </w:tcPr>
          <w:p>
            <w:pPr>
              <w:jc w:val="right"/>
              <w:ind w:right="74"/>
              <w:spacing w:after="0"/>
              <w:rPr>
                <w:sz w:val="20"/>
                <w:szCs w:val="20"/>
                <w:color w:val="auto"/>
              </w:rPr>
            </w:pPr>
            <w:r>
              <w:rPr>
                <w:rFonts w:ascii="Arial" w:cs="Arial" w:eastAsia="Arial" w:hAnsi="Arial"/>
                <w:sz w:val="17"/>
                <w:szCs w:val="17"/>
                <w:color w:val="auto"/>
              </w:rPr>
              <w:t>12</w:t>
            </w:r>
          </w:p>
        </w:tc>
        <w:tc>
          <w:tcPr>
            <w:tcW w:w="460" w:type="dxa"/>
            <w:vAlign w:val="bottom"/>
          </w:tcPr>
          <w:p>
            <w:pPr>
              <w:spacing w:after="0"/>
              <w:rPr>
                <w:sz w:val="14"/>
                <w:szCs w:val="14"/>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7"/>
                <w:szCs w:val="17"/>
                <w:color w:val="auto"/>
              </w:rPr>
              <w:t>(249)</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2"/>
        </w:trPr>
        <w:tc>
          <w:tcPr>
            <w:tcW w:w="4920" w:type="dxa"/>
            <w:vAlign w:val="bottom"/>
          </w:tcPr>
          <w:p>
            <w:pPr>
              <w:ind w:left="180"/>
              <w:spacing w:after="0"/>
              <w:rPr>
                <w:sz w:val="20"/>
                <w:szCs w:val="20"/>
                <w:color w:val="auto"/>
              </w:rPr>
            </w:pPr>
            <w:r>
              <w:rPr>
                <w:rFonts w:ascii="Arial" w:cs="Arial" w:eastAsia="Arial" w:hAnsi="Arial"/>
                <w:sz w:val="17"/>
                <w:szCs w:val="17"/>
                <w:color w:val="auto"/>
              </w:rPr>
              <w:t>redeemable subsidiary preferred stock</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line="172" w:lineRule="exact"/>
              <w:rPr>
                <w:sz w:val="20"/>
                <w:szCs w:val="20"/>
                <w:color w:val="auto"/>
              </w:rPr>
            </w:pPr>
            <w:r>
              <w:rPr>
                <w:rFonts w:ascii="Arial" w:cs="Arial" w:eastAsia="Arial" w:hAnsi="Arial"/>
                <w:sz w:val="17"/>
                <w:szCs w:val="17"/>
                <w:color w:val="auto"/>
              </w:rPr>
              <w:t>Less: Other comprehensive income (loss) attributable to</w:t>
            </w:r>
          </w:p>
        </w:tc>
        <w:tc>
          <w:tcPr>
            <w:tcW w:w="340" w:type="dxa"/>
            <w:vAlign w:val="bottom"/>
          </w:tcPr>
          <w:p>
            <w:pPr>
              <w:spacing w:after="0"/>
              <w:rPr>
                <w:sz w:val="14"/>
                <w:szCs w:val="14"/>
                <w:color w:val="auto"/>
              </w:rPr>
            </w:pPr>
          </w:p>
        </w:tc>
        <w:tc>
          <w:tcPr>
            <w:tcW w:w="1180" w:type="dxa"/>
            <w:vAlign w:val="bottom"/>
            <w:vMerge w:val="restart"/>
          </w:tcPr>
          <w:p>
            <w:pPr>
              <w:jc w:val="right"/>
              <w:ind w:right="97"/>
              <w:spacing w:after="0"/>
              <w:rPr>
                <w:sz w:val="20"/>
                <w:szCs w:val="20"/>
                <w:color w:val="auto"/>
              </w:rPr>
            </w:pPr>
            <w:r>
              <w:rPr>
                <w:rFonts w:ascii="Arial" w:cs="Arial" w:eastAsia="Arial" w:hAnsi="Arial"/>
                <w:sz w:val="17"/>
                <w:szCs w:val="17"/>
                <w:color w:val="auto"/>
              </w:rPr>
              <w:t>2</w:t>
            </w:r>
          </w:p>
        </w:tc>
        <w:tc>
          <w:tcPr>
            <w:tcW w:w="640" w:type="dxa"/>
            <w:vAlign w:val="bottom"/>
          </w:tcPr>
          <w:p>
            <w:pPr>
              <w:spacing w:after="0"/>
              <w:rPr>
                <w:sz w:val="14"/>
                <w:szCs w:val="14"/>
                <w:color w:val="auto"/>
              </w:rPr>
            </w:pPr>
          </w:p>
        </w:tc>
        <w:tc>
          <w:tcPr>
            <w:tcW w:w="980" w:type="dxa"/>
            <w:vAlign w:val="bottom"/>
            <w:vMerge w:val="restart"/>
          </w:tcPr>
          <w:p>
            <w:pPr>
              <w:jc w:val="right"/>
              <w:ind w:right="74"/>
              <w:spacing w:after="0"/>
              <w:rPr>
                <w:sz w:val="20"/>
                <w:szCs w:val="20"/>
                <w:color w:val="auto"/>
              </w:rPr>
            </w:pPr>
            <w:r>
              <w:rPr>
                <w:rFonts w:ascii="Arial" w:cs="Arial" w:eastAsia="Arial" w:hAnsi="Arial"/>
                <w:sz w:val="17"/>
                <w:szCs w:val="17"/>
                <w:color w:val="auto"/>
              </w:rPr>
              <w:t>37</w:t>
            </w:r>
          </w:p>
        </w:tc>
        <w:tc>
          <w:tcPr>
            <w:tcW w:w="460" w:type="dxa"/>
            <w:vAlign w:val="bottom"/>
          </w:tcPr>
          <w:p>
            <w:pPr>
              <w:spacing w:after="0"/>
              <w:rPr>
                <w:sz w:val="14"/>
                <w:szCs w:val="14"/>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7"/>
                <w:szCs w:val="17"/>
                <w:color w:val="auto"/>
              </w:rPr>
              <w:t>11</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Comprehensive income attributable to Comcast Corporation</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3,370</w:t>
            </w:r>
          </w:p>
        </w:tc>
        <w:tc>
          <w:tcPr>
            <w:tcW w:w="6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3,510</w:t>
            </w:r>
          </w:p>
        </w:tc>
        <w:tc>
          <w:tcPr>
            <w:tcW w:w="4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10,546</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6,319</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w w:val="96"/>
              </w:rPr>
              <w:t>2020</w:t>
            </w:r>
          </w:p>
        </w:tc>
      </w:tr>
      <w:tr>
        <w:trPr>
          <w:trHeight w:val="219"/>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10,854</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7,264</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10,222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9,848</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1,019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922</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287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606</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Net (gain) loss on investment activity and other</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(1,953)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514</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2,087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effects of acquisitions and divestitures: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(720)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982</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Film and television costs, net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(541)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163</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667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(545)</w:t>
            </w:r>
          </w:p>
        </w:tc>
      </w:tr>
      <w:tr>
        <w:trPr>
          <w:trHeight w:val="223"/>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operating assets and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(465)</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r>
      <w:tr>
        <w:trPr>
          <w:trHeight w:val="21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21,457</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19,695</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(6,146)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(6,344)</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Cash paid for intangible assets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(2,006)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(1,771)</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(825)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(1,118)</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Acquisitions, net of cash acquired</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(167)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(225)</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500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2,131</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(122)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(545)</w:t>
            </w:r>
          </w:p>
        </w:tc>
      </w:tr>
      <w:tr>
        <w:trPr>
          <w:trHeight w:val="223"/>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359</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r>
      <w:tr>
        <w:trPr>
          <w:trHeight w:val="21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(8,406)</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(7,973)</w:t>
            </w:r>
          </w:p>
        </w:tc>
      </w:tr>
      <w:tr>
        <w:trPr>
          <w:trHeight w:val="216"/>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8180" w:type="dxa"/>
            <w:vAlign w:val="bottom"/>
          </w:tcPr>
          <w:p>
            <w:pPr>
              <w:ind w:left="340"/>
              <w:spacing w:after="0"/>
              <w:rPr>
                <w:sz w:val="20"/>
                <w:szCs w:val="20"/>
                <w:color w:val="auto"/>
              </w:rPr>
            </w:pPr>
            <w:r>
              <w:rPr>
                <w:rFonts w:ascii="Arial" w:cs="Arial" w:eastAsia="Arial" w:hAnsi="Arial"/>
                <w:sz w:val="17"/>
                <w:szCs w:val="17"/>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2,515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18,339</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(9,041)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(16,771)</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Repurchases of common stock under repurchase program and employee plans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(2,617)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(429)</w:t>
            </w:r>
          </w:p>
        </w:tc>
      </w:tr>
      <w:tr>
        <w:trPr>
          <w:trHeight w:val="223"/>
        </w:trPr>
        <w:tc>
          <w:tcPr>
            <w:tcW w:w="8180" w:type="dxa"/>
            <w:vAlign w:val="bottom"/>
          </w:tcPr>
          <w:p>
            <w:pPr>
              <w:ind w:left="340"/>
              <w:spacing w:after="0"/>
              <w:rPr>
                <w:sz w:val="20"/>
                <w:szCs w:val="20"/>
                <w:color w:val="auto"/>
              </w:rPr>
            </w:pPr>
            <w:r>
              <w:rPr>
                <w:rFonts w:ascii="Arial" w:cs="Arial" w:eastAsia="Arial" w:hAnsi="Arial"/>
                <w:sz w:val="17"/>
                <w:szCs w:val="17"/>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(3,387)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(3,086)</w:t>
            </w:r>
          </w:p>
        </w:tc>
      </w:tr>
      <w:tr>
        <w:trPr>
          <w:trHeight w:val="223"/>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(416)</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w:t>
            </w:r>
          </w:p>
        </w:tc>
      </w:tr>
      <w:tr>
        <w:trPr>
          <w:trHeight w:val="21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(12,946)</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(3,591)</w:t>
            </w:r>
          </w:p>
        </w:tc>
      </w:tr>
      <w:tr>
        <w:trPr>
          <w:trHeight w:val="215"/>
        </w:trPr>
        <w:tc>
          <w:tcPr>
            <w:tcW w:w="8180" w:type="dxa"/>
            <w:vAlign w:val="bottom"/>
          </w:tcPr>
          <w:p>
            <w:pPr>
              <w:ind w:left="20"/>
              <w:spacing w:after="0"/>
              <w:rPr>
                <w:sz w:val="20"/>
                <w:szCs w:val="20"/>
                <w:color w:val="auto"/>
              </w:rPr>
            </w:pPr>
            <w:r>
              <w:rPr>
                <w:rFonts w:ascii="Arial" w:cs="Arial" w:eastAsia="Arial" w:hAnsi="Arial"/>
                <w:sz w:val="17"/>
                <w:szCs w:val="17"/>
                <w:color w:val="auto"/>
              </w:rPr>
              <w:t>Impact of foreign currency on cash, cash equivalents and restricted cash</w:t>
            </w:r>
          </w:p>
        </w:tc>
        <w:tc>
          <w:tcPr>
            <w:tcW w:w="3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(15)</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7"/>
                <w:szCs w:val="17"/>
                <w:color w:val="auto"/>
              </w:rPr>
              <w:t>90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8,148</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11,768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5,589</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11,858</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13,737</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share data)</w:t>
            </w:r>
          </w:p>
        </w:tc>
        <w:tc>
          <w:tcPr>
            <w:tcW w:w="360" w:type="dxa"/>
            <w:vAlign w:val="bottom"/>
          </w:tcPr>
          <w:p>
            <w:pPr>
              <w:spacing w:after="0"/>
              <w:rPr>
                <w:sz w:val="14"/>
                <w:szCs w:val="14"/>
                <w:color w:val="auto"/>
              </w:rPr>
            </w:pPr>
          </w:p>
        </w:tc>
        <w:tc>
          <w:tcPr>
            <w:tcW w:w="1320" w:type="dxa"/>
            <w:vAlign w:val="bottom"/>
          </w:tcPr>
          <w:p>
            <w:pPr>
              <w:jc w:val="right"/>
              <w:ind w:right="314"/>
              <w:spacing w:after="0"/>
              <w:rPr>
                <w:sz w:val="20"/>
                <w:szCs w:val="20"/>
                <w:color w:val="auto"/>
              </w:rPr>
            </w:pPr>
            <w:r>
              <w:rPr>
                <w:rFonts w:ascii="Arial" w:cs="Arial" w:eastAsia="Arial" w:hAnsi="Arial"/>
                <w:sz w:val="14"/>
                <w:szCs w:val="14"/>
                <w:color w:val="auto"/>
                <w:w w:val="97"/>
              </w:rPr>
              <w:t>September 30,</w:t>
            </w:r>
          </w:p>
        </w:tc>
        <w:tc>
          <w:tcPr>
            <w:tcW w:w="32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80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3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11,806</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11,740</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Receivables, net</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11,974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11,466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current assets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3,646</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3,535</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3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27,427</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26,741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Film and television costs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12,645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13,340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9,163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7,820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Investment securing collateralized obligation</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563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 of $55,484 and $54,388</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52,809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51,995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69,626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70,669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Franchise rights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59,365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59,365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Other intangible assets, net of accumulated amortization of $22,902 and $19,825</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33,393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35,389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noncurrent assets, net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12,070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8,103</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277,061</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273,869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Accounts payable and accrued expenses related to trade creditors</w:t>
            </w:r>
          </w:p>
        </w:tc>
        <w:tc>
          <w:tcPr>
            <w:tcW w:w="3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12,020</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11,364</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Accrued participations and residuals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1,683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1,706</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Deferred revenue</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3,091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2,963</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9,250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9,617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Current portion of long-term debt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695</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3,146</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26,738</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28,796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Long-term debt, less current portion</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96,522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100,614</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Collateralized obligation</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5,169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5,168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30,050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28,051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20,756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18,222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Redeemable noncontrolling interests and redeemable subsidiary preferred stock</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520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1,280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7"/>
                <w:szCs w:val="17"/>
                <w:color w:val="auto"/>
              </w:rPr>
              <w:t>Equity:</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Preferred stock—authorized, 20,000,000 shares; issued, zero</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8020" w:type="dxa"/>
            <w:vAlign w:val="bottom"/>
          </w:tcPr>
          <w:p>
            <w:pPr>
              <w:ind w:left="340"/>
              <w:spacing w:after="0" w:line="172" w:lineRule="exact"/>
              <w:rPr>
                <w:sz w:val="20"/>
                <w:szCs w:val="20"/>
                <w:color w:val="auto"/>
              </w:rPr>
            </w:pPr>
            <w:r>
              <w:rPr>
                <w:rFonts w:ascii="Arial" w:cs="Arial" w:eastAsia="Arial" w:hAnsi="Arial"/>
                <w:sz w:val="17"/>
                <w:szCs w:val="17"/>
                <w:color w:val="auto"/>
                <w:w w:val="98"/>
              </w:rPr>
              <w:t>Class A common stock, $0.01 par value—authorized, 7,500,000,000 shares; issued, 5,432,269,698 and</w:t>
            </w:r>
          </w:p>
        </w:tc>
        <w:tc>
          <w:tcPr>
            <w:tcW w:w="360" w:type="dxa"/>
            <w:vAlign w:val="bottom"/>
          </w:tcPr>
          <w:p>
            <w:pPr>
              <w:spacing w:after="0"/>
              <w:rPr>
                <w:sz w:val="14"/>
                <w:szCs w:val="14"/>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7"/>
                <w:szCs w:val="17"/>
                <w:color w:val="auto"/>
              </w:rPr>
              <w:t>54</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2"/>
        </w:trPr>
        <w:tc>
          <w:tcPr>
            <w:tcW w:w="8020" w:type="dxa"/>
            <w:vAlign w:val="bottom"/>
          </w:tcPr>
          <w:p>
            <w:pPr>
              <w:ind w:left="500"/>
              <w:spacing w:after="0"/>
              <w:rPr>
                <w:sz w:val="20"/>
                <w:szCs w:val="20"/>
                <w:color w:val="auto"/>
              </w:rPr>
            </w:pPr>
            <w:r>
              <w:rPr>
                <w:rFonts w:ascii="Arial" w:cs="Arial" w:eastAsia="Arial" w:hAnsi="Arial"/>
                <w:sz w:val="17"/>
                <w:szCs w:val="17"/>
                <w:color w:val="auto"/>
              </w:rPr>
              <w:t>5,444,002,825; outstanding, 4,559,478,670 and 4,571,211,797</w:t>
            </w:r>
          </w:p>
        </w:tc>
        <w:tc>
          <w:tcPr>
            <w:tcW w:w="3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w w:val="93"/>
              </w:rPr>
              <w:t>Class B common stock, $0.01 par value—authorized, 75,000,000 shares; issued and outstanding, 9,444,375</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40,134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39,464</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Retained earnings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61,783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56,438</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7"/>
                <w:szCs w:val="17"/>
                <w:color w:val="auto"/>
              </w:rPr>
              <w:t>Treasury stock, 872,791,028 Class A common shares</w:t>
            </w:r>
          </w:p>
        </w:tc>
        <w:tc>
          <w:tcPr>
            <w:tcW w:w="36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(7,517)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Accumulated other comprehensive income (loss)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1,328</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1,884</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7"/>
                <w:szCs w:val="17"/>
                <w:color w:val="auto"/>
              </w:rPr>
              <w:t>Total Comcast Corporation shareholders’ equity</w:t>
            </w:r>
          </w:p>
        </w:tc>
        <w:tc>
          <w:tcPr>
            <w:tcW w:w="3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95,782</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90,323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Noncontrolling interests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1,524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equity</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97,306</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91,738</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liabilities and equity</w:t>
            </w: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277,061</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273,869</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Changes in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853"/>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w w:val="83"/>
              </w:rPr>
              <w:t>2020</w:t>
            </w:r>
          </w:p>
        </w:tc>
        <w:tc>
          <w:tcPr>
            <w:tcW w:w="0" w:type="dxa"/>
            <w:vAlign w:val="bottom"/>
          </w:tcPr>
          <w:p>
            <w:pPr>
              <w:spacing w:after="0"/>
              <w:rPr>
                <w:sz w:val="1"/>
                <w:szCs w:val="1"/>
                <w:color w:val="auto"/>
              </w:rPr>
            </w:pPr>
          </w:p>
        </w:tc>
      </w:tr>
      <w:tr>
        <w:trPr>
          <w:trHeight w:val="166"/>
        </w:trPr>
        <w:tc>
          <w:tcPr>
            <w:tcW w:w="5320" w:type="dxa"/>
            <w:vAlign w:val="bottom"/>
          </w:tcPr>
          <w:p>
            <w:pPr>
              <w:ind w:left="20"/>
              <w:spacing w:after="0" w:line="166" w:lineRule="exact"/>
              <w:rPr>
                <w:sz w:val="20"/>
                <w:szCs w:val="20"/>
                <w:color w:val="auto"/>
              </w:rPr>
            </w:pPr>
            <w:r>
              <w:rPr>
                <w:rFonts w:ascii="Arial" w:cs="Arial" w:eastAsia="Arial" w:hAnsi="Arial"/>
                <w:sz w:val="17"/>
                <w:szCs w:val="17"/>
                <w:b w:val="1"/>
                <w:bCs w:val="1"/>
                <w:color w:val="auto"/>
                <w:w w:val="99"/>
              </w:rPr>
              <w:t>Redeemable Noncontrolling Interests and Redeemable Subsidiary</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180"/>
              <w:spacing w:after="0"/>
              <w:rPr>
                <w:sz w:val="20"/>
                <w:szCs w:val="20"/>
                <w:color w:val="auto"/>
              </w:rPr>
            </w:pPr>
            <w:r>
              <w:rPr>
                <w:rFonts w:ascii="Arial" w:cs="Arial" w:eastAsia="Arial" w:hAnsi="Arial"/>
                <w:sz w:val="17"/>
                <w:szCs w:val="17"/>
                <w:b w:val="1"/>
                <w:bCs w:val="1"/>
                <w:color w:val="auto"/>
              </w:rPr>
              <w:t>Preferred Stock</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530</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1,256</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1,280</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1,372</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Redemption of subsidiary preferred stock</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(725)</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(9)</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(9)</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16</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2"/>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520</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1,254</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520</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1,254</w:t>
            </w:r>
          </w:p>
        </w:tc>
        <w:tc>
          <w:tcPr>
            <w:tcW w:w="0" w:type="dxa"/>
            <w:vAlign w:val="bottom"/>
          </w:tcPr>
          <w:p>
            <w:pPr>
              <w:spacing w:after="0"/>
              <w:rPr>
                <w:sz w:val="1"/>
                <w:szCs w:val="1"/>
                <w:color w:val="auto"/>
              </w:rPr>
            </w:pPr>
          </w:p>
        </w:tc>
      </w:tr>
      <w:tr>
        <w:trPr>
          <w:trHeight w:val="262"/>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Class A Common Stock</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55</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54</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54</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Issuances of common stock under employee plans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54</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w:t>
            </w:r>
          </w:p>
        </w:tc>
        <w:tc>
          <w:tcPr>
            <w:tcW w:w="0" w:type="dxa"/>
            <w:vAlign w:val="bottom"/>
          </w:tcPr>
          <w:p>
            <w:pPr>
              <w:spacing w:after="0"/>
              <w:rPr>
                <w:sz w:val="1"/>
                <w:szCs w:val="1"/>
                <w:color w:val="auto"/>
              </w:rPr>
            </w:pPr>
          </w:p>
        </w:tc>
      </w:tr>
      <w:tr>
        <w:trPr>
          <w:trHeight w:val="255"/>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Additional Paid-In Capital</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40,046</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38,936</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39,464</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38,447</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Stock compensation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233</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240</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802</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713</w:t>
            </w:r>
          </w:p>
        </w:tc>
        <w:tc>
          <w:tcPr>
            <w:tcW w:w="0" w:type="dxa"/>
            <w:vAlign w:val="bottom"/>
          </w:tcPr>
          <w:p>
            <w:pPr>
              <w:spacing w:after="0"/>
              <w:rPr>
                <w:sz w:val="1"/>
                <w:szCs w:val="1"/>
                <w:color w:val="auto"/>
              </w:rPr>
            </w:pPr>
          </w:p>
        </w:tc>
      </w:tr>
      <w:tr>
        <w:trPr>
          <w:trHeight w:val="171"/>
        </w:trPr>
        <w:tc>
          <w:tcPr>
            <w:tcW w:w="5320" w:type="dxa"/>
            <w:vAlign w:val="bottom"/>
          </w:tcPr>
          <w:p>
            <w:pPr>
              <w:ind w:left="220"/>
              <w:spacing w:after="0" w:line="172" w:lineRule="exact"/>
              <w:rPr>
                <w:sz w:val="20"/>
                <w:szCs w:val="20"/>
                <w:color w:val="auto"/>
              </w:rPr>
            </w:pPr>
            <w:r>
              <w:rPr>
                <w:rFonts w:ascii="Arial" w:cs="Arial" w:eastAsia="Arial" w:hAnsi="Arial"/>
                <w:sz w:val="17"/>
                <w:szCs w:val="17"/>
                <w:color w:val="auto"/>
                <w:w w:val="92"/>
              </w:rPr>
              <w:t>Repurchases of common stock under repurchase program and employee</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(209)</w:t>
            </w:r>
          </w:p>
        </w:tc>
        <w:tc>
          <w:tcPr>
            <w:tcW w:w="500" w:type="dxa"/>
            <w:vAlign w:val="bottom"/>
          </w:tcPr>
          <w:p>
            <w:pPr>
              <w:spacing w:after="0"/>
              <w:rPr>
                <w:sz w:val="14"/>
                <w:szCs w:val="14"/>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7"/>
                <w:szCs w:val="17"/>
                <w:color w:val="auto"/>
              </w:rPr>
              <w:t>(61)</w:t>
            </w:r>
          </w:p>
        </w:tc>
        <w:tc>
          <w:tcPr>
            <w:tcW w:w="4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(340)</w:t>
            </w:r>
          </w:p>
        </w:tc>
        <w:tc>
          <w:tcPr>
            <w:tcW w:w="5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22"/>
        </w:trPr>
        <w:tc>
          <w:tcPr>
            <w:tcW w:w="5320" w:type="dxa"/>
            <w:vAlign w:val="bottom"/>
          </w:tcPr>
          <w:p>
            <w:pPr>
              <w:ind w:left="380"/>
              <w:spacing w:after="0"/>
              <w:rPr>
                <w:sz w:val="20"/>
                <w:szCs w:val="20"/>
                <w:color w:val="auto"/>
              </w:rPr>
            </w:pPr>
            <w:r>
              <w:rPr>
                <w:rFonts w:ascii="Arial" w:cs="Arial" w:eastAsia="Arial" w:hAnsi="Arial"/>
                <w:sz w:val="17"/>
                <w:szCs w:val="17"/>
                <w:color w:val="auto"/>
              </w:rPr>
              <w:t>plans</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Employee stock purchase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60</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201</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(2)</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40,134</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39,173</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40,134</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39,173</w:t>
            </w:r>
          </w:p>
        </w:tc>
        <w:tc>
          <w:tcPr>
            <w:tcW w:w="0" w:type="dxa"/>
            <w:vAlign w:val="bottom"/>
          </w:tcPr>
          <w:p>
            <w:pPr>
              <w:spacing w:after="0"/>
              <w:rPr>
                <w:sz w:val="1"/>
                <w:szCs w:val="1"/>
                <w:color w:val="auto"/>
              </w:rPr>
            </w:pPr>
          </w:p>
        </w:tc>
      </w:tr>
      <w:tr>
        <w:trPr>
          <w:trHeight w:val="255"/>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Retained Earnings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60,359</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53,420</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56,438</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50,695</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Cumulative effects of adoption of accounting standards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71"/>
        </w:trPr>
        <w:tc>
          <w:tcPr>
            <w:tcW w:w="5320" w:type="dxa"/>
            <w:vAlign w:val="bottom"/>
          </w:tcPr>
          <w:p>
            <w:pPr>
              <w:ind w:left="220"/>
              <w:spacing w:after="0" w:line="172" w:lineRule="exact"/>
              <w:rPr>
                <w:sz w:val="20"/>
                <w:szCs w:val="20"/>
                <w:color w:val="auto"/>
              </w:rPr>
            </w:pPr>
            <w:r>
              <w:rPr>
                <w:rFonts w:ascii="Arial" w:cs="Arial" w:eastAsia="Arial" w:hAnsi="Arial"/>
                <w:sz w:val="17"/>
                <w:szCs w:val="17"/>
                <w:color w:val="auto"/>
                <w:w w:val="92"/>
              </w:rPr>
              <w:t>Repurchases of common stock under repurchase program and employee</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(1,458)</w:t>
            </w:r>
          </w:p>
        </w:tc>
        <w:tc>
          <w:tcPr>
            <w:tcW w:w="500" w:type="dxa"/>
            <w:vAlign w:val="bottom"/>
          </w:tcPr>
          <w:p>
            <w:pPr>
              <w:spacing w:after="0"/>
              <w:rPr>
                <w:sz w:val="14"/>
                <w:szCs w:val="14"/>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7"/>
                <w:szCs w:val="17"/>
                <w:color w:val="auto"/>
              </w:rPr>
              <w:t>(113)</w:t>
            </w:r>
          </w:p>
        </w:tc>
        <w:tc>
          <w:tcPr>
            <w:tcW w:w="4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(2,290)</w:t>
            </w:r>
          </w:p>
        </w:tc>
        <w:tc>
          <w:tcPr>
            <w:tcW w:w="5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22"/>
        </w:trPr>
        <w:tc>
          <w:tcPr>
            <w:tcW w:w="5320" w:type="dxa"/>
            <w:vAlign w:val="bottom"/>
          </w:tcPr>
          <w:p>
            <w:pPr>
              <w:ind w:left="380"/>
              <w:spacing w:after="0"/>
              <w:rPr>
                <w:sz w:val="20"/>
                <w:szCs w:val="20"/>
                <w:color w:val="auto"/>
              </w:rPr>
            </w:pPr>
            <w:r>
              <w:rPr>
                <w:rFonts w:ascii="Arial" w:cs="Arial" w:eastAsia="Arial" w:hAnsi="Arial"/>
                <w:sz w:val="17"/>
                <w:szCs w:val="17"/>
                <w:color w:val="auto"/>
              </w:rPr>
              <w:t>plans</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(1,153)</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(1,062)</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(3,470)</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(3,187)</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(10)</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4,035</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2,019</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11,102</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7,154</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61,783</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54,254</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61,783</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54,254</w:t>
            </w:r>
          </w:p>
        </w:tc>
        <w:tc>
          <w:tcPr>
            <w:tcW w:w="0" w:type="dxa"/>
            <w:vAlign w:val="bottom"/>
          </w:tcPr>
          <w:p>
            <w:pPr>
              <w:spacing w:after="0"/>
              <w:rPr>
                <w:sz w:val="1"/>
                <w:szCs w:val="1"/>
                <w:color w:val="auto"/>
              </w:rPr>
            </w:pPr>
          </w:p>
        </w:tc>
      </w:tr>
      <w:tr>
        <w:trPr>
          <w:trHeight w:val="255"/>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(7,517)</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(7,517)</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(7,517)</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(7,517)</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(7,517)</w:t>
            </w:r>
          </w:p>
        </w:tc>
        <w:tc>
          <w:tcPr>
            <w:tcW w:w="0" w:type="dxa"/>
            <w:vAlign w:val="bottom"/>
          </w:tcPr>
          <w:p>
            <w:pPr>
              <w:spacing w:after="0"/>
              <w:rPr>
                <w:sz w:val="1"/>
                <w:szCs w:val="1"/>
                <w:color w:val="auto"/>
              </w:rPr>
            </w:pPr>
          </w:p>
        </w:tc>
      </w:tr>
      <w:tr>
        <w:trPr>
          <w:trHeight w:val="255"/>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Accumulated Other Comprehensive Income (Loss)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1,992</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(1,279)</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1,884</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1,047</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1,491</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1,328</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212</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1,328</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212</w:t>
            </w:r>
          </w:p>
        </w:tc>
        <w:tc>
          <w:tcPr>
            <w:tcW w:w="0" w:type="dxa"/>
            <w:vAlign w:val="bottom"/>
          </w:tcPr>
          <w:p>
            <w:pPr>
              <w:spacing w:after="0"/>
              <w:rPr>
                <w:sz w:val="1"/>
                <w:szCs w:val="1"/>
                <w:color w:val="auto"/>
              </w:rPr>
            </w:pPr>
          </w:p>
        </w:tc>
      </w:tr>
      <w:tr>
        <w:trPr>
          <w:trHeight w:val="255"/>
        </w:trPr>
        <w:tc>
          <w:tcPr>
            <w:tcW w:w="5320" w:type="dxa"/>
            <w:vAlign w:val="bottom"/>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1,581</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1,177</w:t>
            </w:r>
          </w:p>
        </w:tc>
        <w:tc>
          <w:tcPr>
            <w:tcW w:w="4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1,415</w:t>
            </w:r>
          </w:p>
        </w:tc>
        <w:tc>
          <w:tcPr>
            <w:tcW w:w="560" w:type="dxa"/>
            <w:vAlign w:val="bottom"/>
          </w:tcPr>
          <w:p>
            <w:pPr>
              <w:jc w:val="right"/>
              <w:ind w:right="3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38</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7"/>
                <w:szCs w:val="17"/>
                <w:color w:val="auto"/>
              </w:rPr>
              <w:t>185</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379</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7"/>
                <w:szCs w:val="17"/>
                <w:color w:val="auto"/>
              </w:rPr>
              <w:t>(1)</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(4)</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1,524</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1,395</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1,524</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1,395</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equity</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97,306</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87,571</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97,306</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87,571</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dividends declared per common share</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0.25</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0.23</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0.75</w:t>
            </w: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0.69</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71" w:lineRule="exact"/>
        <w:rPr>
          <w:sz w:val="20"/>
          <w:szCs w:val="20"/>
          <w:color w:val="auto"/>
        </w:rPr>
      </w:pPr>
    </w:p>
    <w:p>
      <w:pPr>
        <w:ind w:right="4420"/>
        <w:spacing w:after="0" w:line="283" w:lineRule="auto"/>
        <w:rPr>
          <w:sz w:val="20"/>
          <w:szCs w:val="20"/>
          <w:color w:val="auto"/>
        </w:rPr>
      </w:pPr>
      <w:r>
        <w:rPr>
          <w:rFonts w:ascii="Arial" w:cs="Arial" w:eastAsia="Arial" w:hAnsi="Arial"/>
          <w:sz w:val="21"/>
          <w:szCs w:val="21"/>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2020 Annual Report on Form 10-K and the notes within this Form 10-Q.</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Reclassifications have been made to our notes to condensed consolidated financial statements for the prior year period to conform to classifications used in 2021. See Note 2 for a discussion of the changes in our presentation of segment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 Segment Information</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the first quarter of 2021, we changed our presentation of segment operating results. We now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 The changes reflect a reorganized operating structure in NBCUniversal’s television and streaming businesses and primarily include: (i) the combination of NBCUniversal’s television networks (previously reported in Cable Networks and Broadcast Television) with the operations of Peacock (previously reported in Corporate and Other) in the Media segment, and (ii) the presentation of NBCUniversal’s television studio production operations (previously reported in Cable Networks and Broadcast Television) with the studio operations of Filmed Entertainment in the Studios segment. Prior periods have been adjusted to reflect this presentation.</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Cable Communications is a leading provider of broadband, video, voice, wireless, and security and automation services to residential customers under the Xfinity brand; we also provide these and other services to business customers and sell advertising. Revenue is generated primarily from residential and business customers that subscribe to our services, which are marketed individually and as bundled services, and from the sale of advertising.</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Media consists primarily of NBCUniversal’s television and streaming platforms, including national, regional and international cable networks; the NBC and Telemundo broadcast networks; NBC and Telemundo owned local broadcast television stations; Peacock, our direct-to-consumer streaming service; and various digital properties. Revenue is generated primarily from the sale of advertising on our television networks, Peacock and digital properties; and the fees received from the distribution of our television network programming to traditional and virtual multichannel video providers and from NBC-affiliated and Telemundo-affiliated local broadcast television stations. Media also generates other revenue from content licensing and various digital properties.</w:t>
      </w:r>
    </w:p>
    <w:p>
      <w:pPr>
        <w:spacing w:after="0" w:line="6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Studios consists primarily of NBCUniversal’s film and television studio production and distribution operations. Revenue is generated primarily from the licensing of our owned film and television content to broadcast, cable and premium networks, and to direct-to-consumer streaming service providers, as well as through video on demand and pay-per-view services provided by multichannel video providers and over-the-top service providers; from the worldwide distribution of our produced and acquired films for exhibition in movie theaters; and from the sale of owned content on DVDs, Blu-ray discs and through digital distribution services.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Theme Parks consists primarily of our Universal theme parks in Orlando, Florida; Hollywood, California; Osaka, Japan; and Beijing, China. We are developing an additional theme park in Orlando, Florida. Revenue is generated primarily from guest spending at our Universal theme parks.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4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Sky is one of Europe’s leading entertainment companies, which primarily includes a direct-to-consumer business, providing video, broadband, voice and wireless phone services, and a content business, operating entertainment networks, the Sky News broadcast network and Sky Sports networks. Revenue is generated primarily from residential and business customers that subscribe to our services; from the distribution of Sky’s owned television networks on third-party platforms and the licensing of owned and acquired programming to third-party video providers; and from the sale of advertising.</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other business interests consist primarily of the operations of Comcast Spectacor, which owns the Philadelphia Flyers and the Wells Fargo Center arena in Philadelphia, Pennsylvania, and other business initiatives.</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reportable segment is presented in the tables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color w:val="auto"/>
              </w:rPr>
              <w:t>Three Months Ended September 30, 2021</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4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1020" w:type="dxa"/>
            <w:vAlign w:val="bottom"/>
            <w:vMerge w:val="restart"/>
          </w:tcPr>
          <w:p>
            <w:pPr>
              <w:jc w:val="right"/>
              <w:ind w:right="234"/>
              <w:spacing w:after="0"/>
              <w:rPr>
                <w:sz w:val="20"/>
                <w:szCs w:val="20"/>
                <w:color w:val="auto"/>
              </w:rPr>
            </w:pPr>
            <w:r>
              <w:rPr>
                <w:rFonts w:ascii="Arial" w:cs="Arial" w:eastAsia="Arial" w:hAnsi="Arial"/>
                <w:sz w:val="14"/>
                <w:szCs w:val="14"/>
                <w:color w:val="auto"/>
                <w:w w:val="96"/>
              </w:rPr>
              <w:t>Revenue</w:t>
            </w:r>
            <w:r>
              <w:rPr>
                <w:rFonts w:ascii="Arial" w:cs="Arial" w:eastAsia="Arial" w:hAnsi="Arial"/>
                <w:sz w:val="18"/>
                <w:szCs w:val="18"/>
                <w:color w:val="auto"/>
                <w:w w:val="96"/>
                <w:vertAlign w:val="superscript"/>
              </w:rPr>
              <w:t>(a)</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w w:val="97"/>
              </w:rPr>
              <w:t>Adjusted EBITDA</w:t>
            </w:r>
            <w:r>
              <w:rPr>
                <w:rFonts w:ascii="Arial" w:cs="Arial" w:eastAsia="Arial" w:hAnsi="Arial"/>
                <w:sz w:val="18"/>
                <w:szCs w:val="18"/>
                <w:color w:val="auto"/>
                <w:w w:val="97"/>
                <w:vertAlign w:val="superscript"/>
              </w:rPr>
              <w:t>(b)</w:t>
            </w:r>
          </w:p>
        </w:tc>
        <w:tc>
          <w:tcPr>
            <w:tcW w:w="140" w:type="dxa"/>
            <w:vAlign w:val="bottom"/>
          </w:tcPr>
          <w:p>
            <w:pPr>
              <w:spacing w:after="0"/>
              <w:rPr>
                <w:sz w:val="11"/>
                <w:szCs w:val="11"/>
                <w:color w:val="auto"/>
              </w:rPr>
            </w:pPr>
          </w:p>
        </w:tc>
        <w:tc>
          <w:tcPr>
            <w:tcW w:w="1160" w:type="dxa"/>
            <w:vAlign w:val="bottom"/>
          </w:tcPr>
          <w:p>
            <w:pPr>
              <w:jc w:val="center"/>
              <w:ind w:right="35"/>
              <w:spacing w:after="0" w:line="129" w:lineRule="exact"/>
              <w:rPr>
                <w:sz w:val="20"/>
                <w:szCs w:val="20"/>
                <w:color w:val="auto"/>
              </w:rPr>
            </w:pPr>
            <w:r>
              <w:rPr>
                <w:rFonts w:ascii="Arial" w:cs="Arial" w:eastAsia="Arial" w:hAnsi="Arial"/>
                <w:sz w:val="14"/>
                <w:szCs w:val="14"/>
                <w:color w:val="auto"/>
                <w:w w:val="90"/>
              </w:rPr>
              <w:t>Depreciation and</w:t>
            </w:r>
          </w:p>
        </w:tc>
        <w:tc>
          <w:tcPr>
            <w:tcW w:w="200" w:type="dxa"/>
            <w:vAlign w:val="bottom"/>
          </w:tcPr>
          <w:p>
            <w:pPr>
              <w:spacing w:after="0"/>
              <w:rPr>
                <w:sz w:val="11"/>
                <w:szCs w:val="11"/>
                <w:color w:val="auto"/>
              </w:rPr>
            </w:pPr>
          </w:p>
        </w:tc>
        <w:tc>
          <w:tcPr>
            <w:tcW w:w="1020" w:type="dxa"/>
            <w:vAlign w:val="bottom"/>
          </w:tcPr>
          <w:p>
            <w:pPr>
              <w:jc w:val="center"/>
              <w:ind w:right="55"/>
              <w:spacing w:after="0" w:line="129" w:lineRule="exact"/>
              <w:rPr>
                <w:sz w:val="20"/>
                <w:szCs w:val="20"/>
                <w:color w:val="auto"/>
              </w:rPr>
            </w:pPr>
            <w:r>
              <w:rPr>
                <w:rFonts w:ascii="Arial" w:cs="Arial" w:eastAsia="Arial" w:hAnsi="Arial"/>
                <w:sz w:val="14"/>
                <w:szCs w:val="14"/>
                <w:color w:val="auto"/>
                <w:w w:val="91"/>
              </w:rPr>
              <w:t>Capital</w:t>
            </w:r>
          </w:p>
        </w:tc>
        <w:tc>
          <w:tcPr>
            <w:tcW w:w="120" w:type="dxa"/>
            <w:vAlign w:val="bottom"/>
          </w:tcPr>
          <w:p>
            <w:pPr>
              <w:spacing w:after="0"/>
              <w:rPr>
                <w:sz w:val="11"/>
                <w:szCs w:val="11"/>
                <w:color w:val="auto"/>
              </w:rPr>
            </w:pPr>
          </w:p>
        </w:tc>
        <w:tc>
          <w:tcPr>
            <w:tcW w:w="1080" w:type="dxa"/>
            <w:vAlign w:val="bottom"/>
          </w:tcPr>
          <w:p>
            <w:pPr>
              <w:jc w:val="center"/>
              <w:ind w:right="35"/>
              <w:spacing w:after="0" w:line="129" w:lineRule="exact"/>
              <w:rPr>
                <w:sz w:val="20"/>
                <w:szCs w:val="20"/>
                <w:color w:val="auto"/>
              </w:rPr>
            </w:pPr>
            <w:r>
              <w:rPr>
                <w:rFonts w:ascii="Arial" w:cs="Arial" w:eastAsia="Arial" w:hAnsi="Arial"/>
                <w:sz w:val="14"/>
                <w:szCs w:val="14"/>
                <w:color w:val="auto"/>
                <w:w w:val="89"/>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5"/>
              <w:spacing w:after="0"/>
              <w:rPr>
                <w:sz w:val="20"/>
                <w:szCs w:val="20"/>
                <w:color w:val="auto"/>
              </w:rPr>
            </w:pPr>
            <w:r>
              <w:rPr>
                <w:rFonts w:ascii="Arial" w:cs="Arial" w:eastAsia="Arial" w:hAnsi="Arial"/>
                <w:sz w:val="14"/>
                <w:szCs w:val="14"/>
                <w:color w:val="auto"/>
                <w:w w:val="95"/>
              </w:rPr>
              <w:t>Amortization</w:t>
            </w:r>
          </w:p>
        </w:tc>
        <w:tc>
          <w:tcPr>
            <w:tcW w:w="200" w:type="dxa"/>
            <w:vAlign w:val="bottom"/>
          </w:tcPr>
          <w:p>
            <w:pPr>
              <w:spacing w:after="0"/>
              <w:rPr>
                <w:sz w:val="15"/>
                <w:szCs w:val="15"/>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color w:val="auto"/>
                <w:w w:val="90"/>
              </w:rPr>
              <w:t>Expenditures</w:t>
            </w:r>
          </w:p>
        </w:tc>
        <w:tc>
          <w:tcPr>
            <w:tcW w:w="12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Intangible Assets</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Cable Communications</w:t>
            </w: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16,115</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7,069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1,673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NBCUniversal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Media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6,770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Studios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2,407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Theme Parks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1,449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Headquarters and Other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20" w:type="dxa"/>
            <w:vAlign w:val="bottom"/>
          </w:tcPr>
          <w:p>
            <w:pPr>
              <w:ind w:left="3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NBCUniversal</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10,001</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1,349</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Sky</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4,988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971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884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Corporate and Other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20" w:type="dxa"/>
            <w:vAlign w:val="bottom"/>
          </w:tcPr>
          <w:p>
            <w:pPr>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Comcast Consolidated</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30,298</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8,957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3,477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2,142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color w:val="auto"/>
              </w:rPr>
              <w:t>Three Months Ended September 30, 2020</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4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1020" w:type="dxa"/>
            <w:vAlign w:val="bottom"/>
            <w:vMerge w:val="restart"/>
          </w:tcPr>
          <w:p>
            <w:pPr>
              <w:jc w:val="right"/>
              <w:ind w:right="234"/>
              <w:spacing w:after="0"/>
              <w:rPr>
                <w:sz w:val="20"/>
                <w:szCs w:val="20"/>
                <w:color w:val="auto"/>
              </w:rPr>
            </w:pPr>
            <w:r>
              <w:rPr>
                <w:rFonts w:ascii="Arial" w:cs="Arial" w:eastAsia="Arial" w:hAnsi="Arial"/>
                <w:sz w:val="14"/>
                <w:szCs w:val="14"/>
                <w:color w:val="auto"/>
                <w:w w:val="96"/>
              </w:rPr>
              <w:t>Revenue</w:t>
            </w:r>
            <w:r>
              <w:rPr>
                <w:rFonts w:ascii="Arial" w:cs="Arial" w:eastAsia="Arial" w:hAnsi="Arial"/>
                <w:sz w:val="18"/>
                <w:szCs w:val="18"/>
                <w:color w:val="auto"/>
                <w:w w:val="96"/>
                <w:vertAlign w:val="superscript"/>
              </w:rPr>
              <w:t>(a)</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w w:val="97"/>
              </w:rPr>
              <w:t>Adjusted EBITDA</w:t>
            </w:r>
            <w:r>
              <w:rPr>
                <w:rFonts w:ascii="Arial" w:cs="Arial" w:eastAsia="Arial" w:hAnsi="Arial"/>
                <w:sz w:val="18"/>
                <w:szCs w:val="18"/>
                <w:color w:val="auto"/>
                <w:w w:val="97"/>
                <w:vertAlign w:val="superscript"/>
              </w:rPr>
              <w:t>(b)</w:t>
            </w:r>
          </w:p>
        </w:tc>
        <w:tc>
          <w:tcPr>
            <w:tcW w:w="140" w:type="dxa"/>
            <w:vAlign w:val="bottom"/>
          </w:tcPr>
          <w:p>
            <w:pPr>
              <w:spacing w:after="0"/>
              <w:rPr>
                <w:sz w:val="11"/>
                <w:szCs w:val="11"/>
                <w:color w:val="auto"/>
              </w:rPr>
            </w:pPr>
          </w:p>
        </w:tc>
        <w:tc>
          <w:tcPr>
            <w:tcW w:w="1160" w:type="dxa"/>
            <w:vAlign w:val="bottom"/>
          </w:tcPr>
          <w:p>
            <w:pPr>
              <w:jc w:val="center"/>
              <w:ind w:right="35"/>
              <w:spacing w:after="0" w:line="129" w:lineRule="exact"/>
              <w:rPr>
                <w:sz w:val="20"/>
                <w:szCs w:val="20"/>
                <w:color w:val="auto"/>
              </w:rPr>
            </w:pPr>
            <w:r>
              <w:rPr>
                <w:rFonts w:ascii="Arial" w:cs="Arial" w:eastAsia="Arial" w:hAnsi="Arial"/>
                <w:sz w:val="14"/>
                <w:szCs w:val="14"/>
                <w:color w:val="auto"/>
                <w:w w:val="90"/>
              </w:rPr>
              <w:t>Depreciation and</w:t>
            </w:r>
          </w:p>
        </w:tc>
        <w:tc>
          <w:tcPr>
            <w:tcW w:w="200" w:type="dxa"/>
            <w:vAlign w:val="bottom"/>
          </w:tcPr>
          <w:p>
            <w:pPr>
              <w:spacing w:after="0"/>
              <w:rPr>
                <w:sz w:val="11"/>
                <w:szCs w:val="11"/>
                <w:color w:val="auto"/>
              </w:rPr>
            </w:pPr>
          </w:p>
        </w:tc>
        <w:tc>
          <w:tcPr>
            <w:tcW w:w="1020" w:type="dxa"/>
            <w:vAlign w:val="bottom"/>
          </w:tcPr>
          <w:p>
            <w:pPr>
              <w:jc w:val="center"/>
              <w:ind w:right="55"/>
              <w:spacing w:after="0" w:line="129" w:lineRule="exact"/>
              <w:rPr>
                <w:sz w:val="20"/>
                <w:szCs w:val="20"/>
                <w:color w:val="auto"/>
              </w:rPr>
            </w:pPr>
            <w:r>
              <w:rPr>
                <w:rFonts w:ascii="Arial" w:cs="Arial" w:eastAsia="Arial" w:hAnsi="Arial"/>
                <w:sz w:val="14"/>
                <w:szCs w:val="14"/>
                <w:color w:val="auto"/>
                <w:w w:val="91"/>
              </w:rPr>
              <w:t>Capital</w:t>
            </w:r>
          </w:p>
        </w:tc>
        <w:tc>
          <w:tcPr>
            <w:tcW w:w="120" w:type="dxa"/>
            <w:vAlign w:val="bottom"/>
          </w:tcPr>
          <w:p>
            <w:pPr>
              <w:spacing w:after="0"/>
              <w:rPr>
                <w:sz w:val="11"/>
                <w:szCs w:val="11"/>
                <w:color w:val="auto"/>
              </w:rPr>
            </w:pPr>
          </w:p>
        </w:tc>
        <w:tc>
          <w:tcPr>
            <w:tcW w:w="1080" w:type="dxa"/>
            <w:vAlign w:val="bottom"/>
          </w:tcPr>
          <w:p>
            <w:pPr>
              <w:jc w:val="center"/>
              <w:ind w:right="35"/>
              <w:spacing w:after="0" w:line="129" w:lineRule="exact"/>
              <w:rPr>
                <w:sz w:val="20"/>
                <w:szCs w:val="20"/>
                <w:color w:val="auto"/>
              </w:rPr>
            </w:pPr>
            <w:r>
              <w:rPr>
                <w:rFonts w:ascii="Arial" w:cs="Arial" w:eastAsia="Arial" w:hAnsi="Arial"/>
                <w:sz w:val="14"/>
                <w:szCs w:val="14"/>
                <w:color w:val="auto"/>
                <w:w w:val="89"/>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5"/>
              <w:spacing w:after="0"/>
              <w:rPr>
                <w:sz w:val="20"/>
                <w:szCs w:val="20"/>
                <w:color w:val="auto"/>
              </w:rPr>
            </w:pPr>
            <w:r>
              <w:rPr>
                <w:rFonts w:ascii="Arial" w:cs="Arial" w:eastAsia="Arial" w:hAnsi="Arial"/>
                <w:sz w:val="14"/>
                <w:szCs w:val="14"/>
                <w:color w:val="auto"/>
                <w:w w:val="95"/>
              </w:rPr>
              <w:t>Amortization</w:t>
            </w:r>
          </w:p>
        </w:tc>
        <w:tc>
          <w:tcPr>
            <w:tcW w:w="200" w:type="dxa"/>
            <w:vAlign w:val="bottom"/>
          </w:tcPr>
          <w:p>
            <w:pPr>
              <w:spacing w:after="0"/>
              <w:rPr>
                <w:sz w:val="15"/>
                <w:szCs w:val="15"/>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color w:val="auto"/>
                <w:w w:val="90"/>
              </w:rPr>
              <w:t>Expenditures</w:t>
            </w:r>
          </w:p>
        </w:tc>
        <w:tc>
          <w:tcPr>
            <w:tcW w:w="12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Intangible Assets</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Cable Communications</w:t>
            </w: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6,411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1,952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NBCUniversal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Media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4,589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Studios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1,898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Theme Parks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7"/>
                <w:szCs w:val="17"/>
                <w:color w:val="auto"/>
              </w:rPr>
              <w:t>Headquarters and Other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(127)</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20" w:type="dxa"/>
            <w:vAlign w:val="bottom"/>
          </w:tcPr>
          <w:p>
            <w:pPr>
              <w:ind w:left="3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NBCUniversal</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6,333</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Sky</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4,793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750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Corporate and Other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20" w:type="dxa"/>
            <w:vAlign w:val="bottom"/>
          </w:tcPr>
          <w:p>
            <w:pPr>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Comcast Consolidated</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25,532</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7,583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2,387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454"/>
              <w:spacing w:after="0"/>
              <w:rPr>
                <w:sz w:val="20"/>
                <w:szCs w:val="20"/>
                <w:color w:val="auto"/>
              </w:rPr>
            </w:pPr>
            <w:r>
              <w:rPr>
                <w:rFonts w:ascii="Arial" w:cs="Arial" w:eastAsia="Arial" w:hAnsi="Arial"/>
                <w:sz w:val="17"/>
                <w:szCs w:val="17"/>
                <w:color w:val="auto"/>
              </w:rPr>
              <w:t>7</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9A9A9A"/>
            </w:tcBorders>
          </w:tcPr>
          <w:p>
            <w:pPr>
              <w:spacing w:after="0"/>
              <w:rPr>
                <w:sz w:val="18"/>
                <w:szCs w:val="18"/>
                <w:color w:val="auto"/>
              </w:rPr>
            </w:pPr>
          </w:p>
        </w:tc>
        <w:tc>
          <w:tcPr>
            <w:tcW w:w="49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5"/>
          </w:tcPr>
          <w:p>
            <w:pPr>
              <w:jc w:val="center"/>
              <w:ind w:right="315"/>
              <w:spacing w:after="0"/>
              <w:rPr>
                <w:sz w:val="20"/>
                <w:szCs w:val="20"/>
                <w:color w:val="auto"/>
              </w:rPr>
            </w:pPr>
            <w:r>
              <w:rPr>
                <w:rFonts w:ascii="Arial" w:cs="Arial" w:eastAsia="Arial" w:hAnsi="Arial"/>
                <w:sz w:val="14"/>
                <w:szCs w:val="14"/>
                <w:color w:val="auto"/>
                <w:w w:val="89"/>
              </w:rPr>
              <w:t>Nine Months Ended September 30, 2021</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4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94"/>
              <w:spacing w:after="0"/>
              <w:rPr>
                <w:sz w:val="20"/>
                <w:szCs w:val="20"/>
                <w:color w:val="auto"/>
              </w:rPr>
            </w:pPr>
            <w:r>
              <w:rPr>
                <w:rFonts w:ascii="Arial" w:cs="Arial" w:eastAsia="Arial" w:hAnsi="Arial"/>
                <w:sz w:val="14"/>
                <w:szCs w:val="14"/>
                <w:color w:val="auto"/>
                <w:w w:val="98"/>
              </w:rPr>
              <w:t>Revenue</w:t>
            </w:r>
            <w:r>
              <w:rPr>
                <w:rFonts w:ascii="Arial" w:cs="Arial" w:eastAsia="Arial" w:hAnsi="Arial"/>
                <w:sz w:val="18"/>
                <w:szCs w:val="18"/>
                <w:color w:val="auto"/>
                <w:w w:val="98"/>
                <w:vertAlign w:val="superscript"/>
              </w:rPr>
              <w:t>(a)</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160" w:type="dxa"/>
            <w:vAlign w:val="bottom"/>
          </w:tcPr>
          <w:p>
            <w:pPr>
              <w:spacing w:after="0"/>
              <w:rPr>
                <w:sz w:val="11"/>
                <w:szCs w:val="11"/>
                <w:color w:val="auto"/>
              </w:rPr>
            </w:pPr>
          </w:p>
        </w:tc>
        <w:tc>
          <w:tcPr>
            <w:tcW w:w="1160" w:type="dxa"/>
            <w:vAlign w:val="bottom"/>
          </w:tcPr>
          <w:p>
            <w:pPr>
              <w:jc w:val="right"/>
              <w:ind w:right="55"/>
              <w:spacing w:after="0" w:line="129" w:lineRule="exact"/>
              <w:rPr>
                <w:sz w:val="20"/>
                <w:szCs w:val="20"/>
                <w:color w:val="auto"/>
              </w:rPr>
            </w:pPr>
            <w:r>
              <w:rPr>
                <w:rFonts w:ascii="Arial" w:cs="Arial" w:eastAsia="Arial" w:hAnsi="Arial"/>
                <w:sz w:val="14"/>
                <w:szCs w:val="14"/>
                <w:color w:val="auto"/>
                <w:w w:val="94"/>
              </w:rPr>
              <w:t>Depreciation and</w:t>
            </w:r>
          </w:p>
        </w:tc>
        <w:tc>
          <w:tcPr>
            <w:tcW w:w="200" w:type="dxa"/>
            <w:vAlign w:val="bottom"/>
          </w:tcPr>
          <w:p>
            <w:pPr>
              <w:spacing w:after="0"/>
              <w:rPr>
                <w:sz w:val="11"/>
                <w:szCs w:val="11"/>
                <w:color w:val="auto"/>
              </w:rPr>
            </w:pPr>
          </w:p>
        </w:tc>
        <w:tc>
          <w:tcPr>
            <w:tcW w:w="1000" w:type="dxa"/>
            <w:vAlign w:val="bottom"/>
          </w:tcPr>
          <w:p>
            <w:pPr>
              <w:jc w:val="right"/>
              <w:ind w:right="255"/>
              <w:spacing w:after="0" w:line="129"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1"/>
                <w:szCs w:val="11"/>
                <w:color w:val="auto"/>
              </w:rPr>
            </w:pP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w w:val="89"/>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55"/>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5"/>
                <w:szCs w:val="15"/>
                <w:color w:val="auto"/>
              </w:rPr>
            </w:pPr>
          </w:p>
        </w:tc>
        <w:tc>
          <w:tcPr>
            <w:tcW w:w="1000" w:type="dxa"/>
            <w:vAlign w:val="bottom"/>
          </w:tcPr>
          <w:p>
            <w:pPr>
              <w:jc w:val="right"/>
              <w:ind w:right="95"/>
              <w:spacing w:after="0"/>
              <w:rPr>
                <w:sz w:val="20"/>
                <w:szCs w:val="20"/>
                <w:color w:val="auto"/>
              </w:rPr>
            </w:pPr>
            <w:r>
              <w:rPr>
                <w:rFonts w:ascii="Arial" w:cs="Arial" w:eastAsia="Arial" w:hAnsi="Arial"/>
                <w:sz w:val="14"/>
                <w:szCs w:val="14"/>
                <w:color w:val="auto"/>
                <w:w w:val="97"/>
              </w:rPr>
              <w:t>Expenditures</w:t>
            </w:r>
          </w:p>
        </w:tc>
        <w:tc>
          <w:tcPr>
            <w:tcW w:w="16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Intangible Assets</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Cable Communications</w:t>
            </w:r>
          </w:p>
        </w:tc>
        <w:tc>
          <w:tcPr>
            <w:tcW w:w="2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47,922</w:t>
            </w: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20,972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5,845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4,739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1,022</w:t>
            </w: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NBCUniversal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Media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16,955</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3,847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Studios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7,027</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833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Theme Parks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3,163</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593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7"/>
                <w:szCs w:val="17"/>
                <w:color w:val="auto"/>
              </w:rPr>
              <w:t>Headquarters and 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w:t>
            </w:r>
          </w:p>
        </w:tc>
        <w:tc>
          <w:tcPr>
            <w:tcW w:w="440" w:type="dxa"/>
            <w:vAlign w:val="bottom"/>
          </w:tcPr>
          <w:p>
            <w:pPr>
              <w:spacing w:after="0"/>
              <w:rPr>
                <w:sz w:val="18"/>
                <w:szCs w:val="18"/>
                <w:color w:val="auto"/>
              </w:rPr>
            </w:pPr>
          </w:p>
        </w:tc>
        <w:tc>
          <w:tcPr>
            <w:tcW w:w="1000" w:type="dxa"/>
            <w:vAlign w:val="bottom"/>
            <w:gridSpan w:val="2"/>
          </w:tcPr>
          <w:p>
            <w:pPr>
              <w:jc w:val="right"/>
              <w:ind w:right="53"/>
              <w:spacing w:after="0"/>
              <w:rPr>
                <w:sz w:val="20"/>
                <w:szCs w:val="20"/>
                <w:color w:val="auto"/>
              </w:rPr>
            </w:pPr>
            <w:r>
              <w:rPr>
                <w:rFonts w:ascii="Arial" w:cs="Arial" w:eastAsia="Arial" w:hAnsi="Arial"/>
                <w:sz w:val="17"/>
                <w:szCs w:val="17"/>
                <w:color w:val="auto"/>
              </w:rPr>
              <w:t>(643)</w:t>
            </w:r>
          </w:p>
        </w:tc>
        <w:tc>
          <w:tcPr>
            <w:tcW w:w="1160" w:type="dxa"/>
            <w:vAlign w:val="bottom"/>
          </w:tcPr>
          <w:p>
            <w:pPr>
              <w:jc w:val="right"/>
              <w:spacing w:after="0"/>
              <w:rPr>
                <w:sz w:val="20"/>
                <w:szCs w:val="20"/>
                <w:color w:val="auto"/>
              </w:rPr>
            </w:pPr>
            <w:r>
              <w:rPr>
                <w:rFonts w:ascii="Arial" w:cs="Arial" w:eastAsia="Arial" w:hAnsi="Arial"/>
                <w:sz w:val="17"/>
                <w:szCs w:val="17"/>
                <w:color w:val="auto"/>
              </w:rPr>
              <w:t>356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60" w:type="dxa"/>
            <w:vAlign w:val="bottom"/>
          </w:tcPr>
          <w:p>
            <w:pPr>
              <w:ind w:left="3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339"/>
              <w:spacing w:after="0"/>
              <w:rPr>
                <w:sz w:val="20"/>
                <w:szCs w:val="20"/>
                <w:color w:val="auto"/>
              </w:rPr>
            </w:pPr>
            <w:r>
              <w:rPr>
                <w:rFonts w:ascii="Arial" w:cs="Arial" w:eastAsia="Arial" w:hAnsi="Arial"/>
                <w:sz w:val="17"/>
                <w:szCs w:val="17"/>
                <w:color w:val="auto"/>
              </w:rPr>
              <w:t>(2,230)</w:t>
            </w:r>
          </w:p>
        </w:tc>
        <w:tc>
          <w:tcPr>
            <w:tcW w:w="1000" w:type="dxa"/>
            <w:vAlign w:val="bottom"/>
            <w:gridSpan w:val="2"/>
          </w:tcPr>
          <w:p>
            <w:pPr>
              <w:jc w:val="right"/>
              <w:ind w:right="53"/>
              <w:spacing w:after="0"/>
              <w:rPr>
                <w:sz w:val="20"/>
                <w:szCs w:val="20"/>
                <w:color w:val="auto"/>
              </w:rPr>
            </w:pPr>
            <w:r>
              <w:rPr>
                <w:rFonts w:ascii="Arial" w:cs="Arial" w:eastAsia="Arial" w:hAnsi="Arial"/>
                <w:sz w:val="17"/>
                <w:szCs w:val="17"/>
                <w:color w:val="auto"/>
              </w:rPr>
              <w:t>(238)</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NBCUniversal</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24,981</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4,392</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1,759</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584</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Sky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15,205</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1,895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2,524</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615</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Corporate and 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w:t>
            </w:r>
          </w:p>
        </w:tc>
        <w:tc>
          <w:tcPr>
            <w:tcW w:w="440" w:type="dxa"/>
            <w:vAlign w:val="bottom"/>
          </w:tcPr>
          <w:p>
            <w:pPr>
              <w:spacing w:after="0"/>
              <w:rPr>
                <w:sz w:val="18"/>
                <w:szCs w:val="18"/>
                <w:color w:val="auto"/>
              </w:rPr>
            </w:pPr>
          </w:p>
        </w:tc>
        <w:tc>
          <w:tcPr>
            <w:tcW w:w="1000" w:type="dxa"/>
            <w:vAlign w:val="bottom"/>
            <w:gridSpan w:val="2"/>
          </w:tcPr>
          <w:p>
            <w:pPr>
              <w:jc w:val="right"/>
              <w:ind w:right="53"/>
              <w:spacing w:after="0"/>
              <w:rPr>
                <w:sz w:val="20"/>
                <w:szCs w:val="20"/>
                <w:color w:val="auto"/>
              </w:rPr>
            </w:pPr>
            <w:r>
              <w:rPr>
                <w:rFonts w:ascii="Arial" w:cs="Arial" w:eastAsia="Arial" w:hAnsi="Arial"/>
                <w:sz w:val="17"/>
                <w:szCs w:val="17"/>
                <w:color w:val="auto"/>
              </w:rPr>
              <w:t>(876)</w:t>
            </w:r>
          </w:p>
        </w:tc>
        <w:tc>
          <w:tcPr>
            <w:tcW w:w="1160" w:type="dxa"/>
            <w:vAlign w:val="bottom"/>
          </w:tcPr>
          <w:p>
            <w:pPr>
              <w:jc w:val="right"/>
              <w:spacing w:after="0"/>
              <w:rPr>
                <w:sz w:val="20"/>
                <w:szCs w:val="20"/>
                <w:color w:val="auto"/>
              </w:rPr>
            </w:pPr>
            <w:r>
              <w:rPr>
                <w:rFonts w:ascii="Arial" w:cs="Arial" w:eastAsia="Arial" w:hAnsi="Arial"/>
                <w:sz w:val="17"/>
                <w:szCs w:val="17"/>
                <w:color w:val="auto"/>
              </w:rPr>
              <w:t>95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60" w:type="dxa"/>
            <w:vAlign w:val="bottom"/>
          </w:tcPr>
          <w:p>
            <w:pPr>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339"/>
              <w:spacing w:after="0"/>
              <w:rPr>
                <w:sz w:val="20"/>
                <w:szCs w:val="20"/>
                <w:color w:val="auto"/>
              </w:rPr>
            </w:pPr>
            <w:r>
              <w:rPr>
                <w:rFonts w:ascii="Arial" w:cs="Arial" w:eastAsia="Arial" w:hAnsi="Arial"/>
                <w:sz w:val="17"/>
                <w:szCs w:val="17"/>
                <w:color w:val="auto"/>
              </w:rPr>
              <w:t>(2,304)</w:t>
            </w:r>
          </w:p>
        </w:tc>
        <w:tc>
          <w:tcPr>
            <w:tcW w:w="1000" w:type="dxa"/>
            <w:vAlign w:val="bottom"/>
            <w:gridSpan w:val="2"/>
          </w:tcPr>
          <w:p>
            <w:pPr>
              <w:jc w:val="right"/>
              <w:ind w:right="53"/>
              <w:spacing w:after="0"/>
              <w:rPr>
                <w:sz w:val="20"/>
                <w:szCs w:val="20"/>
                <w:color w:val="auto"/>
              </w:rPr>
            </w:pPr>
            <w:r>
              <w:rPr>
                <w:rFonts w:ascii="Arial" w:cs="Arial" w:eastAsia="Arial" w:hAnsi="Arial"/>
                <w:sz w:val="17"/>
                <w:szCs w:val="17"/>
                <w:color w:val="auto"/>
              </w:rPr>
              <w:t>(87)</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Comcast Consolidated</w:t>
            </w:r>
          </w:p>
        </w:tc>
        <w:tc>
          <w:tcPr>
            <w:tcW w:w="2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86,049</w:t>
            </w:r>
          </w:p>
        </w:tc>
        <w:tc>
          <w:tcPr>
            <w:tcW w:w="4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26,297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10,222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6,146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color w:val="auto"/>
              </w:rPr>
              <w:t>Nine Months Ended September 30, 2020</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9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234"/>
              <w:spacing w:after="0"/>
              <w:rPr>
                <w:sz w:val="20"/>
                <w:szCs w:val="20"/>
                <w:color w:val="auto"/>
              </w:rPr>
            </w:pPr>
            <w:r>
              <w:rPr>
                <w:rFonts w:ascii="Arial" w:cs="Arial" w:eastAsia="Arial" w:hAnsi="Arial"/>
                <w:sz w:val="14"/>
                <w:szCs w:val="14"/>
                <w:color w:val="auto"/>
                <w:w w:val="93"/>
              </w:rPr>
              <w:t>Revenue</w:t>
            </w:r>
            <w:r>
              <w:rPr>
                <w:rFonts w:ascii="Arial" w:cs="Arial" w:eastAsia="Arial" w:hAnsi="Arial"/>
                <w:sz w:val="18"/>
                <w:szCs w:val="18"/>
                <w:color w:val="auto"/>
                <w:w w:val="93"/>
                <w:vertAlign w:val="superscript"/>
              </w:rPr>
              <w:t>(a)</w:t>
            </w: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w w:val="97"/>
              </w:rPr>
              <w:t>Adjusted EBITDA</w:t>
            </w:r>
            <w:r>
              <w:rPr>
                <w:rFonts w:ascii="Arial" w:cs="Arial" w:eastAsia="Arial" w:hAnsi="Arial"/>
                <w:sz w:val="18"/>
                <w:szCs w:val="18"/>
                <w:color w:val="auto"/>
                <w:w w:val="97"/>
                <w:vertAlign w:val="superscript"/>
              </w:rPr>
              <w:t>(b)</w:t>
            </w:r>
          </w:p>
        </w:tc>
        <w:tc>
          <w:tcPr>
            <w:tcW w:w="160" w:type="dxa"/>
            <w:vAlign w:val="bottom"/>
          </w:tcPr>
          <w:p>
            <w:pPr>
              <w:spacing w:after="0"/>
              <w:rPr>
                <w:sz w:val="11"/>
                <w:szCs w:val="11"/>
                <w:color w:val="auto"/>
              </w:rPr>
            </w:pPr>
          </w:p>
        </w:tc>
        <w:tc>
          <w:tcPr>
            <w:tcW w:w="1160" w:type="dxa"/>
            <w:vAlign w:val="bottom"/>
          </w:tcPr>
          <w:p>
            <w:pPr>
              <w:jc w:val="center"/>
              <w:ind w:right="75"/>
              <w:spacing w:after="0" w:line="129" w:lineRule="exact"/>
              <w:rPr>
                <w:sz w:val="20"/>
                <w:szCs w:val="20"/>
                <w:color w:val="auto"/>
              </w:rPr>
            </w:pPr>
            <w:r>
              <w:rPr>
                <w:rFonts w:ascii="Arial" w:cs="Arial" w:eastAsia="Arial" w:hAnsi="Arial"/>
                <w:sz w:val="14"/>
                <w:szCs w:val="14"/>
                <w:color w:val="auto"/>
                <w:w w:val="90"/>
              </w:rPr>
              <w:t>Depreciation and</w:t>
            </w:r>
          </w:p>
        </w:tc>
        <w:tc>
          <w:tcPr>
            <w:tcW w:w="200" w:type="dxa"/>
            <w:vAlign w:val="bottom"/>
          </w:tcPr>
          <w:p>
            <w:pPr>
              <w:spacing w:after="0"/>
              <w:rPr>
                <w:sz w:val="11"/>
                <w:szCs w:val="11"/>
                <w:color w:val="auto"/>
              </w:rPr>
            </w:pPr>
          </w:p>
        </w:tc>
        <w:tc>
          <w:tcPr>
            <w:tcW w:w="1000" w:type="dxa"/>
            <w:vAlign w:val="bottom"/>
          </w:tcPr>
          <w:p>
            <w:pPr>
              <w:jc w:val="right"/>
              <w:ind w:right="295"/>
              <w:spacing w:after="0" w:line="129"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1"/>
                <w:szCs w:val="11"/>
                <w:color w:val="auto"/>
              </w:rPr>
            </w:pPr>
          </w:p>
        </w:tc>
        <w:tc>
          <w:tcPr>
            <w:tcW w:w="1040" w:type="dxa"/>
            <w:vAlign w:val="bottom"/>
          </w:tcPr>
          <w:p>
            <w:pPr>
              <w:jc w:val="right"/>
              <w:ind w:right="135"/>
              <w:spacing w:after="0" w:line="129" w:lineRule="exact"/>
              <w:rPr>
                <w:sz w:val="20"/>
                <w:szCs w:val="20"/>
                <w:color w:val="auto"/>
              </w:rPr>
            </w:pPr>
            <w:r>
              <w:rPr>
                <w:rFonts w:ascii="Arial" w:cs="Arial" w:eastAsia="Arial" w:hAnsi="Arial"/>
                <w:sz w:val="14"/>
                <w:szCs w:val="14"/>
                <w:color w:val="auto"/>
                <w:w w:val="94"/>
              </w:rPr>
              <w:t>Cash Paid for</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color w:val="auto"/>
                <w:w w:val="97"/>
              </w:rPr>
              <w:t>Amortization</w:t>
            </w:r>
          </w:p>
        </w:tc>
        <w:tc>
          <w:tcPr>
            <w:tcW w:w="200" w:type="dxa"/>
            <w:vAlign w:val="bottom"/>
          </w:tcPr>
          <w:p>
            <w:pPr>
              <w:spacing w:after="0"/>
              <w:rPr>
                <w:sz w:val="15"/>
                <w:szCs w:val="15"/>
                <w:color w:val="auto"/>
              </w:rPr>
            </w:pPr>
          </w:p>
        </w:tc>
        <w:tc>
          <w:tcPr>
            <w:tcW w:w="1000" w:type="dxa"/>
            <w:vAlign w:val="bottom"/>
          </w:tcPr>
          <w:p>
            <w:pPr>
              <w:jc w:val="right"/>
              <w:ind w:right="135"/>
              <w:spacing w:after="0"/>
              <w:rPr>
                <w:sz w:val="20"/>
                <w:szCs w:val="20"/>
                <w:color w:val="auto"/>
              </w:rPr>
            </w:pPr>
            <w:r>
              <w:rPr>
                <w:rFonts w:ascii="Arial" w:cs="Arial" w:eastAsia="Arial" w:hAnsi="Arial"/>
                <w:sz w:val="14"/>
                <w:szCs w:val="14"/>
                <w:color w:val="auto"/>
                <w:w w:val="92"/>
              </w:rPr>
              <w:t>Expenditures</w:t>
            </w:r>
          </w:p>
        </w:tc>
        <w:tc>
          <w:tcPr>
            <w:tcW w:w="1280" w:type="dxa"/>
            <w:vAlign w:val="bottom"/>
            <w:gridSpan w:val="4"/>
          </w:tcPr>
          <w:p>
            <w:pPr>
              <w:ind w:left="120"/>
              <w:spacing w:after="0"/>
              <w:rPr>
                <w:sz w:val="20"/>
                <w:szCs w:val="20"/>
                <w:color w:val="auto"/>
              </w:rPr>
            </w:pPr>
            <w:r>
              <w:rPr>
                <w:rFonts w:ascii="Arial" w:cs="Arial" w:eastAsia="Arial" w:hAnsi="Arial"/>
                <w:sz w:val="14"/>
                <w:szCs w:val="14"/>
                <w:color w:val="auto"/>
              </w:rPr>
              <w:t>Intangible Assets</w:t>
            </w:r>
          </w:p>
        </w:tc>
        <w:tc>
          <w:tcPr>
            <w:tcW w:w="0" w:type="dxa"/>
            <w:vAlign w:val="bottom"/>
          </w:tcPr>
          <w:p>
            <w:pPr>
              <w:spacing w:after="0"/>
              <w:rPr>
                <w:sz w:val="1"/>
                <w:szCs w:val="1"/>
                <w:color w:val="auto"/>
              </w:rPr>
            </w:pPr>
          </w:p>
        </w:tc>
      </w:tr>
      <w:tr>
        <w:trPr>
          <w:trHeight w:val="215"/>
        </w:trPr>
        <w:tc>
          <w:tcPr>
            <w:tcW w:w="49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Cable Communications</w:t>
            </w: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44,346</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18,663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4,491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NBCUniversal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Media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13,563</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4,150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Studios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6,359</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963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Theme Parks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1,446</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897</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Headquarters and 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60" w:type="dxa"/>
            <w:vAlign w:val="bottom"/>
          </w:tcPr>
          <w:p>
            <w:pPr>
              <w:ind w:left="28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(1,623)</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(224)</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9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NBCUniversal</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19,777</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3,979</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1,728</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1,114</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Sky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13,389</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1,815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2,188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Corporate and 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204</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(846)</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(1,860)</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Comcast Consolidated</w:t>
            </w: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75,856</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23,640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9,848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6,344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2"/>
        </w:trPr>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414"/>
              <w:spacing w:after="0"/>
              <w:rPr>
                <w:sz w:val="20"/>
                <w:szCs w:val="20"/>
                <w:color w:val="auto"/>
              </w:rPr>
            </w:pPr>
            <w:r>
              <w:rPr>
                <w:rFonts w:ascii="Arial" w:cs="Arial" w:eastAsia="Arial" w:hAnsi="Arial"/>
                <w:sz w:val="17"/>
                <w:szCs w:val="17"/>
                <w:color w:val="auto"/>
              </w:rPr>
              <w:t>8</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27" w:lineRule="exact"/>
        <w:rPr>
          <w:sz w:val="20"/>
          <w:szCs w:val="20"/>
          <w:color w:val="auto"/>
        </w:rPr>
      </w:pPr>
    </w:p>
    <w:p>
      <w:pPr>
        <w:jc w:val="both"/>
        <w:ind w:left="320" w:hanging="315"/>
        <w:spacing w:after="0" w:line="258" w:lineRule="auto"/>
        <w:tabs>
          <w:tab w:leader="none" w:pos="317"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The most significant transactions between our segments include distribution revenue at Media for fees received from Cable Communications for the sale of cable network programming and under retransmission consent agreements; content licensing revenue at Studios for licenses of owned content to Media and Sky; and advertising revenue at Media and Cable Communications. Revenue for licenses of content from Studios to Media and Sky is generally recognized at a point in time, consistent with the recognition of transactions with third parties, when the content is delivered and made available for use. The costs of these licenses at Media and Sky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 Under the previous segment structure, revenue for licenses of content between our previous NBCUniversal segments was recognized over time to correspond with the amortization of the costs of licensed content over the license period.</w:t>
      </w:r>
    </w:p>
    <w:p>
      <w:pPr>
        <w:spacing w:after="0" w:line="125"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4"/>
          <w:szCs w:val="14"/>
          <w:color w:val="auto"/>
        </w:rPr>
        <w:t>A summary of revenue for each of our segments resulting from transactions with other segments and eliminated in consolidation is presented in the table below.</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2"/>
          </w:tcPr>
          <w:p>
            <w:pPr>
              <w:jc w:val="right"/>
              <w:ind w:right="270"/>
              <w:spacing w:after="0"/>
              <w:rPr>
                <w:sz w:val="20"/>
                <w:szCs w:val="20"/>
                <w:color w:val="auto"/>
              </w:rPr>
            </w:pPr>
            <w:r>
              <w:rPr>
                <w:rFonts w:ascii="Arial" w:cs="Arial" w:eastAsia="Arial" w:hAnsi="Arial"/>
                <w:sz w:val="14"/>
                <w:szCs w:val="14"/>
                <w:color w:val="auto"/>
                <w:w w:val="88"/>
              </w:rPr>
              <w:t>Three Months Ended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w w:val="91"/>
              </w:rPr>
              <w:t>Nine Months Ended</w:t>
            </w:r>
          </w:p>
        </w:tc>
        <w:tc>
          <w:tcPr>
            <w:tcW w:w="800" w:type="dxa"/>
            <w:vAlign w:val="bottom"/>
          </w:tcPr>
          <w:p>
            <w:pPr>
              <w:spacing w:after="0"/>
              <w:rPr>
                <w:sz w:val="14"/>
                <w:szCs w:val="14"/>
                <w:color w:val="auto"/>
              </w:rPr>
            </w:pPr>
          </w:p>
        </w:tc>
      </w:tr>
      <w:tr>
        <w:trPr>
          <w:trHeight w:val="178"/>
        </w:trPr>
        <w:tc>
          <w:tcPr>
            <w:tcW w:w="48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5"/>
                <w:szCs w:val="15"/>
                <w:color w:val="auto"/>
              </w:rPr>
            </w:pPr>
          </w:p>
        </w:tc>
      </w:tr>
      <w:tr>
        <w:trPr>
          <w:trHeight w:val="17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w w:val="89"/>
              </w:rPr>
              <w:t>2020</w:t>
            </w:r>
          </w:p>
        </w:tc>
      </w:tr>
      <w:tr>
        <w:trPr>
          <w:trHeight w:val="174"/>
        </w:trPr>
        <w:tc>
          <w:tcPr>
            <w:tcW w:w="4800" w:type="dxa"/>
            <w:vAlign w:val="bottom"/>
          </w:tcPr>
          <w:p>
            <w:pPr>
              <w:ind w:left="20"/>
              <w:spacing w:after="0"/>
              <w:rPr>
                <w:sz w:val="20"/>
                <w:szCs w:val="20"/>
                <w:color w:val="auto"/>
              </w:rPr>
            </w:pPr>
            <w:r>
              <w:rPr>
                <w:rFonts w:ascii="Arial" w:cs="Arial" w:eastAsia="Arial" w:hAnsi="Arial"/>
                <w:sz w:val="14"/>
                <w:szCs w:val="14"/>
                <w:color w:val="auto"/>
              </w:rPr>
              <w:t>Cable Communications</w:t>
            </w:r>
          </w:p>
        </w:tc>
        <w:tc>
          <w:tcPr>
            <w:tcW w:w="780" w:type="dxa"/>
            <w:vAlign w:val="bottom"/>
          </w:tcPr>
          <w:p>
            <w:pPr>
              <w:jc w:val="right"/>
              <w:ind w:right="63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69</w:t>
            </w:r>
          </w:p>
        </w:tc>
        <w:tc>
          <w:tcPr>
            <w:tcW w:w="96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56</w:t>
            </w:r>
          </w:p>
        </w:tc>
        <w:tc>
          <w:tcPr>
            <w:tcW w:w="920" w:type="dxa"/>
            <w:vAlign w:val="bottom"/>
          </w:tcPr>
          <w:p>
            <w:pPr>
              <w:jc w:val="right"/>
              <w:ind w:right="65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162</w:t>
            </w:r>
          </w:p>
        </w:tc>
        <w:tc>
          <w:tcPr>
            <w:tcW w:w="60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178"/>
        </w:trPr>
        <w:tc>
          <w:tcPr>
            <w:tcW w:w="4800" w:type="dxa"/>
            <w:vAlign w:val="bottom"/>
          </w:tcPr>
          <w:p>
            <w:pPr>
              <w:ind w:left="20"/>
              <w:spacing w:after="0"/>
              <w:rPr>
                <w:sz w:val="20"/>
                <w:szCs w:val="20"/>
                <w:color w:val="auto"/>
              </w:rPr>
            </w:pPr>
            <w:r>
              <w:rPr>
                <w:rFonts w:ascii="Arial" w:cs="Arial" w:eastAsia="Arial" w:hAnsi="Arial"/>
                <w:sz w:val="14"/>
                <w:szCs w:val="14"/>
                <w:color w:val="auto"/>
              </w:rPr>
              <w:t>NBCUniversal</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800" w:type="dxa"/>
            <w:vAlign w:val="bottom"/>
          </w:tcPr>
          <w:p>
            <w:pPr>
              <w:ind w:left="220"/>
              <w:spacing w:after="0"/>
              <w:rPr>
                <w:sz w:val="20"/>
                <w:szCs w:val="20"/>
                <w:color w:val="auto"/>
              </w:rPr>
            </w:pPr>
            <w:r>
              <w:rPr>
                <w:rFonts w:ascii="Arial" w:cs="Arial" w:eastAsia="Arial" w:hAnsi="Arial"/>
                <w:sz w:val="14"/>
                <w:szCs w:val="14"/>
                <w:color w:val="auto"/>
              </w:rPr>
              <w:t>Media</w:t>
            </w:r>
          </w:p>
        </w:tc>
        <w:tc>
          <w:tcPr>
            <w:tcW w:w="78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714</w:t>
            </w:r>
          </w:p>
        </w:tc>
        <w:tc>
          <w:tcPr>
            <w:tcW w:w="96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478</w:t>
            </w:r>
          </w:p>
        </w:tc>
        <w:tc>
          <w:tcPr>
            <w:tcW w:w="92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1,799</w:t>
            </w:r>
          </w:p>
        </w:tc>
        <w:tc>
          <w:tcPr>
            <w:tcW w:w="6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1450</w:t>
            </w:r>
          </w:p>
        </w:tc>
      </w:tr>
      <w:tr>
        <w:trPr>
          <w:trHeight w:val="183"/>
        </w:trPr>
        <w:tc>
          <w:tcPr>
            <w:tcW w:w="4800" w:type="dxa"/>
            <w:vAlign w:val="bottom"/>
          </w:tcPr>
          <w:p>
            <w:pPr>
              <w:ind w:left="220"/>
              <w:spacing w:after="0"/>
              <w:rPr>
                <w:sz w:val="20"/>
                <w:szCs w:val="20"/>
                <w:color w:val="auto"/>
              </w:rPr>
            </w:pPr>
            <w:r>
              <w:rPr>
                <w:rFonts w:ascii="Arial" w:cs="Arial" w:eastAsia="Arial" w:hAnsi="Arial"/>
                <w:sz w:val="14"/>
                <w:szCs w:val="14"/>
                <w:color w:val="auto"/>
              </w:rPr>
              <w:t>Studios</w:t>
            </w:r>
          </w:p>
        </w:tc>
        <w:tc>
          <w:tcPr>
            <w:tcW w:w="78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682</w:t>
            </w:r>
          </w:p>
        </w:tc>
        <w:tc>
          <w:tcPr>
            <w:tcW w:w="96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615</w:t>
            </w:r>
          </w:p>
        </w:tc>
        <w:tc>
          <w:tcPr>
            <w:tcW w:w="92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2,357</w:t>
            </w:r>
          </w:p>
        </w:tc>
        <w:tc>
          <w:tcPr>
            <w:tcW w:w="6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1,780</w:t>
            </w:r>
          </w:p>
        </w:tc>
      </w:tr>
      <w:tr>
        <w:trPr>
          <w:trHeight w:val="183"/>
        </w:trPr>
        <w:tc>
          <w:tcPr>
            <w:tcW w:w="4800" w:type="dxa"/>
            <w:vAlign w:val="bottom"/>
          </w:tcPr>
          <w:p>
            <w:pPr>
              <w:ind w:left="220"/>
              <w:spacing w:after="0"/>
              <w:rPr>
                <w:sz w:val="20"/>
                <w:szCs w:val="20"/>
                <w:color w:val="auto"/>
              </w:rPr>
            </w:pPr>
            <w:r>
              <w:rPr>
                <w:rFonts w:ascii="Arial" w:cs="Arial" w:eastAsia="Arial" w:hAnsi="Arial"/>
                <w:sz w:val="14"/>
                <w:szCs w:val="14"/>
                <w:color w:val="auto"/>
              </w:rPr>
              <w:t>Theme Parks</w:t>
            </w:r>
          </w:p>
        </w:tc>
        <w:tc>
          <w:tcPr>
            <w:tcW w:w="78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6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800" w:type="dxa"/>
            <w:vAlign w:val="bottom"/>
          </w:tcPr>
          <w:p>
            <w:pPr>
              <w:ind w:left="220"/>
              <w:spacing w:after="0"/>
              <w:rPr>
                <w:sz w:val="20"/>
                <w:szCs w:val="20"/>
                <w:color w:val="auto"/>
              </w:rPr>
            </w:pPr>
            <w:r>
              <w:rPr>
                <w:rFonts w:ascii="Arial" w:cs="Arial" w:eastAsia="Arial" w:hAnsi="Arial"/>
                <w:sz w:val="14"/>
                <w:szCs w:val="14"/>
                <w:color w:val="auto"/>
              </w:rPr>
              <w:t>Headquarters and Other</w:t>
            </w:r>
          </w:p>
        </w:tc>
        <w:tc>
          <w:tcPr>
            <w:tcW w:w="78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23</w:t>
            </w:r>
          </w:p>
        </w:tc>
        <w:tc>
          <w:tcPr>
            <w:tcW w:w="96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9</w:t>
            </w:r>
          </w:p>
        </w:tc>
        <w:tc>
          <w:tcPr>
            <w:tcW w:w="92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52</w:t>
            </w:r>
          </w:p>
        </w:tc>
        <w:tc>
          <w:tcPr>
            <w:tcW w:w="6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3"/>
        </w:trPr>
        <w:tc>
          <w:tcPr>
            <w:tcW w:w="4800" w:type="dxa"/>
            <w:vAlign w:val="bottom"/>
          </w:tcPr>
          <w:p>
            <w:pPr>
              <w:ind w:left="20"/>
              <w:spacing w:after="0"/>
              <w:rPr>
                <w:sz w:val="20"/>
                <w:szCs w:val="20"/>
                <w:color w:val="auto"/>
              </w:rPr>
            </w:pPr>
            <w:r>
              <w:rPr>
                <w:rFonts w:ascii="Arial" w:cs="Arial" w:eastAsia="Arial" w:hAnsi="Arial"/>
                <w:sz w:val="14"/>
                <w:szCs w:val="14"/>
                <w:color w:val="auto"/>
              </w:rPr>
              <w:t>Sky</w:t>
            </w:r>
          </w:p>
        </w:tc>
        <w:tc>
          <w:tcPr>
            <w:tcW w:w="78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3</w:t>
            </w:r>
          </w:p>
        </w:tc>
        <w:tc>
          <w:tcPr>
            <w:tcW w:w="960" w:type="dxa"/>
            <w:vAlign w:val="bottom"/>
          </w:tcPr>
          <w:p>
            <w:pPr>
              <w:spacing w:after="0"/>
              <w:rPr>
                <w:sz w:val="15"/>
                <w:szCs w:val="15"/>
                <w:color w:val="auto"/>
              </w:rPr>
            </w:pP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6</w:t>
            </w:r>
          </w:p>
        </w:tc>
        <w:tc>
          <w:tcPr>
            <w:tcW w:w="92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26</w:t>
            </w:r>
          </w:p>
        </w:tc>
        <w:tc>
          <w:tcPr>
            <w:tcW w:w="6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 and Other</w:t>
            </w:r>
          </w:p>
        </w:tc>
        <w:tc>
          <w:tcPr>
            <w:tcW w:w="7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32</w:t>
            </w: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24</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137</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188"/>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intersegment revenue</w:t>
            </w:r>
          </w:p>
        </w:tc>
        <w:tc>
          <w:tcPr>
            <w:tcW w:w="78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1,525</w:t>
            </w:r>
          </w:p>
        </w:tc>
        <w:tc>
          <w:tcPr>
            <w:tcW w:w="96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1,189</w:t>
            </w:r>
          </w:p>
        </w:tc>
        <w:tc>
          <w:tcPr>
            <w:tcW w:w="92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4,535</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3,483</w:t>
            </w:r>
          </w:p>
        </w:tc>
      </w:tr>
    </w:tbl>
    <w:p>
      <w:pPr>
        <w:spacing w:after="0" w:line="283" w:lineRule="exact"/>
        <w:rPr>
          <w:sz w:val="20"/>
          <w:szCs w:val="20"/>
          <w:color w:val="auto"/>
        </w:rPr>
      </w:pPr>
    </w:p>
    <w:p>
      <w:pPr>
        <w:jc w:val="both"/>
        <w:ind w:left="320" w:hanging="315"/>
        <w:spacing w:after="0" w:line="247" w:lineRule="auto"/>
        <w:tabs>
          <w:tab w:leader="none" w:pos="312"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From time to time we may report the impact of certain events, gains, losses or other charges related to our operating segments (such as certain costs incurred in response to COVID-19, including severance charges), within Corporate and Other. Our reconciliation of the aggregate amount of Adjusted EBITDA for our reportable segments to consolidated income before income taxes is presented in the table below.</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2"/>
          </w:tcPr>
          <w:p>
            <w:pPr>
              <w:jc w:val="right"/>
              <w:ind w:right="250"/>
              <w:spacing w:after="0"/>
              <w:rPr>
                <w:sz w:val="20"/>
                <w:szCs w:val="20"/>
                <w:color w:val="auto"/>
              </w:rPr>
            </w:pPr>
            <w:r>
              <w:rPr>
                <w:rFonts w:ascii="Arial" w:cs="Arial" w:eastAsia="Arial" w:hAnsi="Arial"/>
                <w:sz w:val="14"/>
                <w:szCs w:val="14"/>
                <w:color w:val="auto"/>
                <w:w w:val="88"/>
              </w:rPr>
              <w:t>Three Months Ended</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00" w:type="dxa"/>
            <w:vAlign w:val="bottom"/>
          </w:tcPr>
          <w:p>
            <w:pPr>
              <w:spacing w:after="0"/>
              <w:rPr>
                <w:sz w:val="14"/>
                <w:szCs w:val="14"/>
                <w:color w:val="auto"/>
              </w:rPr>
            </w:pPr>
          </w:p>
        </w:tc>
      </w:tr>
      <w:tr>
        <w:trPr>
          <w:trHeight w:val="178"/>
        </w:trPr>
        <w:tc>
          <w:tcPr>
            <w:tcW w:w="48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color w:val="auto"/>
              </w:rPr>
              <w:t>September 30,</w:t>
            </w: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5"/>
                <w:szCs w:val="15"/>
                <w:color w:val="auto"/>
              </w:rPr>
            </w:pPr>
          </w:p>
        </w:tc>
      </w:tr>
      <w:tr>
        <w:trPr>
          <w:trHeight w:val="17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w w:val="89"/>
              </w:rPr>
              <w:t>2020</w:t>
            </w:r>
          </w:p>
        </w:tc>
      </w:tr>
      <w:tr>
        <w:trPr>
          <w:trHeight w:val="174"/>
        </w:trPr>
        <w:tc>
          <w:tcPr>
            <w:tcW w:w="48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780" w:type="dxa"/>
            <w:vAlign w:val="bottom"/>
          </w:tcPr>
          <w:p>
            <w:pPr>
              <w:jc w:val="right"/>
              <w:ind w:right="63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8,957</w:t>
            </w:r>
          </w:p>
        </w:tc>
        <w:tc>
          <w:tcPr>
            <w:tcW w:w="920" w:type="dxa"/>
            <w:vAlign w:val="bottom"/>
          </w:tcPr>
          <w:p>
            <w:pPr>
              <w:jc w:val="right"/>
              <w:ind w:right="67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0"/>
              <w:spacing w:after="0"/>
              <w:rPr>
                <w:sz w:val="20"/>
                <w:szCs w:val="20"/>
                <w:color w:val="auto"/>
              </w:rPr>
            </w:pPr>
            <w:r>
              <w:rPr>
                <w:rFonts w:ascii="Arial" w:cs="Arial" w:eastAsia="Arial" w:hAnsi="Arial"/>
                <w:sz w:val="14"/>
                <w:szCs w:val="14"/>
                <w:color w:val="auto"/>
              </w:rPr>
              <w:t>7,583</w:t>
            </w:r>
          </w:p>
        </w:tc>
        <w:tc>
          <w:tcPr>
            <w:tcW w:w="4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26,297</w:t>
            </w:r>
          </w:p>
        </w:tc>
        <w:tc>
          <w:tcPr>
            <w:tcW w:w="58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23,640</w:t>
            </w:r>
          </w:p>
        </w:tc>
      </w:tr>
      <w:tr>
        <w:trPr>
          <w:trHeight w:val="178"/>
        </w:trPr>
        <w:tc>
          <w:tcPr>
            <w:tcW w:w="480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7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(30)</w:t>
            </w:r>
          </w:p>
        </w:tc>
        <w:tc>
          <w:tcPr>
            <w:tcW w:w="920" w:type="dxa"/>
            <w:vAlign w:val="bottom"/>
          </w:tcPr>
          <w:p>
            <w:pPr>
              <w:spacing w:after="0"/>
              <w:rPr>
                <w:sz w:val="15"/>
                <w:szCs w:val="15"/>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(187)</w:t>
            </w:r>
          </w:p>
        </w:tc>
        <w:tc>
          <w:tcPr>
            <w:tcW w:w="400" w:type="dxa"/>
            <w:vAlign w:val="bottom"/>
          </w:tcPr>
          <w:p>
            <w:pPr>
              <w:spacing w:after="0"/>
              <w:rPr>
                <w:sz w:val="15"/>
                <w:szCs w:val="15"/>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(79)</w:t>
            </w: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183"/>
        </w:trPr>
        <w:tc>
          <w:tcPr>
            <w:tcW w:w="48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7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w w:val="99"/>
              </w:rPr>
              <w:t>(2,177)</w:t>
            </w:r>
          </w:p>
        </w:tc>
        <w:tc>
          <w:tcPr>
            <w:tcW w:w="920" w:type="dxa"/>
            <w:vAlign w:val="bottom"/>
          </w:tcPr>
          <w:p>
            <w:pPr>
              <w:spacing w:after="0"/>
              <w:rPr>
                <w:sz w:val="15"/>
                <w:szCs w:val="15"/>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w w:val="94"/>
              </w:rPr>
              <w:t>(2,122)</w:t>
            </w:r>
          </w:p>
        </w:tc>
        <w:tc>
          <w:tcPr>
            <w:tcW w:w="400" w:type="dxa"/>
            <w:vAlign w:val="bottom"/>
          </w:tcPr>
          <w:p>
            <w:pPr>
              <w:spacing w:after="0"/>
              <w:rPr>
                <w:sz w:val="15"/>
                <w:szCs w:val="15"/>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(6,407)</w:t>
            </w: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(6,328)</w:t>
            </w:r>
          </w:p>
        </w:tc>
      </w:tr>
      <w:tr>
        <w:trPr>
          <w:trHeight w:val="183"/>
        </w:trPr>
        <w:tc>
          <w:tcPr>
            <w:tcW w:w="48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w w:val="99"/>
              </w:rPr>
              <w:t>(1,301)</w:t>
            </w:r>
          </w:p>
        </w:tc>
        <w:tc>
          <w:tcPr>
            <w:tcW w:w="920" w:type="dxa"/>
            <w:vAlign w:val="bottom"/>
          </w:tcPr>
          <w:p>
            <w:pPr>
              <w:spacing w:after="0"/>
              <w:rPr>
                <w:sz w:val="15"/>
                <w:szCs w:val="15"/>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w w:val="94"/>
              </w:rPr>
              <w:t>(1,198)</w:t>
            </w:r>
          </w:p>
        </w:tc>
        <w:tc>
          <w:tcPr>
            <w:tcW w:w="400" w:type="dxa"/>
            <w:vAlign w:val="bottom"/>
          </w:tcPr>
          <w:p>
            <w:pPr>
              <w:spacing w:after="0"/>
              <w:rPr>
                <w:sz w:val="15"/>
                <w:szCs w:val="15"/>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(3,815)</w:t>
            </w: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(3,520)</w:t>
            </w:r>
          </w:p>
        </w:tc>
      </w:tr>
      <w:tr>
        <w:trPr>
          <w:trHeight w:val="183"/>
        </w:trPr>
        <w:tc>
          <w:tcPr>
            <w:tcW w:w="48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7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w w:val="99"/>
              </w:rPr>
              <w:t>(1,050)</w:t>
            </w:r>
          </w:p>
        </w:tc>
        <w:tc>
          <w:tcPr>
            <w:tcW w:w="920" w:type="dxa"/>
            <w:vAlign w:val="bottom"/>
          </w:tcPr>
          <w:p>
            <w:pPr>
              <w:spacing w:after="0"/>
              <w:rPr>
                <w:sz w:val="15"/>
                <w:szCs w:val="15"/>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w w:val="94"/>
              </w:rPr>
              <w:t>(1,220)</w:t>
            </w:r>
          </w:p>
        </w:tc>
        <w:tc>
          <w:tcPr>
            <w:tcW w:w="400" w:type="dxa"/>
            <w:vAlign w:val="bottom"/>
          </w:tcPr>
          <w:p>
            <w:pPr>
              <w:spacing w:after="0"/>
              <w:rPr>
                <w:sz w:val="15"/>
                <w:szCs w:val="15"/>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(3,161)</w:t>
            </w: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(3,544)</w:t>
            </w:r>
          </w:p>
        </w:tc>
      </w:tr>
      <w:tr>
        <w:trPr>
          <w:trHeight w:val="18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7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766</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(86)</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2,374</w:t>
            </w: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r>
      <w:tr>
        <w:trPr>
          <w:trHeight w:val="188"/>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78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5,166</w:t>
            </w:r>
          </w:p>
        </w:tc>
        <w:tc>
          <w:tcPr>
            <w:tcW w:w="92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2,770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15,208</w:t>
            </w: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9,649</w:t>
            </w:r>
          </w:p>
        </w:tc>
      </w:tr>
    </w:tbl>
    <w:p>
      <w:pPr>
        <w:spacing w:after="0" w:line="112" w:lineRule="exact"/>
        <w:rPr>
          <w:sz w:val="20"/>
          <w:szCs w:val="20"/>
          <w:color w:val="auto"/>
        </w:rPr>
      </w:pPr>
    </w:p>
    <w:p>
      <w:pPr>
        <w:jc w:val="both"/>
        <w:ind w:left="320" w:right="400"/>
        <w:spacing w:after="0" w:line="260" w:lineRule="auto"/>
        <w:rPr>
          <w:sz w:val="20"/>
          <w:szCs w:val="20"/>
          <w:color w:val="auto"/>
        </w:rPr>
      </w:pPr>
      <w:r>
        <w:rPr>
          <w:rFonts w:ascii="Arial" w:cs="Arial" w:eastAsia="Arial" w:hAnsi="Arial"/>
          <w:sz w:val="14"/>
          <w:szCs w:val="14"/>
          <w:color w:val="auto"/>
        </w:rPr>
        <w:t>Adjustments represent the impacts of certain events, gains, losses or other charges that are excluded from Adjusted EBITDA, including Sky transaction-related costs and costs related to our investment portfolio. Adjustments for the three and nine months ended September 30, 2020 also include $177 million related to a legal settlement.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by Segment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for the nine months ended September 30, 2021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NBCUniversal</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9"/>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Cable</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Cable</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Broadcast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Filmed</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Theme</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ind w:left="80"/>
              <w:spacing w:after="0"/>
              <w:rPr>
                <w:sz w:val="20"/>
                <w:szCs w:val="20"/>
                <w:color w:val="auto"/>
              </w:rPr>
            </w:pPr>
            <w:r>
              <w:rPr>
                <w:rFonts w:ascii="Arial" w:cs="Arial" w:eastAsia="Arial" w:hAnsi="Arial"/>
                <w:sz w:val="14"/>
                <w:szCs w:val="14"/>
                <w:color w:val="auto"/>
              </w:rPr>
              <w:t>Corporate</w:t>
            </w:r>
          </w:p>
        </w:tc>
        <w:tc>
          <w:tcPr>
            <w:tcW w:w="480" w:type="dxa"/>
            <w:vAlign w:val="bottom"/>
          </w:tcPr>
          <w:p>
            <w:pPr>
              <w:spacing w:after="0"/>
              <w:rPr>
                <w:sz w:val="16"/>
                <w:szCs w:val="16"/>
                <w:color w:val="auto"/>
              </w:rPr>
            </w:pPr>
          </w:p>
        </w:tc>
      </w:tr>
      <w:tr>
        <w:trPr>
          <w:trHeight w:val="19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Communications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Networks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Television</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Entertainment</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Media</w:t>
            </w: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Studios</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Parks</w:t>
            </w: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Sky</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and Other</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221"/>
        </w:trPr>
        <w:tc>
          <w:tcPr>
            <w:tcW w:w="2760" w:type="dxa"/>
            <w:vAlign w:val="bottom"/>
          </w:tcPr>
          <w:p>
            <w:pPr>
              <w:ind w:left="20"/>
              <w:spacing w:after="0"/>
              <w:rPr>
                <w:sz w:val="20"/>
                <w:szCs w:val="20"/>
                <w:color w:val="auto"/>
              </w:rPr>
            </w:pPr>
            <w:r>
              <w:rPr>
                <w:rFonts w:ascii="Arial" w:cs="Arial" w:eastAsia="Arial" w:hAnsi="Arial"/>
                <w:sz w:val="17"/>
                <w:szCs w:val="17"/>
                <w:color w:val="auto"/>
              </w:rPr>
              <w:t>Balance, December 31, 2020</w:t>
            </w:r>
          </w:p>
        </w:tc>
        <w:tc>
          <w:tcPr>
            <w:tcW w:w="2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14.0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720" w:type="dxa"/>
            <w:vAlign w:val="bottom"/>
            <w:gridSpan w:val="2"/>
          </w:tcPr>
          <w:p>
            <w:pPr>
              <w:jc w:val="right"/>
              <w:ind w:right="53"/>
              <w:spacing w:after="0"/>
              <w:rPr>
                <w:sz w:val="20"/>
                <w:szCs w:val="20"/>
                <w:color w:val="auto"/>
              </w:rPr>
            </w:pPr>
            <w:r>
              <w:rPr>
                <w:rFonts w:ascii="Arial" w:cs="Arial" w:eastAsia="Arial" w:hAnsi="Arial"/>
                <w:sz w:val="17"/>
                <w:szCs w:val="17"/>
                <w:color w:val="auto"/>
              </w:rPr>
              <w:t>— $</w:t>
            </w:r>
          </w:p>
        </w:tc>
        <w:tc>
          <w:tcPr>
            <w:tcW w:w="540" w:type="dxa"/>
            <w:vAlign w:val="bottom"/>
          </w:tcPr>
          <w:p>
            <w:pPr>
              <w:jc w:val="right"/>
              <w:spacing w:after="0"/>
              <w:rPr>
                <w:sz w:val="20"/>
                <w:szCs w:val="20"/>
                <w:color w:val="auto"/>
              </w:rPr>
            </w:pPr>
            <w:r>
              <w:rPr>
                <w:rFonts w:ascii="Arial" w:cs="Arial" w:eastAsia="Arial" w:hAnsi="Arial"/>
                <w:sz w:val="17"/>
                <w:szCs w:val="17"/>
                <w:color w:val="auto"/>
              </w:rPr>
              <w:t>7.0</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30.0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ind w:left="420"/>
              <w:spacing w:after="0"/>
              <w:rPr>
                <w:sz w:val="20"/>
                <w:szCs w:val="20"/>
                <w:color w:val="auto"/>
              </w:rPr>
            </w:pPr>
            <w:r>
              <w:rPr>
                <w:rFonts w:ascii="Arial" w:cs="Arial" w:eastAsia="Arial" w:hAnsi="Arial"/>
                <w:sz w:val="17"/>
                <w:szCs w:val="17"/>
                <w:color w:val="auto"/>
              </w:rPr>
              <w:t>— $</w:t>
            </w:r>
          </w:p>
        </w:tc>
        <w:tc>
          <w:tcPr>
            <w:tcW w:w="480" w:type="dxa"/>
            <w:vAlign w:val="bottom"/>
          </w:tcPr>
          <w:p>
            <w:pPr>
              <w:jc w:val="right"/>
              <w:spacing w:after="0"/>
              <w:rPr>
                <w:sz w:val="20"/>
                <w:szCs w:val="20"/>
                <w:color w:val="auto"/>
              </w:rPr>
            </w:pPr>
            <w:r>
              <w:rPr>
                <w:rFonts w:ascii="Arial" w:cs="Arial" w:eastAsia="Arial" w:hAnsi="Arial"/>
                <w:sz w:val="17"/>
                <w:szCs w:val="17"/>
                <w:color w:val="auto"/>
              </w:rPr>
              <w:t>70.7</w:t>
            </w:r>
          </w:p>
        </w:tc>
      </w:tr>
      <w:tr>
        <w:trPr>
          <w:trHeight w:val="223"/>
        </w:trPr>
        <w:tc>
          <w:tcPr>
            <w:tcW w:w="2760" w:type="dxa"/>
            <w:vAlign w:val="bottom"/>
          </w:tcPr>
          <w:p>
            <w:pPr>
              <w:ind w:left="20"/>
              <w:spacing w:after="0"/>
              <w:rPr>
                <w:sz w:val="20"/>
                <w:szCs w:val="20"/>
                <w:color w:val="auto"/>
              </w:rPr>
            </w:pPr>
            <w:r>
              <w:rPr>
                <w:rFonts w:ascii="Arial" w:cs="Arial" w:eastAsia="Arial" w:hAnsi="Arial"/>
                <w:sz w:val="17"/>
                <w:szCs w:val="17"/>
                <w:color w:val="auto"/>
              </w:rPr>
              <w:t>Segment change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14.7</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ind w:left="42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4"/>
              </w:rPr>
              <w:t>Foreign currency translation and other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September 30, 2021</w:t>
            </w:r>
          </w:p>
        </w:tc>
        <w:tc>
          <w:tcPr>
            <w:tcW w:w="2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 $</w:t>
            </w:r>
          </w:p>
        </w:tc>
        <w:tc>
          <w:tcPr>
            <w:tcW w:w="9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b w:val="1"/>
                <w:bCs w:val="1"/>
                <w:color w:val="auto"/>
              </w:rPr>
              <w:t>— $</w:t>
            </w:r>
          </w:p>
        </w:tc>
        <w:tc>
          <w:tcPr>
            <w:tcW w:w="11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b w:val="1"/>
                <w:bCs w:val="1"/>
                <w:color w:val="auto"/>
              </w:rPr>
              <w:t>— $</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69.6</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3: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20" w:type="dxa"/>
            <w:vAlign w:val="bottom"/>
          </w:tcPr>
          <w:p>
            <w:pPr>
              <w:spacing w:after="0"/>
              <w:rPr>
                <w:sz w:val="14"/>
                <w:szCs w:val="14"/>
                <w:color w:val="auto"/>
              </w:rPr>
            </w:pPr>
          </w:p>
        </w:tc>
      </w:tr>
      <w:tr>
        <w:trPr>
          <w:trHeight w:val="178"/>
        </w:trPr>
        <w:tc>
          <w:tcPr>
            <w:tcW w:w="5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5"/>
                <w:szCs w:val="15"/>
                <w:color w:val="auto"/>
              </w:rPr>
            </w:pPr>
          </w:p>
        </w:tc>
      </w:tr>
      <w:tr>
        <w:trPr>
          <w:trHeight w:val="17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w w:val="83"/>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w w:val="89"/>
              </w:rPr>
              <w:t>2020</w:t>
            </w: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7"/>
                <w:szCs w:val="17"/>
                <w:color w:val="auto"/>
              </w:rPr>
              <w:t>Broadband</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5,801</w:t>
            </w:r>
          </w:p>
        </w:tc>
        <w:tc>
          <w:tcPr>
            <w:tcW w:w="6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5,198</w:t>
            </w:r>
          </w:p>
        </w:tc>
        <w:tc>
          <w:tcPr>
            <w:tcW w:w="4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17,118</w:t>
            </w:r>
          </w:p>
        </w:tc>
        <w:tc>
          <w:tcPr>
            <w:tcW w:w="6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15,199</w:t>
            </w:r>
          </w:p>
        </w:tc>
      </w:tr>
      <w:tr>
        <w:trPr>
          <w:trHeight w:val="223"/>
        </w:trPr>
        <w:tc>
          <w:tcPr>
            <w:tcW w:w="5380" w:type="dxa"/>
            <w:vAlign w:val="bottom"/>
          </w:tcPr>
          <w:p>
            <w:pPr>
              <w:ind w:left="140"/>
              <w:spacing w:after="0"/>
              <w:rPr>
                <w:sz w:val="20"/>
                <w:szCs w:val="20"/>
                <w:color w:val="auto"/>
              </w:rPr>
            </w:pPr>
            <w:r>
              <w:rPr>
                <w:rFonts w:ascii="Arial" w:cs="Arial" w:eastAsia="Arial" w:hAnsi="Arial"/>
                <w:sz w:val="17"/>
                <w:szCs w:val="17"/>
                <w:color w:val="auto"/>
              </w:rPr>
              <w:t>Video</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5,499</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5,421</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16,676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16,468</w:t>
            </w:r>
          </w:p>
        </w:tc>
      </w:tr>
      <w:tr>
        <w:trPr>
          <w:trHeight w:val="223"/>
        </w:trPr>
        <w:tc>
          <w:tcPr>
            <w:tcW w:w="5380" w:type="dxa"/>
            <w:vAlign w:val="bottom"/>
          </w:tcPr>
          <w:p>
            <w:pPr>
              <w:ind w:left="140"/>
              <w:spacing w:after="0"/>
              <w:rPr>
                <w:sz w:val="20"/>
                <w:szCs w:val="20"/>
                <w:color w:val="auto"/>
              </w:rPr>
            </w:pPr>
            <w:r>
              <w:rPr>
                <w:rFonts w:ascii="Arial" w:cs="Arial" w:eastAsia="Arial" w:hAnsi="Arial"/>
                <w:sz w:val="17"/>
                <w:szCs w:val="17"/>
                <w:color w:val="auto"/>
              </w:rPr>
              <w:t>Voice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851</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876</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2,592</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2,652</w:t>
            </w:r>
          </w:p>
        </w:tc>
      </w:tr>
      <w:tr>
        <w:trPr>
          <w:trHeight w:val="223"/>
        </w:trPr>
        <w:tc>
          <w:tcPr>
            <w:tcW w:w="5380" w:type="dxa"/>
            <w:vAlign w:val="bottom"/>
          </w:tcPr>
          <w:p>
            <w:pPr>
              <w:ind w:left="140"/>
              <w:spacing w:after="0"/>
              <w:rPr>
                <w:sz w:val="20"/>
                <w:szCs w:val="20"/>
                <w:color w:val="auto"/>
              </w:rPr>
            </w:pPr>
            <w:r>
              <w:rPr>
                <w:rFonts w:ascii="Arial" w:cs="Arial" w:eastAsia="Arial" w:hAnsi="Arial"/>
                <w:sz w:val="17"/>
                <w:szCs w:val="17"/>
                <w:color w:val="auto"/>
              </w:rPr>
              <w:t>Wireless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603</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400</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1,672</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1,069</w:t>
            </w:r>
          </w:p>
        </w:tc>
      </w:tr>
      <w:tr>
        <w:trPr>
          <w:trHeight w:val="223"/>
        </w:trPr>
        <w:tc>
          <w:tcPr>
            <w:tcW w:w="5380" w:type="dxa"/>
            <w:vAlign w:val="bottom"/>
          </w:tcPr>
          <w:p>
            <w:pPr>
              <w:ind w:left="20"/>
              <w:spacing w:after="0"/>
              <w:rPr>
                <w:sz w:val="20"/>
                <w:szCs w:val="20"/>
                <w:color w:val="auto"/>
              </w:rPr>
            </w:pPr>
            <w:r>
              <w:rPr>
                <w:rFonts w:ascii="Arial" w:cs="Arial" w:eastAsia="Arial" w:hAnsi="Arial"/>
                <w:sz w:val="17"/>
                <w:szCs w:val="17"/>
                <w:color w:val="auto"/>
              </w:rPr>
              <w:t>Business services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2,227</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2,049</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6,597</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6,096</w:t>
            </w:r>
          </w:p>
        </w:tc>
      </w:tr>
      <w:tr>
        <w:trPr>
          <w:trHeight w:val="223"/>
        </w:trPr>
        <w:tc>
          <w:tcPr>
            <w:tcW w:w="5380" w:type="dxa"/>
            <w:vAlign w:val="bottom"/>
          </w:tcPr>
          <w:p>
            <w:pPr>
              <w:ind w:left="20"/>
              <w:spacing w:after="0"/>
              <w:rPr>
                <w:sz w:val="20"/>
                <w:szCs w:val="20"/>
                <w:color w:val="auto"/>
              </w:rPr>
            </w:pPr>
            <w:r>
              <w:rPr>
                <w:rFonts w:ascii="Arial" w:cs="Arial" w:eastAsia="Arial" w:hAnsi="Arial"/>
                <w:sz w:val="17"/>
                <w:szCs w:val="17"/>
                <w:color w:val="auto"/>
              </w:rPr>
              <w:t>Advertising</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705</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674</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2,002</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1,659</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427</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382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1,265</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1,203</w:t>
            </w:r>
          </w:p>
        </w:tc>
      </w:tr>
      <w:tr>
        <w:trPr>
          <w:trHeight w:val="216"/>
        </w:trPr>
        <w:tc>
          <w:tcPr>
            <w:tcW w:w="5380" w:type="dxa"/>
            <w:vAlign w:val="bottom"/>
          </w:tcPr>
          <w:p>
            <w:pPr>
              <w:ind w:left="20"/>
              <w:spacing w:after="0"/>
              <w:rPr>
                <w:sz w:val="20"/>
                <w:szCs w:val="20"/>
                <w:color w:val="auto"/>
              </w:rPr>
            </w:pPr>
            <w:r>
              <w:rPr>
                <w:rFonts w:ascii="Arial" w:cs="Arial" w:eastAsia="Arial" w:hAnsi="Arial"/>
                <w:sz w:val="17"/>
                <w:szCs w:val="17"/>
                <w:color w:val="auto"/>
              </w:rPr>
              <w:t>Total Cable Communications</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16,115</w:t>
            </w:r>
          </w:p>
        </w:tc>
        <w:tc>
          <w:tcPr>
            <w:tcW w:w="62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15,000</w:t>
            </w:r>
          </w:p>
        </w:tc>
        <w:tc>
          <w:tcPr>
            <w:tcW w:w="42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47,922</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44,346</w:t>
            </w:r>
          </w:p>
        </w:tc>
      </w:tr>
      <w:tr>
        <w:trPr>
          <w:trHeight w:val="327"/>
        </w:trPr>
        <w:tc>
          <w:tcPr>
            <w:tcW w:w="5380" w:type="dxa"/>
            <w:vAlign w:val="bottom"/>
          </w:tcPr>
          <w:p>
            <w:pPr>
              <w:ind w:left="20"/>
              <w:spacing w:after="0"/>
              <w:rPr>
                <w:sz w:val="20"/>
                <w:szCs w:val="20"/>
                <w:color w:val="auto"/>
              </w:rPr>
            </w:pPr>
            <w:r>
              <w:rPr>
                <w:rFonts w:ascii="Arial" w:cs="Arial" w:eastAsia="Arial" w:hAnsi="Arial"/>
                <w:sz w:val="17"/>
                <w:szCs w:val="17"/>
                <w:color w:val="auto"/>
              </w:rPr>
              <w:t>Advertising</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3,255</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1,881</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7,537</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5,696</w:t>
            </w:r>
          </w:p>
        </w:tc>
      </w:tr>
      <w:tr>
        <w:trPr>
          <w:trHeight w:val="223"/>
        </w:trPr>
        <w:tc>
          <w:tcPr>
            <w:tcW w:w="5380" w:type="dxa"/>
            <w:vAlign w:val="bottom"/>
          </w:tcPr>
          <w:p>
            <w:pPr>
              <w:ind w:left="20"/>
              <w:spacing w:after="0"/>
              <w:rPr>
                <w:sz w:val="20"/>
                <w:szCs w:val="20"/>
                <w:color w:val="auto"/>
              </w:rPr>
            </w:pPr>
            <w:r>
              <w:rPr>
                <w:rFonts w:ascii="Arial" w:cs="Arial" w:eastAsia="Arial" w:hAnsi="Arial"/>
                <w:sz w:val="17"/>
                <w:szCs w:val="17"/>
                <w:color w:val="auto"/>
              </w:rPr>
              <w:t>Distribution</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2,987</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2,194</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7,934</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6,541</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528</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514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1,483</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1,326</w:t>
            </w:r>
          </w:p>
        </w:tc>
      </w:tr>
      <w:tr>
        <w:trPr>
          <w:trHeight w:val="216"/>
        </w:trPr>
        <w:tc>
          <w:tcPr>
            <w:tcW w:w="5380" w:type="dxa"/>
            <w:vAlign w:val="bottom"/>
          </w:tcPr>
          <w:p>
            <w:pPr>
              <w:ind w:left="20"/>
              <w:spacing w:after="0"/>
              <w:rPr>
                <w:sz w:val="20"/>
                <w:szCs w:val="20"/>
                <w:color w:val="auto"/>
              </w:rPr>
            </w:pPr>
            <w:r>
              <w:rPr>
                <w:rFonts w:ascii="Arial" w:cs="Arial" w:eastAsia="Arial" w:hAnsi="Arial"/>
                <w:sz w:val="17"/>
                <w:szCs w:val="17"/>
                <w:color w:val="auto"/>
              </w:rPr>
              <w:t>Total Media</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6,770</w:t>
            </w:r>
          </w:p>
        </w:tc>
        <w:tc>
          <w:tcPr>
            <w:tcW w:w="62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4,589</w:t>
            </w:r>
          </w:p>
        </w:tc>
        <w:tc>
          <w:tcPr>
            <w:tcW w:w="42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16,955</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13,563</w:t>
            </w:r>
          </w:p>
        </w:tc>
      </w:tr>
      <w:tr>
        <w:trPr>
          <w:trHeight w:val="327"/>
        </w:trPr>
        <w:tc>
          <w:tcPr>
            <w:tcW w:w="5380" w:type="dxa"/>
            <w:vAlign w:val="bottom"/>
          </w:tcPr>
          <w:p>
            <w:pPr>
              <w:ind w:left="20"/>
              <w:spacing w:after="0"/>
              <w:rPr>
                <w:sz w:val="20"/>
                <w:szCs w:val="20"/>
                <w:color w:val="auto"/>
              </w:rPr>
            </w:pPr>
            <w:r>
              <w:rPr>
                <w:rFonts w:ascii="Arial" w:cs="Arial" w:eastAsia="Arial" w:hAnsi="Arial"/>
                <w:sz w:val="17"/>
                <w:szCs w:val="17"/>
                <w:color w:val="auto"/>
              </w:rPr>
              <w:t>Content licensing</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1,827</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1,584</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5,683</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5,149</w:t>
            </w:r>
          </w:p>
        </w:tc>
      </w:tr>
      <w:tr>
        <w:trPr>
          <w:trHeight w:val="223"/>
        </w:trPr>
        <w:tc>
          <w:tcPr>
            <w:tcW w:w="5380" w:type="dxa"/>
            <w:vAlign w:val="bottom"/>
          </w:tcPr>
          <w:p>
            <w:pPr>
              <w:ind w:left="20"/>
              <w:spacing w:after="0"/>
              <w:rPr>
                <w:sz w:val="20"/>
                <w:szCs w:val="20"/>
                <w:color w:val="auto"/>
              </w:rPr>
            </w:pPr>
            <w:r>
              <w:rPr>
                <w:rFonts w:ascii="Arial" w:cs="Arial" w:eastAsia="Arial" w:hAnsi="Arial"/>
                <w:sz w:val="17"/>
                <w:szCs w:val="17"/>
                <w:color w:val="auto"/>
              </w:rPr>
              <w:t>Theatrical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307</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28</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544</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351</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Home entertainment and 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273</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286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801</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w:t>
            </w:r>
          </w:p>
        </w:tc>
      </w:tr>
      <w:tr>
        <w:trPr>
          <w:trHeight w:val="216"/>
        </w:trPr>
        <w:tc>
          <w:tcPr>
            <w:tcW w:w="5380" w:type="dxa"/>
            <w:vAlign w:val="bottom"/>
          </w:tcPr>
          <w:p>
            <w:pPr>
              <w:ind w:left="20"/>
              <w:spacing w:after="0"/>
              <w:rPr>
                <w:sz w:val="20"/>
                <w:szCs w:val="20"/>
                <w:color w:val="auto"/>
              </w:rPr>
            </w:pPr>
            <w:r>
              <w:rPr>
                <w:rFonts w:ascii="Arial" w:cs="Arial" w:eastAsia="Arial" w:hAnsi="Arial"/>
                <w:sz w:val="17"/>
                <w:szCs w:val="17"/>
                <w:color w:val="auto"/>
              </w:rPr>
              <w:t>Total Studios</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2,407</w:t>
            </w:r>
          </w:p>
        </w:tc>
        <w:tc>
          <w:tcPr>
            <w:tcW w:w="62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1,898</w:t>
            </w:r>
          </w:p>
        </w:tc>
        <w:tc>
          <w:tcPr>
            <w:tcW w:w="42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7,027</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6,359</w:t>
            </w:r>
          </w:p>
        </w:tc>
      </w:tr>
      <w:tr>
        <w:trPr>
          <w:trHeight w:val="327"/>
        </w:trPr>
        <w:tc>
          <w:tcPr>
            <w:tcW w:w="5380" w:type="dxa"/>
            <w:vAlign w:val="bottom"/>
          </w:tcPr>
          <w:p>
            <w:pPr>
              <w:ind w:left="20"/>
              <w:spacing w:after="0"/>
              <w:rPr>
                <w:sz w:val="20"/>
                <w:szCs w:val="20"/>
                <w:color w:val="auto"/>
              </w:rPr>
            </w:pPr>
            <w:r>
              <w:rPr>
                <w:rFonts w:ascii="Arial" w:cs="Arial" w:eastAsia="Arial" w:hAnsi="Arial"/>
                <w:sz w:val="17"/>
                <w:szCs w:val="17"/>
                <w:color w:val="auto"/>
              </w:rPr>
              <w:t>Total Theme Parks</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1,449</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385</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3,163</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1,446</w:t>
            </w:r>
          </w:p>
        </w:tc>
      </w:tr>
      <w:tr>
        <w:trPr>
          <w:trHeight w:val="217"/>
        </w:trPr>
        <w:tc>
          <w:tcPr>
            <w:tcW w:w="5380" w:type="dxa"/>
            <w:vAlign w:val="bottom"/>
          </w:tcPr>
          <w:p>
            <w:pPr>
              <w:ind w:left="20"/>
              <w:spacing w:after="0"/>
              <w:rPr>
                <w:sz w:val="20"/>
                <w:szCs w:val="20"/>
                <w:color w:val="auto"/>
              </w:rPr>
            </w:pPr>
            <w:r>
              <w:rPr>
                <w:rFonts w:ascii="Arial" w:cs="Arial" w:eastAsia="Arial" w:hAnsi="Arial"/>
                <w:sz w:val="17"/>
                <w:szCs w:val="17"/>
                <w:color w:val="auto"/>
              </w:rPr>
              <w:t>Headquarters and Other</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28</w:t>
            </w:r>
          </w:p>
        </w:tc>
        <w:tc>
          <w:tcPr>
            <w:tcW w:w="62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12</w:t>
            </w:r>
          </w:p>
        </w:tc>
        <w:tc>
          <w:tcPr>
            <w:tcW w:w="42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65</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9"/>
        </w:trPr>
        <w:tc>
          <w:tcPr>
            <w:tcW w:w="538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(654)</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(551)</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(2,230)</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(1,623)</w:t>
            </w:r>
          </w:p>
        </w:tc>
      </w:tr>
      <w:tr>
        <w:trPr>
          <w:trHeight w:val="215"/>
        </w:trPr>
        <w:tc>
          <w:tcPr>
            <w:tcW w:w="5380" w:type="dxa"/>
            <w:vAlign w:val="bottom"/>
          </w:tcPr>
          <w:p>
            <w:pPr>
              <w:ind w:left="20"/>
              <w:spacing w:after="0"/>
              <w:rPr>
                <w:sz w:val="20"/>
                <w:szCs w:val="20"/>
                <w:color w:val="auto"/>
              </w:rPr>
            </w:pPr>
            <w:r>
              <w:rPr>
                <w:rFonts w:ascii="Arial" w:cs="Arial" w:eastAsia="Arial" w:hAnsi="Arial"/>
                <w:sz w:val="17"/>
                <w:szCs w:val="17"/>
                <w:color w:val="auto"/>
              </w:rPr>
              <w:t>Total NBCUniversal</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10,001</w:t>
            </w:r>
          </w:p>
        </w:tc>
        <w:tc>
          <w:tcPr>
            <w:tcW w:w="62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6,333</w:t>
            </w:r>
          </w:p>
        </w:tc>
        <w:tc>
          <w:tcPr>
            <w:tcW w:w="42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24,981</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19,777</w:t>
            </w:r>
          </w:p>
        </w:tc>
      </w:tr>
      <w:tr>
        <w:trPr>
          <w:trHeight w:val="327"/>
        </w:trPr>
        <w:tc>
          <w:tcPr>
            <w:tcW w:w="5380" w:type="dxa"/>
            <w:vAlign w:val="bottom"/>
          </w:tcPr>
          <w:p>
            <w:pPr>
              <w:ind w:left="20"/>
              <w:spacing w:after="0"/>
              <w:rPr>
                <w:sz w:val="20"/>
                <w:szCs w:val="20"/>
                <w:color w:val="auto"/>
              </w:rPr>
            </w:pPr>
            <w:r>
              <w:rPr>
                <w:rFonts w:ascii="Arial" w:cs="Arial" w:eastAsia="Arial" w:hAnsi="Arial"/>
                <w:sz w:val="17"/>
                <w:szCs w:val="17"/>
                <w:color w:val="auto"/>
              </w:rPr>
              <w:t>Direct-to-consumer</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4,127</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3,943</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12,415</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11,146</w:t>
            </w:r>
          </w:p>
        </w:tc>
      </w:tr>
      <w:tr>
        <w:trPr>
          <w:trHeight w:val="223"/>
        </w:trPr>
        <w:tc>
          <w:tcPr>
            <w:tcW w:w="5380" w:type="dxa"/>
            <w:vAlign w:val="bottom"/>
          </w:tcPr>
          <w:p>
            <w:pPr>
              <w:ind w:left="20"/>
              <w:spacing w:after="0"/>
              <w:rPr>
                <w:sz w:val="20"/>
                <w:szCs w:val="20"/>
                <w:color w:val="auto"/>
              </w:rPr>
            </w:pPr>
            <w:r>
              <w:rPr>
                <w:rFonts w:ascii="Arial" w:cs="Arial" w:eastAsia="Arial" w:hAnsi="Arial"/>
                <w:sz w:val="17"/>
                <w:szCs w:val="17"/>
                <w:color w:val="auto"/>
              </w:rPr>
              <w:t>Content</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300</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388</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1,013</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947</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Advertising</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561</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462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1,777</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1,296</w:t>
            </w:r>
          </w:p>
        </w:tc>
      </w:tr>
      <w:tr>
        <w:trPr>
          <w:trHeight w:val="216"/>
        </w:trPr>
        <w:tc>
          <w:tcPr>
            <w:tcW w:w="5380" w:type="dxa"/>
            <w:vAlign w:val="bottom"/>
          </w:tcPr>
          <w:p>
            <w:pPr>
              <w:ind w:left="20"/>
              <w:spacing w:after="0"/>
              <w:rPr>
                <w:sz w:val="20"/>
                <w:szCs w:val="20"/>
                <w:color w:val="auto"/>
              </w:rPr>
            </w:pPr>
            <w:r>
              <w:rPr>
                <w:rFonts w:ascii="Arial" w:cs="Arial" w:eastAsia="Arial" w:hAnsi="Arial"/>
                <w:sz w:val="17"/>
                <w:szCs w:val="17"/>
                <w:color w:val="auto"/>
              </w:rPr>
              <w:t>Total Sky</w:t>
            </w:r>
          </w:p>
        </w:tc>
        <w:tc>
          <w:tcPr>
            <w:tcW w:w="30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4,988</w:t>
            </w:r>
          </w:p>
        </w:tc>
        <w:tc>
          <w:tcPr>
            <w:tcW w:w="62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4,793</w:t>
            </w:r>
          </w:p>
        </w:tc>
        <w:tc>
          <w:tcPr>
            <w:tcW w:w="42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15,205</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13,389</w:t>
            </w:r>
          </w:p>
        </w:tc>
      </w:tr>
      <w:tr>
        <w:trPr>
          <w:trHeight w:val="322"/>
        </w:trPr>
        <w:tc>
          <w:tcPr>
            <w:tcW w:w="5380" w:type="dxa"/>
            <w:vAlign w:val="bottom"/>
          </w:tcPr>
          <w:p>
            <w:pPr>
              <w:ind w:left="20"/>
              <w:spacing w:after="0"/>
              <w:rPr>
                <w:sz w:val="20"/>
                <w:szCs w:val="20"/>
                <w:color w:val="auto"/>
              </w:rPr>
            </w:pPr>
            <w:r>
              <w:rPr>
                <w:rFonts w:ascii="Arial" w:cs="Arial" w:eastAsia="Arial" w:hAnsi="Arial"/>
                <w:sz w:val="17"/>
                <w:szCs w:val="17"/>
                <w:color w:val="auto"/>
              </w:rPr>
              <w:t>Corporate and Other</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65</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Arial" w:cs="Arial" w:eastAsia="Arial" w:hAnsi="Arial"/>
                <w:sz w:val="17"/>
                <w:szCs w:val="17"/>
                <w:color w:val="auto"/>
              </w:rPr>
              <w:t>44</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246</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229"/>
        </w:trPr>
        <w:tc>
          <w:tcPr>
            <w:tcW w:w="538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(871)</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(638)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(2,304)</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w:t>
            </w:r>
          </w:p>
        </w:tc>
      </w:tr>
      <w:tr>
        <w:trPr>
          <w:trHeight w:val="222"/>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30,298</w:t>
            </w:r>
          </w:p>
        </w:tc>
        <w:tc>
          <w:tcPr>
            <w:tcW w:w="6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25,532</w:t>
            </w:r>
          </w:p>
        </w:tc>
        <w:tc>
          <w:tcPr>
            <w:tcW w:w="4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86,049</w:t>
            </w:r>
          </w:p>
        </w:tc>
        <w:tc>
          <w:tcPr>
            <w:tcW w:w="6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75,856</w:t>
            </w:r>
          </w:p>
        </w:tc>
      </w:tr>
    </w:tbl>
    <w:p>
      <w:pPr>
        <w:spacing w:after="0" w:line="139"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We operate primarily in the United States but also in select international markets. The table below summarizes revenue by geographic location.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20" w:type="dxa"/>
            <w:vAlign w:val="bottom"/>
          </w:tcPr>
          <w:p>
            <w:pPr>
              <w:spacing w:after="0"/>
              <w:rPr>
                <w:sz w:val="14"/>
                <w:szCs w:val="14"/>
                <w:color w:val="auto"/>
              </w:rPr>
            </w:pPr>
          </w:p>
        </w:tc>
      </w:tr>
      <w:tr>
        <w:trPr>
          <w:trHeight w:val="178"/>
        </w:trPr>
        <w:tc>
          <w:tcPr>
            <w:tcW w:w="5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color w:val="auto"/>
              </w:rPr>
              <w:t>September 30,</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5"/>
                <w:szCs w:val="15"/>
                <w:color w:val="auto"/>
              </w:rPr>
            </w:pPr>
          </w:p>
        </w:tc>
      </w:tr>
      <w:tr>
        <w:trPr>
          <w:trHeight w:val="17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83"/>
              </w:rPr>
              <w:t>2020</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w w:val="89"/>
              </w:rPr>
              <w:t>2020</w:t>
            </w: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59"/>
              <w:spacing w:after="0"/>
              <w:rPr>
                <w:sz w:val="20"/>
                <w:szCs w:val="20"/>
                <w:color w:val="auto"/>
              </w:rPr>
            </w:pPr>
            <w:r>
              <w:rPr>
                <w:rFonts w:ascii="Arial" w:cs="Arial" w:eastAsia="Arial" w:hAnsi="Arial"/>
                <w:sz w:val="17"/>
                <w:szCs w:val="17"/>
                <w:color w:val="auto"/>
              </w:rPr>
              <w:t>23,978</w:t>
            </w:r>
          </w:p>
        </w:tc>
        <w:tc>
          <w:tcPr>
            <w:tcW w:w="64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19,680</w:t>
            </w:r>
          </w:p>
        </w:tc>
        <w:tc>
          <w:tcPr>
            <w:tcW w:w="4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67,317</w:t>
            </w:r>
          </w:p>
        </w:tc>
        <w:tc>
          <w:tcPr>
            <w:tcW w:w="62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59,026</w:t>
            </w:r>
          </w:p>
        </w:tc>
      </w:tr>
      <w:tr>
        <w:trPr>
          <w:trHeight w:val="223"/>
        </w:trPr>
        <w:tc>
          <w:tcPr>
            <w:tcW w:w="5380" w:type="dxa"/>
            <w:vAlign w:val="bottom"/>
          </w:tcPr>
          <w:p>
            <w:pPr>
              <w:ind w:left="20"/>
              <w:spacing w:after="0"/>
              <w:rPr>
                <w:sz w:val="20"/>
                <w:szCs w:val="20"/>
                <w:color w:val="auto"/>
              </w:rPr>
            </w:pPr>
            <w:r>
              <w:rPr>
                <w:rFonts w:ascii="Arial" w:cs="Arial" w:eastAsia="Arial" w:hAnsi="Arial"/>
                <w:sz w:val="17"/>
                <w:szCs w:val="17"/>
                <w:color w:val="auto"/>
              </w:rPr>
              <w:t>Europe</w:t>
            </w:r>
          </w:p>
        </w:tc>
        <w:tc>
          <w:tcPr>
            <w:tcW w:w="12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7"/>
                <w:szCs w:val="17"/>
                <w:color w:val="auto"/>
              </w:rPr>
              <w:t>5,517</w:t>
            </w:r>
          </w:p>
        </w:tc>
        <w:tc>
          <w:tcPr>
            <w:tcW w:w="6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5,196</w:t>
            </w:r>
          </w:p>
        </w:tc>
        <w:tc>
          <w:tcPr>
            <w:tcW w:w="44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16,552</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14,850</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802</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656</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2,180</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1,980</w:t>
            </w:r>
          </w:p>
        </w:tc>
      </w:tr>
      <w:tr>
        <w:trPr>
          <w:trHeight w:val="222"/>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30,298</w:t>
            </w:r>
          </w:p>
        </w:tc>
        <w:tc>
          <w:tcPr>
            <w:tcW w:w="6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25,532</w:t>
            </w:r>
          </w:p>
        </w:tc>
        <w:tc>
          <w:tcPr>
            <w:tcW w:w="4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b w:val="1"/>
                <w:bCs w:val="1"/>
                <w:color w:val="auto"/>
              </w:rPr>
              <w:t>86,049</w:t>
            </w:r>
          </w:p>
        </w:tc>
        <w:tc>
          <w:tcPr>
            <w:tcW w:w="6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75,856</w:t>
            </w:r>
          </w:p>
        </w:tc>
      </w:tr>
      <w:tr>
        <w:trPr>
          <w:trHeight w:val="83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59"/>
              <w:spacing w:after="0"/>
              <w:rPr>
                <w:sz w:val="20"/>
                <w:szCs w:val="20"/>
                <w:color w:val="auto"/>
              </w:rPr>
            </w:pPr>
            <w:r>
              <w:rPr>
                <w:rFonts w:ascii="Arial" w:cs="Arial" w:eastAsia="Arial" w:hAnsi="Arial"/>
                <w:sz w:val="17"/>
                <w:szCs w:val="17"/>
                <w:color w:val="auto"/>
              </w:rPr>
              <w:t>10</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5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w:t>
      </w:r>
    </w:p>
    <w:p>
      <w:pPr>
        <w:spacing w:after="0" w:line="129" w:lineRule="exact"/>
        <w:rPr>
          <w:sz w:val="20"/>
          <w:szCs w:val="20"/>
          <w:color w:val="auto"/>
        </w:rPr>
      </w:pPr>
    </w:p>
    <w:p>
      <w:pPr>
        <w:spacing w:after="0" w:line="322" w:lineRule="auto"/>
        <w:rPr>
          <w:sz w:val="20"/>
          <w:szCs w:val="20"/>
          <w:color w:val="auto"/>
        </w:rPr>
      </w:pPr>
      <w:r>
        <w:rPr>
          <w:rFonts w:ascii="Arial" w:cs="Arial" w:eastAsia="Arial" w:hAnsi="Arial"/>
          <w:sz w:val="16"/>
          <w:szCs w:val="16"/>
          <w:color w:val="auto"/>
        </w:rPr>
        <w:t>The following tables summarize our accounts receivable and other balances that are not separately presented in our condensed consolidated balance sheet that relate to the recognition of revenue and collection of the related cash, as well as the deferred costs associated with our contracts with customers.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120" w:type="dxa"/>
            <w:vAlign w:val="bottom"/>
          </w:tcPr>
          <w:p>
            <w:pPr>
              <w:jc w:val="center"/>
              <w:ind w:left="3390"/>
              <w:spacing w:after="0"/>
              <w:rPr>
                <w:sz w:val="20"/>
                <w:szCs w:val="20"/>
                <w:color w:val="auto"/>
              </w:rPr>
            </w:pPr>
            <w:r>
              <w:rPr>
                <w:rFonts w:ascii="Arial" w:cs="Arial" w:eastAsia="Arial" w:hAnsi="Arial"/>
                <w:sz w:val="14"/>
                <w:szCs w:val="14"/>
                <w:color w:val="auto"/>
                <w:w w:val="89"/>
              </w:rPr>
              <w:t>September 30,</w:t>
            </w:r>
          </w:p>
        </w:tc>
        <w:tc>
          <w:tcPr>
            <w:tcW w:w="1200" w:type="dxa"/>
            <w:vAlign w:val="bottom"/>
          </w:tcPr>
          <w:p>
            <w:pPr>
              <w:jc w:val="center"/>
              <w:ind w:left="35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78"/>
        </w:trPr>
        <w:tc>
          <w:tcPr>
            <w:tcW w:w="4580" w:type="dxa"/>
            <w:vAlign w:val="bottom"/>
            <w:vMerge w:val="continue"/>
          </w:tcPr>
          <w:p>
            <w:pPr>
              <w:spacing w:after="0"/>
              <w:rPr>
                <w:sz w:val="15"/>
                <w:szCs w:val="15"/>
                <w:color w:val="auto"/>
              </w:rPr>
            </w:pPr>
          </w:p>
        </w:tc>
        <w:tc>
          <w:tcPr>
            <w:tcW w:w="5120" w:type="dxa"/>
            <w:vAlign w:val="bottom"/>
          </w:tcPr>
          <w:p>
            <w:pPr>
              <w:jc w:val="right"/>
              <w:ind w:right="610"/>
              <w:spacing w:after="0"/>
              <w:rPr>
                <w:sz w:val="20"/>
                <w:szCs w:val="20"/>
                <w:color w:val="auto"/>
              </w:rPr>
            </w:pPr>
            <w:r>
              <w:rPr>
                <w:rFonts w:ascii="Arial" w:cs="Arial" w:eastAsia="Arial" w:hAnsi="Arial"/>
                <w:sz w:val="14"/>
                <w:szCs w:val="14"/>
                <w:color w:val="auto"/>
              </w:rPr>
              <w:t>2021</w:t>
            </w:r>
          </w:p>
        </w:tc>
        <w:tc>
          <w:tcPr>
            <w:tcW w:w="1200" w:type="dxa"/>
            <w:vAlign w:val="bottom"/>
          </w:tcPr>
          <w:p>
            <w:pPr>
              <w:jc w:val="right"/>
              <w:ind w:right="19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Receivables, gross</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12,729</w:t>
            </w:r>
          </w:p>
        </w:tc>
        <w:tc>
          <w:tcPr>
            <w:tcW w:w="3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12,273</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Allowance for doubtful accounts</w:t>
            </w:r>
          </w:p>
        </w:tc>
        <w:tc>
          <w:tcPr>
            <w:tcW w:w="1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754</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Receivables, net</w:t>
            </w: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rPr>
              <w:t>11,974</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11,466</w:t>
            </w:r>
          </w:p>
        </w:tc>
        <w:tc>
          <w:tcPr>
            <w:tcW w:w="0" w:type="dxa"/>
            <w:vAlign w:val="bottom"/>
          </w:tcPr>
          <w:p>
            <w:pPr>
              <w:spacing w:after="0"/>
              <w:rPr>
                <w:sz w:val="1"/>
                <w:szCs w:val="1"/>
                <w:color w:val="auto"/>
              </w:rPr>
            </w:pPr>
          </w:p>
        </w:tc>
      </w:tr>
      <w:tr>
        <w:trPr>
          <w:trHeight w:val="301"/>
        </w:trPr>
        <w:tc>
          <w:tcPr>
            <w:tcW w:w="7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4"/>
                <w:szCs w:val="24"/>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24"/>
                <w:szCs w:val="2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700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8"/>
        </w:trPr>
        <w:tc>
          <w:tcPr>
            <w:tcW w:w="7000" w:type="dxa"/>
            <w:vAlign w:val="bottom"/>
          </w:tcPr>
          <w:p>
            <w:pPr>
              <w:ind w:left="20"/>
              <w:spacing w:after="0"/>
              <w:rPr>
                <w:sz w:val="20"/>
                <w:szCs w:val="20"/>
                <w:color w:val="auto"/>
              </w:rPr>
            </w:pPr>
            <w:r>
              <w:rPr>
                <w:rFonts w:ascii="Arial" w:cs="Arial" w:eastAsia="Arial" w:hAnsi="Arial"/>
                <w:sz w:val="17"/>
                <w:szCs w:val="17"/>
                <w:color w:val="auto"/>
              </w:rPr>
              <w:t>Noncurrent receivables, net (included in other noncurrent assets, net)</w:t>
            </w:r>
          </w:p>
        </w:tc>
        <w:tc>
          <w:tcPr>
            <w:tcW w:w="13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1,024</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7"/>
                <w:szCs w:val="17"/>
                <w:color w:val="auto"/>
              </w:rPr>
              <w:t>Contract acquisition and fulfillment costs (included in other noncurrent assets, net)</w:t>
            </w:r>
          </w:p>
        </w:tc>
        <w:tc>
          <w:tcPr>
            <w:tcW w:w="13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1,000</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Noncurrent deferred revenue (included in other noncurrent liabilities)</w:t>
            </w: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732</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 Programming and Production Costs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20" w:type="dxa"/>
            <w:vAlign w:val="bottom"/>
          </w:tcPr>
          <w:p>
            <w:pPr>
              <w:spacing w:after="0"/>
              <w:rPr>
                <w:sz w:val="14"/>
                <w:szCs w:val="14"/>
                <w:color w:val="auto"/>
              </w:rPr>
            </w:pPr>
          </w:p>
        </w:tc>
      </w:tr>
      <w:tr>
        <w:trPr>
          <w:trHeight w:val="178"/>
        </w:trPr>
        <w:tc>
          <w:tcPr>
            <w:tcW w:w="5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color w:val="auto"/>
              </w:rPr>
              <w:t>September 30,</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5"/>
                <w:szCs w:val="15"/>
                <w:color w:val="auto"/>
              </w:rPr>
            </w:pPr>
          </w:p>
        </w:tc>
      </w:tr>
      <w:tr>
        <w:trPr>
          <w:trHeight w:val="17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83"/>
              </w:rPr>
              <w:t>2020</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w w:val="89"/>
              </w:rPr>
              <w:t>2020</w:t>
            </w:r>
          </w:p>
        </w:tc>
      </w:tr>
      <w:tr>
        <w:trPr>
          <w:trHeight w:val="218"/>
        </w:trPr>
        <w:tc>
          <w:tcPr>
            <w:tcW w:w="5380" w:type="dxa"/>
            <w:vAlign w:val="bottom"/>
          </w:tcPr>
          <w:p>
            <w:pPr>
              <w:ind w:left="20"/>
              <w:spacing w:after="0"/>
              <w:rPr>
                <w:sz w:val="20"/>
                <w:szCs w:val="20"/>
                <w:color w:val="auto"/>
              </w:rPr>
            </w:pPr>
            <w:r>
              <w:rPr>
                <w:rFonts w:ascii="Arial" w:cs="Arial" w:eastAsia="Arial" w:hAnsi="Arial"/>
                <w:sz w:val="17"/>
                <w:szCs w:val="17"/>
                <w:color w:val="auto"/>
              </w:rPr>
              <w:t>Video distribution programming</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3,337</w:t>
            </w:r>
          </w:p>
        </w:tc>
        <w:tc>
          <w:tcPr>
            <w:tcW w:w="64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3,089</w:t>
            </w:r>
          </w:p>
        </w:tc>
        <w:tc>
          <w:tcPr>
            <w:tcW w:w="4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10,267</w:t>
            </w:r>
          </w:p>
        </w:tc>
        <w:tc>
          <w:tcPr>
            <w:tcW w:w="62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9,351</w:t>
            </w:r>
          </w:p>
        </w:tc>
      </w:tr>
      <w:tr>
        <w:trPr>
          <w:trHeight w:val="217"/>
        </w:trPr>
        <w:tc>
          <w:tcPr>
            <w:tcW w:w="5380" w:type="dxa"/>
            <w:vAlign w:val="bottom"/>
          </w:tcPr>
          <w:p>
            <w:pPr>
              <w:ind w:left="20"/>
              <w:spacing w:after="0"/>
              <w:rPr>
                <w:sz w:val="20"/>
                <w:szCs w:val="20"/>
                <w:color w:val="auto"/>
              </w:rPr>
            </w:pPr>
            <w:r>
              <w:rPr>
                <w:rFonts w:ascii="Arial" w:cs="Arial" w:eastAsia="Arial" w:hAnsi="Arial"/>
                <w:sz w:val="17"/>
                <w:szCs w:val="17"/>
                <w:color w:val="auto"/>
              </w:rPr>
              <w:t>Film and television content: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380" w:type="dxa"/>
            <w:vAlign w:val="bottom"/>
          </w:tcPr>
          <w:p>
            <w:pPr>
              <w:ind w:left="120"/>
              <w:spacing w:after="0" w:line="229" w:lineRule="exact"/>
              <w:rPr>
                <w:sz w:val="20"/>
                <w:szCs w:val="20"/>
                <w:color w:val="auto"/>
              </w:rPr>
            </w:pPr>
            <w:r>
              <w:rPr>
                <w:rFonts w:ascii="Arial" w:cs="Arial" w:eastAsia="Arial" w:hAnsi="Arial"/>
                <w:sz w:val="17"/>
                <w:szCs w:val="17"/>
                <w:color w:val="auto"/>
              </w:rPr>
              <w:t>Owned</w:t>
            </w:r>
            <w:r>
              <w:rPr>
                <w:rFonts w:ascii="Arial" w:cs="Arial" w:eastAsia="Arial" w:hAnsi="Arial"/>
                <w:sz w:val="22"/>
                <w:szCs w:val="22"/>
                <w:color w:val="auto"/>
                <w:vertAlign w:val="superscript"/>
              </w:rPr>
              <w:t>(a)</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2,215</w:t>
            </w:r>
          </w:p>
        </w:tc>
        <w:tc>
          <w:tcPr>
            <w:tcW w:w="6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1,674</w:t>
            </w:r>
          </w:p>
        </w:tc>
        <w:tc>
          <w:tcPr>
            <w:tcW w:w="4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6,406</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5,737</w:t>
            </w:r>
          </w:p>
        </w:tc>
      </w:tr>
      <w:tr>
        <w:trPr>
          <w:trHeight w:val="222"/>
        </w:trPr>
        <w:tc>
          <w:tcPr>
            <w:tcW w:w="5380" w:type="dxa"/>
            <w:vAlign w:val="bottom"/>
          </w:tcPr>
          <w:p>
            <w:pPr>
              <w:ind w:left="160"/>
              <w:spacing w:after="0"/>
              <w:rPr>
                <w:sz w:val="20"/>
                <w:szCs w:val="20"/>
                <w:color w:val="auto"/>
              </w:rPr>
            </w:pPr>
            <w:r>
              <w:rPr>
                <w:rFonts w:ascii="Arial" w:cs="Arial" w:eastAsia="Arial" w:hAnsi="Arial"/>
                <w:sz w:val="17"/>
                <w:szCs w:val="17"/>
                <w:color w:val="auto"/>
              </w:rPr>
              <w:t>Licensed, including sports rights</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4,536</w:t>
            </w:r>
          </w:p>
        </w:tc>
        <w:tc>
          <w:tcPr>
            <w:tcW w:w="6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3,526</w:t>
            </w:r>
          </w:p>
        </w:tc>
        <w:tc>
          <w:tcPr>
            <w:tcW w:w="4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11,028</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7,774</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307</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276</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868</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w:t>
            </w:r>
          </w:p>
        </w:tc>
      </w:tr>
      <w:tr>
        <w:trPr>
          <w:trHeight w:val="222"/>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programming and production costs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10,395</w:t>
            </w:r>
          </w:p>
        </w:tc>
        <w:tc>
          <w:tcPr>
            <w:tcW w:w="6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8,565</w:t>
            </w:r>
          </w:p>
        </w:tc>
        <w:tc>
          <w:tcPr>
            <w:tcW w:w="4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28,570</w:t>
            </w:r>
          </w:p>
        </w:tc>
        <w:tc>
          <w:tcPr>
            <w:tcW w:w="6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23,683</w:t>
            </w:r>
          </w:p>
        </w:tc>
      </w:tr>
    </w:tbl>
    <w:p>
      <w:pPr>
        <w:spacing w:after="0" w:line="165" w:lineRule="exact"/>
        <w:rPr>
          <w:sz w:val="20"/>
          <w:szCs w:val="20"/>
          <w:color w:val="auto"/>
        </w:rPr>
      </w:pPr>
    </w:p>
    <w:p>
      <w:pPr>
        <w:ind w:firstLine="5"/>
        <w:spacing w:after="0" w:line="260" w:lineRule="auto"/>
        <w:tabs>
          <w:tab w:leader="none" w:pos="192"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 includes amortization of owned content of $1.9 billion and $5.3 billion for the three and nine months ended September 30, 2021, respectively, and $1.6 billion and $4.9 billion for the three and nine months ended September 30, 2020, respectively, as well as participations and residuals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Capitalized Film and Television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980" w:type="dxa"/>
            <w:vAlign w:val="bottom"/>
          </w:tcPr>
          <w:p>
            <w:pPr>
              <w:spacing w:after="0"/>
              <w:rPr>
                <w:sz w:val="14"/>
                <w:szCs w:val="14"/>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5400" w:type="dxa"/>
            <w:vAlign w:val="bottom"/>
            <w:tcBorders>
              <w:bottom w:val="single" w:sz="8" w:color="auto"/>
            </w:tcBorders>
            <w:vMerge w:val="continue"/>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Owned:</w:t>
            </w:r>
          </w:p>
        </w:tc>
        <w:tc>
          <w:tcPr>
            <w:tcW w:w="2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Arial" w:cs="Arial" w:eastAsia="Arial" w:hAnsi="Arial"/>
                <w:sz w:val="17"/>
                <w:szCs w:val="17"/>
                <w:color w:val="auto"/>
              </w:rPr>
              <w:t>Released, less amortization</w:t>
            </w:r>
          </w:p>
        </w:tc>
        <w:tc>
          <w:tcPr>
            <w:tcW w:w="29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3,586</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3,815</w:t>
            </w: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Arial" w:cs="Arial" w:eastAsia="Arial" w:hAnsi="Arial"/>
                <w:sz w:val="17"/>
                <w:szCs w:val="17"/>
                <w:color w:val="auto"/>
              </w:rPr>
              <w:t>Completed, not released</w:t>
            </w:r>
          </w:p>
        </w:tc>
        <w:tc>
          <w:tcPr>
            <w:tcW w:w="2980" w:type="dxa"/>
            <w:vAlign w:val="bottom"/>
          </w:tcPr>
          <w:p>
            <w:pPr>
              <w:spacing w:after="0"/>
              <w:rPr>
                <w:sz w:val="19"/>
                <w:szCs w:val="19"/>
                <w:color w:val="auto"/>
              </w:rPr>
            </w:pP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373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 production and in development</w:t>
            </w:r>
          </w:p>
        </w:tc>
        <w:tc>
          <w:tcPr>
            <w:tcW w:w="2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2,598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6,557</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6,709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Licensed, including sports advances</w:t>
            </w:r>
          </w:p>
        </w:tc>
        <w:tc>
          <w:tcPr>
            <w:tcW w:w="2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6,088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6,631</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Film and television costs</w:t>
            </w:r>
          </w:p>
        </w:tc>
        <w:tc>
          <w:tcPr>
            <w:tcW w:w="29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rPr>
              <w:t>12,645</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13,340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5: Long-Term Debt</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September 30, 2021, our debt had a carrying value of $97.2 billion and an estimated fair value of $112.4 billion. As of December 31, 2020, our debt had a carrying value of $103.8 billion and an estimated fair value of $125.6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March 2021, we entered into a new $11 billion revolving credit facility due March 30, 2026 with a syndicate of banks that may be used for general corporate purposes. We may increase the commitments under the revolving credit facility up to a total of $14 billion, as well as extend the expiration date to no later than March 30, 2028, subject to approval of the lenders. The interest rate on the revolving credit facility consists of a base rate plus a borrowing margin that is determined based on Comcast’s credit rating. As of September 30, 2021, the borrowing margin for borrowings based on the London Interbank Offered Rate was 1.00%. Our revolving credit facility requires that we maintain certain financial ratios based on debt and EBITDA, as defined in the revolving credit facility. We were in compliance with all financial covenants for all periods presented. The new revolving credit facility replaced an aggregate $9.2 billion of existing revolving credit facilities due May 26, 2022, which were terminated. Our revolving credit facilities were undrawn as of both September 30, 2021 and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6: Significant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Universal Beijing Resort</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which opened in September 2021. We own a 30% interest in Universal Beijing Resort and the construction was funded through a combination of debt financing and equity contributions from the investors in accordance with their equity interests. In the third quarter of 2021, the maximum borrowing limit under the debt financing agreement was increased to ¥29.7 billion RMB (approximately $4.6 billion) from ¥26.6 billion RMB (approximately $4.1 billion). As of September 30, 2021, Universal Beijing Resort had $3.4 billion of debt outstanding, including $3.0 billion principal amount of a term loan under the debt financing agreement.</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2021, our condensed consolidated balance sheet included assets and liabilities of Universal Beijing Resort totaling $9.1 billion and $7.5 billion, respectively. The assets and liabilities of Universal Beijing Resort primarily consist of property and equipment, operating lease assets and liabilities, and debt.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October 2021, we acquired Masergy, a provider of software-defined networking and cloud platforms for global enterprises, for total cash consideration of $1.2 billion. The acquisition accelerates our growth in serving large and mid-sized companies, particularly U.S.-based organizations with multi-site global enterprises. We will apply acquisition accounting to Masergy and its results of operations will be included in our consolidated results of operations following the date of acquisition and be reported in our Cable Communications segment. The assets and liabilities acquired as a result of the transaction will be recorded at their estimated fair values, however, due to the limited time since the acquisition date, the initial acquisition accounting is incomplete.</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7: Investments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 and Other Income (Loss), Net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2"/>
          </w:tcPr>
          <w:p>
            <w:pPr>
              <w:jc w:val="right"/>
              <w:ind w:right="359"/>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78"/>
        </w:trPr>
        <w:tc>
          <w:tcPr>
            <w:tcW w:w="4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color w:val="auto"/>
              </w:rPr>
              <w:t>September 30,</w:t>
            </w: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7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96"/>
              </w:rPr>
              <w:t>2020</w:t>
            </w: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Equity in net income (losses) of investees, net</w:t>
            </w:r>
          </w:p>
        </w:tc>
        <w:tc>
          <w:tcPr>
            <w:tcW w:w="880" w:type="dxa"/>
            <w:vAlign w:val="bottom"/>
          </w:tcPr>
          <w:p>
            <w:pPr>
              <w:jc w:val="right"/>
              <w:ind w:right="699"/>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59"/>
              <w:spacing w:after="0"/>
              <w:rPr>
                <w:sz w:val="20"/>
                <w:szCs w:val="20"/>
                <w:color w:val="auto"/>
              </w:rPr>
            </w:pPr>
            <w:r>
              <w:rPr>
                <w:rFonts w:ascii="Arial" w:cs="Arial" w:eastAsia="Arial" w:hAnsi="Arial"/>
                <w:sz w:val="17"/>
                <w:szCs w:val="17"/>
                <w:color w:val="auto"/>
              </w:rPr>
              <w:t>602</w:t>
            </w:r>
          </w:p>
        </w:tc>
        <w:tc>
          <w:tcPr>
            <w:tcW w:w="1080" w:type="dxa"/>
            <w:vAlign w:val="bottom"/>
          </w:tcPr>
          <w:p>
            <w:pPr>
              <w:jc w:val="right"/>
              <w:ind w:right="759"/>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(266)</w:t>
            </w:r>
          </w:p>
        </w:tc>
        <w:tc>
          <w:tcPr>
            <w:tcW w:w="4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60"/>
              <w:spacing w:after="0"/>
              <w:rPr>
                <w:sz w:val="20"/>
                <w:szCs w:val="20"/>
                <w:color w:val="auto"/>
              </w:rPr>
            </w:pPr>
            <w:r>
              <w:rPr>
                <w:rFonts w:ascii="Arial" w:cs="Arial" w:eastAsia="Arial" w:hAnsi="Arial"/>
                <w:sz w:val="17"/>
                <w:szCs w:val="17"/>
                <w:color w:val="auto"/>
              </w:rPr>
              <w:t>1,696</w:t>
            </w:r>
          </w:p>
        </w:tc>
        <w:tc>
          <w:tcPr>
            <w:tcW w:w="66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(634)</w:t>
            </w: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Realized and unrealized gains (losses) on equity securities, net</w:t>
            </w:r>
          </w:p>
        </w:tc>
        <w:tc>
          <w:tcPr>
            <w:tcW w:w="880" w:type="dxa"/>
            <w:vAlign w:val="bottom"/>
          </w:tcPr>
          <w:p>
            <w:pPr>
              <w:spacing w:after="0"/>
              <w:rPr>
                <w:sz w:val="19"/>
                <w:szCs w:val="19"/>
                <w:color w:val="auto"/>
              </w:rPr>
            </w:pPr>
          </w:p>
        </w:tc>
        <w:tc>
          <w:tcPr>
            <w:tcW w:w="600" w:type="dxa"/>
            <w:vAlign w:val="bottom"/>
          </w:tcPr>
          <w:p>
            <w:pPr>
              <w:jc w:val="right"/>
              <w:ind w:right="59"/>
              <w:spacing w:after="0"/>
              <w:rPr>
                <w:sz w:val="20"/>
                <w:szCs w:val="20"/>
                <w:color w:val="auto"/>
              </w:rPr>
            </w:pPr>
            <w:r>
              <w:rPr>
                <w:rFonts w:ascii="Arial" w:cs="Arial" w:eastAsia="Arial" w:hAnsi="Arial"/>
                <w:sz w:val="17"/>
                <w:szCs w:val="17"/>
                <w:color w:val="auto"/>
              </w:rPr>
              <w:t>106</w:t>
            </w:r>
          </w:p>
        </w:tc>
        <w:tc>
          <w:tcPr>
            <w:tcW w:w="1080" w:type="dxa"/>
            <w:vAlign w:val="bottom"/>
          </w:tcPr>
          <w:p>
            <w:pPr>
              <w:spacing w:after="0"/>
              <w:rPr>
                <w:sz w:val="19"/>
                <w:szCs w:val="19"/>
                <w:color w:val="auto"/>
              </w:rPr>
            </w:pPr>
          </w:p>
        </w:tc>
        <w:tc>
          <w:tcPr>
            <w:tcW w:w="580" w:type="dxa"/>
            <w:vAlign w:val="bottom"/>
          </w:tcPr>
          <w:p>
            <w:pPr>
              <w:jc w:val="right"/>
              <w:ind w:right="73"/>
              <w:spacing w:after="0"/>
              <w:rPr>
                <w:sz w:val="20"/>
                <w:szCs w:val="20"/>
                <w:color w:val="auto"/>
              </w:rPr>
            </w:pPr>
            <w:r>
              <w:rPr>
                <w:rFonts w:ascii="Arial" w:cs="Arial" w:eastAsia="Arial" w:hAnsi="Arial"/>
                <w:sz w:val="17"/>
                <w:szCs w:val="17"/>
                <w:color w:val="auto"/>
              </w:rPr>
              <w:t>118</w:t>
            </w:r>
          </w:p>
        </w:tc>
        <w:tc>
          <w:tcPr>
            <w:tcW w:w="46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7"/>
                <w:szCs w:val="17"/>
                <w:color w:val="auto"/>
              </w:rPr>
              <w:t>532</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(loss), net</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59</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62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146</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r>
      <w:tr>
        <w:trPr>
          <w:trHeight w:val="222"/>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Investment and other income (loss), net</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766</w:t>
            </w:r>
          </w:p>
        </w:tc>
        <w:tc>
          <w:tcPr>
            <w:tcW w:w="108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(86)</w:t>
            </w:r>
          </w:p>
        </w:tc>
        <w:tc>
          <w:tcPr>
            <w:tcW w:w="4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b w:val="1"/>
                <w:bCs w:val="1"/>
                <w:color w:val="auto"/>
              </w:rPr>
              <w:t>2,374</w:t>
            </w:r>
          </w:p>
        </w:tc>
        <w:tc>
          <w:tcPr>
            <w:tcW w:w="6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(382)</w:t>
            </w:r>
          </w:p>
        </w:tc>
      </w:tr>
    </w:tbl>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amount of unrealized gains (losses) recognized in the three months ended September 30, 2021 and 2020 that related to marketable and nonmarketable equity securities still held as of the end of each reporting period were losses of $165 million and gains of $79 million, respectively. The amount of unrealized gains (losses) recognized in the nine months ended September 30, 2021 and 2020 that related to marketable and nonmarketable equity securities still held as of the end of each reporting period were gains of $91 million and losses of $2 million,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14"/>
                <w:szCs w:val="14"/>
                <w:color w:val="auto"/>
              </w:rPr>
            </w:pPr>
          </w:p>
        </w:tc>
        <w:tc>
          <w:tcPr>
            <w:tcW w:w="1300" w:type="dxa"/>
            <w:vAlign w:val="bottom"/>
          </w:tcPr>
          <w:p>
            <w:pPr>
              <w:jc w:val="right"/>
              <w:ind w:right="296"/>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5880" w:type="dxa"/>
            <w:vAlign w:val="bottom"/>
            <w:tcBorders>
              <w:bottom w:val="single" w:sz="8" w:color="auto"/>
            </w:tcBorders>
            <w:vMerge w:val="continue"/>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8"/>
        </w:trPr>
        <w:tc>
          <w:tcPr>
            <w:tcW w:w="5880" w:type="dxa"/>
            <w:vAlign w:val="bottom"/>
          </w:tcPr>
          <w:p>
            <w:pPr>
              <w:ind w:left="20"/>
              <w:spacing w:after="0"/>
              <w:rPr>
                <w:sz w:val="20"/>
                <w:szCs w:val="20"/>
                <w:color w:val="auto"/>
              </w:rPr>
            </w:pPr>
            <w:r>
              <w:rPr>
                <w:rFonts w:ascii="Arial" w:cs="Arial" w:eastAsia="Arial" w:hAnsi="Arial"/>
                <w:sz w:val="17"/>
                <w:szCs w:val="17"/>
                <w:color w:val="auto"/>
              </w:rPr>
              <w:t>Equity method</w:t>
            </w:r>
          </w:p>
        </w:tc>
        <w:tc>
          <w:tcPr>
            <w:tcW w:w="25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6"/>
              <w:spacing w:after="0"/>
              <w:rPr>
                <w:sz w:val="20"/>
                <w:szCs w:val="20"/>
                <w:color w:val="auto"/>
              </w:rPr>
            </w:pPr>
            <w:r>
              <w:rPr>
                <w:rFonts w:ascii="Arial" w:cs="Arial" w:eastAsia="Arial" w:hAnsi="Arial"/>
                <w:sz w:val="17"/>
                <w:szCs w:val="17"/>
                <w:color w:val="auto"/>
              </w:rPr>
              <w:t>7,044</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6,006</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7"/>
                <w:szCs w:val="17"/>
                <w:color w:val="auto"/>
              </w:rPr>
              <w:t>Marketable equity securities</w:t>
            </w:r>
          </w:p>
        </w:tc>
        <w:tc>
          <w:tcPr>
            <w:tcW w:w="25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7"/>
                <w:szCs w:val="17"/>
                <w:color w:val="auto"/>
              </w:rPr>
              <w:t>368</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7"/>
                <w:szCs w:val="17"/>
                <w:color w:val="auto"/>
              </w:rPr>
              <w:t>Nonmarketable equity securities</w:t>
            </w:r>
          </w:p>
        </w:tc>
        <w:tc>
          <w:tcPr>
            <w:tcW w:w="25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7"/>
                <w:szCs w:val="17"/>
                <w:color w:val="auto"/>
              </w:rPr>
              <w:t>2,092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1,950</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investments</w:t>
            </w:r>
          </w:p>
        </w:tc>
        <w:tc>
          <w:tcPr>
            <w:tcW w:w="2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345</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7"/>
                <w:szCs w:val="17"/>
                <w:color w:val="auto"/>
              </w:rPr>
              <w:t>Total investments</w:t>
            </w:r>
          </w:p>
        </w:tc>
        <w:tc>
          <w:tcPr>
            <w:tcW w:w="250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7"/>
                <w:szCs w:val="17"/>
                <w:color w:val="auto"/>
              </w:rPr>
              <w:t>9,849</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8,559</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7"/>
                <w:szCs w:val="17"/>
                <w:color w:val="auto"/>
              </w:rPr>
              <w:t>Less: Current investments</w:t>
            </w:r>
          </w:p>
        </w:tc>
        <w:tc>
          <w:tcPr>
            <w:tcW w:w="25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Arial" w:cs="Arial" w:eastAsia="Arial" w:hAnsi="Arial"/>
                <w:sz w:val="17"/>
                <w:szCs w:val="17"/>
                <w:color w:val="auto"/>
              </w:rPr>
              <w:t>123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Investment securing collateralized obligation</w:t>
            </w:r>
          </w:p>
        </w:tc>
        <w:tc>
          <w:tcPr>
            <w:tcW w:w="2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563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22"/>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Noncurrent investments</w:t>
            </w:r>
          </w:p>
        </w:tc>
        <w:tc>
          <w:tcPr>
            <w:tcW w:w="25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9,163</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7,820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Atairos</w:t>
      </w:r>
    </w:p>
    <w:p>
      <w:pPr>
        <w:spacing w:after="0" w:line="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nine months ended September 30, 2021 and 2020, we made cash capital contributions to Atairos totaling $36 million and $184 million, respectively. As of September 30, 2021 and December 31, 2020, our investment in Atairos, inclusive of certain distributions retained by Atairos on our behalf and classified as advances within other investments, was $5.2 billion and $3.9 billion, respectively. As of September 30, 2021, our remaining unfunded capital commitment was $1.5 billion.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Hulu and Collateralized Obligation</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2019, we borrowed $5.2 billion under a term loan facility due March 2024 which is fully collateralized by the minimum guaranteed proceeds of the put/call option related to our investment in Hulu. As of September 30, 2021 and December 31, 2020, the carrying value and fair value of our collateralized obligation were $5.2 billion. The estimated fair value was based on Level 2 inputs that use interest rates for debt with similar terms and remaining maturities. We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AirTouch</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2020, Verizon Americas, Inc., formerly known as AirTouch Communications, Inc. (“AirTouch”), redeemed the two series of preferred stock and we received cash payments totaling $1.7 billion. Subsequently, we redeemed and repurchased the three series of preferred shares issued by one of our consolidated subsidiaries and made cash payments totaling $1.8 billion.</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8: Equity and Share-Based Compensation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Weighted-Average Common Shares Outstanding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4"/>
                <w:szCs w:val="14"/>
                <w:color w:val="auto"/>
              </w:rPr>
              <w:t>Three Months Ended</w:t>
            </w:r>
          </w:p>
        </w:tc>
        <w:tc>
          <w:tcPr>
            <w:tcW w:w="6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Nine Months Ended</w:t>
            </w:r>
          </w:p>
        </w:tc>
        <w:tc>
          <w:tcPr>
            <w:tcW w:w="740" w:type="dxa"/>
            <w:vAlign w:val="bottom"/>
          </w:tcPr>
          <w:p>
            <w:pPr>
              <w:spacing w:after="0"/>
              <w:rPr>
                <w:sz w:val="14"/>
                <w:szCs w:val="14"/>
                <w:color w:val="auto"/>
              </w:rPr>
            </w:pPr>
          </w:p>
        </w:tc>
      </w:tr>
      <w:tr>
        <w:trPr>
          <w:trHeight w:val="178"/>
        </w:trPr>
        <w:tc>
          <w:tcPr>
            <w:tcW w:w="60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5"/>
                <w:szCs w:val="15"/>
                <w:color w:val="auto"/>
              </w:rPr>
            </w:pPr>
          </w:p>
        </w:tc>
      </w:tr>
      <w:tr>
        <w:trPr>
          <w:trHeight w:val="17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061"/>
              <w:spacing w:after="0"/>
              <w:rPr>
                <w:sz w:val="20"/>
                <w:szCs w:val="20"/>
                <w:color w:val="auto"/>
              </w:rPr>
            </w:pPr>
            <w:r>
              <w:rPr>
                <w:rFonts w:ascii="Arial" w:cs="Arial" w:eastAsia="Arial" w:hAnsi="Arial"/>
                <w:sz w:val="14"/>
                <w:szCs w:val="14"/>
                <w:color w:val="auto"/>
              </w:rPr>
              <w:t>2021</w:t>
            </w: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w w:val="83"/>
              </w:rPr>
              <w:t>2020</w:t>
            </w:r>
          </w:p>
        </w:tc>
      </w:tr>
      <w:tr>
        <w:trPr>
          <w:trHeight w:val="218"/>
        </w:trPr>
        <w:tc>
          <w:tcPr>
            <w:tcW w:w="6000" w:type="dxa"/>
            <w:vAlign w:val="bottom"/>
          </w:tcPr>
          <w:p>
            <w:pPr>
              <w:ind w:left="20"/>
              <w:spacing w:after="0"/>
              <w:rPr>
                <w:sz w:val="20"/>
                <w:szCs w:val="20"/>
                <w:color w:val="auto"/>
              </w:rPr>
            </w:pPr>
            <w:r>
              <w:rPr>
                <w:rFonts w:ascii="Arial" w:cs="Arial" w:eastAsia="Arial" w:hAnsi="Arial"/>
                <w:sz w:val="17"/>
                <w:szCs w:val="17"/>
                <w:color w:val="auto"/>
              </w:rPr>
              <w:t>Weighted-average number of common shares outstanding – basic</w:t>
            </w:r>
          </w:p>
        </w:tc>
        <w:tc>
          <w:tcPr>
            <w:tcW w:w="740" w:type="dxa"/>
            <w:vAlign w:val="bottom"/>
          </w:tcPr>
          <w:p>
            <w:pPr>
              <w:spacing w:after="0"/>
              <w:rPr>
                <w:sz w:val="18"/>
                <w:szCs w:val="18"/>
                <w:color w:val="auto"/>
              </w:rPr>
            </w:pPr>
          </w:p>
        </w:tc>
        <w:tc>
          <w:tcPr>
            <w:tcW w:w="1420" w:type="dxa"/>
            <w:vAlign w:val="bottom"/>
          </w:tcPr>
          <w:p>
            <w:pPr>
              <w:jc w:val="right"/>
              <w:ind w:right="940"/>
              <w:spacing w:after="0"/>
              <w:rPr>
                <w:sz w:val="20"/>
                <w:szCs w:val="20"/>
                <w:color w:val="auto"/>
              </w:rPr>
            </w:pPr>
            <w:r>
              <w:rPr>
                <w:rFonts w:ascii="Arial" w:cs="Arial" w:eastAsia="Arial" w:hAnsi="Arial"/>
                <w:sz w:val="17"/>
                <w:szCs w:val="17"/>
                <w:color w:val="auto"/>
                <w:w w:val="89"/>
              </w:rPr>
              <w:t>4,588</w:t>
            </w:r>
          </w:p>
        </w:tc>
        <w:tc>
          <w:tcPr>
            <w:tcW w:w="660" w:type="dxa"/>
            <w:vAlign w:val="bottom"/>
          </w:tcPr>
          <w:p>
            <w:pPr>
              <w:jc w:val="right"/>
              <w:ind w:right="173"/>
              <w:spacing w:after="0"/>
              <w:rPr>
                <w:sz w:val="20"/>
                <w:szCs w:val="20"/>
                <w:color w:val="auto"/>
              </w:rPr>
            </w:pPr>
            <w:r>
              <w:rPr>
                <w:rFonts w:ascii="Arial" w:cs="Arial" w:eastAsia="Arial" w:hAnsi="Arial"/>
                <w:sz w:val="17"/>
                <w:szCs w:val="17"/>
                <w:color w:val="auto"/>
                <w:w w:val="89"/>
              </w:rPr>
              <w:t>4,577</w:t>
            </w:r>
          </w:p>
        </w:tc>
        <w:tc>
          <w:tcPr>
            <w:tcW w:w="1680" w:type="dxa"/>
            <w:vAlign w:val="bottom"/>
          </w:tcPr>
          <w:p>
            <w:pPr>
              <w:jc w:val="right"/>
              <w:ind w:right="661"/>
              <w:spacing w:after="0"/>
              <w:rPr>
                <w:sz w:val="20"/>
                <w:szCs w:val="20"/>
                <w:color w:val="auto"/>
              </w:rPr>
            </w:pPr>
            <w:r>
              <w:rPr>
                <w:rFonts w:ascii="Arial" w:cs="Arial" w:eastAsia="Arial" w:hAnsi="Arial"/>
                <w:sz w:val="17"/>
                <w:szCs w:val="17"/>
                <w:color w:val="auto"/>
              </w:rPr>
              <w:t>4,593</w:t>
            </w:r>
          </w:p>
        </w:tc>
        <w:tc>
          <w:tcPr>
            <w:tcW w:w="740" w:type="dxa"/>
            <w:vAlign w:val="bottom"/>
          </w:tcPr>
          <w:p>
            <w:pPr>
              <w:jc w:val="right"/>
              <w:spacing w:after="0"/>
              <w:rPr>
                <w:sz w:val="20"/>
                <w:szCs w:val="20"/>
                <w:color w:val="auto"/>
              </w:rPr>
            </w:pPr>
            <w:r>
              <w:rPr>
                <w:rFonts w:ascii="Arial" w:cs="Arial" w:eastAsia="Arial" w:hAnsi="Arial"/>
                <w:sz w:val="17"/>
                <w:szCs w:val="17"/>
                <w:color w:val="auto"/>
              </w:rPr>
              <w:t>4,571</w:t>
            </w:r>
          </w:p>
        </w:tc>
      </w:tr>
      <w:tr>
        <w:trPr>
          <w:trHeight w:val="223"/>
        </w:trPr>
        <w:tc>
          <w:tcPr>
            <w:tcW w:w="600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740" w:type="dxa"/>
            <w:vAlign w:val="bottom"/>
          </w:tcPr>
          <w:p>
            <w:pPr>
              <w:spacing w:after="0"/>
              <w:rPr>
                <w:sz w:val="19"/>
                <w:szCs w:val="19"/>
                <w:color w:val="auto"/>
              </w:rPr>
            </w:pPr>
          </w:p>
        </w:tc>
        <w:tc>
          <w:tcPr>
            <w:tcW w:w="1420" w:type="dxa"/>
            <w:vAlign w:val="bottom"/>
          </w:tcPr>
          <w:p>
            <w:pPr>
              <w:jc w:val="right"/>
              <w:ind w:right="940"/>
              <w:spacing w:after="0"/>
              <w:rPr>
                <w:sz w:val="20"/>
                <w:szCs w:val="20"/>
                <w:color w:val="auto"/>
              </w:rPr>
            </w:pPr>
            <w:r>
              <w:rPr>
                <w:rFonts w:ascii="Arial" w:cs="Arial" w:eastAsia="Arial" w:hAnsi="Arial"/>
                <w:sz w:val="17"/>
                <w:szCs w:val="17"/>
                <w:color w:val="auto"/>
              </w:rPr>
              <w:t>77</w:t>
            </w:r>
          </w:p>
        </w:tc>
        <w:tc>
          <w:tcPr>
            <w:tcW w:w="660" w:type="dxa"/>
            <w:vAlign w:val="bottom"/>
          </w:tcPr>
          <w:p>
            <w:pPr>
              <w:jc w:val="right"/>
              <w:ind w:right="173"/>
              <w:spacing w:after="0"/>
              <w:rPr>
                <w:sz w:val="20"/>
                <w:szCs w:val="20"/>
                <w:color w:val="auto"/>
              </w:rPr>
            </w:pPr>
            <w:r>
              <w:rPr>
                <w:rFonts w:ascii="Arial" w:cs="Arial" w:eastAsia="Arial" w:hAnsi="Arial"/>
                <w:sz w:val="17"/>
                <w:szCs w:val="17"/>
                <w:color w:val="auto"/>
              </w:rPr>
              <w:t>51</w:t>
            </w:r>
          </w:p>
        </w:tc>
        <w:tc>
          <w:tcPr>
            <w:tcW w:w="1680" w:type="dxa"/>
            <w:vAlign w:val="bottom"/>
          </w:tcPr>
          <w:p>
            <w:pPr>
              <w:jc w:val="right"/>
              <w:ind w:right="661"/>
              <w:spacing w:after="0"/>
              <w:rPr>
                <w:sz w:val="20"/>
                <w:szCs w:val="20"/>
                <w:color w:val="auto"/>
              </w:rPr>
            </w:pPr>
            <w:r>
              <w:rPr>
                <w:rFonts w:ascii="Arial" w:cs="Arial" w:eastAsia="Arial" w:hAnsi="Arial"/>
                <w:sz w:val="17"/>
                <w:szCs w:val="17"/>
                <w:color w:val="auto"/>
              </w:rPr>
              <w:t>75</w:t>
            </w:r>
          </w:p>
        </w:tc>
        <w:tc>
          <w:tcPr>
            <w:tcW w:w="7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Weighted-average number of common shares outstanding – diluted</w:t>
            </w: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40"/>
              <w:spacing w:after="0"/>
              <w:rPr>
                <w:sz w:val="20"/>
                <w:szCs w:val="20"/>
                <w:color w:val="auto"/>
              </w:rPr>
            </w:pPr>
            <w:r>
              <w:rPr>
                <w:rFonts w:ascii="Arial" w:cs="Arial" w:eastAsia="Arial" w:hAnsi="Arial"/>
                <w:sz w:val="17"/>
                <w:szCs w:val="17"/>
                <w:color w:val="auto"/>
                <w:w w:val="89"/>
              </w:rPr>
              <w:t>4,665</w:t>
            </w: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9"/>
              </w:rPr>
              <w:t>4,628</w:t>
            </w:r>
          </w:p>
        </w:tc>
        <w:tc>
          <w:tcPr>
            <w:tcW w:w="1680" w:type="dxa"/>
            <w:vAlign w:val="bottom"/>
            <w:tcBorders>
              <w:bottom w:val="single" w:sz="8" w:color="auto"/>
            </w:tcBorders>
          </w:tcPr>
          <w:p>
            <w:pPr>
              <w:jc w:val="right"/>
              <w:ind w:right="661"/>
              <w:spacing w:after="0"/>
              <w:rPr>
                <w:sz w:val="20"/>
                <w:szCs w:val="20"/>
                <w:color w:val="auto"/>
              </w:rPr>
            </w:pPr>
            <w:r>
              <w:rPr>
                <w:rFonts w:ascii="Arial" w:cs="Arial" w:eastAsia="Arial" w:hAnsi="Arial"/>
                <w:sz w:val="17"/>
                <w:szCs w:val="17"/>
                <w:color w:val="auto"/>
              </w:rPr>
              <w:t>4,668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4,616</w:t>
            </w:r>
          </w:p>
        </w:tc>
      </w:tr>
    </w:tbl>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The amount of potential common shares related to our share-based compensation plans that were excluded from diluted EPS because their effect would have been antidilutive was not material in any of the periods presented.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tcPr>
          <w:p>
            <w:pPr>
              <w:spacing w:after="0"/>
              <w:rPr>
                <w:sz w:val="14"/>
                <w:szCs w:val="14"/>
                <w:color w:val="auto"/>
              </w:rPr>
            </w:pPr>
          </w:p>
        </w:tc>
        <w:tc>
          <w:tcPr>
            <w:tcW w:w="1300" w:type="dxa"/>
            <w:vAlign w:val="bottom"/>
          </w:tcPr>
          <w:p>
            <w:pPr>
              <w:jc w:val="right"/>
              <w:ind w:right="299"/>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14"/>
                <w:szCs w:val="14"/>
                <w:color w:val="auto"/>
              </w:rPr>
            </w:pPr>
          </w:p>
        </w:tc>
        <w:tc>
          <w:tcPr>
            <w:tcW w:w="1220" w:type="dxa"/>
            <w:vAlign w:val="bottom"/>
          </w:tcPr>
          <w:p>
            <w:pPr>
              <w:jc w:val="right"/>
              <w:ind w:right="23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672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Cumulative translation adjustments</w:t>
            </w:r>
          </w:p>
        </w:tc>
        <w:tc>
          <w:tcPr>
            <w:tcW w:w="1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9"/>
              <w:spacing w:after="0"/>
              <w:rPr>
                <w:sz w:val="20"/>
                <w:szCs w:val="20"/>
                <w:color w:val="auto"/>
              </w:rPr>
            </w:pPr>
            <w:r>
              <w:rPr>
                <w:rFonts w:ascii="Arial" w:cs="Arial" w:eastAsia="Arial" w:hAnsi="Arial"/>
                <w:sz w:val="17"/>
                <w:szCs w:val="17"/>
                <w:color w:val="auto"/>
              </w:rPr>
              <w:t>1,113</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1,790</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Deferred gains (losses) on cash flow hedges</w:t>
            </w:r>
          </w:p>
        </w:tc>
        <w:tc>
          <w:tcPr>
            <w:tcW w:w="16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7"/>
                <w:szCs w:val="17"/>
                <w:color w:val="auto"/>
              </w:rPr>
              <w:t>37</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Unrecognized gains (losses) on employee benefit obligations and other</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178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Accumulated other comprehensive income (loss), net of deferred taxes</w:t>
            </w: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1,328</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1,884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2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March 2021, we granted 12.8 million RSUs and 42.3 million stock options related to our annual management awards. The weighted-average fair values associated with these grants were $54.62 per RSU and $9.64 per stock option.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Recognized Share-Based Compensation Expense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gridSpan w:val="2"/>
          </w:tcPr>
          <w:p>
            <w:pPr>
              <w:jc w:val="right"/>
              <w:ind w:right="399"/>
              <w:spacing w:after="0"/>
              <w:rPr>
                <w:sz w:val="20"/>
                <w:szCs w:val="20"/>
                <w:color w:val="auto"/>
              </w:rPr>
            </w:pPr>
            <w:r>
              <w:rPr>
                <w:rFonts w:ascii="Arial" w:cs="Arial" w:eastAsia="Arial" w:hAnsi="Arial"/>
                <w:sz w:val="14"/>
                <w:szCs w:val="14"/>
                <w:color w:val="auto"/>
                <w:w w:val="93"/>
              </w:rPr>
              <w:t>Three Months Ended</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w w:val="94"/>
              </w:rPr>
              <w:t>Nine Months Ended</w:t>
            </w:r>
          </w:p>
        </w:tc>
        <w:tc>
          <w:tcPr>
            <w:tcW w:w="900" w:type="dxa"/>
            <w:vAlign w:val="bottom"/>
          </w:tcPr>
          <w:p>
            <w:pPr>
              <w:spacing w:after="0"/>
              <w:rPr>
                <w:sz w:val="14"/>
                <w:szCs w:val="14"/>
                <w:color w:val="auto"/>
              </w:rPr>
            </w:pPr>
          </w:p>
        </w:tc>
      </w:tr>
      <w:tr>
        <w:trPr>
          <w:trHeight w:val="178"/>
        </w:trPr>
        <w:tc>
          <w:tcPr>
            <w:tcW w:w="4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7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96"/>
              </w:rPr>
              <w:t>2020</w:t>
            </w: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Restricted share units</w:t>
            </w:r>
          </w:p>
        </w:tc>
        <w:tc>
          <w:tcPr>
            <w:tcW w:w="880" w:type="dxa"/>
            <w:vAlign w:val="bottom"/>
          </w:tcPr>
          <w:p>
            <w:pPr>
              <w:jc w:val="right"/>
              <w:ind w:right="699"/>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59"/>
              <w:spacing w:after="0"/>
              <w:rPr>
                <w:sz w:val="20"/>
                <w:szCs w:val="20"/>
                <w:color w:val="auto"/>
              </w:rPr>
            </w:pPr>
            <w:r>
              <w:rPr>
                <w:rFonts w:ascii="Arial" w:cs="Arial" w:eastAsia="Arial" w:hAnsi="Arial"/>
                <w:sz w:val="17"/>
                <w:szCs w:val="17"/>
                <w:color w:val="auto"/>
              </w:rPr>
              <w:t>167</w:t>
            </w:r>
          </w:p>
        </w:tc>
        <w:tc>
          <w:tcPr>
            <w:tcW w:w="1120" w:type="dxa"/>
            <w:vAlign w:val="bottom"/>
          </w:tcPr>
          <w:p>
            <w:pPr>
              <w:jc w:val="right"/>
              <w:ind w:right="799"/>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53"/>
              <w:spacing w:after="0"/>
              <w:rPr>
                <w:sz w:val="20"/>
                <w:szCs w:val="20"/>
                <w:color w:val="auto"/>
              </w:rPr>
            </w:pPr>
            <w:r>
              <w:rPr>
                <w:rFonts w:ascii="Arial" w:cs="Arial" w:eastAsia="Arial" w:hAnsi="Arial"/>
                <w:sz w:val="17"/>
                <w:szCs w:val="17"/>
                <w:color w:val="auto"/>
              </w:rPr>
              <w:t>164</w:t>
            </w:r>
          </w:p>
        </w:tc>
        <w:tc>
          <w:tcPr>
            <w:tcW w:w="1060" w:type="dxa"/>
            <w:vAlign w:val="bottom"/>
          </w:tcPr>
          <w:p>
            <w:pPr>
              <w:jc w:val="right"/>
              <w:ind w:right="739"/>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59"/>
              <w:spacing w:after="0"/>
              <w:rPr>
                <w:sz w:val="20"/>
                <w:szCs w:val="20"/>
                <w:color w:val="auto"/>
              </w:rPr>
            </w:pPr>
            <w:r>
              <w:rPr>
                <w:rFonts w:ascii="Arial" w:cs="Arial" w:eastAsia="Arial" w:hAnsi="Arial"/>
                <w:sz w:val="17"/>
                <w:szCs w:val="17"/>
                <w:color w:val="auto"/>
              </w:rPr>
              <w:t>560</w:t>
            </w:r>
          </w:p>
        </w:tc>
        <w:tc>
          <w:tcPr>
            <w:tcW w:w="66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484</w:t>
            </w: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Stock options</w:t>
            </w:r>
          </w:p>
        </w:tc>
        <w:tc>
          <w:tcPr>
            <w:tcW w:w="880" w:type="dxa"/>
            <w:vAlign w:val="bottom"/>
          </w:tcPr>
          <w:p>
            <w:pPr>
              <w:spacing w:after="0"/>
              <w:rPr>
                <w:sz w:val="19"/>
                <w:szCs w:val="19"/>
                <w:color w:val="auto"/>
              </w:rPr>
            </w:pPr>
          </w:p>
        </w:tc>
        <w:tc>
          <w:tcPr>
            <w:tcW w:w="600" w:type="dxa"/>
            <w:vAlign w:val="bottom"/>
          </w:tcPr>
          <w:p>
            <w:pPr>
              <w:jc w:val="right"/>
              <w:ind w:right="59"/>
              <w:spacing w:after="0"/>
              <w:rPr>
                <w:sz w:val="20"/>
                <w:szCs w:val="20"/>
                <w:color w:val="auto"/>
              </w:rPr>
            </w:pPr>
            <w:r>
              <w:rPr>
                <w:rFonts w:ascii="Arial" w:cs="Arial" w:eastAsia="Arial" w:hAnsi="Arial"/>
                <w:sz w:val="17"/>
                <w:szCs w:val="17"/>
                <w:color w:val="auto"/>
              </w:rPr>
              <w:t>70</w:t>
            </w:r>
          </w:p>
        </w:tc>
        <w:tc>
          <w:tcPr>
            <w:tcW w:w="1120" w:type="dxa"/>
            <w:vAlign w:val="bottom"/>
          </w:tcPr>
          <w:p>
            <w:pPr>
              <w:spacing w:after="0"/>
              <w:rPr>
                <w:sz w:val="19"/>
                <w:szCs w:val="19"/>
                <w:color w:val="auto"/>
              </w:rPr>
            </w:pPr>
          </w:p>
        </w:tc>
        <w:tc>
          <w:tcPr>
            <w:tcW w:w="520" w:type="dxa"/>
            <w:vAlign w:val="bottom"/>
          </w:tcPr>
          <w:p>
            <w:pPr>
              <w:jc w:val="right"/>
              <w:ind w:right="53"/>
              <w:spacing w:after="0"/>
              <w:rPr>
                <w:sz w:val="20"/>
                <w:szCs w:val="20"/>
                <w:color w:val="auto"/>
              </w:rPr>
            </w:pPr>
            <w:r>
              <w:rPr>
                <w:rFonts w:ascii="Arial" w:cs="Arial" w:eastAsia="Arial" w:hAnsi="Arial"/>
                <w:sz w:val="17"/>
                <w:szCs w:val="17"/>
                <w:color w:val="auto"/>
              </w:rPr>
              <w:t>72</w:t>
            </w:r>
          </w:p>
        </w:tc>
        <w:tc>
          <w:tcPr>
            <w:tcW w:w="106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7"/>
                <w:szCs w:val="17"/>
                <w:color w:val="auto"/>
              </w:rPr>
              <w:t>248</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226</w:t>
            </w: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Employee stock purchase plans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9</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9</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29</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22"/>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246</w:t>
            </w:r>
          </w:p>
        </w:tc>
        <w:tc>
          <w:tcPr>
            <w:tcW w:w="1120" w:type="dxa"/>
            <w:vAlign w:val="bottom"/>
            <w:tcBorders>
              <w:bottom w:val="single" w:sz="8" w:color="auto"/>
            </w:tcBorders>
          </w:tcPr>
          <w:p>
            <w:pPr>
              <w:jc w:val="right"/>
              <w:ind w:right="799"/>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245</w:t>
            </w:r>
          </w:p>
        </w:tc>
        <w:tc>
          <w:tcPr>
            <w:tcW w:w="106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837</w:t>
            </w:r>
          </w:p>
        </w:tc>
        <w:tc>
          <w:tcPr>
            <w:tcW w:w="6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740</w:t>
            </w:r>
          </w:p>
        </w:tc>
      </w:tr>
    </w:tbl>
    <w:p>
      <w:pPr>
        <w:spacing w:after="0" w:line="14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As of September 30, 2021, we had unrecognized pretax compensation expense of $1.3 billion and $649 million related to nonvested RSUs and nonvested stock options,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9: Supplemental Financial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second quarter of 2021, tax law changes were enacted in the United Kingdom that, among other provisions, will increase the corporate tax rate to 25% from 19% effective April 1, 2023. The rate change resulted in an increase to our net deferred tax liabilities of $498 million and a corresponding increase to income tax expense in the second quarter of 2021. Our income tax expense in the United Kingdom will be based on the new rate beginning in 2023.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Cash Payments for Interest and Income Taxes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ind w:left="620"/>
              <w:spacing w:after="0"/>
              <w:rPr>
                <w:sz w:val="20"/>
                <w:szCs w:val="20"/>
                <w:color w:val="auto"/>
              </w:rPr>
            </w:pPr>
            <w:r>
              <w:rPr>
                <w:rFonts w:ascii="Arial" w:cs="Arial" w:eastAsia="Arial" w:hAnsi="Arial"/>
                <w:sz w:val="14"/>
                <w:szCs w:val="14"/>
                <w:color w:val="auto"/>
                <w:w w:val="95"/>
              </w:rPr>
              <w:t>Nine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w w:val="96"/>
              </w:rPr>
              <w:t>2020</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Interest</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Pr>
          <w:p>
            <w:pPr>
              <w:ind w:left="620"/>
              <w:spacing w:after="0"/>
              <w:rPr>
                <w:sz w:val="20"/>
                <w:szCs w:val="20"/>
                <w:color w:val="auto"/>
              </w:rPr>
            </w:pPr>
            <w:r>
              <w:rPr>
                <w:rFonts w:ascii="Arial" w:cs="Arial" w:eastAsia="Arial" w:hAnsi="Arial"/>
                <w:sz w:val="17"/>
                <w:szCs w:val="17"/>
                <w:color w:val="auto"/>
              </w:rPr>
              <w:t>2,943</w:t>
            </w:r>
          </w:p>
        </w:tc>
        <w:tc>
          <w:tcPr>
            <w:tcW w:w="66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2,845</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2,201</w:t>
            </w:r>
          </w:p>
        </w:tc>
        <w:tc>
          <w:tcPr>
            <w:tcW w:w="6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Noncash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2021:</w:t>
      </w:r>
    </w:p>
    <w:p>
      <w:pPr>
        <w:spacing w:after="0" w:line="80" w:lineRule="exact"/>
        <w:rPr>
          <w:sz w:val="20"/>
          <w:szCs w:val="20"/>
          <w:color w:val="auto"/>
        </w:rPr>
      </w:pPr>
    </w:p>
    <w:p>
      <w:pPr>
        <w:ind w:left="640" w:hanging="321"/>
        <w:spacing w:after="0" w:line="289"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recognized operating lease assets and liabilities of $2.8 billion related to Universal Beijing Resort with lease terms of 33 years and using a weighted average discount rate of 4.4%</w:t>
      </w:r>
    </w:p>
    <w:p>
      <w:pPr>
        <w:spacing w:after="0" w:line="13" w:lineRule="exact"/>
        <w:rPr>
          <w:rFonts w:ascii="Arial" w:cs="Arial" w:eastAsia="Arial" w:hAnsi="Arial"/>
          <w:sz w:val="17"/>
          <w:szCs w:val="17"/>
          <w:color w:val="auto"/>
        </w:rPr>
      </w:pPr>
    </w:p>
    <w:p>
      <w:pPr>
        <w:ind w:left="620" w:hanging="301"/>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acquired $1.6 billion of property and equipment and intangible assets that were accrued but unpaid</w:t>
      </w:r>
    </w:p>
    <w:p>
      <w:pPr>
        <w:spacing w:after="0" w:line="79" w:lineRule="exact"/>
        <w:rPr>
          <w:rFonts w:ascii="Arial" w:cs="Arial" w:eastAsia="Arial" w:hAnsi="Arial"/>
          <w:sz w:val="17"/>
          <w:szCs w:val="17"/>
          <w:color w:val="auto"/>
        </w:rPr>
      </w:pPr>
    </w:p>
    <w:p>
      <w:pPr>
        <w:ind w:left="620" w:hanging="301"/>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recorded a liability of $1.2 billion for a quarterly cash dividend of $0.25 per common share paid in October 2021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2020:</w:t>
      </w:r>
    </w:p>
    <w:p>
      <w:pPr>
        <w:spacing w:after="0" w:line="80" w:lineRule="exact"/>
        <w:rPr>
          <w:sz w:val="20"/>
          <w:szCs w:val="20"/>
          <w:color w:val="auto"/>
        </w:rPr>
      </w:pPr>
    </w:p>
    <w:p>
      <w:pPr>
        <w:ind w:left="620" w:hanging="301"/>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acquired $1.9 billion of property and equipment and intangible assets that were accrued but unpaid</w:t>
      </w:r>
    </w:p>
    <w:p>
      <w:pPr>
        <w:spacing w:after="0" w:line="79" w:lineRule="exact"/>
        <w:rPr>
          <w:rFonts w:ascii="Arial" w:cs="Arial" w:eastAsia="Arial" w:hAnsi="Arial"/>
          <w:sz w:val="17"/>
          <w:szCs w:val="17"/>
          <w:color w:val="auto"/>
        </w:rPr>
      </w:pPr>
    </w:p>
    <w:p>
      <w:pPr>
        <w:ind w:left="620" w:hanging="301"/>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recorded a liability of $1.1 billion for a quarterly cash dividend of $0.23 per common share paid in October 2020</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160" w:type="dxa"/>
            <w:vAlign w:val="bottom"/>
          </w:tcPr>
          <w:p>
            <w:pPr>
              <w:spacing w:after="0"/>
              <w:rPr>
                <w:sz w:val="14"/>
                <w:szCs w:val="14"/>
                <w:color w:val="auto"/>
              </w:rPr>
            </w:pPr>
          </w:p>
        </w:tc>
        <w:tc>
          <w:tcPr>
            <w:tcW w:w="1300" w:type="dxa"/>
            <w:vAlign w:val="bottom"/>
          </w:tcPr>
          <w:p>
            <w:pPr>
              <w:jc w:val="right"/>
              <w:ind w:right="299"/>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14"/>
                <w:szCs w:val="14"/>
                <w:color w:val="auto"/>
              </w:rPr>
            </w:pPr>
          </w:p>
        </w:tc>
        <w:tc>
          <w:tcPr>
            <w:tcW w:w="1220" w:type="dxa"/>
            <w:vAlign w:val="bottom"/>
          </w:tcPr>
          <w:p>
            <w:pPr>
              <w:jc w:val="right"/>
              <w:ind w:right="23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6220" w:type="dxa"/>
            <w:vAlign w:val="bottom"/>
            <w:tcBorders>
              <w:bottom w:val="single" w:sz="8" w:color="auto"/>
            </w:tcBorders>
            <w:vMerge w:val="continue"/>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8"/>
        </w:trPr>
        <w:tc>
          <w:tcPr>
            <w:tcW w:w="62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1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9"/>
              <w:spacing w:after="0"/>
              <w:rPr>
                <w:sz w:val="20"/>
                <w:szCs w:val="20"/>
                <w:color w:val="auto"/>
              </w:rPr>
            </w:pPr>
            <w:r>
              <w:rPr>
                <w:rFonts w:ascii="Arial" w:cs="Arial" w:eastAsia="Arial" w:hAnsi="Arial"/>
                <w:sz w:val="17"/>
                <w:szCs w:val="17"/>
                <w:color w:val="auto"/>
              </w:rPr>
              <w:t>11,806</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11,740</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7"/>
                <w:szCs w:val="17"/>
                <w:color w:val="auto"/>
              </w:rPr>
              <w:t>Restricted cash included in other current assets</w:t>
            </w:r>
          </w:p>
        </w:tc>
        <w:tc>
          <w:tcPr>
            <w:tcW w:w="21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7"/>
                <w:szCs w:val="17"/>
                <w:color w:val="auto"/>
              </w:rPr>
              <w:t>39</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 included in other noncurrent assets, net</w:t>
            </w:r>
          </w:p>
        </w:tc>
        <w:tc>
          <w:tcPr>
            <w:tcW w:w="2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21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11,858</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11,768</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10: Commitments and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Subsidiary Preferred Stock</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first quarter of 2021, we redeemed all of the NBCUniversal Enterprise, Inc. preferred stock and made cash payments equal to the aggregate liquidation preference of $725 million. As of December 31, 2020, the preferred stock had a carrying value equal to its liquidation preference and was presented in redeemable noncontrolling interests and redeemable subsidiary preferred stock.</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80"/>
        <w:spacing w:after="0" w:line="276" w:lineRule="auto"/>
        <w:rPr>
          <w:sz w:val="20"/>
          <w:szCs w:val="20"/>
          <w:color w:val="auto"/>
        </w:rPr>
      </w:pPr>
      <w:r>
        <w:rPr>
          <w:rFonts w:ascii="Arial" w:cs="Arial" w:eastAsia="Arial" w:hAnsi="Arial"/>
          <w:sz w:val="21"/>
          <w:szCs w:val="21"/>
          <w:b w:val="1"/>
          <w:bCs w:val="1"/>
          <w:color w:val="auto"/>
        </w:rPr>
        <w:t>ITEM 2: MANAGEMENT’S DISCUSSION AND ANALYSIS OF FINANCIAL CONDITION AND RESULTS OF OPERATIONS</w:t>
      </w:r>
    </w:p>
    <w:p>
      <w:pPr>
        <w:spacing w:after="0" w:line="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discussion is provided as a supplement to, and should be read in conjunction with, the condensed consolidated financial statements and related notes included in this Quarterly Report on Form 10-Q and our 2020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a global media and technology company with three primary businesses: Comcast Cable, NBCUniversal, and Sky. We present our operations for (1) Comcast Cable in one reportable business segment, referred to as Cable Communications; (2) NBCUniversal in three reportable business segments: Media, Studios and Theme Parks (collectively, the “NBCUniversal segments”); and (3) Sky in one reportable business segment. Refer to Note 2 for information on our reportable segments, including a description of the segment change implemented in the first quarter of 2021. All amounts are presented on a consistent basis under the new segment structure.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Impacts of COVID-19</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novel coronavirus disease 2019 (“COVID-19”) and measures taken to prevent its spread across the globe have impacted our businesses in a number of ways. COVID-19 has had material negative impacts on NBCUniversal and Sky results of operations primarily due to the temporary restrictions and closures at our theme parks and the impacts on professional sports, respectively. We expect the effects of the COVID-19 pandemic will continue to adversely impact our consolidated results of operations over the near to medium term, although the extent of such impact will depend on restrictive governmental measures, U.S. and global economic conditions, expanded availability and acceptance of vaccines and consumer behavior in response to COVID-19. The most significant effects of COVID-19 began in the latter part of the first quarter of 2020, affecting the comparability of periods included in this report. The following summary provides a discussion of current and potential future effects of the pandemic with direct impacts to our businesses.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Cable Communications</w:t>
      </w:r>
    </w:p>
    <w:p>
      <w:pPr>
        <w:spacing w:after="0" w:line="75" w:lineRule="exact"/>
        <w:rPr>
          <w:sz w:val="20"/>
          <w:szCs w:val="20"/>
          <w:color w:val="auto"/>
        </w:rPr>
      </w:pPr>
    </w:p>
    <w:p>
      <w:pPr>
        <w:jc w:val="both"/>
        <w:ind w:left="640" w:hanging="321"/>
        <w:spacing w:after="0" w:line="283" w:lineRule="auto"/>
        <w:tabs>
          <w:tab w:leader="none" w:pos="6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Beginning in March 2020, new qualifying customers for Internet Essentials, our low-income internet adoption program, receive 60 days of free broadband services. Our customer metrics do not include customers in the free Internet Essentials offer or certain high-risk customers who continued to receive service following nonpayment as a result of COVID-19 programs. The number of customers excluded from our customer metrics has continued to decrease as some of these customers either began paying for service, resulting in customer net additions, or disconnected and no longer receive service, and we expect this to continue in future periods. We have experienced improvement in customer collections; however, we believe there continues to be a risk associated with collections on our outstanding receivables as a result of COVID-19.</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NBCUniversal</w:t>
      </w:r>
    </w:p>
    <w:p>
      <w:pPr>
        <w:spacing w:after="0" w:line="75" w:lineRule="exact"/>
        <w:rPr>
          <w:sz w:val="20"/>
          <w:szCs w:val="20"/>
          <w:color w:val="auto"/>
        </w:rPr>
      </w:pPr>
    </w:p>
    <w:p>
      <w:pPr>
        <w:jc w:val="both"/>
        <w:ind w:left="640" w:hanging="321"/>
        <w:spacing w:after="0" w:line="280"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theme parks in Orlando and Hollywood operated without capacity restrictions in the third quarter of 2021, following periods with capacity restrictions in place that ended in the second quarter of 2021. Our theme park in Hollywood began requiring proof of vaccination or a negative COVID-19 test result for park entry in accordance with local requirements in the fourth quarter of 2021. Our theme park in Japan has been operating with capacity restrictions and our newest theme park, Universal Beijing Resort, opened in September 2021 with capacity restrictions. The capacity restrictions and temporary closures of our theme parks at various times in 2020 and 2021 have had a significant impact on our revenue and Adjusted EBITDA for the three and nine months ended September 30, 2021 on a consolidated basis. The results of operations at our theme parks may continue to be negatively impacted and we cannot predict if some or all of our parks will remain open or continue to be subject to capacity restrictions, or the level of attendance at our reopened parks. The development of the Epic Universe theme park in Orlando resumed in the first quarter of 2021.</w:t>
      </w:r>
    </w:p>
    <w:p>
      <w:pPr>
        <w:spacing w:after="0" w:line="64" w:lineRule="exact"/>
        <w:rPr>
          <w:rFonts w:ascii="Arial" w:cs="Arial" w:eastAsia="Arial" w:hAnsi="Arial"/>
          <w:sz w:val="16"/>
          <w:szCs w:val="16"/>
          <w:color w:val="auto"/>
        </w:rPr>
      </w:pPr>
    </w:p>
    <w:p>
      <w:pPr>
        <w:jc w:val="both"/>
        <w:ind w:left="640" w:hanging="321"/>
        <w:spacing w:after="0" w:line="285"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to the start of seasons for certain professional sports leagues, including the 2020-2021 NHL and NBA seasons, resulted in the shift of additional events into the first half of 2021 compared to a normal year. The delays impacted the timing of revenue and expense recognition because both advertising revenue and costs associated with broadcasting these programs are recognized when events are broadcast. The timing of sports seasons generally returned to a normal calendar beginning in the third quarter of 2021. In addition, the Tokyo Olympics were postponed from the third quarter of 2020 and took place in the third quarter of 2021, resulting in a corresponding delay of the associated revenue and costs.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40" w:hanging="321"/>
        <w:spacing w:after="0" w:line="289" w:lineRule="auto"/>
        <w:tabs>
          <w:tab w:leader="none" w:pos="6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studio production operations have generally returned to full capacity. With the temporary closure or limited capacity operation of many movie theaters worldwide, we have delayed or altered the theatrical distribution strategy for certain of our films, both domestically and internationally. Delays in theatrical releases affect both current and future periods as a result of corresponding delays in subsequent content licensing windows. Results of operations in our Studios segment may be negatively impacted over the near to medium term as a result of COVID-19.</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Sky</w:t>
      </w:r>
    </w:p>
    <w:p>
      <w:pPr>
        <w:spacing w:after="0" w:line="75" w:lineRule="exact"/>
        <w:rPr>
          <w:sz w:val="20"/>
          <w:szCs w:val="20"/>
          <w:color w:val="auto"/>
        </w:rPr>
      </w:pPr>
    </w:p>
    <w:p>
      <w:pPr>
        <w:jc w:val="both"/>
        <w:ind w:left="640" w:hanging="321"/>
        <w:spacing w:after="0" w:line="265" w:lineRule="auto"/>
        <w:tabs>
          <w:tab w:leader="none" w:pos="636" w:val="left"/>
        </w:tabs>
        <w:numPr>
          <w:ilvl w:val="0"/>
          <w:numId w:val="13"/>
        </w:numPr>
        <w:rPr>
          <w:rFonts w:ascii="Arial" w:cs="Arial" w:eastAsia="Arial" w:hAnsi="Arial"/>
          <w:sz w:val="14"/>
          <w:szCs w:val="14"/>
          <w:color w:val="auto"/>
        </w:rPr>
      </w:pPr>
      <w:r>
        <w:rPr>
          <w:rFonts w:ascii="Arial" w:cs="Arial" w:eastAsia="Arial" w:hAnsi="Arial"/>
          <w:sz w:val="17"/>
          <w:szCs w:val="17"/>
          <w:color w:val="auto"/>
        </w:rPr>
        <w:t>Direct-to-consumer revenue has been negatively impacted, and future periods may be negatively impacted, as a result of lower sports subscription revenue due to the closures and extent of reopening of our commercial customers</w:t>
      </w:r>
      <w:r>
        <w:rPr>
          <w:rFonts w:ascii="Arial" w:cs="Arial" w:eastAsia="Arial" w:hAnsi="Arial"/>
          <w:sz w:val="13"/>
          <w:szCs w:val="13"/>
          <w:color w:val="auto"/>
        </w:rPr>
        <w:t>’</w:t>
      </w:r>
      <w:r>
        <w:rPr>
          <w:rFonts w:ascii="Arial" w:cs="Arial" w:eastAsia="Arial" w:hAnsi="Arial"/>
          <w:sz w:val="17"/>
          <w:szCs w:val="17"/>
          <w:color w:val="auto"/>
        </w:rPr>
        <w:t xml:space="preserve"> locations. In addition, delays to the start of the 2020-2021 seasons for certain sports, including European football, resulted in the shift of additional events and the significant costs associated with broadcasting these programs into the first and second quarters of 2021 compared to a normal year. The timing of sports seasons generally returned to a normal calendar beginning in the third quarter of 2021.</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2020, our businesses implemented separate cost savings initiatives, with the most significant relating to severance at NBCUniversal in connection with the realignment of the operating structure in our television businesses as well as overall reductions in the cost base. The costs of these initiatives were presented in Corporate and Other. Payments related to NBCUniversal employee severance are expected to be substantially complete in 2021 and the related costs savings will be realized in operating costs and expenses primarily beginning in 2021. A portion of these cost savings may be reallocated to investments in content and other strategic initiatives.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Operating Results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3"/>
          </w:tcPr>
          <w:p>
            <w:pPr>
              <w:jc w:val="right"/>
              <w:ind w:right="794"/>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75"/>
              <w:spacing w:after="0"/>
              <w:rPr>
                <w:sz w:val="20"/>
                <w:szCs w:val="20"/>
                <w:color w:val="auto"/>
              </w:rPr>
            </w:pPr>
            <w:r>
              <w:rPr>
                <w:rFonts w:ascii="Arial" w:cs="Arial" w:eastAsia="Arial" w:hAnsi="Arial"/>
                <w:sz w:val="14"/>
                <w:szCs w:val="14"/>
                <w:color w:val="auto"/>
                <w:w w:val="86"/>
              </w:rPr>
              <w:t>Increase/</w:t>
            </w:r>
          </w:p>
        </w:tc>
        <w:tc>
          <w:tcPr>
            <w:tcW w:w="340" w:type="dxa"/>
            <w:vAlign w:val="bottom"/>
          </w:tcPr>
          <w:p>
            <w:pPr>
              <w:spacing w:after="0"/>
              <w:rPr>
                <w:sz w:val="14"/>
                <w:szCs w:val="14"/>
                <w:color w:val="auto"/>
              </w:rPr>
            </w:pPr>
          </w:p>
        </w:tc>
        <w:tc>
          <w:tcPr>
            <w:tcW w:w="2460" w:type="dxa"/>
            <w:vAlign w:val="bottom"/>
            <w:gridSpan w:val="3"/>
          </w:tcPr>
          <w:p>
            <w:pPr>
              <w:jc w:val="right"/>
              <w:ind w:right="854"/>
              <w:spacing w:after="0"/>
              <w:rPr>
                <w:sz w:val="20"/>
                <w:szCs w:val="20"/>
                <w:color w:val="auto"/>
              </w:rPr>
            </w:pPr>
            <w:r>
              <w:rPr>
                <w:rFonts w:ascii="Arial" w:cs="Arial" w:eastAsia="Arial" w:hAnsi="Arial"/>
                <w:sz w:val="14"/>
                <w:szCs w:val="14"/>
                <w:color w:val="auto"/>
              </w:rPr>
              <w:t>Nine Months Ended</w:t>
            </w:r>
          </w:p>
        </w:tc>
        <w:tc>
          <w:tcPr>
            <w:tcW w:w="1240" w:type="dxa"/>
            <w:vAlign w:val="bottom"/>
          </w:tcPr>
          <w:p>
            <w:pPr>
              <w:jc w:val="center"/>
              <w:ind w:right="55"/>
              <w:spacing w:after="0"/>
              <w:rPr>
                <w:sz w:val="20"/>
                <w:szCs w:val="20"/>
                <w:color w:val="auto"/>
              </w:rPr>
            </w:pPr>
            <w:r>
              <w:rPr>
                <w:rFonts w:ascii="Arial" w:cs="Arial" w:eastAsia="Arial" w:hAnsi="Arial"/>
                <w:sz w:val="14"/>
                <w:szCs w:val="14"/>
                <w:color w:val="auto"/>
                <w:w w:val="86"/>
              </w:rPr>
              <w:t>Increase/</w:t>
            </w:r>
          </w:p>
        </w:tc>
        <w:tc>
          <w:tcPr>
            <w:tcW w:w="0" w:type="dxa"/>
            <w:vAlign w:val="bottom"/>
          </w:tcPr>
          <w:p>
            <w:pPr>
              <w:spacing w:after="0"/>
              <w:rPr>
                <w:sz w:val="1"/>
                <w:szCs w:val="1"/>
                <w:color w:val="auto"/>
              </w:rPr>
            </w:pPr>
          </w:p>
        </w:tc>
      </w:tr>
      <w:tr>
        <w:trPr>
          <w:trHeight w:val="178"/>
        </w:trPr>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w w:val="86"/>
              </w:rPr>
              <w:t>(Decrease)</w:t>
            </w: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6"/>
              </w:rPr>
              <w:t>(Decrease)</w:t>
            </w:r>
          </w:p>
        </w:tc>
        <w:tc>
          <w:tcPr>
            <w:tcW w:w="0" w:type="dxa"/>
            <w:vAlign w:val="bottom"/>
          </w:tcPr>
          <w:p>
            <w:pPr>
              <w:spacing w:after="0"/>
              <w:rPr>
                <w:sz w:val="1"/>
                <w:szCs w:val="1"/>
                <w:color w:val="auto"/>
              </w:rPr>
            </w:pPr>
          </w:p>
        </w:tc>
      </w:tr>
      <w:tr>
        <w:trPr>
          <w:trHeight w:val="17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2020</w:t>
            </w: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30,298</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25,532</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18.7%</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86,049</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75,856</w:t>
            </w:r>
          </w:p>
        </w:tc>
        <w:tc>
          <w:tcPr>
            <w:tcW w:w="1240" w:type="dxa"/>
            <w:vAlign w:val="bottom"/>
          </w:tcPr>
          <w:p>
            <w:pPr>
              <w:jc w:val="right"/>
              <w:spacing w:after="0"/>
              <w:rPr>
                <w:sz w:val="20"/>
                <w:szCs w:val="20"/>
                <w:color w:val="auto"/>
              </w:rPr>
            </w:pPr>
            <w:r>
              <w:rPr>
                <w:rFonts w:ascii="Arial" w:cs="Arial" w:eastAsia="Arial" w:hAnsi="Arial"/>
                <w:sz w:val="17"/>
                <w:szCs w:val="17"/>
                <w:color w:val="auto"/>
              </w:rPr>
              <w:t>13.4 %</w:t>
            </w: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10,395</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8,565</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21.4</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28,570</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23,683</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Other operating and administrative</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8,981</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8,059</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11.4</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25,799</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23,959</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Advertising, marketing and promotion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1,995</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1,512</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32.0</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5,462</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4,791</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2,177</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2,122</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2.6</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6,407</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6,328</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1,301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1,198</w:t>
            </w: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8.6</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3,815</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3,520</w:t>
            </w: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7"/>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5,450</w:t>
            </w:r>
          </w:p>
        </w:tc>
        <w:tc>
          <w:tcPr>
            <w:tcW w:w="46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4,076</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33.7</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15,996</w:t>
            </w:r>
          </w:p>
        </w:tc>
        <w:tc>
          <w:tcPr>
            <w:tcW w:w="46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13,575</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(1,050)</w:t>
            </w:r>
          </w:p>
        </w:tc>
        <w:tc>
          <w:tcPr>
            <w:tcW w:w="46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(1,220)</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(14.0)</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(3,161)</w:t>
            </w:r>
          </w:p>
        </w:tc>
        <w:tc>
          <w:tcPr>
            <w:tcW w:w="46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(3,544)</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Investment and other income (loss),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766</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(86)</w:t>
            </w: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NM</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2,374</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(382)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5,166</w:t>
            </w:r>
          </w:p>
        </w:tc>
        <w:tc>
          <w:tcPr>
            <w:tcW w:w="46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2,770</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86.5</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15,208</w:t>
            </w:r>
          </w:p>
        </w:tc>
        <w:tc>
          <w:tcPr>
            <w:tcW w:w="46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9,649</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(739)</w:t>
            </w: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67.1</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(4,354)</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(2,385)</w:t>
            </w: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3,931</w:t>
            </w:r>
          </w:p>
        </w:tc>
        <w:tc>
          <w:tcPr>
            <w:tcW w:w="46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2,031</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93.5</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10,854</w:t>
            </w:r>
          </w:p>
        </w:tc>
        <w:tc>
          <w:tcPr>
            <w:tcW w:w="46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7,264</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171"/>
        </w:trPr>
        <w:tc>
          <w:tcPr>
            <w:tcW w:w="3180" w:type="dxa"/>
            <w:vAlign w:val="bottom"/>
          </w:tcPr>
          <w:p>
            <w:pPr>
              <w:ind w:left="20"/>
              <w:spacing w:after="0" w:line="172" w:lineRule="exact"/>
              <w:rPr>
                <w:sz w:val="20"/>
                <w:szCs w:val="20"/>
                <w:color w:val="auto"/>
              </w:rPr>
            </w:pPr>
            <w:r>
              <w:rPr>
                <w:rFonts w:ascii="Arial" w:cs="Arial" w:eastAsia="Arial" w:hAnsi="Arial"/>
                <w:sz w:val="17"/>
                <w:szCs w:val="17"/>
                <w:color w:val="auto"/>
              </w:rPr>
              <w:t>Less: Net income (loss) attributable to</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line="171" w:lineRule="exact"/>
              <w:rPr>
                <w:sz w:val="20"/>
                <w:szCs w:val="20"/>
                <w:color w:val="auto"/>
              </w:rPr>
            </w:pPr>
            <w:r>
              <w:rPr>
                <w:rFonts w:ascii="Arial" w:cs="Arial" w:eastAsia="Arial" w:hAnsi="Arial"/>
                <w:sz w:val="17"/>
                <w:szCs w:val="17"/>
                <w:color w:val="auto"/>
                <w:w w:val="98"/>
              </w:rPr>
              <w:t>noncontrolling interests and redeemable</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(104)</w:t>
            </w:r>
          </w:p>
        </w:tc>
        <w:tc>
          <w:tcPr>
            <w:tcW w:w="460" w:type="dxa"/>
            <w:vAlign w:val="bottom"/>
          </w:tcPr>
          <w:p>
            <w:pPr>
              <w:spacing w:after="0"/>
              <w:rPr>
                <w:sz w:val="14"/>
                <w:szCs w:val="14"/>
                <w:color w:val="auto"/>
              </w:rPr>
            </w:pPr>
          </w:p>
        </w:tc>
        <w:tc>
          <w:tcPr>
            <w:tcW w:w="1020" w:type="dxa"/>
            <w:vAlign w:val="bottom"/>
            <w:vMerge w:val="restart"/>
          </w:tcPr>
          <w:p>
            <w:pPr>
              <w:jc w:val="right"/>
              <w:ind w:right="214"/>
              <w:spacing w:after="0"/>
              <w:rPr>
                <w:sz w:val="20"/>
                <w:szCs w:val="20"/>
                <w:color w:val="auto"/>
              </w:rPr>
            </w:pPr>
            <w:r>
              <w:rPr>
                <w:rFonts w:ascii="Arial" w:cs="Arial" w:eastAsia="Arial" w:hAnsi="Arial"/>
                <w:sz w:val="17"/>
                <w:szCs w:val="17"/>
                <w:color w:val="auto"/>
              </w:rPr>
              <w:t>12</w:t>
            </w:r>
          </w:p>
        </w:tc>
        <w:tc>
          <w:tcPr>
            <w:tcW w:w="1300" w:type="dxa"/>
            <w:vAlign w:val="bottom"/>
            <w:vMerge w:val="restart"/>
          </w:tcPr>
          <w:p>
            <w:pPr>
              <w:jc w:val="right"/>
              <w:ind w:right="95"/>
              <w:spacing w:after="0"/>
              <w:rPr>
                <w:sz w:val="20"/>
                <w:szCs w:val="20"/>
                <w:color w:val="auto"/>
              </w:rPr>
            </w:pPr>
            <w:r>
              <w:rPr>
                <w:rFonts w:ascii="Arial" w:cs="Arial" w:eastAsia="Arial" w:hAnsi="Arial"/>
                <w:sz w:val="17"/>
                <w:szCs w:val="17"/>
                <w:color w:val="auto"/>
              </w:rPr>
              <w:t>NM</w:t>
            </w:r>
          </w:p>
        </w:tc>
        <w:tc>
          <w:tcPr>
            <w:tcW w:w="3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(249)</w:t>
            </w:r>
          </w:p>
        </w:tc>
        <w:tc>
          <w:tcPr>
            <w:tcW w:w="460" w:type="dxa"/>
            <w:vAlign w:val="bottom"/>
          </w:tcPr>
          <w:p>
            <w:pPr>
              <w:spacing w:after="0"/>
              <w:rPr>
                <w:sz w:val="14"/>
                <w:szCs w:val="14"/>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7"/>
                <w:szCs w:val="17"/>
                <w:color w:val="auto"/>
              </w:rPr>
              <w:t>110</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subsidiary preferred stock</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180" w:type="dxa"/>
            <w:vAlign w:val="bottom"/>
          </w:tcPr>
          <w:p>
            <w:pPr>
              <w:ind w:left="20"/>
              <w:spacing w:after="0" w:line="163" w:lineRule="exact"/>
              <w:rPr>
                <w:sz w:val="20"/>
                <w:szCs w:val="20"/>
                <w:color w:val="auto"/>
              </w:rPr>
            </w:pPr>
            <w:r>
              <w:rPr>
                <w:rFonts w:ascii="Arial" w:cs="Arial" w:eastAsia="Arial" w:hAnsi="Arial"/>
                <w:sz w:val="17"/>
                <w:szCs w:val="17"/>
                <w:b w:val="1"/>
                <w:bCs w:val="1"/>
                <w:color w:val="auto"/>
              </w:rPr>
              <w:t>Net income attributable to Comcast</w:t>
            </w: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4,035</w:t>
            </w:r>
          </w:p>
        </w:tc>
        <w:tc>
          <w:tcPr>
            <w:tcW w:w="46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2,019</w:t>
            </w:r>
          </w:p>
        </w:tc>
        <w:tc>
          <w:tcPr>
            <w:tcW w:w="130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99.8%</w:t>
            </w:r>
          </w:p>
        </w:tc>
        <w:tc>
          <w:tcPr>
            <w:tcW w:w="3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11,102</w:t>
            </w:r>
          </w:p>
        </w:tc>
        <w:tc>
          <w:tcPr>
            <w:tcW w:w="46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7,154</w:t>
            </w:r>
          </w:p>
        </w:tc>
        <w:tc>
          <w:tcPr>
            <w:tcW w:w="1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55.2 %</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Corporation</w:t>
            </w:r>
          </w:p>
        </w:tc>
        <w:tc>
          <w:tcPr>
            <w:tcW w:w="2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20"/>
              <w:spacing w:after="0" w:line="171" w:lineRule="exact"/>
              <w:rPr>
                <w:sz w:val="20"/>
                <w:szCs w:val="20"/>
                <w:color w:val="auto"/>
              </w:rPr>
            </w:pPr>
            <w:r>
              <w:rPr>
                <w:rFonts w:ascii="Arial" w:cs="Arial" w:eastAsia="Arial" w:hAnsi="Arial"/>
                <w:sz w:val="17"/>
                <w:szCs w:val="17"/>
                <w:b w:val="1"/>
                <w:bCs w:val="1"/>
                <w:color w:val="auto"/>
              </w:rPr>
              <w:t>Basic earnings per common share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line="171" w:lineRule="exact"/>
              <w:rPr>
                <w:sz w:val="20"/>
                <w:szCs w:val="20"/>
                <w:color w:val="auto"/>
              </w:rPr>
            </w:pPr>
            <w:r>
              <w:rPr>
                <w:rFonts w:ascii="Arial" w:cs="Arial" w:eastAsia="Arial" w:hAnsi="Arial"/>
                <w:sz w:val="17"/>
                <w:szCs w:val="17"/>
                <w:b w:val="1"/>
                <w:bCs w:val="1"/>
                <w:color w:val="auto"/>
              </w:rPr>
              <w:t>attributable to Comcast Corporation</w:t>
            </w: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0.88</w:t>
            </w:r>
          </w:p>
        </w:tc>
        <w:tc>
          <w:tcPr>
            <w:tcW w:w="46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0.44</w:t>
            </w:r>
          </w:p>
        </w:tc>
        <w:tc>
          <w:tcPr>
            <w:tcW w:w="1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100.0 %</w:t>
            </w:r>
          </w:p>
        </w:tc>
        <w:tc>
          <w:tcPr>
            <w:tcW w:w="3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2.42</w:t>
            </w:r>
          </w:p>
        </w:tc>
        <w:tc>
          <w:tcPr>
            <w:tcW w:w="46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1.57</w:t>
            </w:r>
          </w:p>
        </w:tc>
        <w:tc>
          <w:tcPr>
            <w:tcW w:w="1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54.1 %</w:t>
            </w:r>
          </w:p>
        </w:tc>
        <w:tc>
          <w:tcPr>
            <w:tcW w:w="0" w:type="dxa"/>
            <w:vAlign w:val="bottom"/>
          </w:tcPr>
          <w:p>
            <w:pPr>
              <w:spacing w:after="0"/>
              <w:rPr>
                <w:sz w:val="1"/>
                <w:szCs w:val="1"/>
                <w:color w:val="auto"/>
              </w:rPr>
            </w:pPr>
          </w:p>
        </w:tc>
      </w:tr>
      <w:tr>
        <w:trPr>
          <w:trHeight w:val="217"/>
        </w:trPr>
        <w:tc>
          <w:tcPr>
            <w:tcW w:w="3180" w:type="dxa"/>
            <w:vAlign w:val="bottom"/>
          </w:tcPr>
          <w:p>
            <w:pPr>
              <w:ind w:left="180"/>
              <w:spacing w:after="0"/>
              <w:rPr>
                <w:sz w:val="20"/>
                <w:szCs w:val="20"/>
                <w:color w:val="auto"/>
              </w:rPr>
            </w:pPr>
            <w:r>
              <w:rPr>
                <w:rFonts w:ascii="Arial" w:cs="Arial" w:eastAsia="Arial" w:hAnsi="Arial"/>
                <w:sz w:val="17"/>
                <w:szCs w:val="17"/>
                <w:b w:val="1"/>
                <w:bCs w:val="1"/>
                <w:color w:val="auto"/>
              </w:rPr>
              <w:t>shareholders</w:t>
            </w: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line="176" w:lineRule="exact"/>
              <w:rPr>
                <w:sz w:val="20"/>
                <w:szCs w:val="20"/>
                <w:color w:val="auto"/>
              </w:rPr>
            </w:pPr>
            <w:r>
              <w:rPr>
                <w:rFonts w:ascii="Arial" w:cs="Arial" w:eastAsia="Arial" w:hAnsi="Arial"/>
                <w:sz w:val="17"/>
                <w:szCs w:val="17"/>
                <w:b w:val="1"/>
                <w:bCs w:val="1"/>
                <w:color w:val="auto"/>
              </w:rPr>
              <w:t>Diluted earnings per common share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line="171" w:lineRule="exact"/>
              <w:rPr>
                <w:sz w:val="20"/>
                <w:szCs w:val="20"/>
                <w:color w:val="auto"/>
              </w:rPr>
            </w:pPr>
            <w:r>
              <w:rPr>
                <w:rFonts w:ascii="Arial" w:cs="Arial" w:eastAsia="Arial" w:hAnsi="Arial"/>
                <w:sz w:val="17"/>
                <w:szCs w:val="17"/>
                <w:b w:val="1"/>
                <w:bCs w:val="1"/>
                <w:color w:val="auto"/>
              </w:rPr>
              <w:t>attributable to Comcast Corporation</w:t>
            </w: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0.86</w:t>
            </w:r>
          </w:p>
        </w:tc>
        <w:tc>
          <w:tcPr>
            <w:tcW w:w="46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0.44</w:t>
            </w:r>
          </w:p>
        </w:tc>
        <w:tc>
          <w:tcPr>
            <w:tcW w:w="1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95.5 %</w:t>
            </w:r>
          </w:p>
        </w:tc>
        <w:tc>
          <w:tcPr>
            <w:tcW w:w="3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2.38</w:t>
            </w:r>
          </w:p>
        </w:tc>
        <w:tc>
          <w:tcPr>
            <w:tcW w:w="46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1.55</w:t>
            </w:r>
          </w:p>
        </w:tc>
        <w:tc>
          <w:tcPr>
            <w:tcW w:w="1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53.5 %</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shareholders</w:t>
            </w:r>
          </w:p>
        </w:tc>
        <w:tc>
          <w:tcPr>
            <w:tcW w:w="2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31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2"/>
                <w:szCs w:val="22"/>
                <w:color w:val="auto"/>
                <w:vertAlign w:val="superscript"/>
              </w:rPr>
              <w:t>(a)</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8,957</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7,583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18.1 %</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26,297</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23,640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49" w:lineRule="exact"/>
        <w:rPr>
          <w:sz w:val="20"/>
          <w:szCs w:val="20"/>
          <w:color w:val="auto"/>
        </w:rPr>
      </w:pPr>
    </w:p>
    <w:p>
      <w:pPr>
        <w:ind w:left="240" w:hanging="235"/>
        <w:spacing w:after="0" w:line="260" w:lineRule="auto"/>
        <w:tabs>
          <w:tab w:leader="none" w:pos="238"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30 for additional information, including our definition and our use of Adjusted EBITDA, and for a reconciliation from net income attributable to Comcast Corporation to Adjusted EBITDA.</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Revenue</w:t>
      </w:r>
    </w:p>
    <w:p>
      <w:pPr>
        <w:spacing w:after="0" w:line="77"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Media, Cable Communications, Theme Parks, Studios and Sky drove increases in consolidated revenue for the three months ended September 30, 2021. Cable Communications, Media, Sky, Theme Parks and Studios drove increases in consolidated revenue for the nine months ended September 30, 2021.</w:t>
      </w:r>
    </w:p>
    <w:p>
      <w:pPr>
        <w:spacing w:after="0" w:line="30" w:lineRule="exact"/>
        <w:rPr>
          <w:sz w:val="20"/>
          <w:szCs w:val="20"/>
          <w:color w:val="auto"/>
        </w:rPr>
      </w:pPr>
    </w:p>
    <w:p>
      <w:pPr>
        <w:ind w:right="2380"/>
        <w:spacing w:after="0" w:line="377" w:lineRule="auto"/>
        <w:rPr>
          <w:sz w:val="20"/>
          <w:szCs w:val="20"/>
          <w:color w:val="auto"/>
        </w:rPr>
      </w:pPr>
      <w:r>
        <w:rPr>
          <w:rFonts w:ascii="Arial" w:cs="Arial" w:eastAsia="Arial" w:hAnsi="Arial"/>
          <w:sz w:val="17"/>
          <w:szCs w:val="17"/>
          <w:color w:val="auto"/>
        </w:rPr>
        <w:t xml:space="preserve">Revenue for our segments and other businesses is discussed separately below under the heading “Segment Operating Results.” </w:t>
      </w:r>
      <w:r>
        <w:rPr>
          <w:rFonts w:ascii="Arial" w:cs="Arial" w:eastAsia="Arial" w:hAnsi="Arial"/>
          <w:sz w:val="17"/>
          <w:szCs w:val="17"/>
          <w:b w:val="1"/>
          <w:bCs w:val="1"/>
          <w:color w:val="auto"/>
        </w:rPr>
        <w:t>Consolidated Costs and Expenses</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Media, Studios, Cable Communications and Theme Parks drove increases in consolidated operating costs and expenses for the three months ended September 30, 2021, which were partially offset by decreases in operating costs and expenses in Sky. Media, Sky, Cable Communications, Studios and Theme Parks drove increases in consolidated operating costs and expenses for the nine months ended September 30, 2021.</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costs and expenses for our segments and our corporate operations, businesses development initiatives and other businesses are discussed separately below under the heading “Segment Operating Results.” Consolidated costs and expenses for the three and nine months ended September 30, 2020 also include $177 million related to a legal settlement that was excluded from Adjusted EBITDA and our segment operating results.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Depreciation and Amortization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right"/>
              <w:ind w:right="776"/>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jc w:val="center"/>
              <w:ind w:left="39"/>
              <w:spacing w:after="0"/>
              <w:rPr>
                <w:sz w:val="20"/>
                <w:szCs w:val="20"/>
                <w:color w:val="auto"/>
              </w:rPr>
            </w:pPr>
            <w:r>
              <w:rPr>
                <w:rFonts w:ascii="Arial" w:cs="Arial" w:eastAsia="Arial" w:hAnsi="Arial"/>
                <w:sz w:val="14"/>
                <w:szCs w:val="14"/>
                <w:color w:val="auto"/>
                <w:w w:val="86"/>
              </w:rPr>
              <w:t>Increase/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ind w:right="816"/>
              <w:spacing w:after="0"/>
              <w:rPr>
                <w:sz w:val="20"/>
                <w:szCs w:val="20"/>
                <w:color w:val="auto"/>
              </w:rPr>
            </w:pPr>
            <w:r>
              <w:rPr>
                <w:rFonts w:ascii="Arial" w:cs="Arial" w:eastAsia="Arial" w:hAnsi="Arial"/>
                <w:sz w:val="14"/>
                <w:szCs w:val="14"/>
                <w:color w:val="auto"/>
              </w:rPr>
              <w:t>Nine Months Ended</w:t>
            </w:r>
          </w:p>
        </w:tc>
        <w:tc>
          <w:tcPr>
            <w:tcW w:w="1080" w:type="dxa"/>
            <w:vAlign w:val="bottom"/>
          </w:tcPr>
          <w:p>
            <w:pPr>
              <w:jc w:val="center"/>
              <w:ind w:left="19"/>
              <w:spacing w:after="0"/>
              <w:rPr>
                <w:sz w:val="20"/>
                <w:szCs w:val="20"/>
                <w:color w:val="auto"/>
              </w:rPr>
            </w:pPr>
            <w:r>
              <w:rPr>
                <w:rFonts w:ascii="Arial" w:cs="Arial" w:eastAsia="Arial" w:hAnsi="Arial"/>
                <w:sz w:val="14"/>
                <w:szCs w:val="14"/>
                <w:color w:val="auto"/>
                <w:w w:val="86"/>
              </w:rPr>
              <w:t>Increase/</w:t>
            </w:r>
          </w:p>
        </w:tc>
        <w:tc>
          <w:tcPr>
            <w:tcW w:w="200" w:type="dxa"/>
            <w:vAlign w:val="bottom"/>
          </w:tcPr>
          <w:p>
            <w:pPr>
              <w:spacing w:after="0"/>
              <w:rPr>
                <w:sz w:val="14"/>
                <w:szCs w:val="14"/>
                <w:color w:val="auto"/>
              </w:rPr>
            </w:pPr>
          </w:p>
        </w:tc>
      </w:tr>
      <w:tr>
        <w:trPr>
          <w:trHeight w:val="178"/>
        </w:trPr>
        <w:tc>
          <w:tcPr>
            <w:tcW w:w="3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color w:val="auto"/>
                <w:w w:val="86"/>
              </w:rPr>
              <w:t>(Decrease)</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color w:val="auto"/>
                <w:w w:val="89"/>
              </w:rPr>
              <w:t>(Decrease)</w:t>
            </w:r>
          </w:p>
        </w:tc>
        <w:tc>
          <w:tcPr>
            <w:tcW w:w="200" w:type="dxa"/>
            <w:vAlign w:val="bottom"/>
            <w:tcBorders>
              <w:bottom w:val="single" w:sz="8" w:color="auto"/>
            </w:tcBorders>
          </w:tcPr>
          <w:p>
            <w:pPr>
              <w:spacing w:after="0"/>
              <w:rPr>
                <w:sz w:val="15"/>
                <w:szCs w:val="15"/>
                <w:color w:val="auto"/>
              </w:rPr>
            </w:pPr>
          </w:p>
        </w:tc>
      </w:tr>
      <w:tr>
        <w:trPr>
          <w:trHeight w:val="17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color w:val="auto"/>
                <w:w w:val="96"/>
              </w:rPr>
              <w:t>%</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w w:val="96"/>
              </w:rPr>
              <w:t>2020</w:t>
            </w:r>
          </w:p>
        </w:tc>
        <w:tc>
          <w:tcPr>
            <w:tcW w:w="10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color w:val="auto"/>
                <w:w w:val="79"/>
              </w:rPr>
              <w:t>%</w:t>
            </w:r>
          </w:p>
        </w:tc>
        <w:tc>
          <w:tcPr>
            <w:tcW w:w="200" w:type="dxa"/>
            <w:vAlign w:val="bottom"/>
            <w:tcBorders>
              <w:bottom w:val="single" w:sz="8" w:color="auto"/>
            </w:tcBorders>
          </w:tcPr>
          <w:p>
            <w:pPr>
              <w:spacing w:after="0"/>
              <w:rPr>
                <w:sz w:val="15"/>
                <w:szCs w:val="15"/>
                <w:color w:val="auto"/>
              </w:rPr>
            </w:pPr>
          </w:p>
        </w:tc>
      </w:tr>
      <w:tr>
        <w:trPr>
          <w:trHeight w:val="218"/>
        </w:trPr>
        <w:tc>
          <w:tcPr>
            <w:tcW w:w="3160" w:type="dxa"/>
            <w:vAlign w:val="bottom"/>
          </w:tcPr>
          <w:p>
            <w:pPr>
              <w:ind w:left="20"/>
              <w:spacing w:after="0"/>
              <w:rPr>
                <w:sz w:val="20"/>
                <w:szCs w:val="20"/>
                <w:color w:val="auto"/>
              </w:rPr>
            </w:pPr>
            <w:r>
              <w:rPr>
                <w:rFonts w:ascii="Arial" w:cs="Arial" w:eastAsia="Arial" w:hAnsi="Arial"/>
                <w:sz w:val="17"/>
                <w:szCs w:val="17"/>
                <w:color w:val="auto"/>
              </w:rPr>
              <w:t>Cable Communications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1,965</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1,952</w:t>
            </w:r>
          </w:p>
        </w:tc>
        <w:tc>
          <w:tcPr>
            <w:tcW w:w="1060" w:type="dxa"/>
            <w:vAlign w:val="bottom"/>
          </w:tcPr>
          <w:p>
            <w:pPr>
              <w:jc w:val="right"/>
              <w:spacing w:after="0"/>
              <w:rPr>
                <w:sz w:val="20"/>
                <w:szCs w:val="20"/>
                <w:color w:val="auto"/>
              </w:rPr>
            </w:pPr>
            <w:r>
              <w:rPr>
                <w:rFonts w:ascii="Arial" w:cs="Arial" w:eastAsia="Arial" w:hAnsi="Arial"/>
                <w:sz w:val="17"/>
                <w:szCs w:val="17"/>
                <w:color w:val="auto"/>
              </w:rPr>
              <w:t>0.6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5,845</w:t>
            </w:r>
          </w:p>
        </w:tc>
        <w:tc>
          <w:tcPr>
            <w:tcW w:w="50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5,835</w:t>
            </w:r>
          </w:p>
        </w:tc>
        <w:tc>
          <w:tcPr>
            <w:tcW w:w="1080" w:type="dxa"/>
            <w:vAlign w:val="bottom"/>
          </w:tcPr>
          <w:p>
            <w:pPr>
              <w:jc w:val="right"/>
              <w:spacing w:after="0"/>
              <w:rPr>
                <w:sz w:val="20"/>
                <w:szCs w:val="20"/>
                <w:color w:val="auto"/>
              </w:rPr>
            </w:pPr>
            <w:r>
              <w:rPr>
                <w:rFonts w:ascii="Arial" w:cs="Arial" w:eastAsia="Arial" w:hAnsi="Arial"/>
                <w:sz w:val="17"/>
                <w:szCs w:val="17"/>
                <w:color w:val="auto"/>
              </w:rPr>
              <w:t>0.2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3160" w:type="dxa"/>
            <w:vAlign w:val="bottom"/>
          </w:tcPr>
          <w:p>
            <w:pPr>
              <w:ind w:left="20"/>
              <w:spacing w:after="0"/>
              <w:rPr>
                <w:sz w:val="20"/>
                <w:szCs w:val="20"/>
                <w:color w:val="auto"/>
              </w:rPr>
            </w:pPr>
            <w:r>
              <w:rPr>
                <w:rFonts w:ascii="Arial" w:cs="Arial" w:eastAsia="Arial" w:hAnsi="Arial"/>
                <w:sz w:val="17"/>
                <w:szCs w:val="17"/>
                <w:color w:val="auto"/>
              </w:rPr>
              <w:t>NBCUniversal</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591</w:t>
            </w:r>
          </w:p>
        </w:tc>
        <w:tc>
          <w:tcPr>
            <w:tcW w:w="48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583</w:t>
            </w:r>
          </w:p>
        </w:tc>
        <w:tc>
          <w:tcPr>
            <w:tcW w:w="1060" w:type="dxa"/>
            <w:vAlign w:val="bottom"/>
          </w:tcPr>
          <w:p>
            <w:pPr>
              <w:jc w:val="right"/>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1,759</w:t>
            </w:r>
          </w:p>
        </w:tc>
        <w:tc>
          <w:tcPr>
            <w:tcW w:w="50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1,728</w:t>
            </w:r>
          </w:p>
        </w:tc>
        <w:tc>
          <w:tcPr>
            <w:tcW w:w="1080" w:type="dxa"/>
            <w:vAlign w:val="bottom"/>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9"/>
                <w:szCs w:val="19"/>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7"/>
                <w:szCs w:val="17"/>
                <w:color w:val="auto"/>
              </w:rPr>
              <w:t>Sky</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884</w:t>
            </w:r>
          </w:p>
        </w:tc>
        <w:tc>
          <w:tcPr>
            <w:tcW w:w="48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750</w:t>
            </w:r>
          </w:p>
        </w:tc>
        <w:tc>
          <w:tcPr>
            <w:tcW w:w="1060" w:type="dxa"/>
            <w:vAlign w:val="bottom"/>
          </w:tcPr>
          <w:p>
            <w:pPr>
              <w:jc w:val="right"/>
              <w:spacing w:after="0"/>
              <w:rPr>
                <w:sz w:val="20"/>
                <w:szCs w:val="20"/>
                <w:color w:val="auto"/>
              </w:rPr>
            </w:pPr>
            <w:r>
              <w:rPr>
                <w:rFonts w:ascii="Arial" w:cs="Arial" w:eastAsia="Arial" w:hAnsi="Arial"/>
                <w:sz w:val="17"/>
                <w:szCs w:val="17"/>
                <w:color w:val="auto"/>
              </w:rPr>
              <w:t>17.9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2,524</w:t>
            </w:r>
          </w:p>
        </w:tc>
        <w:tc>
          <w:tcPr>
            <w:tcW w:w="50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2,188</w:t>
            </w:r>
          </w:p>
        </w:tc>
        <w:tc>
          <w:tcPr>
            <w:tcW w:w="1080" w:type="dxa"/>
            <w:vAlign w:val="bottom"/>
          </w:tcPr>
          <w:p>
            <w:pPr>
              <w:jc w:val="right"/>
              <w:spacing w:after="0"/>
              <w:rPr>
                <w:sz w:val="20"/>
                <w:szCs w:val="20"/>
                <w:color w:val="auto"/>
              </w:rPr>
            </w:pPr>
            <w:r>
              <w:rPr>
                <w:rFonts w:ascii="Arial" w:cs="Arial" w:eastAsia="Arial" w:hAnsi="Arial"/>
                <w:sz w:val="17"/>
                <w:szCs w:val="17"/>
                <w:color w:val="auto"/>
              </w:rPr>
              <w:t>15.3</w:t>
            </w:r>
          </w:p>
        </w:tc>
        <w:tc>
          <w:tcPr>
            <w:tcW w:w="200" w:type="dxa"/>
            <w:vAlign w:val="bottom"/>
          </w:tcPr>
          <w:p>
            <w:pPr>
              <w:spacing w:after="0"/>
              <w:rPr>
                <w:sz w:val="19"/>
                <w:szCs w:val="19"/>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Corporate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38</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97</w:t>
            </w:r>
          </w:p>
        </w:tc>
        <w:tc>
          <w:tcPr>
            <w:tcW w:w="128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7"/>
                <w:szCs w:val="17"/>
                <w:color w:val="auto"/>
              </w:rPr>
              <w:t>(0.4)</w:t>
            </w:r>
          </w:p>
        </w:tc>
      </w:tr>
      <w:tr>
        <w:trPr>
          <w:trHeight w:val="22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Comcast Consolidated</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b w:val="1"/>
                <w:bCs w:val="1"/>
                <w:color w:val="auto"/>
              </w:rPr>
              <w:t>3,477</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3,320</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4.8 %</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10,222</w:t>
            </w:r>
          </w:p>
        </w:tc>
        <w:tc>
          <w:tcPr>
            <w:tcW w:w="5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9,848</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3.8 %</w:t>
            </w:r>
          </w:p>
        </w:tc>
      </w:tr>
    </w:tbl>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Consolidated depreciation and amortization expense increased for the three and nine months ended September 30, 2021 compared to the same periods in 2020 primarily due to increases at Sky, which include the impacts of foreign currency.</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Amortization expense from acquisition-related intangible assets totaled $603 million and $1.8 billion for the three and nine months ended September 30, 2021, respectively. Amortization expense from acquisition-related intangible assets totaled $574 million and $1.7 billion for the three and nine months ended September 30, 2020, respectively. Amounts primarily relate to customer relationship intangible assets recorded in connection with the Sky transaction in the fourth quarter of 2018 and the NBCUniversal transaction in 2011.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Interest Expense</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Interest expense decreased for the three months ended September 30, 2021 compared to the same period in 2020 primarily due to a $220 million charge recorded in the prior year period related to the early redemption of senior notes, as well as a decrease in average debt outstanding. Interest expense decreased for the nine months ended September 30, 2021 compared to the same period in 2020 primarily due to a $360 million charge recorded in the prior year period related to the early redemption of senior notes, as well as a decrease in average debt outstanding and lower weighted-average interest rates, partially offset by a $78 million charge recorded in the current year period related to the early redemption of senior notes.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Investment and Other Income (Loss),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3"/>
          </w:tcPr>
          <w:p>
            <w:pPr>
              <w:jc w:val="right"/>
              <w:ind w:right="796"/>
              <w:spacing w:after="0"/>
              <w:rPr>
                <w:sz w:val="20"/>
                <w:szCs w:val="20"/>
                <w:color w:val="auto"/>
              </w:rPr>
            </w:pPr>
            <w:r>
              <w:rPr>
                <w:rFonts w:ascii="Arial" w:cs="Arial" w:eastAsia="Arial" w:hAnsi="Arial"/>
                <w:sz w:val="14"/>
                <w:szCs w:val="14"/>
                <w:color w:val="auto"/>
              </w:rPr>
              <w:t>Three Months Ended</w:t>
            </w:r>
          </w:p>
        </w:tc>
        <w:tc>
          <w:tcPr>
            <w:tcW w:w="1200" w:type="dxa"/>
            <w:vAlign w:val="bottom"/>
          </w:tcPr>
          <w:p>
            <w:pPr>
              <w:jc w:val="center"/>
              <w:ind w:right="60"/>
              <w:spacing w:after="0"/>
              <w:rPr>
                <w:sz w:val="20"/>
                <w:szCs w:val="20"/>
                <w:color w:val="auto"/>
              </w:rPr>
            </w:pPr>
            <w:r>
              <w:rPr>
                <w:rFonts w:ascii="Arial" w:cs="Arial" w:eastAsia="Arial" w:hAnsi="Arial"/>
                <w:sz w:val="14"/>
                <w:szCs w:val="14"/>
                <w:color w:val="auto"/>
                <w:w w:val="86"/>
              </w:rPr>
              <w:t>Increase/</w:t>
            </w:r>
          </w:p>
        </w:tc>
        <w:tc>
          <w:tcPr>
            <w:tcW w:w="360" w:type="dxa"/>
            <w:vAlign w:val="bottom"/>
          </w:tcPr>
          <w:p>
            <w:pPr>
              <w:spacing w:after="0"/>
              <w:rPr>
                <w:sz w:val="14"/>
                <w:szCs w:val="14"/>
                <w:color w:val="auto"/>
              </w:rPr>
            </w:pPr>
          </w:p>
        </w:tc>
        <w:tc>
          <w:tcPr>
            <w:tcW w:w="2500" w:type="dxa"/>
            <w:vAlign w:val="bottom"/>
            <w:gridSpan w:val="3"/>
          </w:tcPr>
          <w:p>
            <w:pPr>
              <w:jc w:val="right"/>
              <w:ind w:right="856"/>
              <w:spacing w:after="0"/>
              <w:rPr>
                <w:sz w:val="20"/>
                <w:szCs w:val="20"/>
                <w:color w:val="auto"/>
              </w:rPr>
            </w:pPr>
            <w:r>
              <w:rPr>
                <w:rFonts w:ascii="Arial" w:cs="Arial" w:eastAsia="Arial" w:hAnsi="Arial"/>
                <w:sz w:val="14"/>
                <w:szCs w:val="14"/>
                <w:color w:val="auto"/>
              </w:rPr>
              <w:t>Nine Months Ended</w:t>
            </w:r>
          </w:p>
        </w:tc>
        <w:tc>
          <w:tcPr>
            <w:tcW w:w="1140" w:type="dxa"/>
            <w:vAlign w:val="bottom"/>
          </w:tcPr>
          <w:p>
            <w:pPr>
              <w:jc w:val="center"/>
              <w:ind w:right="20"/>
              <w:spacing w:after="0"/>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178"/>
        </w:trPr>
        <w:tc>
          <w:tcPr>
            <w:tcW w:w="3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w w:val="86"/>
              </w:rPr>
              <w:t>(Decrease)</w:t>
            </w:r>
          </w:p>
        </w:tc>
        <w:tc>
          <w:tcPr>
            <w:tcW w:w="3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86"/>
              </w:rPr>
              <w:t>(Decrease)</w:t>
            </w:r>
          </w:p>
        </w:tc>
        <w:tc>
          <w:tcPr>
            <w:tcW w:w="0" w:type="dxa"/>
            <w:vAlign w:val="bottom"/>
          </w:tcPr>
          <w:p>
            <w:pPr>
              <w:spacing w:after="0"/>
              <w:rPr>
                <w:sz w:val="1"/>
                <w:szCs w:val="1"/>
                <w:color w:val="auto"/>
              </w:rPr>
            </w:pPr>
          </w:p>
        </w:tc>
      </w:tr>
      <w:tr>
        <w:trPr>
          <w:trHeight w:val="17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2020</w:t>
            </w:r>
          </w:p>
        </w:tc>
        <w:tc>
          <w:tcPr>
            <w:tcW w:w="11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8"/>
        </w:trPr>
        <w:tc>
          <w:tcPr>
            <w:tcW w:w="3560" w:type="dxa"/>
            <w:vAlign w:val="bottom"/>
            <w:gridSpan w:val="2"/>
          </w:tcPr>
          <w:p>
            <w:pPr>
              <w:ind w:left="20"/>
              <w:spacing w:after="0"/>
              <w:rPr>
                <w:sz w:val="20"/>
                <w:szCs w:val="20"/>
                <w:color w:val="auto"/>
              </w:rPr>
            </w:pPr>
            <w:r>
              <w:rPr>
                <w:rFonts w:ascii="Arial" w:cs="Arial" w:eastAsia="Arial" w:hAnsi="Arial"/>
                <w:sz w:val="17"/>
                <w:szCs w:val="17"/>
                <w:color w:val="auto"/>
                <w:w w:val="97"/>
              </w:rPr>
              <w:t>Equity in net income (losses) of investees, net $</w:t>
            </w:r>
          </w:p>
        </w:tc>
        <w:tc>
          <w:tcPr>
            <w:tcW w:w="980" w:type="dxa"/>
            <w:vAlign w:val="bottom"/>
          </w:tcPr>
          <w:p>
            <w:pPr>
              <w:jc w:val="right"/>
              <w:ind w:right="20"/>
              <w:spacing w:after="0"/>
              <w:rPr>
                <w:sz w:val="20"/>
                <w:szCs w:val="20"/>
                <w:color w:val="auto"/>
              </w:rPr>
            </w:pPr>
            <w:r>
              <w:rPr>
                <w:rFonts w:ascii="Arial" w:cs="Arial" w:eastAsia="Arial" w:hAnsi="Arial"/>
                <w:sz w:val="17"/>
                <w:szCs w:val="17"/>
                <w:color w:val="auto"/>
              </w:rPr>
              <w:t>602</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6"/>
              <w:spacing w:after="0"/>
              <w:rPr>
                <w:sz w:val="20"/>
                <w:szCs w:val="20"/>
                <w:color w:val="auto"/>
              </w:rPr>
            </w:pPr>
            <w:r>
              <w:rPr>
                <w:rFonts w:ascii="Arial" w:cs="Arial" w:eastAsia="Arial" w:hAnsi="Arial"/>
                <w:sz w:val="17"/>
                <w:szCs w:val="17"/>
                <w:color w:val="auto"/>
              </w:rPr>
              <w:t>(266)</w:t>
            </w:r>
          </w:p>
        </w:tc>
        <w:tc>
          <w:tcPr>
            <w:tcW w:w="1200" w:type="dxa"/>
            <w:vAlign w:val="bottom"/>
          </w:tcPr>
          <w:p>
            <w:pPr>
              <w:jc w:val="right"/>
              <w:spacing w:after="0"/>
              <w:rPr>
                <w:sz w:val="20"/>
                <w:szCs w:val="20"/>
                <w:color w:val="auto"/>
              </w:rPr>
            </w:pPr>
            <w:r>
              <w:rPr>
                <w:rFonts w:ascii="Arial" w:cs="Arial" w:eastAsia="Arial" w:hAnsi="Arial"/>
                <w:sz w:val="17"/>
                <w:szCs w:val="17"/>
                <w:color w:val="auto"/>
              </w:rPr>
              <w:t>NM</w:t>
            </w:r>
          </w:p>
        </w:tc>
        <w:tc>
          <w:tcPr>
            <w:tcW w:w="36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0"/>
              <w:spacing w:after="0"/>
              <w:rPr>
                <w:sz w:val="20"/>
                <w:szCs w:val="20"/>
                <w:color w:val="auto"/>
              </w:rPr>
            </w:pPr>
            <w:r>
              <w:rPr>
                <w:rFonts w:ascii="Arial" w:cs="Arial" w:eastAsia="Arial" w:hAnsi="Arial"/>
                <w:sz w:val="17"/>
                <w:szCs w:val="17"/>
                <w:color w:val="auto"/>
              </w:rPr>
              <w:t>1,696</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6"/>
              <w:spacing w:after="0"/>
              <w:rPr>
                <w:sz w:val="20"/>
                <w:szCs w:val="20"/>
                <w:color w:val="auto"/>
              </w:rPr>
            </w:pPr>
            <w:r>
              <w:rPr>
                <w:rFonts w:ascii="Arial" w:cs="Arial" w:eastAsia="Arial" w:hAnsi="Arial"/>
                <w:sz w:val="17"/>
                <w:szCs w:val="17"/>
                <w:color w:val="auto"/>
              </w:rPr>
              <w:t>(634)</w:t>
            </w:r>
          </w:p>
        </w:tc>
        <w:tc>
          <w:tcPr>
            <w:tcW w:w="114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71"/>
        </w:trPr>
        <w:tc>
          <w:tcPr>
            <w:tcW w:w="3280" w:type="dxa"/>
            <w:vAlign w:val="bottom"/>
          </w:tcPr>
          <w:p>
            <w:pPr>
              <w:ind w:left="20"/>
              <w:spacing w:after="0" w:line="172" w:lineRule="exact"/>
              <w:rPr>
                <w:sz w:val="20"/>
                <w:szCs w:val="20"/>
                <w:color w:val="auto"/>
              </w:rPr>
            </w:pPr>
            <w:r>
              <w:rPr>
                <w:rFonts w:ascii="Arial" w:cs="Arial" w:eastAsia="Arial" w:hAnsi="Arial"/>
                <w:sz w:val="17"/>
                <w:szCs w:val="17"/>
                <w:color w:val="auto"/>
              </w:rPr>
              <w:t>Realized and unrealized gains (losses) on</w:t>
            </w:r>
          </w:p>
        </w:tc>
        <w:tc>
          <w:tcPr>
            <w:tcW w:w="280" w:type="dxa"/>
            <w:vAlign w:val="bottom"/>
          </w:tcPr>
          <w:p>
            <w:pPr>
              <w:spacing w:after="0"/>
              <w:rPr>
                <w:sz w:val="14"/>
                <w:szCs w:val="14"/>
                <w:color w:val="auto"/>
              </w:rPr>
            </w:pPr>
          </w:p>
        </w:tc>
        <w:tc>
          <w:tcPr>
            <w:tcW w:w="980" w:type="dxa"/>
            <w:vAlign w:val="bottom"/>
            <w:vMerge w:val="restart"/>
          </w:tcPr>
          <w:p>
            <w:pPr>
              <w:jc w:val="right"/>
              <w:ind w:right="20"/>
              <w:spacing w:after="0"/>
              <w:rPr>
                <w:sz w:val="20"/>
                <w:szCs w:val="20"/>
                <w:color w:val="auto"/>
              </w:rPr>
            </w:pPr>
            <w:r>
              <w:rPr>
                <w:rFonts w:ascii="Arial" w:cs="Arial" w:eastAsia="Arial" w:hAnsi="Arial"/>
                <w:sz w:val="17"/>
                <w:szCs w:val="17"/>
                <w:color w:val="auto"/>
              </w:rPr>
              <w:t>106</w:t>
            </w:r>
          </w:p>
        </w:tc>
        <w:tc>
          <w:tcPr>
            <w:tcW w:w="480" w:type="dxa"/>
            <w:vAlign w:val="bottom"/>
          </w:tcPr>
          <w:p>
            <w:pPr>
              <w:spacing w:after="0"/>
              <w:rPr>
                <w:sz w:val="14"/>
                <w:szCs w:val="14"/>
                <w:color w:val="auto"/>
              </w:rPr>
            </w:pPr>
          </w:p>
        </w:tc>
        <w:tc>
          <w:tcPr>
            <w:tcW w:w="1020" w:type="dxa"/>
            <w:vAlign w:val="bottom"/>
            <w:vMerge w:val="restart"/>
          </w:tcPr>
          <w:p>
            <w:pPr>
              <w:jc w:val="right"/>
              <w:ind w:right="176"/>
              <w:spacing w:after="0"/>
              <w:rPr>
                <w:sz w:val="20"/>
                <w:szCs w:val="20"/>
                <w:color w:val="auto"/>
              </w:rPr>
            </w:pPr>
            <w:r>
              <w:rPr>
                <w:rFonts w:ascii="Arial" w:cs="Arial" w:eastAsia="Arial" w:hAnsi="Arial"/>
                <w:sz w:val="17"/>
                <w:szCs w:val="17"/>
                <w:color w:val="auto"/>
              </w:rPr>
              <w:t>118</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(10.9)</w:t>
            </w:r>
          </w:p>
        </w:tc>
        <w:tc>
          <w:tcPr>
            <w:tcW w:w="360" w:type="dxa"/>
            <w:vAlign w:val="bottom"/>
          </w:tcPr>
          <w:p>
            <w:pPr>
              <w:spacing w:after="0"/>
              <w:rPr>
                <w:sz w:val="14"/>
                <w:szCs w:val="14"/>
                <w:color w:val="auto"/>
              </w:rPr>
            </w:pPr>
          </w:p>
        </w:tc>
        <w:tc>
          <w:tcPr>
            <w:tcW w:w="980" w:type="dxa"/>
            <w:vAlign w:val="bottom"/>
            <w:vMerge w:val="restart"/>
          </w:tcPr>
          <w:p>
            <w:pPr>
              <w:jc w:val="right"/>
              <w:ind w:right="20"/>
              <w:spacing w:after="0"/>
              <w:rPr>
                <w:sz w:val="20"/>
                <w:szCs w:val="20"/>
                <w:color w:val="auto"/>
              </w:rPr>
            </w:pPr>
            <w:r>
              <w:rPr>
                <w:rFonts w:ascii="Arial" w:cs="Arial" w:eastAsia="Arial" w:hAnsi="Arial"/>
                <w:sz w:val="17"/>
                <w:szCs w:val="17"/>
                <w:color w:val="auto"/>
              </w:rPr>
              <w:t>532</w:t>
            </w:r>
          </w:p>
        </w:tc>
        <w:tc>
          <w:tcPr>
            <w:tcW w:w="480" w:type="dxa"/>
            <w:vAlign w:val="bottom"/>
          </w:tcPr>
          <w:p>
            <w:pPr>
              <w:spacing w:after="0"/>
              <w:rPr>
                <w:sz w:val="14"/>
                <w:szCs w:val="14"/>
                <w:color w:val="auto"/>
              </w:rPr>
            </w:pPr>
          </w:p>
        </w:tc>
        <w:tc>
          <w:tcPr>
            <w:tcW w:w="1040" w:type="dxa"/>
            <w:vAlign w:val="bottom"/>
            <w:vMerge w:val="restart"/>
          </w:tcPr>
          <w:p>
            <w:pPr>
              <w:jc w:val="right"/>
              <w:ind w:right="196"/>
              <w:spacing w:after="0"/>
              <w:rPr>
                <w:sz w:val="20"/>
                <w:szCs w:val="20"/>
                <w:color w:val="auto"/>
              </w:rPr>
            </w:pPr>
            <w:r>
              <w:rPr>
                <w:rFonts w:ascii="Arial" w:cs="Arial" w:eastAsia="Arial" w:hAnsi="Arial"/>
                <w:sz w:val="17"/>
                <w:szCs w:val="17"/>
                <w:color w:val="auto"/>
              </w:rPr>
              <w:t>65</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2"/>
        </w:trPr>
        <w:tc>
          <w:tcPr>
            <w:tcW w:w="3280" w:type="dxa"/>
            <w:vAlign w:val="bottom"/>
          </w:tcPr>
          <w:p>
            <w:pPr>
              <w:ind w:left="180"/>
              <w:spacing w:after="0"/>
              <w:rPr>
                <w:sz w:val="20"/>
                <w:szCs w:val="20"/>
                <w:color w:val="auto"/>
              </w:rPr>
            </w:pPr>
            <w:r>
              <w:rPr>
                <w:rFonts w:ascii="Arial" w:cs="Arial" w:eastAsia="Arial" w:hAnsi="Arial"/>
                <w:sz w:val="17"/>
                <w:szCs w:val="17"/>
                <w:color w:val="auto"/>
              </w:rPr>
              <w:t>equity securities, net</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(loss),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59</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62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146</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187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164"/>
        </w:trPr>
        <w:tc>
          <w:tcPr>
            <w:tcW w:w="3280" w:type="dxa"/>
            <w:vAlign w:val="bottom"/>
          </w:tcPr>
          <w:p>
            <w:pPr>
              <w:ind w:left="20"/>
              <w:spacing w:after="0" w:line="163" w:lineRule="exact"/>
              <w:rPr>
                <w:sz w:val="20"/>
                <w:szCs w:val="20"/>
                <w:color w:val="auto"/>
              </w:rPr>
            </w:pPr>
            <w:r>
              <w:rPr>
                <w:rFonts w:ascii="Arial" w:cs="Arial" w:eastAsia="Arial" w:hAnsi="Arial"/>
                <w:sz w:val="17"/>
                <w:szCs w:val="17"/>
                <w:b w:val="1"/>
                <w:bCs w:val="1"/>
                <w:color w:val="auto"/>
                <w:w w:val="96"/>
              </w:rPr>
              <w:t>Total investment and other income (loss),</w:t>
            </w: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80" w:type="dxa"/>
            <w:vAlign w:val="bottom"/>
            <w:vMerge w:val="restart"/>
          </w:tcPr>
          <w:p>
            <w:pPr>
              <w:jc w:val="right"/>
              <w:ind w:right="20"/>
              <w:spacing w:after="0"/>
              <w:rPr>
                <w:sz w:val="20"/>
                <w:szCs w:val="20"/>
                <w:color w:val="auto"/>
              </w:rPr>
            </w:pPr>
            <w:r>
              <w:rPr>
                <w:rFonts w:ascii="Arial" w:cs="Arial" w:eastAsia="Arial" w:hAnsi="Arial"/>
                <w:sz w:val="17"/>
                <w:szCs w:val="17"/>
                <w:b w:val="1"/>
                <w:bCs w:val="1"/>
                <w:color w:val="auto"/>
              </w:rPr>
              <w:t>766</w:t>
            </w:r>
          </w:p>
        </w:tc>
        <w:tc>
          <w:tcPr>
            <w:tcW w:w="48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auto"/>
              </w:rPr>
              <w:t>(86)</w:t>
            </w:r>
          </w:p>
        </w:tc>
        <w:tc>
          <w:tcPr>
            <w:tcW w:w="1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NM</w:t>
            </w:r>
          </w:p>
        </w:tc>
        <w:tc>
          <w:tcPr>
            <w:tcW w:w="36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ind w:right="20"/>
              <w:spacing w:after="0"/>
              <w:rPr>
                <w:sz w:val="20"/>
                <w:szCs w:val="20"/>
                <w:color w:val="auto"/>
              </w:rPr>
            </w:pPr>
            <w:r>
              <w:rPr>
                <w:rFonts w:ascii="Arial" w:cs="Arial" w:eastAsia="Arial" w:hAnsi="Arial"/>
                <w:sz w:val="17"/>
                <w:szCs w:val="17"/>
                <w:b w:val="1"/>
                <w:bCs w:val="1"/>
                <w:color w:val="auto"/>
              </w:rPr>
              <w:t>2,374</w:t>
            </w:r>
          </w:p>
        </w:tc>
        <w:tc>
          <w:tcPr>
            <w:tcW w:w="480" w:type="dxa"/>
            <w:vAlign w:val="bottom"/>
            <w:vMerge w:val="restart"/>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tcPr>
          <w:p>
            <w:pPr>
              <w:jc w:val="right"/>
              <w:ind w:right="156"/>
              <w:spacing w:after="0"/>
              <w:rPr>
                <w:sz w:val="20"/>
                <w:szCs w:val="20"/>
                <w:color w:val="auto"/>
              </w:rPr>
            </w:pPr>
            <w:r>
              <w:rPr>
                <w:rFonts w:ascii="Arial" w:cs="Arial" w:eastAsia="Arial" w:hAnsi="Arial"/>
                <w:sz w:val="17"/>
                <w:szCs w:val="17"/>
                <w:b w:val="1"/>
                <w:bCs w:val="1"/>
                <w:color w:val="auto"/>
              </w:rPr>
              <w:t>(382)</w:t>
            </w:r>
          </w:p>
        </w:tc>
        <w:tc>
          <w:tcPr>
            <w:tcW w:w="1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NM</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w:t>
            </w:r>
          </w:p>
        </w:tc>
        <w:tc>
          <w:tcPr>
            <w:tcW w:w="2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change in investment and other income (loss) net for the three and nine months ended September 30, 2021 compared to the same periods in 2020 was primarily due to equity in net income (losses) of investees, net related to our investment in Atairos Group, Inc. The income (losses) at Atairos were driven by fair value adjustments on its underlying investments with income of $555 million and $1.5 billion for the three and nine months ended September 30, 2021, respectively, and losses of $107 million and $242 million for the three and nine months ended September 30, 2020, respectively. The changes in realized and unrealized gains (losses) on equity securities, net for the three and nine months ended September 30, 2021 compared to the same periods in 2020 include gains from fair value adjustments on nonmarketable equity securities in the current year periods and losses on marketable securities in the current year periods compared to gains in the prior year periods.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Income Tax Expense</w:t>
      </w:r>
    </w:p>
    <w:p>
      <w:pPr>
        <w:spacing w:after="0" w:line="12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Income tax expense for the three and nine months ended September 30, 2021 and 2020 reflects an effective income tax rate that differs from the federal statutory rate primarily due to state and foreign income taxes and adjustments associated with uncertain tax positions. The increases in income tax expense for the three and nine months ended September 30, 2021 compared to the same periods in 2020 were primarily due to higher income before income taxes. We also recognized income tax expense of $498 million in the second quarter of 2021 related to an increase in our net deferred tax liability as a result of the enactment of tax law changes in the United Kingdom (see Note 9) and income tax expense in the third quarter 2020 as a result of adjustments due to other tax law changes.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Income (Loss) Attributable to Noncontrolling Interests and Redeemable Subsidiary Preferred Stock</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changes in net income (loss) attributable to noncontrolling interest and redeemable subsidiary preferred stock for the three and nine months ended September 30, 2021 compared to the same periods in 2020 were primarily due to losses at Universal Beijing Resort, which increased due to pre-opening costs prior to its opening in September 2021 (see Note 6).</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Operating Results</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 See Note 2 for our definition of Adjusted EBITDA and a reconciliation from the aggregate amount of Adjusted EBITDA for our reportable business segments to consolidated income before income taxes.</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Cable Communications Segment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right"/>
              <w:ind w:right="794"/>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jc w:val="center"/>
              <w:spacing w:after="0"/>
              <w:rPr>
                <w:sz w:val="20"/>
                <w:szCs w:val="20"/>
                <w:color w:val="auto"/>
              </w:rPr>
            </w:pPr>
            <w:r>
              <w:rPr>
                <w:rFonts w:ascii="Arial" w:cs="Arial" w:eastAsia="Arial" w:hAnsi="Arial"/>
                <w:sz w:val="14"/>
                <w:szCs w:val="14"/>
                <w:color w:val="auto"/>
                <w:w w:val="86"/>
              </w:rPr>
              <w:t>Increase/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ind w:right="834"/>
              <w:spacing w:after="0"/>
              <w:rPr>
                <w:sz w:val="20"/>
                <w:szCs w:val="20"/>
                <w:color w:val="auto"/>
              </w:rPr>
            </w:pPr>
            <w:r>
              <w:rPr>
                <w:rFonts w:ascii="Arial" w:cs="Arial" w:eastAsia="Arial" w:hAnsi="Arial"/>
                <w:sz w:val="14"/>
                <w:szCs w:val="14"/>
                <w:color w:val="auto"/>
              </w:rPr>
              <w:t>Nine Months Ended</w:t>
            </w:r>
          </w:p>
        </w:tc>
        <w:tc>
          <w:tcPr>
            <w:tcW w:w="1080" w:type="dxa"/>
            <w:vAlign w:val="bottom"/>
          </w:tcPr>
          <w:p>
            <w:pPr>
              <w:jc w:val="center"/>
              <w:spacing w:after="0"/>
              <w:rPr>
                <w:sz w:val="20"/>
                <w:szCs w:val="20"/>
                <w:color w:val="auto"/>
              </w:rPr>
            </w:pPr>
            <w:r>
              <w:rPr>
                <w:rFonts w:ascii="Arial" w:cs="Arial" w:eastAsia="Arial" w:hAnsi="Arial"/>
                <w:sz w:val="14"/>
                <w:szCs w:val="14"/>
                <w:color w:val="auto"/>
                <w:w w:val="86"/>
              </w:rPr>
              <w:t>Increase/</w:t>
            </w:r>
          </w:p>
        </w:tc>
        <w:tc>
          <w:tcPr>
            <w:tcW w:w="180" w:type="dxa"/>
            <w:vAlign w:val="bottom"/>
          </w:tcPr>
          <w:p>
            <w:pPr>
              <w:spacing w:after="0"/>
              <w:rPr>
                <w:sz w:val="14"/>
                <w:szCs w:val="14"/>
                <w:color w:val="auto"/>
              </w:rPr>
            </w:pPr>
          </w:p>
        </w:tc>
      </w:tr>
      <w:tr>
        <w:trPr>
          <w:trHeight w:val="178"/>
        </w:trPr>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(Decrease)</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(Decrease)</w:t>
            </w:r>
          </w:p>
        </w:tc>
        <w:tc>
          <w:tcPr>
            <w:tcW w:w="180" w:type="dxa"/>
            <w:vAlign w:val="bottom"/>
            <w:tcBorders>
              <w:bottom w:val="single" w:sz="8" w:color="auto"/>
            </w:tcBorders>
          </w:tcPr>
          <w:p>
            <w:pPr>
              <w:spacing w:after="0"/>
              <w:rPr>
                <w:sz w:val="15"/>
                <w:szCs w:val="15"/>
                <w:color w:val="auto"/>
              </w:rPr>
            </w:pPr>
          </w:p>
        </w:tc>
      </w:tr>
      <w:tr>
        <w:trPr>
          <w:trHeight w:val="17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w w:val="96"/>
              </w:rPr>
              <w:t>2020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5"/>
                <w:szCs w:val="15"/>
                <w:color w:val="auto"/>
              </w:rPr>
            </w:pPr>
          </w:p>
        </w:tc>
      </w:tr>
      <w:tr>
        <w:trPr>
          <w:trHeight w:val="219"/>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2"/>
        </w:trPr>
        <w:tc>
          <w:tcPr>
            <w:tcW w:w="3180" w:type="dxa"/>
            <w:vAlign w:val="bottom"/>
          </w:tcPr>
          <w:p>
            <w:pPr>
              <w:ind w:left="340"/>
              <w:spacing w:after="0"/>
              <w:rPr>
                <w:sz w:val="20"/>
                <w:szCs w:val="20"/>
                <w:color w:val="auto"/>
              </w:rPr>
            </w:pPr>
            <w:r>
              <w:rPr>
                <w:rFonts w:ascii="Arial" w:cs="Arial" w:eastAsia="Arial" w:hAnsi="Arial"/>
                <w:sz w:val="17"/>
                <w:szCs w:val="17"/>
                <w:color w:val="auto"/>
              </w:rPr>
              <w:t>Residential: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180" w:type="dxa"/>
            <w:vAlign w:val="bottom"/>
          </w:tcPr>
          <w:p>
            <w:pPr>
              <w:ind w:left="660"/>
              <w:spacing w:after="0"/>
              <w:rPr>
                <w:sz w:val="20"/>
                <w:szCs w:val="20"/>
                <w:color w:val="auto"/>
              </w:rPr>
            </w:pPr>
            <w:r>
              <w:rPr>
                <w:rFonts w:ascii="Arial" w:cs="Arial" w:eastAsia="Arial" w:hAnsi="Arial"/>
                <w:sz w:val="17"/>
                <w:szCs w:val="17"/>
                <w:color w:val="auto"/>
              </w:rPr>
              <w:t>Broadband</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5,801</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5,198</w:t>
            </w:r>
          </w:p>
        </w:tc>
        <w:tc>
          <w:tcPr>
            <w:tcW w:w="1080" w:type="dxa"/>
            <w:vAlign w:val="bottom"/>
          </w:tcPr>
          <w:p>
            <w:pPr>
              <w:jc w:val="right"/>
              <w:spacing w:after="0"/>
              <w:rPr>
                <w:sz w:val="20"/>
                <w:szCs w:val="20"/>
                <w:color w:val="auto"/>
              </w:rPr>
            </w:pPr>
            <w:r>
              <w:rPr>
                <w:rFonts w:ascii="Arial" w:cs="Arial" w:eastAsia="Arial" w:hAnsi="Arial"/>
                <w:sz w:val="17"/>
                <w:szCs w:val="17"/>
                <w:color w:val="auto"/>
              </w:rPr>
              <w:t>11.6</w:t>
            </w:r>
          </w:p>
        </w:tc>
        <w:tc>
          <w:tcPr>
            <w:tcW w:w="24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17,118</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15,199</w:t>
            </w:r>
          </w:p>
        </w:tc>
        <w:tc>
          <w:tcPr>
            <w:tcW w:w="1080" w:type="dxa"/>
            <w:vAlign w:val="bottom"/>
          </w:tcPr>
          <w:p>
            <w:pPr>
              <w:jc w:val="right"/>
              <w:spacing w:after="0"/>
              <w:rPr>
                <w:sz w:val="20"/>
                <w:szCs w:val="20"/>
                <w:color w:val="auto"/>
              </w:rPr>
            </w:pPr>
            <w:r>
              <w:rPr>
                <w:rFonts w:ascii="Arial" w:cs="Arial" w:eastAsia="Arial" w:hAnsi="Arial"/>
                <w:sz w:val="17"/>
                <w:szCs w:val="17"/>
                <w:color w:val="auto"/>
              </w:rPr>
              <w:t>12.6</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223"/>
        </w:trPr>
        <w:tc>
          <w:tcPr>
            <w:tcW w:w="3180" w:type="dxa"/>
            <w:vAlign w:val="bottom"/>
          </w:tcPr>
          <w:p>
            <w:pPr>
              <w:ind w:left="660"/>
              <w:spacing w:after="0"/>
              <w:rPr>
                <w:sz w:val="20"/>
                <w:szCs w:val="20"/>
                <w:color w:val="auto"/>
              </w:rPr>
            </w:pPr>
            <w:r>
              <w:rPr>
                <w:rFonts w:ascii="Arial" w:cs="Arial" w:eastAsia="Arial" w:hAnsi="Arial"/>
                <w:sz w:val="17"/>
                <w:szCs w:val="17"/>
                <w:color w:val="auto"/>
              </w:rPr>
              <w:t>Video</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5,499</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5,421</w:t>
            </w: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16,676</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16,468</w:t>
            </w:r>
          </w:p>
        </w:tc>
        <w:tc>
          <w:tcPr>
            <w:tcW w:w="1080" w:type="dxa"/>
            <w:vAlign w:val="bottom"/>
          </w:tcPr>
          <w:p>
            <w:pPr>
              <w:jc w:val="right"/>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9"/>
                <w:szCs w:val="19"/>
                <w:color w:val="auto"/>
              </w:rPr>
            </w:pPr>
          </w:p>
        </w:tc>
      </w:tr>
      <w:tr>
        <w:trPr>
          <w:trHeight w:val="223"/>
        </w:trPr>
        <w:tc>
          <w:tcPr>
            <w:tcW w:w="3180" w:type="dxa"/>
            <w:vAlign w:val="bottom"/>
          </w:tcPr>
          <w:p>
            <w:pPr>
              <w:ind w:left="660"/>
              <w:spacing w:after="0"/>
              <w:rPr>
                <w:sz w:val="20"/>
                <w:szCs w:val="20"/>
                <w:color w:val="auto"/>
              </w:rPr>
            </w:pPr>
            <w:r>
              <w:rPr>
                <w:rFonts w:ascii="Arial" w:cs="Arial" w:eastAsia="Arial" w:hAnsi="Arial"/>
                <w:sz w:val="17"/>
                <w:szCs w:val="17"/>
                <w:color w:val="auto"/>
              </w:rPr>
              <w:t>Voice</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851</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876</w:t>
            </w: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2,592</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2,652</w:t>
            </w: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9"/>
                <w:szCs w:val="19"/>
                <w:color w:val="auto"/>
              </w:rPr>
            </w:pPr>
          </w:p>
        </w:tc>
      </w:tr>
      <w:tr>
        <w:trPr>
          <w:trHeight w:val="223"/>
        </w:trPr>
        <w:tc>
          <w:tcPr>
            <w:tcW w:w="3180" w:type="dxa"/>
            <w:vAlign w:val="bottom"/>
          </w:tcPr>
          <w:p>
            <w:pPr>
              <w:ind w:left="660"/>
              <w:spacing w:after="0"/>
              <w:rPr>
                <w:sz w:val="20"/>
                <w:szCs w:val="20"/>
                <w:color w:val="auto"/>
              </w:rPr>
            </w:pPr>
            <w:r>
              <w:rPr>
                <w:rFonts w:ascii="Arial" w:cs="Arial" w:eastAsia="Arial" w:hAnsi="Arial"/>
                <w:sz w:val="17"/>
                <w:szCs w:val="17"/>
                <w:color w:val="auto"/>
              </w:rPr>
              <w:t>Wireless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603</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400</w:t>
            </w:r>
          </w:p>
        </w:tc>
        <w:tc>
          <w:tcPr>
            <w:tcW w:w="1080" w:type="dxa"/>
            <w:vAlign w:val="bottom"/>
          </w:tcPr>
          <w:p>
            <w:pPr>
              <w:jc w:val="right"/>
              <w:spacing w:after="0"/>
              <w:rPr>
                <w:sz w:val="20"/>
                <w:szCs w:val="20"/>
                <w:color w:val="auto"/>
              </w:rPr>
            </w:pPr>
            <w:r>
              <w:rPr>
                <w:rFonts w:ascii="Arial" w:cs="Arial" w:eastAsia="Arial" w:hAnsi="Arial"/>
                <w:sz w:val="17"/>
                <w:szCs w:val="17"/>
                <w:color w:val="auto"/>
              </w:rPr>
              <w:t>50.7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1,672</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1,069</w:t>
            </w:r>
          </w:p>
        </w:tc>
        <w:tc>
          <w:tcPr>
            <w:tcW w:w="1080" w:type="dxa"/>
            <w:vAlign w:val="bottom"/>
          </w:tcPr>
          <w:p>
            <w:pPr>
              <w:jc w:val="right"/>
              <w:spacing w:after="0"/>
              <w:rPr>
                <w:sz w:val="20"/>
                <w:szCs w:val="20"/>
                <w:color w:val="auto"/>
              </w:rPr>
            </w:pPr>
            <w:r>
              <w:rPr>
                <w:rFonts w:ascii="Arial" w:cs="Arial" w:eastAsia="Arial" w:hAnsi="Arial"/>
                <w:sz w:val="17"/>
                <w:szCs w:val="17"/>
                <w:color w:val="auto"/>
              </w:rPr>
              <w:t>56.4</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Business services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2,227</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2,049</w:t>
            </w:r>
          </w:p>
        </w:tc>
        <w:tc>
          <w:tcPr>
            <w:tcW w:w="1080" w:type="dxa"/>
            <w:vAlign w:val="bottom"/>
          </w:tcPr>
          <w:p>
            <w:pPr>
              <w:jc w:val="right"/>
              <w:spacing w:after="0"/>
              <w:rPr>
                <w:sz w:val="20"/>
                <w:szCs w:val="20"/>
                <w:color w:val="auto"/>
              </w:rPr>
            </w:pPr>
            <w:r>
              <w:rPr>
                <w:rFonts w:ascii="Arial" w:cs="Arial" w:eastAsia="Arial" w:hAnsi="Arial"/>
                <w:sz w:val="17"/>
                <w:szCs w:val="17"/>
                <w:color w:val="auto"/>
              </w:rPr>
              <w:t>8.7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6,597</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6,096</w:t>
            </w:r>
          </w:p>
        </w:tc>
        <w:tc>
          <w:tcPr>
            <w:tcW w:w="1080" w:type="dxa"/>
            <w:vAlign w:val="bottom"/>
          </w:tcPr>
          <w:p>
            <w:pPr>
              <w:jc w:val="right"/>
              <w:spacing w:after="0"/>
              <w:rPr>
                <w:sz w:val="20"/>
                <w:szCs w:val="20"/>
                <w:color w:val="auto"/>
              </w:rPr>
            </w:pPr>
            <w:r>
              <w:rPr>
                <w:rFonts w:ascii="Arial" w:cs="Arial" w:eastAsia="Arial" w:hAnsi="Arial"/>
                <w:sz w:val="17"/>
                <w:szCs w:val="17"/>
                <w:color w:val="auto"/>
              </w:rPr>
              <w:t>8.2</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Advertising</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705</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674</w:t>
            </w:r>
          </w:p>
        </w:tc>
        <w:tc>
          <w:tcPr>
            <w:tcW w:w="1080" w:type="dxa"/>
            <w:vAlign w:val="bottom"/>
          </w:tcPr>
          <w:p>
            <w:pPr>
              <w:jc w:val="right"/>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2,002</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1,659</w:t>
            </w:r>
          </w:p>
        </w:tc>
        <w:tc>
          <w:tcPr>
            <w:tcW w:w="1080" w:type="dxa"/>
            <w:vAlign w:val="bottom"/>
          </w:tcPr>
          <w:p>
            <w:pPr>
              <w:jc w:val="right"/>
              <w:spacing w:after="0"/>
              <w:rPr>
                <w:sz w:val="20"/>
                <w:szCs w:val="20"/>
                <w:color w:val="auto"/>
              </w:rPr>
            </w:pPr>
            <w:r>
              <w:rPr>
                <w:rFonts w:ascii="Arial" w:cs="Arial" w:eastAsia="Arial" w:hAnsi="Arial"/>
                <w:sz w:val="17"/>
                <w:szCs w:val="17"/>
                <w:color w:val="auto"/>
              </w:rPr>
              <w:t>20.6</w:t>
            </w:r>
          </w:p>
        </w:tc>
        <w:tc>
          <w:tcPr>
            <w:tcW w:w="180" w:type="dxa"/>
            <w:vAlign w:val="bottom"/>
          </w:tcPr>
          <w:p>
            <w:pPr>
              <w:spacing w:after="0"/>
              <w:rPr>
                <w:sz w:val="19"/>
                <w:szCs w:val="19"/>
                <w:color w:val="auto"/>
              </w:rPr>
            </w:pPr>
          </w:p>
        </w:tc>
      </w:tr>
      <w:tr>
        <w:trPr>
          <w:trHeight w:val="223"/>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427</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382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1,265</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1,203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80" w:type="dxa"/>
            <w:vAlign w:val="bottom"/>
            <w:tcBorders>
              <w:bottom w:val="single" w:sz="8" w:color="auto"/>
            </w:tcBorders>
          </w:tcPr>
          <w:p>
            <w:pPr>
              <w:spacing w:after="0"/>
              <w:rPr>
                <w:sz w:val="19"/>
                <w:szCs w:val="19"/>
                <w:color w:val="auto"/>
              </w:rPr>
            </w:pPr>
          </w:p>
        </w:tc>
      </w:tr>
      <w:tr>
        <w:trPr>
          <w:trHeight w:val="211"/>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16,115</w:t>
            </w:r>
          </w:p>
        </w:tc>
        <w:tc>
          <w:tcPr>
            <w:tcW w:w="480" w:type="dxa"/>
            <w:vAlign w:val="bottom"/>
          </w:tcPr>
          <w:p>
            <w:pPr>
              <w:spacing w:after="0"/>
              <w:rPr>
                <w:sz w:val="18"/>
                <w:szCs w:val="18"/>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b w:val="1"/>
                <w:bCs w:val="1"/>
                <w:color w:val="auto"/>
              </w:rPr>
              <w:t>15,000</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47,922</w:t>
            </w:r>
          </w:p>
        </w:tc>
        <w:tc>
          <w:tcPr>
            <w:tcW w:w="4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b w:val="1"/>
                <w:bCs w:val="1"/>
                <w:color w:val="auto"/>
              </w:rPr>
              <w:t>44,346</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8.1</w:t>
            </w:r>
          </w:p>
        </w:tc>
        <w:tc>
          <w:tcPr>
            <w:tcW w:w="180" w:type="dxa"/>
            <w:vAlign w:val="bottom"/>
          </w:tcPr>
          <w:p>
            <w:pPr>
              <w:spacing w:after="0"/>
              <w:rPr>
                <w:sz w:val="18"/>
                <w:szCs w:val="18"/>
                <w:color w:val="auto"/>
              </w:rPr>
            </w:pPr>
          </w:p>
        </w:tc>
      </w:tr>
      <w:tr>
        <w:trPr>
          <w:trHeight w:val="228"/>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Programming</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3,546</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3,296</w:t>
            </w:r>
          </w:p>
        </w:tc>
        <w:tc>
          <w:tcPr>
            <w:tcW w:w="1080" w:type="dxa"/>
            <w:vAlign w:val="bottom"/>
          </w:tcPr>
          <w:p>
            <w:pPr>
              <w:jc w:val="right"/>
              <w:spacing w:after="0"/>
              <w:rPr>
                <w:sz w:val="20"/>
                <w:szCs w:val="20"/>
                <w:color w:val="auto"/>
              </w:rPr>
            </w:pPr>
            <w:r>
              <w:rPr>
                <w:rFonts w:ascii="Arial" w:cs="Arial" w:eastAsia="Arial" w:hAnsi="Arial"/>
                <w:sz w:val="17"/>
                <w:szCs w:val="17"/>
                <w:color w:val="auto"/>
              </w:rPr>
              <w:t>7.6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10,809</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9,978</w:t>
            </w:r>
          </w:p>
        </w:tc>
        <w:tc>
          <w:tcPr>
            <w:tcW w:w="1080" w:type="dxa"/>
            <w:vAlign w:val="bottom"/>
          </w:tcPr>
          <w:p>
            <w:pPr>
              <w:jc w:val="right"/>
              <w:spacing w:after="0"/>
              <w:rPr>
                <w:sz w:val="20"/>
                <w:szCs w:val="20"/>
                <w:color w:val="auto"/>
              </w:rPr>
            </w:pPr>
            <w:r>
              <w:rPr>
                <w:rFonts w:ascii="Arial" w:cs="Arial" w:eastAsia="Arial" w:hAnsi="Arial"/>
                <w:sz w:val="17"/>
                <w:szCs w:val="17"/>
                <w:color w:val="auto"/>
              </w:rPr>
              <w:t>8.3</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Technical and product support</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2,169</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1,980</w:t>
            </w:r>
          </w:p>
        </w:tc>
        <w:tc>
          <w:tcPr>
            <w:tcW w:w="1080" w:type="dxa"/>
            <w:vAlign w:val="bottom"/>
          </w:tcPr>
          <w:p>
            <w:pPr>
              <w:jc w:val="right"/>
              <w:spacing w:after="0"/>
              <w:rPr>
                <w:sz w:val="20"/>
                <w:szCs w:val="20"/>
                <w:color w:val="auto"/>
              </w:rPr>
            </w:pPr>
            <w:r>
              <w:rPr>
                <w:rFonts w:ascii="Arial" w:cs="Arial" w:eastAsia="Arial" w:hAnsi="Arial"/>
                <w:sz w:val="17"/>
                <w:szCs w:val="17"/>
                <w:color w:val="auto"/>
              </w:rPr>
              <w:t>9.6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6,265</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5,925</w:t>
            </w:r>
          </w:p>
        </w:tc>
        <w:tc>
          <w:tcPr>
            <w:tcW w:w="1080" w:type="dxa"/>
            <w:vAlign w:val="bottom"/>
          </w:tcPr>
          <w:p>
            <w:pPr>
              <w:jc w:val="right"/>
              <w:spacing w:after="0"/>
              <w:rPr>
                <w:sz w:val="20"/>
                <w:szCs w:val="20"/>
                <w:color w:val="auto"/>
              </w:rPr>
            </w:pPr>
            <w:r>
              <w:rPr>
                <w:rFonts w:ascii="Arial" w:cs="Arial" w:eastAsia="Arial" w:hAnsi="Arial"/>
                <w:sz w:val="17"/>
                <w:szCs w:val="17"/>
                <w:color w:val="auto"/>
              </w:rPr>
              <w:t>5.7</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Customer service</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581</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598</w:t>
            </w:r>
          </w:p>
        </w:tc>
        <w:tc>
          <w:tcPr>
            <w:tcW w:w="1080" w:type="dxa"/>
            <w:vAlign w:val="bottom"/>
          </w:tcPr>
          <w:p>
            <w:pPr>
              <w:jc w:val="right"/>
              <w:spacing w:after="0"/>
              <w:rPr>
                <w:sz w:val="20"/>
                <w:szCs w:val="20"/>
                <w:color w:val="auto"/>
              </w:rPr>
            </w:pPr>
            <w:r>
              <w:rPr>
                <w:rFonts w:ascii="Arial" w:cs="Arial" w:eastAsia="Arial" w:hAnsi="Arial"/>
                <w:sz w:val="17"/>
                <w:szCs w:val="17"/>
                <w:color w:val="auto"/>
              </w:rPr>
              <w:t>(2.7)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1,765</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1,836</w:t>
            </w:r>
          </w:p>
        </w:tc>
        <w:tc>
          <w:tcPr>
            <w:tcW w:w="1080" w:type="dxa"/>
            <w:vAlign w:val="bottom"/>
          </w:tcPr>
          <w:p>
            <w:pPr>
              <w:jc w:val="right"/>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Advertising, marketing and promotion</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1,012</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929</w:t>
            </w:r>
          </w:p>
        </w:tc>
        <w:tc>
          <w:tcPr>
            <w:tcW w:w="1080" w:type="dxa"/>
            <w:vAlign w:val="bottom"/>
          </w:tcPr>
          <w:p>
            <w:pPr>
              <w:jc w:val="right"/>
              <w:spacing w:after="0"/>
              <w:rPr>
                <w:sz w:val="20"/>
                <w:szCs w:val="20"/>
                <w:color w:val="auto"/>
              </w:rPr>
            </w:pPr>
            <w:r>
              <w:rPr>
                <w:rFonts w:ascii="Arial" w:cs="Arial" w:eastAsia="Arial" w:hAnsi="Arial"/>
                <w:sz w:val="17"/>
                <w:szCs w:val="17"/>
                <w:color w:val="auto"/>
              </w:rPr>
              <w:t>8.8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2,887</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2,717</w:t>
            </w:r>
          </w:p>
        </w:tc>
        <w:tc>
          <w:tcPr>
            <w:tcW w:w="1080" w:type="dxa"/>
            <w:vAlign w:val="bottom"/>
          </w:tcPr>
          <w:p>
            <w:pPr>
              <w:jc w:val="right"/>
              <w:spacing w:after="0"/>
              <w:rPr>
                <w:sz w:val="20"/>
                <w:szCs w:val="20"/>
                <w:color w:val="auto"/>
              </w:rPr>
            </w:pPr>
            <w:r>
              <w:rPr>
                <w:rFonts w:ascii="Arial" w:cs="Arial" w:eastAsia="Arial" w:hAnsi="Arial"/>
                <w:sz w:val="17"/>
                <w:szCs w:val="17"/>
                <w:color w:val="auto"/>
              </w:rPr>
              <w:t>6.3</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Franchise and other regulatory fees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432</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421</w:t>
            </w: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1,382</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1,225</w:t>
            </w:r>
          </w:p>
        </w:tc>
        <w:tc>
          <w:tcPr>
            <w:tcW w:w="1080" w:type="dxa"/>
            <w:vAlign w:val="bottom"/>
          </w:tcPr>
          <w:p>
            <w:pPr>
              <w:jc w:val="right"/>
              <w:spacing w:after="0"/>
              <w:rPr>
                <w:sz w:val="20"/>
                <w:szCs w:val="20"/>
                <w:color w:val="auto"/>
              </w:rPr>
            </w:pPr>
            <w:r>
              <w:rPr>
                <w:rFonts w:ascii="Arial" w:cs="Arial" w:eastAsia="Arial" w:hAnsi="Arial"/>
                <w:sz w:val="17"/>
                <w:szCs w:val="17"/>
                <w:color w:val="auto"/>
              </w:rPr>
              <w:t>12.8</w:t>
            </w:r>
          </w:p>
        </w:tc>
        <w:tc>
          <w:tcPr>
            <w:tcW w:w="180" w:type="dxa"/>
            <w:vAlign w:val="bottom"/>
          </w:tcPr>
          <w:p>
            <w:pPr>
              <w:spacing w:after="0"/>
              <w:rPr>
                <w:sz w:val="19"/>
                <w:szCs w:val="19"/>
                <w:color w:val="auto"/>
              </w:rPr>
            </w:pPr>
          </w:p>
        </w:tc>
      </w:tr>
      <w:tr>
        <w:trPr>
          <w:trHeight w:val="223"/>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1,305</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1,365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3,841</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4,002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80" w:type="dxa"/>
            <w:vAlign w:val="bottom"/>
            <w:tcBorders>
              <w:bottom w:val="single" w:sz="8" w:color="auto"/>
            </w:tcBorders>
          </w:tcPr>
          <w:p>
            <w:pPr>
              <w:spacing w:after="0"/>
              <w:rPr>
                <w:sz w:val="19"/>
                <w:szCs w:val="19"/>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9,045</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8,589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26,949</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25,683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80" w:type="dxa"/>
            <w:vAlign w:val="bottom"/>
            <w:tcBorders>
              <w:bottom w:val="single" w:sz="8" w:color="auto"/>
            </w:tcBorders>
          </w:tcPr>
          <w:p>
            <w:pPr>
              <w:spacing w:after="0"/>
              <w:rPr>
                <w:sz w:val="18"/>
                <w:szCs w:val="18"/>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7,069</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6,411</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10.3 %</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20,972</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18,663</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Customer Metrics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435"/>
              <w:spacing w:after="0"/>
              <w:rPr>
                <w:sz w:val="20"/>
                <w:szCs w:val="20"/>
                <w:color w:val="auto"/>
              </w:rPr>
            </w:pPr>
            <w:r>
              <w:rPr>
                <w:rFonts w:ascii="Arial" w:cs="Arial" w:eastAsia="Arial" w:hAnsi="Arial"/>
                <w:sz w:val="14"/>
                <w:szCs w:val="14"/>
                <w:color w:val="auto"/>
              </w:rPr>
              <w:t>Net Additions / (Losses)</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040" w:type="dxa"/>
            <w:vAlign w:val="bottom"/>
          </w:tcPr>
          <w:p>
            <w:pPr>
              <w:spacing w:after="0"/>
              <w:rPr>
                <w:sz w:val="11"/>
                <w:szCs w:val="11"/>
                <w:color w:val="auto"/>
              </w:rPr>
            </w:pPr>
          </w:p>
        </w:tc>
        <w:tc>
          <w:tcPr>
            <w:tcW w:w="2060" w:type="dxa"/>
            <w:vAlign w:val="bottom"/>
            <w:gridSpan w:val="2"/>
            <w:vMerge w:val="restart"/>
          </w:tcPr>
          <w:p>
            <w:pPr>
              <w:jc w:val="right"/>
              <w:ind w:right="534"/>
              <w:spacing w:after="0"/>
              <w:rPr>
                <w:sz w:val="20"/>
                <w:szCs w:val="20"/>
                <w:color w:val="auto"/>
              </w:rPr>
            </w:pPr>
            <w:r>
              <w:rPr>
                <w:rFonts w:ascii="Arial" w:cs="Arial" w:eastAsia="Arial" w:hAnsi="Arial"/>
                <w:sz w:val="14"/>
                <w:szCs w:val="14"/>
                <w:color w:val="auto"/>
              </w:rPr>
              <w:t>September 30,</w:t>
            </w:r>
          </w:p>
        </w:tc>
        <w:tc>
          <w:tcPr>
            <w:tcW w:w="2240" w:type="dxa"/>
            <w:vAlign w:val="bottom"/>
            <w:gridSpan w:val="2"/>
          </w:tcPr>
          <w:p>
            <w:pPr>
              <w:jc w:val="right"/>
              <w:ind w:right="535"/>
              <w:spacing w:after="0" w:line="129" w:lineRule="exact"/>
              <w:rPr>
                <w:sz w:val="20"/>
                <w:szCs w:val="20"/>
                <w:color w:val="auto"/>
              </w:rPr>
            </w:pPr>
            <w:r>
              <w:rPr>
                <w:rFonts w:ascii="Arial" w:cs="Arial" w:eastAsia="Arial" w:hAnsi="Arial"/>
                <w:sz w:val="14"/>
                <w:szCs w:val="14"/>
                <w:color w:val="auto"/>
              </w:rPr>
              <w:t>Three Months Ended</w:t>
            </w:r>
          </w:p>
        </w:tc>
        <w:tc>
          <w:tcPr>
            <w:tcW w:w="1900" w:type="dxa"/>
            <w:vAlign w:val="bottom"/>
            <w:gridSpan w:val="2"/>
          </w:tcPr>
          <w:p>
            <w:pPr>
              <w:jc w:val="right"/>
              <w:ind w:right="374"/>
              <w:spacing w:after="0" w:line="129"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2060" w:type="dxa"/>
            <w:vAlign w:val="bottom"/>
            <w:tcBorders>
              <w:bottom w:val="single" w:sz="8" w:color="auto"/>
            </w:tcBorders>
            <w:gridSpan w:val="2"/>
            <w:vMerge w:val="continue"/>
          </w:tcPr>
          <w:p>
            <w:pPr>
              <w:spacing w:after="0"/>
              <w:rPr>
                <w:sz w:val="15"/>
                <w:szCs w:val="15"/>
                <w:color w:val="auto"/>
              </w:rPr>
            </w:pPr>
          </w:p>
        </w:tc>
        <w:tc>
          <w:tcPr>
            <w:tcW w:w="2240" w:type="dxa"/>
            <w:vAlign w:val="bottom"/>
            <w:tcBorders>
              <w:bottom w:val="single" w:sz="8" w:color="auto"/>
            </w:tcBorders>
            <w:gridSpan w:val="2"/>
          </w:tcPr>
          <w:p>
            <w:pPr>
              <w:jc w:val="right"/>
              <w:ind w:right="715"/>
              <w:spacing w:after="0"/>
              <w:rPr>
                <w:sz w:val="20"/>
                <w:szCs w:val="20"/>
                <w:color w:val="auto"/>
              </w:rPr>
            </w:pPr>
            <w:r>
              <w:rPr>
                <w:rFonts w:ascii="Arial" w:cs="Arial" w:eastAsia="Arial" w:hAnsi="Arial"/>
                <w:sz w:val="14"/>
                <w:szCs w:val="14"/>
                <w:color w:val="auto"/>
              </w:rPr>
              <w:t>September 30,</w:t>
            </w:r>
          </w:p>
        </w:tc>
        <w:tc>
          <w:tcPr>
            <w:tcW w:w="190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79"/>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2021</w:t>
            </w: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2021</w:t>
            </w: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2020</w:t>
            </w: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2021</w:t>
            </w: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Customer relationships</w:t>
            </w: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180"/>
              <w:spacing w:after="0"/>
              <w:rPr>
                <w:sz w:val="20"/>
                <w:szCs w:val="20"/>
                <w:color w:val="auto"/>
              </w:rPr>
            </w:pPr>
            <w:r>
              <w:rPr>
                <w:rFonts w:ascii="Arial" w:cs="Arial" w:eastAsia="Arial" w:hAnsi="Arial"/>
                <w:sz w:val="17"/>
                <w:szCs w:val="17"/>
                <w:color w:val="auto"/>
              </w:rPr>
              <w:t>Residential customer relationships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31,576</w:t>
            </w:r>
          </w:p>
        </w:tc>
        <w:tc>
          <w:tcPr>
            <w:tcW w:w="880" w:type="dxa"/>
            <w:vAlign w:val="bottom"/>
          </w:tcPr>
          <w:p>
            <w:pPr>
              <w:jc w:val="right"/>
              <w:spacing w:after="0"/>
              <w:rPr>
                <w:sz w:val="20"/>
                <w:szCs w:val="20"/>
                <w:color w:val="auto"/>
              </w:rPr>
            </w:pPr>
            <w:r>
              <w:rPr>
                <w:rFonts w:ascii="Arial" w:cs="Arial" w:eastAsia="Arial" w:hAnsi="Arial"/>
                <w:sz w:val="17"/>
                <w:szCs w:val="17"/>
                <w:color w:val="auto"/>
              </w:rPr>
              <w:t>30,263</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237</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539</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884</w:t>
            </w:r>
          </w:p>
        </w:tc>
        <w:tc>
          <w:tcPr>
            <w:tcW w:w="860" w:type="dxa"/>
            <w:vAlign w:val="bottom"/>
          </w:tcPr>
          <w:p>
            <w:pPr>
              <w:jc w:val="right"/>
              <w:spacing w:after="0"/>
              <w:rPr>
                <w:sz w:val="20"/>
                <w:szCs w:val="20"/>
                <w:color w:val="auto"/>
              </w:rPr>
            </w:pPr>
            <w:r>
              <w:rPr>
                <w:rFonts w:ascii="Arial" w:cs="Arial" w:eastAsia="Arial" w:hAnsi="Arial"/>
                <w:sz w:val="17"/>
                <w:szCs w:val="17"/>
                <w:color w:val="auto"/>
              </w:rPr>
              <w:t>1,140</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Arial" w:cs="Arial" w:eastAsia="Arial" w:hAnsi="Arial"/>
                <w:sz w:val="17"/>
                <w:szCs w:val="17"/>
                <w:color w:val="auto"/>
              </w:rPr>
              <w:t>Business services customer relationships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2,473</w:t>
            </w:r>
          </w:p>
        </w:tc>
        <w:tc>
          <w:tcPr>
            <w:tcW w:w="880" w:type="dxa"/>
            <w:vAlign w:val="bottom"/>
          </w:tcPr>
          <w:p>
            <w:pPr>
              <w:jc w:val="right"/>
              <w:spacing w:after="0"/>
              <w:rPr>
                <w:sz w:val="20"/>
                <w:szCs w:val="20"/>
                <w:color w:val="auto"/>
              </w:rPr>
            </w:pPr>
            <w:r>
              <w:rPr>
                <w:rFonts w:ascii="Arial" w:cs="Arial" w:eastAsia="Arial" w:hAnsi="Arial"/>
                <w:sz w:val="17"/>
                <w:szCs w:val="17"/>
                <w:color w:val="auto"/>
              </w:rPr>
              <w:t>2,401</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18</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17</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46</w:t>
            </w: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customer relationships</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34,048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32,664</w:t>
            </w: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255</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556</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930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Residential customer relationships mix</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180"/>
              <w:spacing w:after="0"/>
              <w:rPr>
                <w:sz w:val="20"/>
                <w:szCs w:val="20"/>
                <w:color w:val="auto"/>
              </w:rPr>
            </w:pPr>
            <w:r>
              <w:rPr>
                <w:rFonts w:ascii="Arial" w:cs="Arial" w:eastAsia="Arial" w:hAnsi="Arial"/>
                <w:sz w:val="17"/>
                <w:szCs w:val="17"/>
                <w:color w:val="auto"/>
              </w:rPr>
              <w:t>One product customers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13,959</w:t>
            </w:r>
          </w:p>
        </w:tc>
        <w:tc>
          <w:tcPr>
            <w:tcW w:w="880" w:type="dxa"/>
            <w:vAlign w:val="bottom"/>
          </w:tcPr>
          <w:p>
            <w:pPr>
              <w:jc w:val="right"/>
              <w:spacing w:after="0"/>
              <w:rPr>
                <w:sz w:val="20"/>
                <w:szCs w:val="20"/>
                <w:color w:val="auto"/>
              </w:rPr>
            </w:pPr>
            <w:r>
              <w:rPr>
                <w:rFonts w:ascii="Arial" w:cs="Arial" w:eastAsia="Arial" w:hAnsi="Arial"/>
                <w:sz w:val="17"/>
                <w:szCs w:val="17"/>
                <w:color w:val="auto"/>
              </w:rPr>
              <w:t>11,931</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481</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625</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1,551</w:t>
            </w:r>
          </w:p>
        </w:tc>
        <w:tc>
          <w:tcPr>
            <w:tcW w:w="860" w:type="dxa"/>
            <w:vAlign w:val="bottom"/>
          </w:tcPr>
          <w:p>
            <w:pPr>
              <w:jc w:val="right"/>
              <w:spacing w:after="0"/>
              <w:rPr>
                <w:sz w:val="20"/>
                <w:szCs w:val="20"/>
                <w:color w:val="auto"/>
              </w:rPr>
            </w:pPr>
            <w:r>
              <w:rPr>
                <w:rFonts w:ascii="Arial" w:cs="Arial" w:eastAsia="Arial" w:hAnsi="Arial"/>
                <w:sz w:val="17"/>
                <w:szCs w:val="17"/>
                <w:color w:val="auto"/>
              </w:rPr>
              <w:t>1,710</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Arial" w:cs="Arial" w:eastAsia="Arial" w:hAnsi="Arial"/>
                <w:sz w:val="17"/>
                <w:szCs w:val="17"/>
                <w:color w:val="auto"/>
              </w:rPr>
              <w:t>Two product customers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8,473</w:t>
            </w:r>
          </w:p>
        </w:tc>
        <w:tc>
          <w:tcPr>
            <w:tcW w:w="880" w:type="dxa"/>
            <w:vAlign w:val="bottom"/>
          </w:tcPr>
          <w:p>
            <w:pPr>
              <w:jc w:val="right"/>
              <w:spacing w:after="0"/>
              <w:rPr>
                <w:sz w:val="20"/>
                <w:szCs w:val="20"/>
                <w:color w:val="auto"/>
              </w:rPr>
            </w:pPr>
            <w:r>
              <w:rPr>
                <w:rFonts w:ascii="Arial" w:cs="Arial" w:eastAsia="Arial" w:hAnsi="Arial"/>
                <w:sz w:val="17"/>
                <w:szCs w:val="17"/>
                <w:color w:val="auto"/>
              </w:rPr>
              <w:t>8,732</w:t>
            </w: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(89)</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(9)</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(261)</w:t>
            </w:r>
          </w:p>
        </w:tc>
        <w:tc>
          <w:tcPr>
            <w:tcW w:w="86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Three or more product customers</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9,144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9,600</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(156)</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(77)</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Broadband</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180"/>
              <w:spacing w:after="0"/>
              <w:rPr>
                <w:sz w:val="20"/>
                <w:szCs w:val="20"/>
                <w:color w:val="auto"/>
              </w:rPr>
            </w:pPr>
            <w:r>
              <w:rPr>
                <w:rFonts w:ascii="Arial" w:cs="Arial" w:eastAsia="Arial" w:hAnsi="Arial"/>
                <w:sz w:val="17"/>
                <w:szCs w:val="17"/>
                <w:color w:val="auto"/>
              </w:rPr>
              <w:t>Residential customers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29,389</w:t>
            </w:r>
          </w:p>
        </w:tc>
        <w:tc>
          <w:tcPr>
            <w:tcW w:w="880" w:type="dxa"/>
            <w:vAlign w:val="bottom"/>
          </w:tcPr>
          <w:p>
            <w:pPr>
              <w:jc w:val="right"/>
              <w:spacing w:after="0"/>
              <w:rPr>
                <w:sz w:val="20"/>
                <w:szCs w:val="20"/>
                <w:color w:val="auto"/>
              </w:rPr>
            </w:pPr>
            <w:r>
              <w:rPr>
                <w:rFonts w:ascii="Arial" w:cs="Arial" w:eastAsia="Arial" w:hAnsi="Arial"/>
                <w:sz w:val="17"/>
                <w:szCs w:val="17"/>
                <w:color w:val="auto"/>
              </w:rPr>
              <w:t>27,811</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281</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617</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1,063</w:t>
            </w:r>
          </w:p>
        </w:tc>
        <w:tc>
          <w:tcPr>
            <w:tcW w:w="860" w:type="dxa"/>
            <w:vAlign w:val="bottom"/>
          </w:tcPr>
          <w:p>
            <w:pPr>
              <w:jc w:val="right"/>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Arial" w:cs="Arial" w:eastAsia="Arial" w:hAnsi="Arial"/>
                <w:sz w:val="17"/>
                <w:szCs w:val="17"/>
                <w:color w:val="auto"/>
              </w:rPr>
              <w:t>Business services customers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2,300</w:t>
            </w:r>
          </w:p>
        </w:tc>
        <w:tc>
          <w:tcPr>
            <w:tcW w:w="880" w:type="dxa"/>
            <w:vAlign w:val="bottom"/>
          </w:tcPr>
          <w:p>
            <w:pPr>
              <w:jc w:val="right"/>
              <w:spacing w:after="0"/>
              <w:rPr>
                <w:sz w:val="20"/>
                <w:szCs w:val="20"/>
                <w:color w:val="auto"/>
              </w:rPr>
            </w:pPr>
            <w:r>
              <w:rPr>
                <w:rFonts w:ascii="Arial" w:cs="Arial" w:eastAsia="Arial" w:hAnsi="Arial"/>
                <w:sz w:val="17"/>
                <w:szCs w:val="17"/>
                <w:color w:val="auto"/>
              </w:rPr>
              <w:t>2,225</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19</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16</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52</w:t>
            </w: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broadband customers</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31,688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30,036</w:t>
            </w: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300</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633</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1,115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1,433</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Video</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180"/>
              <w:spacing w:after="0"/>
              <w:rPr>
                <w:sz w:val="20"/>
                <w:szCs w:val="20"/>
                <w:color w:val="auto"/>
              </w:rPr>
            </w:pPr>
            <w:r>
              <w:rPr>
                <w:rFonts w:ascii="Arial" w:cs="Arial" w:eastAsia="Arial" w:hAnsi="Arial"/>
                <w:sz w:val="17"/>
                <w:szCs w:val="17"/>
                <w:color w:val="auto"/>
              </w:rPr>
              <w:t>Residential customers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17,844</w:t>
            </w:r>
          </w:p>
        </w:tc>
        <w:tc>
          <w:tcPr>
            <w:tcW w:w="880" w:type="dxa"/>
            <w:vAlign w:val="bottom"/>
          </w:tcPr>
          <w:p>
            <w:pPr>
              <w:jc w:val="right"/>
              <w:spacing w:after="0"/>
              <w:rPr>
                <w:sz w:val="20"/>
                <w:szCs w:val="20"/>
                <w:color w:val="auto"/>
              </w:rPr>
            </w:pPr>
            <w:r>
              <w:rPr>
                <w:rFonts w:ascii="Arial" w:cs="Arial" w:eastAsia="Arial" w:hAnsi="Arial"/>
                <w:sz w:val="17"/>
                <w:szCs w:val="17"/>
                <w:color w:val="auto"/>
              </w:rPr>
              <w:t>19,220</w:t>
            </w: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(382)</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(253)</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(1,149)</w:t>
            </w:r>
          </w:p>
        </w:tc>
        <w:tc>
          <w:tcPr>
            <w:tcW w:w="860" w:type="dxa"/>
            <w:vAlign w:val="bottom"/>
          </w:tcPr>
          <w:p>
            <w:pPr>
              <w:jc w:val="right"/>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Arial" w:cs="Arial" w:eastAsia="Arial" w:hAnsi="Arial"/>
                <w:sz w:val="17"/>
                <w:szCs w:val="17"/>
                <w:color w:val="auto"/>
              </w:rPr>
              <w:t>Business services customers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705</w:t>
            </w:r>
          </w:p>
        </w:tc>
        <w:tc>
          <w:tcPr>
            <w:tcW w:w="880" w:type="dxa"/>
            <w:vAlign w:val="bottom"/>
          </w:tcPr>
          <w:p>
            <w:pPr>
              <w:jc w:val="right"/>
              <w:spacing w:after="0"/>
              <w:rPr>
                <w:sz w:val="20"/>
                <w:szCs w:val="20"/>
                <w:color w:val="auto"/>
              </w:rPr>
            </w:pPr>
            <w:r>
              <w:rPr>
                <w:rFonts w:ascii="Arial" w:cs="Arial" w:eastAsia="Arial" w:hAnsi="Arial"/>
                <w:sz w:val="17"/>
                <w:szCs w:val="17"/>
                <w:color w:val="auto"/>
              </w:rPr>
              <w:t>874</w:t>
            </w: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(26)</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(20)</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(147)</w:t>
            </w:r>
          </w:p>
        </w:tc>
        <w:tc>
          <w:tcPr>
            <w:tcW w:w="86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video customers</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18,549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20,094</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(408)</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(273)</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(1,297)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Voice</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180"/>
              <w:spacing w:after="0"/>
              <w:rPr>
                <w:sz w:val="20"/>
                <w:szCs w:val="20"/>
                <w:color w:val="auto"/>
              </w:rPr>
            </w:pPr>
            <w:r>
              <w:rPr>
                <w:rFonts w:ascii="Arial" w:cs="Arial" w:eastAsia="Arial" w:hAnsi="Arial"/>
                <w:sz w:val="17"/>
                <w:szCs w:val="17"/>
                <w:color w:val="auto"/>
              </w:rPr>
              <w:t>Residential customers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9,245</w:t>
            </w:r>
          </w:p>
        </w:tc>
        <w:tc>
          <w:tcPr>
            <w:tcW w:w="880" w:type="dxa"/>
            <w:vAlign w:val="bottom"/>
          </w:tcPr>
          <w:p>
            <w:pPr>
              <w:jc w:val="right"/>
              <w:spacing w:after="0"/>
              <w:rPr>
                <w:sz w:val="20"/>
                <w:szCs w:val="20"/>
                <w:color w:val="auto"/>
              </w:rPr>
            </w:pPr>
            <w:r>
              <w:rPr>
                <w:rFonts w:ascii="Arial" w:cs="Arial" w:eastAsia="Arial" w:hAnsi="Arial"/>
                <w:sz w:val="17"/>
                <w:szCs w:val="17"/>
                <w:color w:val="auto"/>
              </w:rPr>
              <w:t>9,684</w:t>
            </w: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(167)</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(14)</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(400)</w:t>
            </w:r>
          </w:p>
        </w:tc>
        <w:tc>
          <w:tcPr>
            <w:tcW w:w="86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Arial" w:cs="Arial" w:eastAsia="Arial" w:hAnsi="Arial"/>
                <w:sz w:val="17"/>
                <w:szCs w:val="17"/>
                <w:color w:val="auto"/>
              </w:rPr>
              <w:t>Business services customers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1,384</w:t>
            </w:r>
          </w:p>
        </w:tc>
        <w:tc>
          <w:tcPr>
            <w:tcW w:w="880" w:type="dxa"/>
            <w:vAlign w:val="bottom"/>
          </w:tcPr>
          <w:p>
            <w:pPr>
              <w:jc w:val="right"/>
              <w:spacing w:after="0"/>
              <w:rPr>
                <w:sz w:val="20"/>
                <w:szCs w:val="20"/>
                <w:color w:val="auto"/>
              </w:rPr>
            </w:pPr>
            <w:r>
              <w:rPr>
                <w:rFonts w:ascii="Arial" w:cs="Arial" w:eastAsia="Arial" w:hAnsi="Arial"/>
                <w:sz w:val="17"/>
                <w:szCs w:val="17"/>
                <w:color w:val="auto"/>
              </w:rPr>
              <w:t>1,341</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9</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11</w:t>
            </w: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28</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voice customers</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10,630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11,025</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(158)</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(372)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Wireless</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Wireless lines</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3,668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2,580</w:t>
            </w: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285</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187</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842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Customer metrics are presented based on actual amounts. Minor differences may exist due to rounding.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high-definition video (“HD”) or digital video recorder (“DVR”) services, we count and report customers based on the number of potential billable relationships within each MDU. For MDUs whose residents are not able to receive additional services, the MDU is counted as a single customer. Residential broadband and video customer metrics include certain customers that have prepaid for services. Business customers are generally counted based on the number of locations receiving services within our distribution system, with certain offerings such as Ethernet network services counted as individual customer relationships. Wireless lines represent the number of activated, eligible wireless devices on customers’ accounts. Individual customer relationships may have multiple wireless lines. Customer metrics for 2021 and 2020 do not include customers in the free Internet Essentials offer or certain high-risk customers who continued to receive service following nonpayment (refer to “Impacts of COVID-19” for further discussion). Total residential customer relationships and broadband customers were updated in the first quarter of 2021 due to a conforming change to methodology, resulting in a reduction of approximately 26,000 customers. There was no impact to net additions and information for all periods presented has been recast on a comparable basis.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619"/>
              <w:spacing w:after="0"/>
              <w:rPr>
                <w:sz w:val="20"/>
                <w:szCs w:val="20"/>
                <w:color w:val="auto"/>
              </w:rPr>
            </w:pPr>
            <w:r>
              <w:rPr>
                <w:rFonts w:ascii="Arial" w:cs="Arial" w:eastAsia="Arial" w:hAnsi="Arial"/>
                <w:sz w:val="14"/>
                <w:szCs w:val="14"/>
                <w:color w:val="auto"/>
              </w:rPr>
              <w:t>Three Months Ended</w:t>
            </w:r>
          </w:p>
        </w:tc>
        <w:tc>
          <w:tcPr>
            <w:tcW w:w="1420" w:type="dxa"/>
            <w:vAlign w:val="bottom"/>
            <w:vMerge w:val="restart"/>
          </w:tcPr>
          <w:p>
            <w:pPr>
              <w:jc w:val="right"/>
              <w:ind w:right="121"/>
              <w:spacing w:after="0"/>
              <w:rPr>
                <w:sz w:val="20"/>
                <w:szCs w:val="20"/>
                <w:color w:val="auto"/>
              </w:rPr>
            </w:pPr>
            <w:r>
              <w:rPr>
                <w:rFonts w:ascii="Arial" w:cs="Arial" w:eastAsia="Arial" w:hAnsi="Arial"/>
                <w:sz w:val="14"/>
                <w:szCs w:val="14"/>
                <w:color w:val="auto"/>
                <w:w w:val="94"/>
              </w:rPr>
              <w:t>Increase/(Decrease)</w:t>
            </w:r>
          </w:p>
        </w:tc>
        <w:tc>
          <w:tcPr>
            <w:tcW w:w="340" w:type="dxa"/>
            <w:vAlign w:val="bottom"/>
          </w:tcPr>
          <w:p>
            <w:pPr>
              <w:spacing w:after="0"/>
              <w:rPr>
                <w:sz w:val="14"/>
                <w:szCs w:val="14"/>
                <w:color w:val="auto"/>
              </w:rPr>
            </w:pPr>
          </w:p>
        </w:tc>
        <w:tc>
          <w:tcPr>
            <w:tcW w:w="2280" w:type="dxa"/>
            <w:vAlign w:val="bottom"/>
            <w:gridSpan w:val="3"/>
          </w:tcPr>
          <w:p>
            <w:pPr>
              <w:jc w:val="right"/>
              <w:ind w:right="659"/>
              <w:spacing w:after="0"/>
              <w:rPr>
                <w:sz w:val="20"/>
                <w:szCs w:val="20"/>
                <w:color w:val="auto"/>
              </w:rPr>
            </w:pPr>
            <w:r>
              <w:rPr>
                <w:rFonts w:ascii="Arial" w:cs="Arial" w:eastAsia="Arial" w:hAnsi="Arial"/>
                <w:sz w:val="14"/>
                <w:szCs w:val="14"/>
                <w:color w:val="auto"/>
              </w:rPr>
              <w:t>Nine Months Ended</w:t>
            </w:r>
          </w:p>
        </w:tc>
        <w:tc>
          <w:tcPr>
            <w:tcW w:w="1340" w:type="dxa"/>
            <w:vAlign w:val="bottom"/>
            <w:vMerge w:val="restart"/>
          </w:tcPr>
          <w:p>
            <w:pPr>
              <w:jc w:val="right"/>
              <w:ind w:right="61"/>
              <w:spacing w:after="0"/>
              <w:rPr>
                <w:sz w:val="20"/>
                <w:szCs w:val="20"/>
                <w:color w:val="auto"/>
              </w:rPr>
            </w:pPr>
            <w:r>
              <w:rPr>
                <w:rFonts w:ascii="Arial" w:cs="Arial" w:eastAsia="Arial" w:hAnsi="Arial"/>
                <w:sz w:val="14"/>
                <w:szCs w:val="14"/>
                <w:color w:val="auto"/>
                <w:w w:val="93"/>
              </w:rPr>
              <w:t>Increase/(Decrease)</w:t>
            </w: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2020</w:t>
            </w:r>
          </w:p>
        </w:tc>
        <w:tc>
          <w:tcPr>
            <w:tcW w:w="14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w w:val="96"/>
              </w:rPr>
              <w:t>2020</w:t>
            </w: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line="167" w:lineRule="exact"/>
              <w:rPr>
                <w:sz w:val="20"/>
                <w:szCs w:val="20"/>
                <w:color w:val="auto"/>
              </w:rPr>
            </w:pPr>
            <w:r>
              <w:rPr>
                <w:rFonts w:ascii="Arial" w:cs="Arial" w:eastAsia="Arial" w:hAnsi="Arial"/>
                <w:sz w:val="17"/>
                <w:szCs w:val="17"/>
                <w:color w:val="auto"/>
                <w:w w:val="98"/>
              </w:rPr>
              <w:t>Average monthly total revenue per customer</w:t>
            </w: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vMerge w:val="restart"/>
          </w:tcPr>
          <w:p>
            <w:pPr>
              <w:jc w:val="right"/>
              <w:ind w:right="23"/>
              <w:spacing w:after="0"/>
              <w:rPr>
                <w:sz w:val="20"/>
                <w:szCs w:val="20"/>
                <w:color w:val="auto"/>
              </w:rPr>
            </w:pPr>
            <w:r>
              <w:rPr>
                <w:rFonts w:ascii="Arial" w:cs="Arial" w:eastAsia="Arial" w:hAnsi="Arial"/>
                <w:sz w:val="17"/>
                <w:szCs w:val="17"/>
                <w:color w:val="auto"/>
              </w:rPr>
              <w:t>158.36</w:t>
            </w:r>
          </w:p>
        </w:tc>
        <w:tc>
          <w:tcPr>
            <w:tcW w:w="480" w:type="dxa"/>
            <w:vAlign w:val="bottom"/>
            <w:vMerge w:val="restart"/>
          </w:tcPr>
          <w:p>
            <w:pPr>
              <w:jc w:val="right"/>
              <w:ind w:right="213"/>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ind w:right="19"/>
              <w:spacing w:after="0"/>
              <w:rPr>
                <w:sz w:val="20"/>
                <w:szCs w:val="20"/>
                <w:color w:val="auto"/>
              </w:rPr>
            </w:pPr>
            <w:r>
              <w:rPr>
                <w:rFonts w:ascii="Arial" w:cs="Arial" w:eastAsia="Arial" w:hAnsi="Arial"/>
                <w:sz w:val="17"/>
                <w:szCs w:val="17"/>
                <w:color w:val="auto"/>
              </w:rPr>
              <w:t>154.39</w:t>
            </w:r>
          </w:p>
        </w:tc>
        <w:tc>
          <w:tcPr>
            <w:tcW w:w="1420" w:type="dxa"/>
            <w:vAlign w:val="bottom"/>
            <w:vMerge w:val="restart"/>
          </w:tcPr>
          <w:p>
            <w:pPr>
              <w:jc w:val="right"/>
              <w:ind w:right="1"/>
              <w:spacing w:after="0"/>
              <w:rPr>
                <w:sz w:val="20"/>
                <w:szCs w:val="20"/>
                <w:color w:val="auto"/>
              </w:rPr>
            </w:pPr>
            <w:r>
              <w:rPr>
                <w:rFonts w:ascii="Arial" w:cs="Arial" w:eastAsia="Arial" w:hAnsi="Arial"/>
                <w:sz w:val="17"/>
                <w:szCs w:val="17"/>
                <w:color w:val="auto"/>
              </w:rPr>
              <w:t>2.6 %</w:t>
            </w:r>
          </w:p>
        </w:tc>
        <w:tc>
          <w:tcPr>
            <w:tcW w:w="340" w:type="dxa"/>
            <w:vAlign w:val="bottom"/>
            <w:vMerge w:val="restart"/>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ind w:right="23"/>
              <w:spacing w:after="0"/>
              <w:rPr>
                <w:sz w:val="20"/>
                <w:szCs w:val="20"/>
                <w:color w:val="auto"/>
              </w:rPr>
            </w:pPr>
            <w:r>
              <w:rPr>
                <w:rFonts w:ascii="Arial" w:cs="Arial" w:eastAsia="Arial" w:hAnsi="Arial"/>
                <w:sz w:val="17"/>
                <w:szCs w:val="17"/>
                <w:color w:val="auto"/>
              </w:rPr>
              <w:t>158.55</w:t>
            </w:r>
          </w:p>
        </w:tc>
        <w:tc>
          <w:tcPr>
            <w:tcW w:w="500" w:type="dxa"/>
            <w:vAlign w:val="bottom"/>
            <w:vMerge w:val="restart"/>
          </w:tcPr>
          <w:p>
            <w:pPr>
              <w:jc w:val="right"/>
              <w:ind w:right="233"/>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ind w:right="39"/>
              <w:spacing w:after="0"/>
              <w:rPr>
                <w:sz w:val="20"/>
                <w:szCs w:val="20"/>
                <w:color w:val="auto"/>
              </w:rPr>
            </w:pPr>
            <w:r>
              <w:rPr>
                <w:rFonts w:ascii="Arial" w:cs="Arial" w:eastAsia="Arial" w:hAnsi="Arial"/>
                <w:sz w:val="17"/>
                <w:szCs w:val="17"/>
                <w:color w:val="auto"/>
              </w:rPr>
              <w:t>153.54</w:t>
            </w: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22"/>
        </w:trPr>
        <w:tc>
          <w:tcPr>
            <w:tcW w:w="3320" w:type="dxa"/>
            <w:vAlign w:val="bottom"/>
          </w:tcPr>
          <w:p>
            <w:pPr>
              <w:ind w:left="180"/>
              <w:spacing w:after="0"/>
              <w:rPr>
                <w:sz w:val="20"/>
                <w:szCs w:val="20"/>
                <w:color w:val="auto"/>
              </w:rPr>
            </w:pPr>
            <w:r>
              <w:rPr>
                <w:rFonts w:ascii="Arial" w:cs="Arial" w:eastAsia="Arial" w:hAnsi="Arial"/>
                <w:sz w:val="17"/>
                <w:szCs w:val="17"/>
                <w:color w:val="auto"/>
              </w:rPr>
              <w:t>relationship</w:t>
            </w: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line="172" w:lineRule="exact"/>
              <w:rPr>
                <w:sz w:val="20"/>
                <w:szCs w:val="20"/>
                <w:color w:val="auto"/>
              </w:rPr>
            </w:pPr>
            <w:r>
              <w:rPr>
                <w:rFonts w:ascii="Arial" w:cs="Arial" w:eastAsia="Arial" w:hAnsi="Arial"/>
                <w:sz w:val="17"/>
                <w:szCs w:val="17"/>
                <w:color w:val="auto"/>
              </w:rPr>
              <w:t>Average monthly Adjusted EBITDA per</w:t>
            </w: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vMerge w:val="restart"/>
          </w:tcPr>
          <w:p>
            <w:pPr>
              <w:jc w:val="right"/>
              <w:ind w:right="23"/>
              <w:spacing w:after="0"/>
              <w:rPr>
                <w:sz w:val="20"/>
                <w:szCs w:val="20"/>
                <w:color w:val="auto"/>
              </w:rPr>
            </w:pPr>
            <w:r>
              <w:rPr>
                <w:rFonts w:ascii="Arial" w:cs="Arial" w:eastAsia="Arial" w:hAnsi="Arial"/>
                <w:sz w:val="17"/>
                <w:szCs w:val="17"/>
                <w:color w:val="auto"/>
              </w:rPr>
              <w:t>69.47</w:t>
            </w:r>
          </w:p>
        </w:tc>
        <w:tc>
          <w:tcPr>
            <w:tcW w:w="480" w:type="dxa"/>
            <w:vAlign w:val="bottom"/>
            <w:vMerge w:val="restart"/>
          </w:tcPr>
          <w:p>
            <w:pPr>
              <w:jc w:val="right"/>
              <w:ind w:right="213"/>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ind w:right="19"/>
              <w:spacing w:after="0"/>
              <w:rPr>
                <w:sz w:val="20"/>
                <w:szCs w:val="20"/>
                <w:color w:val="auto"/>
              </w:rPr>
            </w:pPr>
            <w:r>
              <w:rPr>
                <w:rFonts w:ascii="Arial" w:cs="Arial" w:eastAsia="Arial" w:hAnsi="Arial"/>
                <w:sz w:val="17"/>
                <w:szCs w:val="17"/>
                <w:color w:val="auto"/>
              </w:rPr>
              <w:t>65.99</w:t>
            </w:r>
          </w:p>
        </w:tc>
        <w:tc>
          <w:tcPr>
            <w:tcW w:w="1420" w:type="dxa"/>
            <w:vAlign w:val="bottom"/>
            <w:vMerge w:val="restart"/>
          </w:tcPr>
          <w:p>
            <w:pPr>
              <w:jc w:val="right"/>
              <w:ind w:right="1"/>
              <w:spacing w:after="0"/>
              <w:rPr>
                <w:sz w:val="20"/>
                <w:szCs w:val="20"/>
                <w:color w:val="auto"/>
              </w:rPr>
            </w:pPr>
            <w:r>
              <w:rPr>
                <w:rFonts w:ascii="Arial" w:cs="Arial" w:eastAsia="Arial" w:hAnsi="Arial"/>
                <w:sz w:val="17"/>
                <w:szCs w:val="17"/>
                <w:color w:val="auto"/>
              </w:rPr>
              <w:t>5.3 %</w:t>
            </w:r>
          </w:p>
        </w:tc>
        <w:tc>
          <w:tcPr>
            <w:tcW w:w="340" w:type="dxa"/>
            <w:vAlign w:val="bottom"/>
            <w:vMerge w:val="restart"/>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ind w:right="23"/>
              <w:spacing w:after="0"/>
              <w:rPr>
                <w:sz w:val="20"/>
                <w:szCs w:val="20"/>
                <w:color w:val="auto"/>
              </w:rPr>
            </w:pPr>
            <w:r>
              <w:rPr>
                <w:rFonts w:ascii="Arial" w:cs="Arial" w:eastAsia="Arial" w:hAnsi="Arial"/>
                <w:sz w:val="17"/>
                <w:szCs w:val="17"/>
                <w:color w:val="auto"/>
              </w:rPr>
              <w:t>69.39</w:t>
            </w:r>
          </w:p>
        </w:tc>
        <w:tc>
          <w:tcPr>
            <w:tcW w:w="500" w:type="dxa"/>
            <w:vAlign w:val="bottom"/>
            <w:vMerge w:val="restart"/>
          </w:tcPr>
          <w:p>
            <w:pPr>
              <w:jc w:val="right"/>
              <w:ind w:right="233"/>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ind w:right="39"/>
              <w:spacing w:after="0"/>
              <w:rPr>
                <w:sz w:val="20"/>
                <w:szCs w:val="20"/>
                <w:color w:val="auto"/>
              </w:rPr>
            </w:pPr>
            <w:r>
              <w:rPr>
                <w:rFonts w:ascii="Arial" w:cs="Arial" w:eastAsia="Arial" w:hAnsi="Arial"/>
                <w:sz w:val="17"/>
                <w:szCs w:val="17"/>
                <w:color w:val="auto"/>
              </w:rPr>
              <w:t>64.62</w:t>
            </w: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7.4 %</w:t>
            </w:r>
          </w:p>
        </w:tc>
        <w:tc>
          <w:tcPr>
            <w:tcW w:w="0" w:type="dxa"/>
            <w:vAlign w:val="bottom"/>
          </w:tcPr>
          <w:p>
            <w:pPr>
              <w:spacing w:after="0"/>
              <w:rPr>
                <w:sz w:val="1"/>
                <w:szCs w:val="1"/>
                <w:color w:val="auto"/>
              </w:rPr>
            </w:pPr>
          </w:p>
        </w:tc>
      </w:tr>
      <w:tr>
        <w:trPr>
          <w:trHeight w:val="222"/>
        </w:trPr>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customer relationship</w:t>
            </w:r>
          </w:p>
        </w:tc>
        <w:tc>
          <w:tcPr>
            <w:tcW w:w="2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broadband, video and voice services is also impacted by changes in the allocation of revenue among services sold in a bundle, the allocation does not impact average monthly total revenue per customer relationship.</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our services has a different contribution to operating margin and we also use average monthly Adjusted EBITDA per customer relationship to evaluate the profitability of our customer base across our service offerings. We believe these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Broadband</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increased for the three and nine months ended September 30, 2021 compared to the same periods in 2020 due to increases in the number of residential broadband customers and increases in average rates. Average rates in the second and third quarter of 2020 were negatively impacted by customer adjustments and waived fees due to COVID-19. Refer to “Video” below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Video</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Revenue increased for the three and nine months ended September 30, 2021 compared to the same periods in 2020 due to increases in average rates, partially offset by declines in the number of residential video customers. Average rates in the second and third quarters of 2020 were negatively impacted by customer adjustments accrued as a result of provisions in our programming distribution agreements with regional sports networks related to canceled sporting events. For customers receiving bundled services, the revenue reduction was allocated across each of the services in the bundle. We expect that the number of residential video customers will continue to decline, negatively impacting video revenue as a result of the competitive environment and shifting video consumption patterns.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Voice</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decreased for the three and nine months ended September 30, 2021 compared to the same periods in 2020 primarily due to declines in the number of residential voice customers, partially offset by increases in average rates. We expect that the number of residential voice customers and voice revenue will continue to decline.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Wireless</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increased for the three and nine months ended September 30, 2021 compared to the same periods in 2020 primarily due to increases in the number of customer lines and devices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Services</w:t>
      </w:r>
    </w:p>
    <w:p>
      <w:pPr>
        <w:spacing w:after="0" w:line="75"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Revenue increased for the three and nine months ended September 30, 2021 compared to the same periods in 2020 primarily due to increases in average rates compared to the prior year periods and increases in the number of customers receiving our services, which were negatively impacted by COVID-19.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increased for the three and nine months ended September 30, 2021 compared to the same periods in 2020 reflecting an overall market recovery in the current year periods and increases in revenue from our advanced advertising business, partially offset by decreases in political advertising compared to the prior year periods.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increased for the three and nine months ended September 30, 2021 compared to the same periods in 2020 due to increases in revenue from our security and automation services and from licensing of our technology platforms.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Operating Costs and Expenses</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Programming expenses increased for the three and nine months ended September 30, 2021 compared to the same periods in 2020. The prior year periods include the impacts of adjustment provisions in our programming distribution agreements with regional sports networks related to canceled sporting events as a result of COVID-19. Excluding these adjustments, programming expenses increased due to increases in retransmission consent and sports programming rates, partially offset by declines in the number of video subscribers.</w:t>
      </w:r>
    </w:p>
    <w:p>
      <w:pPr>
        <w:spacing w:after="0" w:line="73"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Technical and product support expenses increased for the three and nine months ended September 30, 2021 compared to the same periods in 2020 primarily due to increased costs associated with our wireless phone service from increases in the sale of devices and the number of customers receiving this service.</w:t>
      </w:r>
    </w:p>
    <w:p>
      <w:pPr>
        <w:spacing w:after="0" w:line="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Customer service expenses decreased for the three and nine months ended September 30, 2021 compared to the same periods in 2020 primarily due to lower labor costs as a result of reduced call volumes.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Advertising, marketing and promotion expenses increased for the three and nine months ended September 30, 2021 compared to the same periods in 2020 primarily due to increased spending associated with attracting new customers and promoting our service offerings, including advertising expenses associated with the Tokyo Olympics as well as decreased spending as a result of COVID-19 in the prior year periods.</w:t>
      </w:r>
    </w:p>
    <w:p>
      <w:pPr>
        <w:spacing w:after="0" w:line="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Franchise and other regulatory fees increased for the three and nine months ended September 30, 2021 compared to the same periods in 2020 primarily due to increases in regulatory costs.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Other operating costs and expenses decreased for the three and nine months ended September 30, 2021 compared to the same periods in 2020 primarily due to decreases in bad debt expense, partially offset by higher third-party advertising costs for the nine month period.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Operating Margin</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operating margin is Adjusted EBITDA as a percentage of revenue. We believe this metric is useful particularly as we continue to focus on growing our higher-margin businesses and improving overall operating cost management.</w:t>
      </w:r>
    </w:p>
    <w:p>
      <w:pPr>
        <w:spacing w:after="0" w:line="4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operating margin for the three and nine months ended September 30, 2021 was 43.9% and 43.8%, respectively. Our operating margin for the three and nine months ended September 30, 2020 was 42.7% and 42.1%, respectively. While the accrued adjustments for regional sports networks did not impact Adjusted EBITDA, they resulted in an increase to operating margins in the prior year periods. The most significant operating costs and expenses are the programming expenses we incur to provide content to our video customers, which increased 7.6% and 8.3% for the three and nine months ended September 30, 2021, respectively, compared to the same periods in 2020.</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NBCUniversal Segments Results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3"/>
          </w:tcPr>
          <w:p>
            <w:pPr>
              <w:jc w:val="right"/>
              <w:ind w:right="794"/>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76"/>
              <w:spacing w:after="0"/>
              <w:rPr>
                <w:sz w:val="20"/>
                <w:szCs w:val="20"/>
                <w:color w:val="auto"/>
              </w:rPr>
            </w:pPr>
            <w:r>
              <w:rPr>
                <w:rFonts w:ascii="Arial" w:cs="Arial" w:eastAsia="Arial" w:hAnsi="Arial"/>
                <w:sz w:val="14"/>
                <w:szCs w:val="14"/>
                <w:color w:val="auto"/>
                <w:w w:val="86"/>
              </w:rPr>
              <w:t>Increase/</w:t>
            </w:r>
          </w:p>
        </w:tc>
        <w:tc>
          <w:tcPr>
            <w:tcW w:w="340" w:type="dxa"/>
            <w:vAlign w:val="bottom"/>
          </w:tcPr>
          <w:p>
            <w:pPr>
              <w:spacing w:after="0"/>
              <w:rPr>
                <w:sz w:val="14"/>
                <w:szCs w:val="14"/>
                <w:color w:val="auto"/>
              </w:rPr>
            </w:pPr>
          </w:p>
        </w:tc>
        <w:tc>
          <w:tcPr>
            <w:tcW w:w="2460" w:type="dxa"/>
            <w:vAlign w:val="bottom"/>
            <w:gridSpan w:val="3"/>
          </w:tcPr>
          <w:p>
            <w:pPr>
              <w:jc w:val="right"/>
              <w:ind w:right="854"/>
              <w:spacing w:after="0"/>
              <w:rPr>
                <w:sz w:val="20"/>
                <w:szCs w:val="20"/>
                <w:color w:val="auto"/>
              </w:rPr>
            </w:pPr>
            <w:r>
              <w:rPr>
                <w:rFonts w:ascii="Arial" w:cs="Arial" w:eastAsia="Arial" w:hAnsi="Arial"/>
                <w:sz w:val="14"/>
                <w:szCs w:val="14"/>
                <w:color w:val="auto"/>
              </w:rPr>
              <w:t>Nine Months Ended</w:t>
            </w:r>
          </w:p>
        </w:tc>
        <w:tc>
          <w:tcPr>
            <w:tcW w:w="1240" w:type="dxa"/>
            <w:vAlign w:val="bottom"/>
          </w:tcPr>
          <w:p>
            <w:pPr>
              <w:jc w:val="center"/>
              <w:ind w:right="56"/>
              <w:spacing w:after="0"/>
              <w:rPr>
                <w:sz w:val="20"/>
                <w:szCs w:val="20"/>
                <w:color w:val="auto"/>
              </w:rPr>
            </w:pPr>
            <w:r>
              <w:rPr>
                <w:rFonts w:ascii="Arial" w:cs="Arial" w:eastAsia="Arial" w:hAnsi="Arial"/>
                <w:sz w:val="14"/>
                <w:szCs w:val="14"/>
                <w:color w:val="auto"/>
                <w:w w:val="86"/>
              </w:rPr>
              <w:t>Increase/</w:t>
            </w:r>
          </w:p>
        </w:tc>
      </w:tr>
      <w:tr>
        <w:trPr>
          <w:trHeight w:val="178"/>
        </w:trPr>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86"/>
              </w:rPr>
              <w:t>(Decrease)</w:t>
            </w: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6"/>
              </w:rPr>
              <w:t>(Decrease)</w:t>
            </w:r>
          </w:p>
        </w:tc>
      </w:tr>
      <w:tr>
        <w:trPr>
          <w:trHeight w:val="17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2020</w:t>
            </w:r>
          </w:p>
        </w:tc>
        <w:tc>
          <w:tcPr>
            <w:tcW w:w="12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96"/>
              </w:rPr>
              <w:t>%</w:t>
            </w:r>
          </w:p>
        </w:tc>
      </w:tr>
      <w:tr>
        <w:trPr>
          <w:trHeight w:val="219"/>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2"/>
        </w:trPr>
        <w:tc>
          <w:tcPr>
            <w:tcW w:w="3180" w:type="dxa"/>
            <w:vAlign w:val="bottom"/>
          </w:tcPr>
          <w:p>
            <w:pPr>
              <w:ind w:left="340"/>
              <w:spacing w:after="0"/>
              <w:rPr>
                <w:sz w:val="20"/>
                <w:szCs w:val="20"/>
                <w:color w:val="auto"/>
              </w:rPr>
            </w:pPr>
            <w:r>
              <w:rPr>
                <w:rFonts w:ascii="Arial" w:cs="Arial" w:eastAsia="Arial" w:hAnsi="Arial"/>
                <w:sz w:val="17"/>
                <w:szCs w:val="17"/>
                <w:color w:val="auto"/>
              </w:rPr>
              <w:t>Media</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6,770</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4,589</w:t>
            </w:r>
          </w:p>
        </w:tc>
        <w:tc>
          <w:tcPr>
            <w:tcW w:w="1300" w:type="dxa"/>
            <w:vAlign w:val="bottom"/>
          </w:tcPr>
          <w:p>
            <w:pPr>
              <w:jc w:val="right"/>
              <w:spacing w:after="0"/>
              <w:rPr>
                <w:sz w:val="20"/>
                <w:szCs w:val="20"/>
                <w:color w:val="auto"/>
              </w:rPr>
            </w:pPr>
            <w:r>
              <w:rPr>
                <w:rFonts w:ascii="Arial" w:cs="Arial" w:eastAsia="Arial" w:hAnsi="Arial"/>
                <w:sz w:val="17"/>
                <w:szCs w:val="17"/>
                <w:color w:val="auto"/>
              </w:rPr>
              <w:t>47.5 %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16,955</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13,563</w:t>
            </w:r>
          </w:p>
        </w:tc>
        <w:tc>
          <w:tcPr>
            <w:tcW w:w="1240" w:type="dxa"/>
            <w:vAlign w:val="bottom"/>
          </w:tcPr>
          <w:p>
            <w:pPr>
              <w:jc w:val="right"/>
              <w:spacing w:after="0"/>
              <w:rPr>
                <w:sz w:val="20"/>
                <w:szCs w:val="20"/>
                <w:color w:val="auto"/>
              </w:rPr>
            </w:pPr>
            <w:r>
              <w:rPr>
                <w:rFonts w:ascii="Arial" w:cs="Arial" w:eastAsia="Arial" w:hAnsi="Arial"/>
                <w:sz w:val="17"/>
                <w:szCs w:val="17"/>
                <w:color w:val="auto"/>
              </w:rPr>
              <w:t>25.0 %</w:t>
            </w: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Studios</w:t>
            </w: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2,407</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1,898</w:t>
            </w:r>
          </w:p>
        </w:tc>
        <w:tc>
          <w:tcPr>
            <w:tcW w:w="1300" w:type="dxa"/>
            <w:vAlign w:val="bottom"/>
          </w:tcPr>
          <w:p>
            <w:pPr>
              <w:jc w:val="right"/>
              <w:ind w:right="216"/>
              <w:spacing w:after="0"/>
              <w:rPr>
                <w:sz w:val="20"/>
                <w:szCs w:val="20"/>
                <w:color w:val="auto"/>
              </w:rPr>
            </w:pPr>
            <w:r>
              <w:rPr>
                <w:rFonts w:ascii="Arial" w:cs="Arial" w:eastAsia="Arial" w:hAnsi="Arial"/>
                <w:sz w:val="17"/>
                <w:szCs w:val="17"/>
                <w:color w:val="auto"/>
              </w:rPr>
              <w:t>26.8</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7,027</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6,359</w:t>
            </w:r>
          </w:p>
        </w:tc>
        <w:tc>
          <w:tcPr>
            <w:tcW w:w="1240" w:type="dxa"/>
            <w:vAlign w:val="bottom"/>
          </w:tcPr>
          <w:p>
            <w:pPr>
              <w:jc w:val="right"/>
              <w:ind w:right="156"/>
              <w:spacing w:after="0"/>
              <w:rPr>
                <w:sz w:val="20"/>
                <w:szCs w:val="20"/>
                <w:color w:val="auto"/>
              </w:rPr>
            </w:pPr>
            <w:r>
              <w:rPr>
                <w:rFonts w:ascii="Arial" w:cs="Arial" w:eastAsia="Arial" w:hAnsi="Arial"/>
                <w:sz w:val="17"/>
                <w:szCs w:val="17"/>
                <w:color w:val="auto"/>
              </w:rPr>
              <w:t>10.5</w:t>
            </w: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Theme Parks</w:t>
            </w: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1,449</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385</w:t>
            </w:r>
          </w:p>
        </w:tc>
        <w:tc>
          <w:tcPr>
            <w:tcW w:w="1300" w:type="dxa"/>
            <w:vAlign w:val="bottom"/>
          </w:tcPr>
          <w:p>
            <w:pPr>
              <w:jc w:val="right"/>
              <w:spacing w:after="0"/>
              <w:rPr>
                <w:sz w:val="20"/>
                <w:szCs w:val="20"/>
                <w:color w:val="auto"/>
              </w:rPr>
            </w:pPr>
            <w:r>
              <w:rPr>
                <w:rFonts w:ascii="Arial" w:cs="Arial" w:eastAsia="Arial" w:hAnsi="Arial"/>
                <w:sz w:val="17"/>
                <w:szCs w:val="17"/>
                <w:color w:val="auto"/>
              </w:rPr>
              <w:t>NM</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3,163</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1,446</w:t>
            </w:r>
          </w:p>
        </w:tc>
        <w:tc>
          <w:tcPr>
            <w:tcW w:w="1240" w:type="dxa"/>
            <w:vAlign w:val="bottom"/>
          </w:tcPr>
          <w:p>
            <w:pPr>
              <w:jc w:val="right"/>
              <w:ind w:right="156"/>
              <w:spacing w:after="0"/>
              <w:rPr>
                <w:sz w:val="20"/>
                <w:szCs w:val="20"/>
                <w:color w:val="auto"/>
              </w:rPr>
            </w:pPr>
            <w:r>
              <w:rPr>
                <w:rFonts w:ascii="Arial" w:cs="Arial" w:eastAsia="Arial" w:hAnsi="Arial"/>
                <w:sz w:val="17"/>
                <w:szCs w:val="17"/>
                <w:color w:val="auto"/>
              </w:rPr>
              <w:t>118.8</w:t>
            </w: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Headquarters and Other</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28</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12</w:t>
            </w:r>
          </w:p>
        </w:tc>
        <w:tc>
          <w:tcPr>
            <w:tcW w:w="1300" w:type="dxa"/>
            <w:vAlign w:val="bottom"/>
          </w:tcPr>
          <w:p>
            <w:pPr>
              <w:jc w:val="right"/>
              <w:ind w:right="216"/>
              <w:spacing w:after="0"/>
              <w:rPr>
                <w:sz w:val="20"/>
                <w:szCs w:val="20"/>
                <w:color w:val="auto"/>
              </w:rPr>
            </w:pPr>
            <w:r>
              <w:rPr>
                <w:rFonts w:ascii="Arial" w:cs="Arial" w:eastAsia="Arial" w:hAnsi="Arial"/>
                <w:sz w:val="17"/>
                <w:szCs w:val="17"/>
                <w:color w:val="auto"/>
              </w:rPr>
              <w:t>121.4</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65</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32</w:t>
            </w:r>
          </w:p>
        </w:tc>
        <w:tc>
          <w:tcPr>
            <w:tcW w:w="1240" w:type="dxa"/>
            <w:vAlign w:val="bottom"/>
          </w:tcPr>
          <w:p>
            <w:pPr>
              <w:jc w:val="right"/>
              <w:ind w:right="156"/>
              <w:spacing w:after="0"/>
              <w:rPr>
                <w:sz w:val="20"/>
                <w:szCs w:val="20"/>
                <w:color w:val="auto"/>
              </w:rPr>
            </w:pPr>
            <w:r>
              <w:rPr>
                <w:rFonts w:ascii="Arial" w:cs="Arial" w:eastAsia="Arial" w:hAnsi="Arial"/>
                <w:sz w:val="17"/>
                <w:szCs w:val="17"/>
                <w:color w:val="auto"/>
              </w:rPr>
              <w:t>103.7</w:t>
            </w:r>
          </w:p>
        </w:tc>
      </w:tr>
      <w:tr>
        <w:trPr>
          <w:trHeight w:val="223"/>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Eliminations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(551)</w:t>
            </w:r>
          </w:p>
        </w:tc>
        <w:tc>
          <w:tcPr>
            <w:tcW w:w="13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(18.4)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(2,230)</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(1,623)</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(37.3)</w:t>
            </w:r>
          </w:p>
        </w:tc>
      </w:tr>
      <w:tr>
        <w:trPr>
          <w:trHeight w:val="22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10,001</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6,333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57.9 %</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24,981</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19,777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26.3 %</w:t>
            </w:r>
          </w:p>
        </w:tc>
      </w:tr>
      <w:tr>
        <w:trPr>
          <w:trHeight w:val="223"/>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2"/>
        </w:trPr>
        <w:tc>
          <w:tcPr>
            <w:tcW w:w="3180" w:type="dxa"/>
            <w:vAlign w:val="bottom"/>
          </w:tcPr>
          <w:p>
            <w:pPr>
              <w:ind w:left="340"/>
              <w:spacing w:after="0"/>
              <w:rPr>
                <w:sz w:val="20"/>
                <w:szCs w:val="20"/>
                <w:color w:val="auto"/>
              </w:rPr>
            </w:pPr>
            <w:r>
              <w:rPr>
                <w:rFonts w:ascii="Arial" w:cs="Arial" w:eastAsia="Arial" w:hAnsi="Arial"/>
                <w:sz w:val="17"/>
                <w:szCs w:val="17"/>
                <w:color w:val="auto"/>
              </w:rPr>
              <w:t>Media</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997</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985</w:t>
            </w:r>
          </w:p>
        </w:tc>
        <w:tc>
          <w:tcPr>
            <w:tcW w:w="1300" w:type="dxa"/>
            <w:vAlign w:val="bottom"/>
          </w:tcPr>
          <w:p>
            <w:pPr>
              <w:jc w:val="right"/>
              <w:spacing w:after="0"/>
              <w:rPr>
                <w:sz w:val="20"/>
                <w:szCs w:val="20"/>
                <w:color w:val="auto"/>
              </w:rPr>
            </w:pPr>
            <w:r>
              <w:rPr>
                <w:rFonts w:ascii="Arial" w:cs="Arial" w:eastAsia="Arial" w:hAnsi="Arial"/>
                <w:sz w:val="17"/>
                <w:szCs w:val="17"/>
                <w:color w:val="auto"/>
              </w:rPr>
              <w:t>1.2 %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3,847</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4,150</w:t>
            </w:r>
          </w:p>
        </w:tc>
        <w:tc>
          <w:tcPr>
            <w:tcW w:w="1240" w:type="dxa"/>
            <w:vAlign w:val="bottom"/>
          </w:tcPr>
          <w:p>
            <w:pPr>
              <w:jc w:val="right"/>
              <w:spacing w:after="0"/>
              <w:rPr>
                <w:sz w:val="20"/>
                <w:szCs w:val="20"/>
                <w:color w:val="auto"/>
              </w:rPr>
            </w:pPr>
            <w:r>
              <w:rPr>
                <w:rFonts w:ascii="Arial" w:cs="Arial" w:eastAsia="Arial" w:hAnsi="Arial"/>
                <w:sz w:val="17"/>
                <w:szCs w:val="17"/>
                <w:color w:val="auto"/>
              </w:rPr>
              <w:t>(7.3) %</w:t>
            </w: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Studios</w:t>
            </w: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179</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340</w:t>
            </w:r>
          </w:p>
        </w:tc>
        <w:tc>
          <w:tcPr>
            <w:tcW w:w="1300" w:type="dxa"/>
            <w:vAlign w:val="bottom"/>
          </w:tcPr>
          <w:p>
            <w:pPr>
              <w:jc w:val="right"/>
              <w:ind w:right="176"/>
              <w:spacing w:after="0"/>
              <w:rPr>
                <w:sz w:val="20"/>
                <w:szCs w:val="20"/>
                <w:color w:val="auto"/>
              </w:rPr>
            </w:pPr>
            <w:r>
              <w:rPr>
                <w:rFonts w:ascii="Arial" w:cs="Arial" w:eastAsia="Arial" w:hAnsi="Arial"/>
                <w:sz w:val="17"/>
                <w:szCs w:val="17"/>
                <w:color w:val="auto"/>
              </w:rPr>
              <w:t>(47.3)</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833</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Arial" w:cs="Arial" w:eastAsia="Arial" w:hAnsi="Arial"/>
                <w:sz w:val="17"/>
                <w:szCs w:val="17"/>
                <w:color w:val="auto"/>
              </w:rPr>
              <w:t>963</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(13.6)</w:t>
            </w: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Theme Parks</w:t>
            </w:r>
          </w:p>
        </w:tc>
        <w:tc>
          <w:tcPr>
            <w:tcW w:w="2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434</w:t>
            </w:r>
          </w:p>
        </w:tc>
        <w:tc>
          <w:tcPr>
            <w:tcW w:w="46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(174)</w:t>
            </w:r>
          </w:p>
        </w:tc>
        <w:tc>
          <w:tcPr>
            <w:tcW w:w="1300" w:type="dxa"/>
            <w:vAlign w:val="bottom"/>
          </w:tcPr>
          <w:p>
            <w:pPr>
              <w:jc w:val="right"/>
              <w:spacing w:after="0"/>
              <w:rPr>
                <w:sz w:val="20"/>
                <w:szCs w:val="20"/>
                <w:color w:val="auto"/>
              </w:rPr>
            </w:pPr>
            <w:r>
              <w:rPr>
                <w:rFonts w:ascii="Arial" w:cs="Arial" w:eastAsia="Arial" w:hAnsi="Arial"/>
                <w:sz w:val="17"/>
                <w:szCs w:val="17"/>
                <w:color w:val="auto"/>
              </w:rPr>
              <w:t>NM</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593</w:t>
            </w:r>
          </w:p>
        </w:tc>
        <w:tc>
          <w:tcPr>
            <w:tcW w:w="46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(480)</w:t>
            </w:r>
          </w:p>
        </w:tc>
        <w:tc>
          <w:tcPr>
            <w:tcW w:w="124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Headquarters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(248)</w:t>
            </w:r>
          </w:p>
        </w:tc>
        <w:tc>
          <w:tcPr>
            <w:tcW w:w="46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(127)</w:t>
            </w:r>
          </w:p>
        </w:tc>
        <w:tc>
          <w:tcPr>
            <w:tcW w:w="1300" w:type="dxa"/>
            <w:vAlign w:val="bottom"/>
          </w:tcPr>
          <w:p>
            <w:pPr>
              <w:jc w:val="right"/>
              <w:ind w:right="176"/>
              <w:spacing w:after="0"/>
              <w:rPr>
                <w:sz w:val="20"/>
                <w:szCs w:val="20"/>
                <w:color w:val="auto"/>
              </w:rPr>
            </w:pPr>
            <w:r>
              <w:rPr>
                <w:rFonts w:ascii="Arial" w:cs="Arial" w:eastAsia="Arial" w:hAnsi="Arial"/>
                <w:sz w:val="17"/>
                <w:szCs w:val="17"/>
                <w:color w:val="auto"/>
              </w:rPr>
              <w:t>(95.1)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(643)</w:t>
            </w:r>
          </w:p>
        </w:tc>
        <w:tc>
          <w:tcPr>
            <w:tcW w:w="46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(430)</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(49.4)</w:t>
            </w:r>
          </w:p>
        </w:tc>
      </w:tr>
      <w:tr>
        <w:trPr>
          <w:trHeight w:val="223"/>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Eliminations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(114)</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88.9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(224)</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(6.7)</w:t>
            </w:r>
          </w:p>
        </w:tc>
      </w:tr>
      <w:tr>
        <w:trPr>
          <w:trHeight w:val="22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Adjusted EBITDA</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1,349</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910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48.2 %</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4,392</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3,979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10.4 %</w:t>
            </w: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Media Segment Results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3"/>
          </w:tcPr>
          <w:p>
            <w:pPr>
              <w:jc w:val="right"/>
              <w:ind w:right="834"/>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jc w:val="center"/>
              <w:spacing w:after="0"/>
              <w:rPr>
                <w:sz w:val="20"/>
                <w:szCs w:val="20"/>
                <w:color w:val="auto"/>
              </w:rPr>
            </w:pPr>
            <w:r>
              <w:rPr>
                <w:rFonts w:ascii="Arial" w:cs="Arial" w:eastAsia="Arial" w:hAnsi="Arial"/>
                <w:sz w:val="14"/>
                <w:szCs w:val="14"/>
                <w:color w:val="auto"/>
                <w:w w:val="86"/>
              </w:rPr>
              <w:t>Increase/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ind w:right="814"/>
              <w:spacing w:after="0"/>
              <w:rPr>
                <w:sz w:val="20"/>
                <w:szCs w:val="20"/>
                <w:color w:val="auto"/>
              </w:rPr>
            </w:pPr>
            <w:r>
              <w:rPr>
                <w:rFonts w:ascii="Arial" w:cs="Arial" w:eastAsia="Arial" w:hAnsi="Arial"/>
                <w:sz w:val="14"/>
                <w:szCs w:val="14"/>
                <w:color w:val="auto"/>
              </w:rPr>
              <w:t>Nine Months Ended</w:t>
            </w:r>
          </w:p>
        </w:tc>
        <w:tc>
          <w:tcPr>
            <w:tcW w:w="1060" w:type="dxa"/>
            <w:vAlign w:val="bottom"/>
          </w:tcPr>
          <w:p>
            <w:pPr>
              <w:jc w:val="center"/>
              <w:spacing w:after="0"/>
              <w:rPr>
                <w:sz w:val="20"/>
                <w:szCs w:val="20"/>
                <w:color w:val="auto"/>
              </w:rPr>
            </w:pPr>
            <w:r>
              <w:rPr>
                <w:rFonts w:ascii="Arial" w:cs="Arial" w:eastAsia="Arial" w:hAnsi="Arial"/>
                <w:sz w:val="14"/>
                <w:szCs w:val="14"/>
                <w:color w:val="auto"/>
                <w:w w:val="86"/>
              </w:rPr>
              <w:t>Increase/</w:t>
            </w:r>
          </w:p>
        </w:tc>
        <w:tc>
          <w:tcPr>
            <w:tcW w:w="200" w:type="dxa"/>
            <w:vAlign w:val="bottom"/>
          </w:tcPr>
          <w:p>
            <w:pPr>
              <w:spacing w:after="0"/>
              <w:rPr>
                <w:sz w:val="14"/>
                <w:szCs w:val="14"/>
                <w:color w:val="auto"/>
              </w:rPr>
            </w:pPr>
          </w:p>
        </w:tc>
      </w:tr>
      <w:tr>
        <w:trPr>
          <w:trHeight w:val="178"/>
        </w:trPr>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color w:val="auto"/>
                <w:w w:val="86"/>
              </w:rPr>
              <w:t>(Decrease)</w:t>
            </w:r>
          </w:p>
        </w:tc>
        <w:tc>
          <w:tcPr>
            <w:tcW w:w="200" w:type="dxa"/>
            <w:vAlign w:val="bottom"/>
            <w:tcBorders>
              <w:bottom w:val="single" w:sz="8" w:color="auto"/>
            </w:tcBorders>
          </w:tcPr>
          <w:p>
            <w:pPr>
              <w:spacing w:after="0"/>
              <w:rPr>
                <w:sz w:val="15"/>
                <w:szCs w:val="15"/>
                <w:color w:val="auto"/>
              </w:rPr>
            </w:pPr>
          </w:p>
        </w:tc>
      </w:tr>
      <w:tr>
        <w:trPr>
          <w:trHeight w:val="179"/>
        </w:trPr>
        <w:tc>
          <w:tcPr>
            <w:tcW w:w="31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9"/>
              </w:rPr>
              <w:t>%</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auto"/>
            </w:tcBorders>
          </w:tcPr>
          <w:p>
            <w:pPr>
              <w:spacing w:after="0"/>
              <w:rPr>
                <w:sz w:val="15"/>
                <w:szCs w:val="15"/>
                <w:color w:val="auto"/>
              </w:rPr>
            </w:pPr>
          </w:p>
        </w:tc>
      </w:tr>
      <w:tr>
        <w:trPr>
          <w:trHeight w:val="219"/>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3180" w:type="dxa"/>
            <w:vAlign w:val="bottom"/>
          </w:tcPr>
          <w:p>
            <w:pPr>
              <w:ind w:left="340"/>
              <w:spacing w:after="0"/>
              <w:rPr>
                <w:sz w:val="20"/>
                <w:szCs w:val="20"/>
                <w:color w:val="auto"/>
              </w:rPr>
            </w:pPr>
            <w:r>
              <w:rPr>
                <w:rFonts w:ascii="Arial" w:cs="Arial" w:eastAsia="Arial" w:hAnsi="Arial"/>
                <w:sz w:val="17"/>
                <w:szCs w:val="17"/>
                <w:color w:val="auto"/>
              </w:rPr>
              <w:t>Advertising</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3,255</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1,881</w:t>
            </w:r>
          </w:p>
        </w:tc>
        <w:tc>
          <w:tcPr>
            <w:tcW w:w="1020" w:type="dxa"/>
            <w:vAlign w:val="bottom"/>
          </w:tcPr>
          <w:p>
            <w:pPr>
              <w:jc w:val="right"/>
              <w:spacing w:after="0"/>
              <w:rPr>
                <w:sz w:val="20"/>
                <w:szCs w:val="20"/>
                <w:color w:val="auto"/>
              </w:rPr>
            </w:pPr>
            <w:r>
              <w:rPr>
                <w:rFonts w:ascii="Arial" w:cs="Arial" w:eastAsia="Arial" w:hAnsi="Arial"/>
                <w:sz w:val="17"/>
                <w:szCs w:val="17"/>
                <w:color w:val="auto"/>
              </w:rPr>
              <w:t>73.0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7,537</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5,696</w:t>
            </w:r>
          </w:p>
        </w:tc>
        <w:tc>
          <w:tcPr>
            <w:tcW w:w="1060" w:type="dxa"/>
            <w:vAlign w:val="bottom"/>
          </w:tcPr>
          <w:p>
            <w:pPr>
              <w:jc w:val="right"/>
              <w:spacing w:after="0"/>
              <w:rPr>
                <w:sz w:val="20"/>
                <w:szCs w:val="20"/>
                <w:color w:val="auto"/>
              </w:rPr>
            </w:pPr>
            <w:r>
              <w:rPr>
                <w:rFonts w:ascii="Arial" w:cs="Arial" w:eastAsia="Arial" w:hAnsi="Arial"/>
                <w:sz w:val="17"/>
                <w:szCs w:val="17"/>
                <w:color w:val="auto"/>
              </w:rPr>
              <w:t>32.3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Distribution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2,987</w:t>
            </w:r>
          </w:p>
        </w:tc>
        <w:tc>
          <w:tcPr>
            <w:tcW w:w="48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2,194</w:t>
            </w:r>
          </w:p>
        </w:tc>
        <w:tc>
          <w:tcPr>
            <w:tcW w:w="1020" w:type="dxa"/>
            <w:vAlign w:val="bottom"/>
          </w:tcPr>
          <w:p>
            <w:pPr>
              <w:jc w:val="right"/>
              <w:spacing w:after="0"/>
              <w:rPr>
                <w:sz w:val="20"/>
                <w:szCs w:val="20"/>
                <w:color w:val="auto"/>
              </w:rPr>
            </w:pPr>
            <w:r>
              <w:rPr>
                <w:rFonts w:ascii="Arial" w:cs="Arial" w:eastAsia="Arial" w:hAnsi="Arial"/>
                <w:sz w:val="17"/>
                <w:szCs w:val="17"/>
                <w:color w:val="auto"/>
              </w:rPr>
              <w:t>36.2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7,934</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6,541</w:t>
            </w:r>
          </w:p>
        </w:tc>
        <w:tc>
          <w:tcPr>
            <w:tcW w:w="1060" w:type="dxa"/>
            <w:vAlign w:val="bottom"/>
          </w:tcPr>
          <w:p>
            <w:pPr>
              <w:jc w:val="right"/>
              <w:spacing w:after="0"/>
              <w:rPr>
                <w:sz w:val="20"/>
                <w:szCs w:val="20"/>
                <w:color w:val="auto"/>
              </w:rPr>
            </w:pPr>
            <w:r>
              <w:rPr>
                <w:rFonts w:ascii="Arial" w:cs="Arial" w:eastAsia="Arial" w:hAnsi="Arial"/>
                <w:sz w:val="17"/>
                <w:szCs w:val="17"/>
                <w:color w:val="auto"/>
              </w:rPr>
              <w:t>21.3</w:t>
            </w:r>
          </w:p>
        </w:tc>
        <w:tc>
          <w:tcPr>
            <w:tcW w:w="200" w:type="dxa"/>
            <w:vAlign w:val="bottom"/>
          </w:tcPr>
          <w:p>
            <w:pPr>
              <w:spacing w:after="0"/>
              <w:rPr>
                <w:sz w:val="19"/>
                <w:szCs w:val="19"/>
                <w:color w:val="auto"/>
              </w:rPr>
            </w:pPr>
          </w:p>
        </w:tc>
      </w:tr>
      <w:tr>
        <w:trPr>
          <w:trHeight w:val="223"/>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514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1,483</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1,326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200" w:type="dxa"/>
            <w:vAlign w:val="bottom"/>
            <w:tcBorders>
              <w:bottom w:val="single" w:sz="8" w:color="auto"/>
            </w:tcBorders>
          </w:tcPr>
          <w:p>
            <w:pPr>
              <w:spacing w:after="0"/>
              <w:rPr>
                <w:sz w:val="19"/>
                <w:szCs w:val="19"/>
                <w:color w:val="auto"/>
              </w:rPr>
            </w:pPr>
          </w:p>
        </w:tc>
      </w:tr>
      <w:tr>
        <w:trPr>
          <w:trHeight w:val="211"/>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6,770</w:t>
            </w:r>
          </w:p>
        </w:tc>
        <w:tc>
          <w:tcPr>
            <w:tcW w:w="480" w:type="dxa"/>
            <w:vAlign w:val="bottom"/>
          </w:tcPr>
          <w:p>
            <w:pPr>
              <w:spacing w:after="0"/>
              <w:rPr>
                <w:sz w:val="18"/>
                <w:szCs w:val="18"/>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b w:val="1"/>
                <w:bCs w:val="1"/>
                <w:color w:val="auto"/>
              </w:rPr>
              <w:t>4,589</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47.5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16,955</w:t>
            </w:r>
          </w:p>
        </w:tc>
        <w:tc>
          <w:tcPr>
            <w:tcW w:w="4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b w:val="1"/>
                <w:bCs w:val="1"/>
                <w:color w:val="auto"/>
              </w:rPr>
              <w:t>13,563</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25.0</w:t>
            </w:r>
          </w:p>
        </w:tc>
        <w:tc>
          <w:tcPr>
            <w:tcW w:w="200" w:type="dxa"/>
            <w:vAlign w:val="bottom"/>
          </w:tcPr>
          <w:p>
            <w:pPr>
              <w:spacing w:after="0"/>
              <w:rPr>
                <w:sz w:val="18"/>
                <w:szCs w:val="18"/>
                <w:color w:val="auto"/>
              </w:rPr>
            </w:pPr>
          </w:p>
        </w:tc>
      </w:tr>
      <w:tr>
        <w:trPr>
          <w:trHeight w:val="228"/>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4,475</w:t>
            </w:r>
          </w:p>
        </w:tc>
        <w:tc>
          <w:tcPr>
            <w:tcW w:w="48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2,604</w:t>
            </w:r>
          </w:p>
        </w:tc>
        <w:tc>
          <w:tcPr>
            <w:tcW w:w="1020" w:type="dxa"/>
            <w:vAlign w:val="bottom"/>
          </w:tcPr>
          <w:p>
            <w:pPr>
              <w:jc w:val="right"/>
              <w:spacing w:after="0"/>
              <w:rPr>
                <w:sz w:val="20"/>
                <w:szCs w:val="20"/>
                <w:color w:val="auto"/>
              </w:rPr>
            </w:pPr>
            <w:r>
              <w:rPr>
                <w:rFonts w:ascii="Arial" w:cs="Arial" w:eastAsia="Arial" w:hAnsi="Arial"/>
                <w:sz w:val="17"/>
                <w:szCs w:val="17"/>
                <w:color w:val="auto"/>
              </w:rPr>
              <w:t>71.8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9,676</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6,461</w:t>
            </w:r>
          </w:p>
        </w:tc>
        <w:tc>
          <w:tcPr>
            <w:tcW w:w="1060" w:type="dxa"/>
            <w:vAlign w:val="bottom"/>
          </w:tcPr>
          <w:p>
            <w:pPr>
              <w:jc w:val="right"/>
              <w:spacing w:after="0"/>
              <w:rPr>
                <w:sz w:val="20"/>
                <w:szCs w:val="20"/>
                <w:color w:val="auto"/>
              </w:rPr>
            </w:pPr>
            <w:r>
              <w:rPr>
                <w:rFonts w:ascii="Arial" w:cs="Arial" w:eastAsia="Arial" w:hAnsi="Arial"/>
                <w:sz w:val="17"/>
                <w:szCs w:val="17"/>
                <w:color w:val="auto"/>
              </w:rPr>
              <w:t>49.7</w:t>
            </w: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Other operating and administrative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917</w:t>
            </w:r>
          </w:p>
        </w:tc>
        <w:tc>
          <w:tcPr>
            <w:tcW w:w="48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788</w:t>
            </w:r>
          </w:p>
        </w:tc>
        <w:tc>
          <w:tcPr>
            <w:tcW w:w="1020" w:type="dxa"/>
            <w:vAlign w:val="bottom"/>
          </w:tcPr>
          <w:p>
            <w:pPr>
              <w:jc w:val="right"/>
              <w:spacing w:after="0"/>
              <w:rPr>
                <w:sz w:val="20"/>
                <w:szCs w:val="20"/>
                <w:color w:val="auto"/>
              </w:rPr>
            </w:pPr>
            <w:r>
              <w:rPr>
                <w:rFonts w:ascii="Arial" w:cs="Arial" w:eastAsia="Arial" w:hAnsi="Arial"/>
                <w:sz w:val="17"/>
                <w:szCs w:val="17"/>
                <w:color w:val="auto"/>
              </w:rPr>
              <w:t>16.4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2,590</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2,383</w:t>
            </w:r>
          </w:p>
        </w:tc>
        <w:tc>
          <w:tcPr>
            <w:tcW w:w="1060" w:type="dxa"/>
            <w:vAlign w:val="bottom"/>
          </w:tcPr>
          <w:p>
            <w:pPr>
              <w:jc w:val="right"/>
              <w:spacing w:after="0"/>
              <w:rPr>
                <w:sz w:val="20"/>
                <w:szCs w:val="20"/>
                <w:color w:val="auto"/>
              </w:rPr>
            </w:pPr>
            <w:r>
              <w:rPr>
                <w:rFonts w:ascii="Arial" w:cs="Arial" w:eastAsia="Arial" w:hAnsi="Arial"/>
                <w:sz w:val="17"/>
                <w:szCs w:val="17"/>
                <w:color w:val="auto"/>
              </w:rPr>
              <w:t>8.7</w:t>
            </w:r>
          </w:p>
        </w:tc>
        <w:tc>
          <w:tcPr>
            <w:tcW w:w="200" w:type="dxa"/>
            <w:vAlign w:val="bottom"/>
          </w:tcPr>
          <w:p>
            <w:pPr>
              <w:spacing w:after="0"/>
              <w:rPr>
                <w:sz w:val="19"/>
                <w:szCs w:val="19"/>
                <w:color w:val="auto"/>
              </w:rPr>
            </w:pPr>
          </w:p>
        </w:tc>
      </w:tr>
      <w:tr>
        <w:trPr>
          <w:trHeight w:val="223"/>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Advertising, marketing and promotion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842</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569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c>
          <w:tcPr>
            <w:tcW w:w="200" w:type="dxa"/>
            <w:vAlign w:val="bottom"/>
            <w:tcBorders>
              <w:bottom w:val="single" w:sz="8" w:color="auto"/>
            </w:tcBorders>
          </w:tcPr>
          <w:p>
            <w:pPr>
              <w:spacing w:after="0"/>
              <w:rPr>
                <w:sz w:val="19"/>
                <w:szCs w:val="19"/>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5,774</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3,604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13,107</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9,413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200" w:type="dxa"/>
            <w:vAlign w:val="bottom"/>
            <w:tcBorders>
              <w:bottom w:val="single" w:sz="8" w:color="auto"/>
            </w:tcBorders>
          </w:tcPr>
          <w:p>
            <w:pPr>
              <w:spacing w:after="0"/>
              <w:rPr>
                <w:sz w:val="18"/>
                <w:szCs w:val="18"/>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997</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985</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1.2 %</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3,847</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4,150</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(7.3)%</w:t>
            </w:r>
          </w:p>
        </w:tc>
      </w:tr>
      <w:tr>
        <w:trPr>
          <w:trHeight w:val="772"/>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23</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3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Revenue</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Revenue increased for the three and nine months ended September 30, 2021 compared to the same periods in 2020 primarily due to increases in advertising and distribution revenue, and included revenue from our broadcast of the Tokyo Olympics in the third quarter of 2021. Excluding $1.8 billion of revenue associated with our broadcast of the Tokyo Olympics, Media revenue increased 9.2% and 12.0% for the three and nine months ended September 30, 2021, respectively, compared to the same periods in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9"/>
              <w:spacing w:after="0"/>
              <w:rPr>
                <w:sz w:val="20"/>
                <w:szCs w:val="20"/>
                <w:color w:val="auto"/>
              </w:rPr>
            </w:pPr>
            <w:r>
              <w:rPr>
                <w:rFonts w:ascii="Arial" w:cs="Arial" w:eastAsia="Arial" w:hAnsi="Arial"/>
                <w:sz w:val="14"/>
                <w:szCs w:val="14"/>
                <w:color w:val="auto"/>
                <w:w w:val="89"/>
              </w:rPr>
              <w:t>Three Months Ended September</w:t>
            </w:r>
          </w:p>
        </w:tc>
        <w:tc>
          <w:tcPr>
            <w:tcW w:w="3340" w:type="dxa"/>
            <w:vAlign w:val="bottom"/>
            <w:gridSpan w:val="4"/>
            <w:vMerge w:val="restart"/>
          </w:tcPr>
          <w:p>
            <w:pPr>
              <w:jc w:val="right"/>
              <w:spacing w:after="0"/>
              <w:rPr>
                <w:sz w:val="20"/>
                <w:szCs w:val="20"/>
                <w:color w:val="auto"/>
              </w:rPr>
            </w:pPr>
            <w:r>
              <w:rPr>
                <w:rFonts w:ascii="Arial" w:cs="Arial" w:eastAsia="Arial" w:hAnsi="Arial"/>
                <w:sz w:val="14"/>
                <w:szCs w:val="14"/>
                <w:color w:val="auto"/>
                <w:w w:val="92"/>
              </w:rPr>
              <w:t>Increase/(Decrease)  Nine Months Ended September 30,</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88"/>
              </w:rPr>
              <w:t>Increase/(Decrease)</w:t>
            </w: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30,</w:t>
            </w:r>
          </w:p>
        </w:tc>
        <w:tc>
          <w:tcPr>
            <w:tcW w:w="7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2020</w:t>
            </w:r>
          </w:p>
        </w:tc>
        <w:tc>
          <w:tcPr>
            <w:tcW w:w="152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540" w:type="dxa"/>
            <w:vAlign w:val="bottom"/>
          </w:tcPr>
          <w:p>
            <w:pPr>
              <w:ind w:left="40"/>
              <w:spacing w:after="0"/>
              <w:rPr>
                <w:sz w:val="20"/>
                <w:szCs w:val="20"/>
                <w:color w:val="auto"/>
              </w:rPr>
            </w:pPr>
            <w:r>
              <w:rPr>
                <w:rFonts w:ascii="Arial" w:cs="Arial" w:eastAsia="Arial" w:hAnsi="Arial"/>
                <w:sz w:val="17"/>
                <w:szCs w:val="17"/>
                <w:color w:val="auto"/>
              </w:rPr>
              <w:t>Advertising</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ind w:left="440"/>
              <w:spacing w:after="0"/>
              <w:rPr>
                <w:sz w:val="20"/>
                <w:szCs w:val="20"/>
                <w:color w:val="auto"/>
              </w:rPr>
            </w:pPr>
            <w:r>
              <w:rPr>
                <w:rFonts w:ascii="Arial" w:cs="Arial" w:eastAsia="Arial" w:hAnsi="Arial"/>
                <w:sz w:val="17"/>
                <w:szCs w:val="17"/>
                <w:b w:val="1"/>
                <w:bCs w:val="1"/>
                <w:color w:val="auto"/>
              </w:rPr>
              <w:t>3,255 $</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1,881</w:t>
            </w:r>
          </w:p>
        </w:tc>
        <w:tc>
          <w:tcPr>
            <w:tcW w:w="1520" w:type="dxa"/>
            <w:vAlign w:val="bottom"/>
          </w:tcPr>
          <w:p>
            <w:pPr>
              <w:jc w:val="right"/>
              <w:ind w:right="41"/>
              <w:spacing w:after="0"/>
              <w:rPr>
                <w:sz w:val="20"/>
                <w:szCs w:val="20"/>
                <w:color w:val="auto"/>
              </w:rPr>
            </w:pPr>
            <w:r>
              <w:rPr>
                <w:rFonts w:ascii="Arial" w:cs="Arial" w:eastAsia="Arial" w:hAnsi="Arial"/>
                <w:sz w:val="17"/>
                <w:szCs w:val="17"/>
                <w:color w:val="auto"/>
              </w:rPr>
              <w:t xml:space="preserve">73.0 % </w:t>
            </w: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7,537</w:t>
            </w:r>
          </w:p>
        </w:tc>
        <w:tc>
          <w:tcPr>
            <w:tcW w:w="26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19"/>
              <w:spacing w:after="0"/>
              <w:rPr>
                <w:sz w:val="20"/>
                <w:szCs w:val="20"/>
                <w:color w:val="auto"/>
              </w:rPr>
            </w:pPr>
            <w:r>
              <w:rPr>
                <w:rFonts w:ascii="Arial" w:cs="Arial" w:eastAsia="Arial" w:hAnsi="Arial"/>
                <w:sz w:val="17"/>
                <w:szCs w:val="17"/>
                <w:b w:val="1"/>
                <w:bCs w:val="1"/>
                <w:color w:val="auto"/>
              </w:rPr>
              <w:t>5,696</w:t>
            </w:r>
          </w:p>
        </w:tc>
        <w:tc>
          <w:tcPr>
            <w:tcW w:w="1260" w:type="dxa"/>
            <w:vAlign w:val="bottom"/>
          </w:tcPr>
          <w:p>
            <w:pPr>
              <w:ind w:left="740"/>
              <w:spacing w:after="0"/>
              <w:rPr>
                <w:sz w:val="20"/>
                <w:szCs w:val="20"/>
                <w:color w:val="auto"/>
              </w:rPr>
            </w:pPr>
            <w:r>
              <w:rPr>
                <w:rFonts w:ascii="Arial" w:cs="Arial" w:eastAsia="Arial" w:hAnsi="Arial"/>
                <w:sz w:val="17"/>
                <w:szCs w:val="17"/>
                <w:color w:val="auto"/>
                <w:w w:val="94"/>
              </w:rPr>
              <w:t>32.3 %</w:t>
            </w:r>
          </w:p>
        </w:tc>
        <w:tc>
          <w:tcPr>
            <w:tcW w:w="0" w:type="dxa"/>
            <w:vAlign w:val="bottom"/>
          </w:tcPr>
          <w:p>
            <w:pPr>
              <w:spacing w:after="0"/>
              <w:rPr>
                <w:sz w:val="1"/>
                <w:szCs w:val="1"/>
                <w:color w:val="auto"/>
              </w:rPr>
            </w:pPr>
          </w:p>
        </w:tc>
      </w:tr>
      <w:tr>
        <w:trPr>
          <w:trHeight w:val="22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Advertising, excluding Tokyo Olympics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i w:val="1"/>
                <w:iCs w:val="1"/>
                <w:color w:val="auto"/>
              </w:rPr>
              <w:t>2,017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1,881</w:t>
            </w:r>
          </w:p>
        </w:tc>
        <w:tc>
          <w:tcPr>
            <w:tcW w:w="1520" w:type="dxa"/>
            <w:vAlign w:val="bottom"/>
            <w:tcBorders>
              <w:bottom w:val="single" w:sz="8" w:color="auto"/>
            </w:tcBorders>
          </w:tcPr>
          <w:p>
            <w:pPr>
              <w:jc w:val="right"/>
              <w:ind w:right="361"/>
              <w:spacing w:after="0"/>
              <w:rPr>
                <w:sz w:val="20"/>
                <w:szCs w:val="20"/>
                <w:color w:val="auto"/>
              </w:rPr>
            </w:pPr>
            <w:r>
              <w:rPr>
                <w:rFonts w:ascii="Arial" w:cs="Arial" w:eastAsia="Arial" w:hAnsi="Arial"/>
                <w:sz w:val="17"/>
                <w:szCs w:val="17"/>
                <w:i w:val="1"/>
                <w:iCs w:val="1"/>
                <w:color w:val="auto"/>
              </w:rPr>
              <w:t>7.2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6,300</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i w:val="1"/>
                <w:iCs w:val="1"/>
                <w:color w:val="auto"/>
              </w:rPr>
              <w:t>5,696</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7"/>
                <w:szCs w:val="17"/>
                <w:i w:val="1"/>
                <w:iCs w:val="1"/>
                <w:color w:val="auto"/>
              </w:rPr>
              <w:t>10.6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Advertising revenue increased for the three and nine months ended September 30, 2021 compared to the same periods in 2020 primarily due to our broadcast of the Tokyo Olympics. Excluding $1.2 billion of revenue associated with our broadcast of the Tokyo Olympics for the three months ended September 30, 2021, advertising revenue increased due to higher pricing and increased advertising revenue at Peacock in the current year period, partially offset by fewer sporting events in the current year period due to COVID-19 timing impacts and continued audience ratings declines at our television networks. Excluding $1.2 billion of revenue associated with our broadcast of the Tokyo Olympics for the nine months ended September 30, 2021, advertising revenue increased due to higher pricing in the current year period, reduced spending from advertisers in the prior year period as a result of COVID-19, an increased number of sporting events and increased advertising revenue at Peacock, partially offset by continued audience ratings declines at our networks.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9"/>
              <w:spacing w:after="0"/>
              <w:rPr>
                <w:sz w:val="20"/>
                <w:szCs w:val="20"/>
                <w:color w:val="auto"/>
              </w:rPr>
            </w:pPr>
            <w:r>
              <w:rPr>
                <w:rFonts w:ascii="Arial" w:cs="Arial" w:eastAsia="Arial" w:hAnsi="Arial"/>
                <w:sz w:val="14"/>
                <w:szCs w:val="14"/>
                <w:color w:val="auto"/>
                <w:w w:val="89"/>
              </w:rPr>
              <w:t>Three Months Ended September</w:t>
            </w:r>
          </w:p>
        </w:tc>
        <w:tc>
          <w:tcPr>
            <w:tcW w:w="3340" w:type="dxa"/>
            <w:vAlign w:val="bottom"/>
            <w:gridSpan w:val="4"/>
            <w:vMerge w:val="restart"/>
          </w:tcPr>
          <w:p>
            <w:pPr>
              <w:jc w:val="right"/>
              <w:spacing w:after="0"/>
              <w:rPr>
                <w:sz w:val="20"/>
                <w:szCs w:val="20"/>
                <w:color w:val="auto"/>
              </w:rPr>
            </w:pPr>
            <w:r>
              <w:rPr>
                <w:rFonts w:ascii="Arial" w:cs="Arial" w:eastAsia="Arial" w:hAnsi="Arial"/>
                <w:sz w:val="14"/>
                <w:szCs w:val="14"/>
                <w:color w:val="auto"/>
                <w:w w:val="92"/>
              </w:rPr>
              <w:t>Increase/(Decrease)  Nine Months Ended September 30,</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88"/>
              </w:rPr>
              <w:t>Increase/(Decrease)</w:t>
            </w: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30,</w:t>
            </w:r>
          </w:p>
        </w:tc>
        <w:tc>
          <w:tcPr>
            <w:tcW w:w="7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2020</w:t>
            </w:r>
          </w:p>
        </w:tc>
        <w:tc>
          <w:tcPr>
            <w:tcW w:w="152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540" w:type="dxa"/>
            <w:vAlign w:val="bottom"/>
          </w:tcPr>
          <w:p>
            <w:pPr>
              <w:ind w:left="40"/>
              <w:spacing w:after="0"/>
              <w:rPr>
                <w:sz w:val="20"/>
                <w:szCs w:val="20"/>
                <w:color w:val="auto"/>
              </w:rPr>
            </w:pPr>
            <w:r>
              <w:rPr>
                <w:rFonts w:ascii="Arial" w:cs="Arial" w:eastAsia="Arial" w:hAnsi="Arial"/>
                <w:sz w:val="17"/>
                <w:szCs w:val="17"/>
                <w:color w:val="auto"/>
              </w:rPr>
              <w:t>Distribution</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ind w:left="440"/>
              <w:spacing w:after="0"/>
              <w:rPr>
                <w:sz w:val="20"/>
                <w:szCs w:val="20"/>
                <w:color w:val="auto"/>
              </w:rPr>
            </w:pPr>
            <w:r>
              <w:rPr>
                <w:rFonts w:ascii="Arial" w:cs="Arial" w:eastAsia="Arial" w:hAnsi="Arial"/>
                <w:sz w:val="17"/>
                <w:szCs w:val="17"/>
                <w:b w:val="1"/>
                <w:bCs w:val="1"/>
                <w:color w:val="auto"/>
              </w:rPr>
              <w:t>2,987 $</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2,194</w:t>
            </w:r>
          </w:p>
        </w:tc>
        <w:tc>
          <w:tcPr>
            <w:tcW w:w="1520" w:type="dxa"/>
            <w:vAlign w:val="bottom"/>
          </w:tcPr>
          <w:p>
            <w:pPr>
              <w:ind w:left="780"/>
              <w:spacing w:after="0"/>
              <w:rPr>
                <w:sz w:val="20"/>
                <w:szCs w:val="20"/>
                <w:color w:val="auto"/>
              </w:rPr>
            </w:pPr>
            <w:r>
              <w:rPr>
                <w:rFonts w:ascii="Arial" w:cs="Arial" w:eastAsia="Arial" w:hAnsi="Arial"/>
                <w:sz w:val="17"/>
                <w:szCs w:val="17"/>
                <w:color w:val="auto"/>
              </w:rPr>
              <w:t xml:space="preserve">36.2 % </w:t>
            </w: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7,934</w:t>
            </w:r>
          </w:p>
        </w:tc>
        <w:tc>
          <w:tcPr>
            <w:tcW w:w="26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19"/>
              <w:spacing w:after="0"/>
              <w:rPr>
                <w:sz w:val="20"/>
                <w:szCs w:val="20"/>
                <w:color w:val="auto"/>
              </w:rPr>
            </w:pPr>
            <w:r>
              <w:rPr>
                <w:rFonts w:ascii="Arial" w:cs="Arial" w:eastAsia="Arial" w:hAnsi="Arial"/>
                <w:sz w:val="17"/>
                <w:szCs w:val="17"/>
                <w:b w:val="1"/>
                <w:bCs w:val="1"/>
                <w:color w:val="auto"/>
              </w:rPr>
              <w:t>6,541</w:t>
            </w:r>
          </w:p>
        </w:tc>
        <w:tc>
          <w:tcPr>
            <w:tcW w:w="1260" w:type="dxa"/>
            <w:vAlign w:val="bottom"/>
          </w:tcPr>
          <w:p>
            <w:pPr>
              <w:ind w:left="740"/>
              <w:spacing w:after="0"/>
              <w:rPr>
                <w:sz w:val="20"/>
                <w:szCs w:val="20"/>
                <w:color w:val="auto"/>
              </w:rPr>
            </w:pPr>
            <w:r>
              <w:rPr>
                <w:rFonts w:ascii="Arial" w:cs="Arial" w:eastAsia="Arial" w:hAnsi="Arial"/>
                <w:sz w:val="17"/>
                <w:szCs w:val="17"/>
                <w:color w:val="auto"/>
                <w:w w:val="94"/>
              </w:rPr>
              <w:t>21.3 %</w:t>
            </w:r>
          </w:p>
        </w:tc>
        <w:tc>
          <w:tcPr>
            <w:tcW w:w="0" w:type="dxa"/>
            <w:vAlign w:val="bottom"/>
          </w:tcPr>
          <w:p>
            <w:pPr>
              <w:spacing w:after="0"/>
              <w:rPr>
                <w:sz w:val="1"/>
                <w:szCs w:val="1"/>
                <w:color w:val="auto"/>
              </w:rPr>
            </w:pPr>
          </w:p>
        </w:tc>
      </w:tr>
      <w:tr>
        <w:trPr>
          <w:trHeight w:val="22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Distribution, excluding Tokyo Olympics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i w:val="1"/>
                <w:iCs w:val="1"/>
                <w:color w:val="auto"/>
              </w:rPr>
              <w:t>2,465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2,194</w:t>
            </w:r>
          </w:p>
        </w:tc>
        <w:tc>
          <w:tcPr>
            <w:tcW w:w="1520" w:type="dxa"/>
            <w:vAlign w:val="bottom"/>
            <w:tcBorders>
              <w:bottom w:val="single" w:sz="8" w:color="auto"/>
            </w:tcBorders>
          </w:tcPr>
          <w:p>
            <w:pPr>
              <w:ind w:left="780"/>
              <w:spacing w:after="0"/>
              <w:rPr>
                <w:sz w:val="20"/>
                <w:szCs w:val="20"/>
                <w:color w:val="auto"/>
              </w:rPr>
            </w:pPr>
            <w:r>
              <w:rPr>
                <w:rFonts w:ascii="Arial" w:cs="Arial" w:eastAsia="Arial" w:hAnsi="Arial"/>
                <w:sz w:val="17"/>
                <w:szCs w:val="17"/>
                <w:i w:val="1"/>
                <w:iCs w:val="1"/>
                <w:color w:val="auto"/>
              </w:rPr>
              <w:t>12.4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7,413</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b w:val="1"/>
                <w:bCs w:val="1"/>
                <w:i w:val="1"/>
                <w:iCs w:val="1"/>
                <w:color w:val="auto"/>
              </w:rPr>
              <w:t>6,541</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7"/>
                <w:szCs w:val="17"/>
                <w:i w:val="1"/>
                <w:iCs w:val="1"/>
                <w:color w:val="auto"/>
              </w:rPr>
              <w:t>13.3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Distribution revenue increased for the three and nine months ended September 30, 2021 compared to the same periods in 2020 primarily due to our broadcast of the Tokyo Olympics. Excluding $522 million of revenue associated with our broadcast of the Tokyo Olympics for the three months ended September 30, 2021, distribution revenue increased due to contractual rate increases in the current year period and increases at Peacock, partially offset by declines in the number of subscribers at our television networks. Excluding $522 million of revenue associated with our broadcast of the Tokyo Olympics for the nine months ended September 30, 2021, distribution revenue increased due to contractual rate increases in the current year period, credits accrued in the prior year period at some of our regional sports networks from fewer games played due to COVID-19 and increases at Peacock, partially offset by declines in the number of subscribers at our television networks.</w:t>
      </w:r>
    </w:p>
    <w:p>
      <w:pPr>
        <w:spacing w:after="0" w:line="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Other revenue increased for the nine months ended September 30, 2021 compared to the same period in 2020 primarily due to increased revenue from our digital properties.</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the number of subscribers and audience ratings at our television networks will continue to decline as a result of the competitive environment and shifting video consumption patterns. Revenue included $230 million and $443 million related to Peacock for the three and nine months ended September 30, 2021, respectively. Revenue included $41 million and $47 million related to Peacock for the three and nine months ended September 30, 2020.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Operating Costs and Expenses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Operating costs and expenses increased for the three and nine months ended September 30, 2021 compared to the same periods in 2020 due to increases in programming and production costs, advertising, marketing and promotion costs and other operating and administrative costs. Programming and production costs increased for the three months ended September 30, 2021 primarily due to costs associated with our broadcast of the Tokyo Olympics and higher amortization expenses related to programming at Peacock in the current year period. This increase was partially offset by lower programming costs related to other sporting events due to COVID-19 timing impacts. Programming and production costs increased for the nine months ended September 30, 2021 primarily due to costs associated with our broadcast of the Tokyo Olympics, higher programming costs related to other sporting events due to COVID-19 timing impacts and higher amortization expense related to programming at Peacock in the current year period. Advertising, marketing and promotion costs increased primarily due to higher marketing related to Peacock and higher spending related to our television networks. Other operating and administrative costs increased due to increased costs related to Peacock, partially offset by cost savings initiatives.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Operating costs and expenses included $750 million and $1.6 billion related to Peacock for the three and nine months ended September 30, 2021,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Operating costs and expenses included $274 million and $456 million related to Peacock for the three and nine months ended September 30, 2020,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 expect to continue to incur significant costs related to additional content and marketing as we invest in the platform and attract new customers.</w:t>
      </w:r>
    </w:p>
    <w:p>
      <w:pPr>
        <w:spacing w:after="0" w:line="1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Studios Segment Results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3"/>
          </w:tcPr>
          <w:p>
            <w:pPr>
              <w:jc w:val="right"/>
              <w:ind w:right="834"/>
              <w:spacing w:after="0"/>
              <w:rPr>
                <w:sz w:val="20"/>
                <w:szCs w:val="20"/>
                <w:color w:val="auto"/>
              </w:rPr>
            </w:pPr>
            <w:r>
              <w:rPr>
                <w:rFonts w:ascii="Arial" w:cs="Arial" w:eastAsia="Arial" w:hAnsi="Arial"/>
                <w:sz w:val="14"/>
                <w:szCs w:val="14"/>
                <w:color w:val="auto"/>
              </w:rPr>
              <w:t>Three Months Ended</w:t>
            </w:r>
          </w:p>
        </w:tc>
        <w:tc>
          <w:tcPr>
            <w:tcW w:w="1260" w:type="dxa"/>
            <w:vAlign w:val="bottom"/>
          </w:tcPr>
          <w:p>
            <w:pPr>
              <w:jc w:val="center"/>
              <w:ind w:right="117"/>
              <w:spacing w:after="0"/>
              <w:rPr>
                <w:sz w:val="20"/>
                <w:szCs w:val="20"/>
                <w:color w:val="auto"/>
              </w:rPr>
            </w:pPr>
            <w:r>
              <w:rPr>
                <w:rFonts w:ascii="Arial" w:cs="Arial" w:eastAsia="Arial" w:hAnsi="Arial"/>
                <w:sz w:val="14"/>
                <w:szCs w:val="14"/>
                <w:color w:val="auto"/>
                <w:w w:val="86"/>
              </w:rPr>
              <w:t>Increase/</w:t>
            </w:r>
          </w:p>
        </w:tc>
        <w:tc>
          <w:tcPr>
            <w:tcW w:w="340" w:type="dxa"/>
            <w:vAlign w:val="bottom"/>
          </w:tcPr>
          <w:p>
            <w:pPr>
              <w:spacing w:after="0"/>
              <w:rPr>
                <w:sz w:val="14"/>
                <w:szCs w:val="14"/>
                <w:color w:val="auto"/>
              </w:rPr>
            </w:pPr>
          </w:p>
        </w:tc>
        <w:tc>
          <w:tcPr>
            <w:tcW w:w="2440" w:type="dxa"/>
            <w:vAlign w:val="bottom"/>
            <w:gridSpan w:val="3"/>
          </w:tcPr>
          <w:p>
            <w:pPr>
              <w:jc w:val="right"/>
              <w:ind w:right="814"/>
              <w:spacing w:after="0"/>
              <w:rPr>
                <w:sz w:val="20"/>
                <w:szCs w:val="20"/>
                <w:color w:val="auto"/>
              </w:rPr>
            </w:pPr>
            <w:r>
              <w:rPr>
                <w:rFonts w:ascii="Arial" w:cs="Arial" w:eastAsia="Arial" w:hAnsi="Arial"/>
                <w:sz w:val="14"/>
                <w:szCs w:val="14"/>
                <w:color w:val="auto"/>
              </w:rPr>
              <w:t>Nine Months Ended</w:t>
            </w:r>
          </w:p>
        </w:tc>
        <w:tc>
          <w:tcPr>
            <w:tcW w:w="1080" w:type="dxa"/>
            <w:vAlign w:val="bottom"/>
          </w:tcPr>
          <w:p>
            <w:pPr>
              <w:jc w:val="center"/>
              <w:spacing w:after="0"/>
              <w:rPr>
                <w:sz w:val="20"/>
                <w:szCs w:val="20"/>
                <w:color w:val="auto"/>
              </w:rPr>
            </w:pPr>
            <w:r>
              <w:rPr>
                <w:rFonts w:ascii="Arial" w:cs="Arial" w:eastAsia="Arial" w:hAnsi="Arial"/>
                <w:sz w:val="14"/>
                <w:szCs w:val="14"/>
                <w:color w:val="auto"/>
                <w:w w:val="86"/>
              </w:rPr>
              <w:t>Increase/</w:t>
            </w:r>
          </w:p>
        </w:tc>
        <w:tc>
          <w:tcPr>
            <w:tcW w:w="180" w:type="dxa"/>
            <w:vAlign w:val="bottom"/>
          </w:tcPr>
          <w:p>
            <w:pPr>
              <w:spacing w:after="0"/>
              <w:rPr>
                <w:sz w:val="14"/>
                <w:szCs w:val="14"/>
                <w:color w:val="auto"/>
              </w:rPr>
            </w:pPr>
          </w:p>
        </w:tc>
      </w:tr>
      <w:tr>
        <w:trPr>
          <w:trHeight w:val="178"/>
        </w:trPr>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(Decrease)</w:t>
            </w:r>
          </w:p>
        </w:tc>
        <w:tc>
          <w:tcPr>
            <w:tcW w:w="180" w:type="dxa"/>
            <w:vAlign w:val="bottom"/>
            <w:tcBorders>
              <w:bottom w:val="single" w:sz="8" w:color="auto"/>
            </w:tcBorders>
          </w:tcPr>
          <w:p>
            <w:pPr>
              <w:spacing w:after="0"/>
              <w:rPr>
                <w:sz w:val="15"/>
                <w:szCs w:val="15"/>
                <w:color w:val="auto"/>
              </w:rPr>
            </w:pPr>
          </w:p>
        </w:tc>
      </w:tr>
      <w:tr>
        <w:trPr>
          <w:trHeight w:val="17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79"/>
              </w:rPr>
              <w:t>%</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5"/>
                <w:szCs w:val="15"/>
                <w:color w:val="auto"/>
              </w:rPr>
            </w:pPr>
          </w:p>
        </w:tc>
      </w:tr>
      <w:tr>
        <w:trPr>
          <w:trHeight w:val="219"/>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2"/>
        </w:trPr>
        <w:tc>
          <w:tcPr>
            <w:tcW w:w="3180" w:type="dxa"/>
            <w:vAlign w:val="bottom"/>
          </w:tcPr>
          <w:p>
            <w:pPr>
              <w:ind w:left="340"/>
              <w:spacing w:after="0"/>
              <w:rPr>
                <w:sz w:val="20"/>
                <w:szCs w:val="20"/>
                <w:color w:val="auto"/>
              </w:rPr>
            </w:pPr>
            <w:r>
              <w:rPr>
                <w:rFonts w:ascii="Arial" w:cs="Arial" w:eastAsia="Arial" w:hAnsi="Arial"/>
                <w:sz w:val="17"/>
                <w:szCs w:val="17"/>
                <w:color w:val="auto"/>
              </w:rPr>
              <w:t>Content licensing</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1,827</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1,584</w:t>
            </w:r>
          </w:p>
        </w:tc>
        <w:tc>
          <w:tcPr>
            <w:tcW w:w="1260" w:type="dxa"/>
            <w:vAlign w:val="bottom"/>
          </w:tcPr>
          <w:p>
            <w:pPr>
              <w:ind w:left="680"/>
              <w:spacing w:after="0"/>
              <w:rPr>
                <w:sz w:val="20"/>
                <w:szCs w:val="20"/>
                <w:color w:val="auto"/>
              </w:rPr>
            </w:pPr>
            <w:r>
              <w:rPr>
                <w:rFonts w:ascii="Arial" w:cs="Arial" w:eastAsia="Arial" w:hAnsi="Arial"/>
                <w:sz w:val="17"/>
                <w:szCs w:val="17"/>
                <w:color w:val="auto"/>
              </w:rPr>
              <w:t>15.4 %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5,683</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5,149</w:t>
            </w:r>
          </w:p>
        </w:tc>
        <w:tc>
          <w:tcPr>
            <w:tcW w:w="1080" w:type="dxa"/>
            <w:vAlign w:val="bottom"/>
          </w:tcPr>
          <w:p>
            <w:pPr>
              <w:jc w:val="right"/>
              <w:spacing w:after="0"/>
              <w:rPr>
                <w:sz w:val="20"/>
                <w:szCs w:val="20"/>
                <w:color w:val="auto"/>
              </w:rPr>
            </w:pPr>
            <w:r>
              <w:rPr>
                <w:rFonts w:ascii="Arial" w:cs="Arial" w:eastAsia="Arial" w:hAnsi="Arial"/>
                <w:sz w:val="17"/>
                <w:szCs w:val="17"/>
                <w:color w:val="auto"/>
              </w:rPr>
              <w:t>10.4</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Theatrical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307</w:t>
            </w:r>
          </w:p>
        </w:tc>
        <w:tc>
          <w:tcPr>
            <w:tcW w:w="48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28</w:t>
            </w:r>
          </w:p>
        </w:tc>
        <w:tc>
          <w:tcPr>
            <w:tcW w:w="1260" w:type="dxa"/>
            <w:vAlign w:val="bottom"/>
          </w:tcPr>
          <w:p>
            <w:pPr>
              <w:ind w:left="920"/>
              <w:spacing w:after="0"/>
              <w:rPr>
                <w:sz w:val="20"/>
                <w:szCs w:val="20"/>
                <w:color w:val="auto"/>
              </w:rPr>
            </w:pPr>
            <w:r>
              <w:rPr>
                <w:rFonts w:ascii="Arial" w:cs="Arial" w:eastAsia="Arial" w:hAnsi="Arial"/>
                <w:sz w:val="17"/>
                <w:szCs w:val="17"/>
                <w:color w:val="auto"/>
              </w:rPr>
              <w:t>NM</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544</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351</w:t>
            </w:r>
          </w:p>
        </w:tc>
        <w:tc>
          <w:tcPr>
            <w:tcW w:w="1080" w:type="dxa"/>
            <w:vAlign w:val="bottom"/>
          </w:tcPr>
          <w:p>
            <w:pPr>
              <w:jc w:val="right"/>
              <w:spacing w:after="0"/>
              <w:rPr>
                <w:sz w:val="20"/>
                <w:szCs w:val="20"/>
                <w:color w:val="auto"/>
              </w:rPr>
            </w:pPr>
            <w:r>
              <w:rPr>
                <w:rFonts w:ascii="Arial" w:cs="Arial" w:eastAsia="Arial" w:hAnsi="Arial"/>
                <w:sz w:val="17"/>
                <w:szCs w:val="17"/>
                <w:color w:val="auto"/>
              </w:rPr>
              <w:t>55.0</w:t>
            </w:r>
          </w:p>
        </w:tc>
        <w:tc>
          <w:tcPr>
            <w:tcW w:w="180" w:type="dxa"/>
            <w:vAlign w:val="bottom"/>
          </w:tcPr>
          <w:p>
            <w:pPr>
              <w:spacing w:after="0"/>
              <w:rPr>
                <w:sz w:val="19"/>
                <w:szCs w:val="19"/>
                <w:color w:val="auto"/>
              </w:rPr>
            </w:pPr>
          </w:p>
        </w:tc>
      </w:tr>
      <w:tr>
        <w:trPr>
          <w:trHeight w:val="223"/>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Home entertainment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286</w:t>
            </w: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(4.8)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801</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859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80" w:type="dxa"/>
            <w:vAlign w:val="bottom"/>
            <w:tcBorders>
              <w:bottom w:val="single" w:sz="8" w:color="auto"/>
            </w:tcBorders>
          </w:tcPr>
          <w:p>
            <w:pPr>
              <w:spacing w:after="0"/>
              <w:rPr>
                <w:sz w:val="19"/>
                <w:szCs w:val="19"/>
                <w:color w:val="auto"/>
              </w:rPr>
            </w:pPr>
          </w:p>
        </w:tc>
      </w:tr>
      <w:tr>
        <w:trPr>
          <w:trHeight w:val="211"/>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2,407</w:t>
            </w:r>
          </w:p>
        </w:tc>
        <w:tc>
          <w:tcPr>
            <w:tcW w:w="480" w:type="dxa"/>
            <w:vAlign w:val="bottom"/>
          </w:tcPr>
          <w:p>
            <w:pPr>
              <w:spacing w:after="0"/>
              <w:rPr>
                <w:sz w:val="18"/>
                <w:szCs w:val="18"/>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b w:val="1"/>
                <w:bCs w:val="1"/>
                <w:color w:val="auto"/>
              </w:rPr>
              <w:t>1,898</w:t>
            </w:r>
          </w:p>
        </w:tc>
        <w:tc>
          <w:tcPr>
            <w:tcW w:w="1260" w:type="dxa"/>
            <w:vAlign w:val="bottom"/>
          </w:tcPr>
          <w:p>
            <w:pPr>
              <w:ind w:left="680"/>
              <w:spacing w:after="0"/>
              <w:rPr>
                <w:sz w:val="20"/>
                <w:szCs w:val="20"/>
                <w:color w:val="auto"/>
              </w:rPr>
            </w:pPr>
            <w:r>
              <w:rPr>
                <w:rFonts w:ascii="Arial" w:cs="Arial" w:eastAsia="Arial" w:hAnsi="Arial"/>
                <w:sz w:val="17"/>
                <w:szCs w:val="17"/>
                <w:b w:val="1"/>
                <w:bCs w:val="1"/>
                <w:color w:val="auto"/>
              </w:rPr>
              <w:t>26.8</w:t>
            </w:r>
          </w:p>
        </w:tc>
        <w:tc>
          <w:tcPr>
            <w:tcW w:w="3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b w:val="1"/>
                <w:bCs w:val="1"/>
                <w:color w:val="auto"/>
              </w:rPr>
              <w:t>7,027</w:t>
            </w:r>
          </w:p>
        </w:tc>
        <w:tc>
          <w:tcPr>
            <w:tcW w:w="4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b w:val="1"/>
                <w:bCs w:val="1"/>
                <w:color w:val="auto"/>
              </w:rPr>
              <w:t>6,359</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10.5</w:t>
            </w:r>
          </w:p>
        </w:tc>
        <w:tc>
          <w:tcPr>
            <w:tcW w:w="180" w:type="dxa"/>
            <w:vAlign w:val="bottom"/>
          </w:tcPr>
          <w:p>
            <w:pPr>
              <w:spacing w:after="0"/>
              <w:rPr>
                <w:sz w:val="18"/>
                <w:szCs w:val="18"/>
                <w:color w:val="auto"/>
              </w:rPr>
            </w:pPr>
          </w:p>
        </w:tc>
      </w:tr>
      <w:tr>
        <w:trPr>
          <w:trHeight w:val="228"/>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1,744</w:t>
            </w:r>
          </w:p>
        </w:tc>
        <w:tc>
          <w:tcPr>
            <w:tcW w:w="48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1,267</w:t>
            </w:r>
          </w:p>
        </w:tc>
        <w:tc>
          <w:tcPr>
            <w:tcW w:w="1260" w:type="dxa"/>
            <w:vAlign w:val="bottom"/>
          </w:tcPr>
          <w:p>
            <w:pPr>
              <w:ind w:left="680"/>
              <w:spacing w:after="0"/>
              <w:rPr>
                <w:sz w:val="20"/>
                <w:szCs w:val="20"/>
                <w:color w:val="auto"/>
              </w:rPr>
            </w:pPr>
            <w:r>
              <w:rPr>
                <w:rFonts w:ascii="Arial" w:cs="Arial" w:eastAsia="Arial" w:hAnsi="Arial"/>
                <w:sz w:val="17"/>
                <w:szCs w:val="17"/>
                <w:color w:val="auto"/>
              </w:rPr>
              <w:t>37.6</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4,961</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4,178</w:t>
            </w:r>
          </w:p>
        </w:tc>
        <w:tc>
          <w:tcPr>
            <w:tcW w:w="1080" w:type="dxa"/>
            <w:vAlign w:val="bottom"/>
          </w:tcPr>
          <w:p>
            <w:pPr>
              <w:jc w:val="right"/>
              <w:spacing w:after="0"/>
              <w:rPr>
                <w:sz w:val="20"/>
                <w:szCs w:val="20"/>
                <w:color w:val="auto"/>
              </w:rPr>
            </w:pPr>
            <w:r>
              <w:rPr>
                <w:rFonts w:ascii="Arial" w:cs="Arial" w:eastAsia="Arial" w:hAnsi="Arial"/>
                <w:sz w:val="17"/>
                <w:szCs w:val="17"/>
                <w:color w:val="auto"/>
              </w:rPr>
              <w:t>18.7</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Arial" w:cs="Arial" w:eastAsia="Arial" w:hAnsi="Arial"/>
                <w:sz w:val="17"/>
                <w:szCs w:val="17"/>
                <w:color w:val="auto"/>
              </w:rPr>
              <w:t>Other operating and administrative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146</w:t>
            </w:r>
          </w:p>
        </w:tc>
        <w:tc>
          <w:tcPr>
            <w:tcW w:w="48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color w:val="auto"/>
              </w:rPr>
              <w:t>204</w:t>
            </w:r>
          </w:p>
        </w:tc>
        <w:tc>
          <w:tcPr>
            <w:tcW w:w="1260" w:type="dxa"/>
            <w:vAlign w:val="bottom"/>
          </w:tcPr>
          <w:p>
            <w:pPr>
              <w:jc w:val="right"/>
              <w:ind w:right="157"/>
              <w:spacing w:after="0"/>
              <w:rPr>
                <w:sz w:val="20"/>
                <w:szCs w:val="20"/>
                <w:color w:val="auto"/>
              </w:rPr>
            </w:pPr>
            <w:r>
              <w:rPr>
                <w:rFonts w:ascii="Arial" w:cs="Arial" w:eastAsia="Arial" w:hAnsi="Arial"/>
                <w:sz w:val="17"/>
                <w:szCs w:val="17"/>
                <w:color w:val="auto"/>
              </w:rPr>
              <w:t>(28.8)</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475</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Arial" w:cs="Arial" w:eastAsia="Arial" w:hAnsi="Arial"/>
                <w:sz w:val="17"/>
                <w:szCs w:val="17"/>
                <w:color w:val="auto"/>
              </w:rPr>
              <w:t>584</w:t>
            </w:r>
          </w:p>
        </w:tc>
        <w:tc>
          <w:tcPr>
            <w:tcW w:w="1080" w:type="dxa"/>
            <w:vAlign w:val="bottom"/>
          </w:tcPr>
          <w:p>
            <w:pPr>
              <w:jc w:val="right"/>
              <w:spacing w:after="0"/>
              <w:rPr>
                <w:sz w:val="20"/>
                <w:szCs w:val="20"/>
                <w:color w:val="auto"/>
              </w:rPr>
            </w:pPr>
            <w:r>
              <w:rPr>
                <w:rFonts w:ascii="Arial" w:cs="Arial" w:eastAsia="Arial" w:hAnsi="Arial"/>
                <w:sz w:val="17"/>
                <w:szCs w:val="17"/>
                <w:color w:val="auto"/>
              </w:rPr>
              <w:t>(18.7)</w:t>
            </w:r>
          </w:p>
        </w:tc>
        <w:tc>
          <w:tcPr>
            <w:tcW w:w="180" w:type="dxa"/>
            <w:vAlign w:val="bottom"/>
          </w:tcPr>
          <w:p>
            <w:pPr>
              <w:spacing w:after="0"/>
              <w:rPr>
                <w:sz w:val="19"/>
                <w:szCs w:val="19"/>
                <w:color w:val="auto"/>
              </w:rPr>
            </w:pPr>
          </w:p>
        </w:tc>
      </w:tr>
      <w:tr>
        <w:trPr>
          <w:trHeight w:val="223"/>
        </w:trPr>
        <w:tc>
          <w:tcPr>
            <w:tcW w:w="3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Advertising, marketing and promotion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87</w:t>
            </w: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NM</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759</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634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80" w:type="dxa"/>
            <w:vAlign w:val="bottom"/>
            <w:tcBorders>
              <w:bottom w:val="single" w:sz="8" w:color="auto"/>
            </w:tcBorders>
          </w:tcPr>
          <w:p>
            <w:pPr>
              <w:spacing w:after="0"/>
              <w:rPr>
                <w:sz w:val="19"/>
                <w:szCs w:val="19"/>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2,228</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1,558</w:t>
            </w:r>
          </w:p>
        </w:tc>
        <w:tc>
          <w:tcPr>
            <w:tcW w:w="12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43.0</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6,195</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5,396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80" w:type="dxa"/>
            <w:vAlign w:val="bottom"/>
            <w:tcBorders>
              <w:bottom w:val="single" w:sz="8" w:color="auto"/>
            </w:tcBorders>
          </w:tcPr>
          <w:p>
            <w:pPr>
              <w:spacing w:after="0"/>
              <w:rPr>
                <w:sz w:val="18"/>
                <w:szCs w:val="18"/>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340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(47.3)%</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833</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963</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(13.6)%</w:t>
            </w:r>
          </w:p>
        </w:tc>
      </w:tr>
      <w:tr>
        <w:trPr>
          <w:trHeight w:val="772"/>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134"/>
              <w:spacing w:after="0"/>
              <w:rPr>
                <w:sz w:val="20"/>
                <w:szCs w:val="20"/>
                <w:color w:val="auto"/>
              </w:rPr>
            </w:pPr>
            <w:r>
              <w:rPr>
                <w:rFonts w:ascii="Arial" w:cs="Arial" w:eastAsia="Arial" w:hAnsi="Arial"/>
                <w:sz w:val="17"/>
                <w:szCs w:val="17"/>
                <w:color w:val="auto"/>
              </w:rPr>
              <w:t>25</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Revenue</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Revenue increased for the three months ended September 30, 2021 compared to the same period in 2020 due to increases in theatrical revenue and content licensing revenue. Theatrical revenue increased primarily due to current year releases, including </w:t>
      </w:r>
      <w:r>
        <w:rPr>
          <w:rFonts w:ascii="Arial" w:cs="Arial" w:eastAsia="Arial" w:hAnsi="Arial"/>
          <w:sz w:val="16"/>
          <w:szCs w:val="16"/>
          <w:i w:val="1"/>
          <w:iCs w:val="1"/>
          <w:color w:val="auto"/>
        </w:rPr>
        <w:t>F9</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Boss Baby: Family Business,</w:t>
      </w:r>
      <w:r>
        <w:rPr>
          <w:rFonts w:ascii="Arial" w:cs="Arial" w:eastAsia="Arial" w:hAnsi="Arial"/>
          <w:sz w:val="16"/>
          <w:szCs w:val="16"/>
          <w:color w:val="auto"/>
        </w:rPr>
        <w:t xml:space="preserve"> and the impact of theater closures in the prior year period</w:t>
      </w:r>
      <w:r>
        <w:rPr>
          <w:rFonts w:ascii="Arial" w:cs="Arial" w:eastAsia="Arial" w:hAnsi="Arial"/>
          <w:sz w:val="16"/>
          <w:szCs w:val="16"/>
          <w:i w:val="1"/>
          <w:iCs w:val="1"/>
          <w:color w:val="auto"/>
        </w:rPr>
        <w:t>.</w:t>
      </w:r>
      <w:r>
        <w:rPr>
          <w:rFonts w:ascii="Arial" w:cs="Arial" w:eastAsia="Arial" w:hAnsi="Arial"/>
          <w:sz w:val="16"/>
          <w:szCs w:val="16"/>
          <w:color w:val="auto"/>
        </w:rPr>
        <w:t xml:space="preserve"> Content licensing revenue increased primarily due to the timing of when content was made available by our television studios under licensing agreements, partially offset by the impacts of initial content licenses associated with the launch of Peacock in the prior year period.</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Revenue increased for the nine months ended September 30, 2021 compared to the same period in 2020 due to increases in content licensing revenue and theatrical revenue, partially offset by a decrease in home entertainment and other revenue. Content licensing revenue increased primarily due to the timing of when content was made available by our television studios under licensing agreements, including a new licensing agreement for content that became exclusively available for streaming on Peacock during the first quarter of 2021, partially offset by the impacts of initial content licenses associated with the launch of Peacock in the prior year period. Theatrical revenue increased primarily due to releases in the current year period and the impact of COVID-19 on the operation of movie theaters. Home entertainment and other revenue decreased primarily due to a reduced number of film releases in the current year period due to COVID-19.</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Operating Costs and Expenses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Operating costs and expenses increased for the three months ended September 30, 2021 compared to the same period in 2020 due to increases in programming and production costs and advertising, marketing and promotion costs, partially offset by decreases in other operating and administrative costs. Programming and production costs increased primarily due to higher amortization associated with content licensing sales and theatrical releases in the current year period. Advertising, marketing and promotion costs increased due to higher spending on theatrical releases in the current year period. Other operating and administrative costs decreased due to cost savings initiatives.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Operating costs and expenses increased for the nine months ended September 30, 2021 compared to the same period in 2020 due to increases in programming and production costs and advertising, marketing and promotion costs, partially offset by a decrease in other operating and administrative costs. Programming and production costs increased primarily due to higher amortization associated with content licensing sales, including the new licensing agreement for content that became exclusively available for streaming on Peacock during the first quarter of 2021, higher amortization associated with theatrical releases in the current year period and the impact from the updated accounting guidance related to episodic television series, which was adopted and had a favorable impact on programming and production expense in the prior year period. Advertising, marketing and promotion costs increased due to higher spending on theatrical film releases in the current year period. Other operating and administrative costs decreased primarily due to cost savings initiatives.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Theme Parks Segment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797"/>
              <w:spacing w:after="0"/>
              <w:rPr>
                <w:sz w:val="20"/>
                <w:szCs w:val="20"/>
                <w:color w:val="auto"/>
              </w:rPr>
            </w:pPr>
            <w:r>
              <w:rPr>
                <w:rFonts w:ascii="Arial" w:cs="Arial" w:eastAsia="Arial" w:hAnsi="Arial"/>
                <w:sz w:val="14"/>
                <w:szCs w:val="14"/>
                <w:color w:val="auto"/>
              </w:rPr>
              <w:t>Three Months Ended</w:t>
            </w:r>
          </w:p>
        </w:tc>
        <w:tc>
          <w:tcPr>
            <w:tcW w:w="1200" w:type="dxa"/>
            <w:vAlign w:val="bottom"/>
          </w:tcPr>
          <w:p>
            <w:pPr>
              <w:jc w:val="center"/>
              <w:ind w:right="61"/>
              <w:spacing w:after="0"/>
              <w:rPr>
                <w:sz w:val="20"/>
                <w:szCs w:val="20"/>
                <w:color w:val="auto"/>
              </w:rPr>
            </w:pPr>
            <w:r>
              <w:rPr>
                <w:rFonts w:ascii="Arial" w:cs="Arial" w:eastAsia="Arial" w:hAnsi="Arial"/>
                <w:sz w:val="14"/>
                <w:szCs w:val="14"/>
                <w:color w:val="auto"/>
                <w:w w:val="86"/>
              </w:rPr>
              <w:t>Increase/</w:t>
            </w:r>
          </w:p>
        </w:tc>
        <w:tc>
          <w:tcPr>
            <w:tcW w:w="340" w:type="dxa"/>
            <w:vAlign w:val="bottom"/>
          </w:tcPr>
          <w:p>
            <w:pPr>
              <w:spacing w:after="0"/>
              <w:rPr>
                <w:sz w:val="14"/>
                <w:szCs w:val="14"/>
                <w:color w:val="auto"/>
              </w:rPr>
            </w:pPr>
          </w:p>
        </w:tc>
        <w:tc>
          <w:tcPr>
            <w:tcW w:w="2500" w:type="dxa"/>
            <w:vAlign w:val="bottom"/>
            <w:gridSpan w:val="3"/>
          </w:tcPr>
          <w:p>
            <w:pPr>
              <w:jc w:val="right"/>
              <w:ind w:right="877"/>
              <w:spacing w:after="0"/>
              <w:rPr>
                <w:sz w:val="20"/>
                <w:szCs w:val="20"/>
                <w:color w:val="auto"/>
              </w:rPr>
            </w:pPr>
            <w:r>
              <w:rPr>
                <w:rFonts w:ascii="Arial" w:cs="Arial" w:eastAsia="Arial" w:hAnsi="Arial"/>
                <w:sz w:val="14"/>
                <w:szCs w:val="14"/>
                <w:color w:val="auto"/>
              </w:rPr>
              <w:t>Nine Months Ended</w:t>
            </w:r>
          </w:p>
        </w:tc>
        <w:tc>
          <w:tcPr>
            <w:tcW w:w="1240" w:type="dxa"/>
            <w:vAlign w:val="bottom"/>
          </w:tcPr>
          <w:p>
            <w:pPr>
              <w:jc w:val="center"/>
              <w:ind w:right="61"/>
              <w:spacing w:after="0"/>
              <w:rPr>
                <w:sz w:val="20"/>
                <w:szCs w:val="20"/>
                <w:color w:val="auto"/>
              </w:rPr>
            </w:pPr>
            <w:r>
              <w:rPr>
                <w:rFonts w:ascii="Arial" w:cs="Arial" w:eastAsia="Arial" w:hAnsi="Arial"/>
                <w:sz w:val="14"/>
                <w:szCs w:val="14"/>
                <w:color w:val="auto"/>
                <w:w w:val="86"/>
              </w:rPr>
              <w:t>Increase/</w:t>
            </w:r>
          </w:p>
        </w:tc>
      </w:tr>
      <w:tr>
        <w:trPr>
          <w:trHeight w:val="178"/>
        </w:trPr>
        <w:tc>
          <w:tcPr>
            <w:tcW w:w="3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6"/>
              </w:rPr>
              <w:t>(Decrease)</w:t>
            </w:r>
          </w:p>
        </w:tc>
      </w:tr>
      <w:tr>
        <w:trPr>
          <w:trHeight w:val="17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79"/>
              </w:rPr>
              <w: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2020</w:t>
            </w: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6"/>
              </w:rPr>
              <w:t>%</w:t>
            </w:r>
          </w:p>
        </w:tc>
      </w:tr>
      <w:tr>
        <w:trPr>
          <w:trHeight w:val="219"/>
        </w:trPr>
        <w:tc>
          <w:tcPr>
            <w:tcW w:w="322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1,449</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00" w:type="dxa"/>
            <w:vAlign w:val="bottom"/>
          </w:tcPr>
          <w:p>
            <w:pPr>
              <w:jc w:val="center"/>
              <w:ind w:left="137"/>
              <w:spacing w:after="0"/>
              <w:rPr>
                <w:sz w:val="20"/>
                <w:szCs w:val="20"/>
                <w:color w:val="auto"/>
              </w:rPr>
            </w:pPr>
            <w:r>
              <w:rPr>
                <w:rFonts w:ascii="Arial" w:cs="Arial" w:eastAsia="Arial" w:hAnsi="Arial"/>
                <w:sz w:val="17"/>
                <w:szCs w:val="17"/>
                <w:color w:val="auto"/>
                <w:w w:val="91"/>
              </w:rPr>
              <w:t>385</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NM</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3,163</w:t>
            </w:r>
          </w:p>
        </w:tc>
        <w:tc>
          <w:tcPr>
            <w:tcW w:w="48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17"/>
              <w:spacing w:after="0"/>
              <w:rPr>
                <w:sz w:val="20"/>
                <w:szCs w:val="20"/>
                <w:color w:val="auto"/>
              </w:rPr>
            </w:pPr>
            <w:r>
              <w:rPr>
                <w:rFonts w:ascii="Arial" w:cs="Arial" w:eastAsia="Arial" w:hAnsi="Arial"/>
                <w:sz w:val="17"/>
                <w:szCs w:val="17"/>
                <w:color w:val="auto"/>
              </w:rPr>
              <w:t>1,446</w:t>
            </w:r>
          </w:p>
        </w:tc>
        <w:tc>
          <w:tcPr>
            <w:tcW w:w="1240" w:type="dxa"/>
            <w:vAlign w:val="bottom"/>
          </w:tcPr>
          <w:p>
            <w:pPr>
              <w:jc w:val="right"/>
              <w:spacing w:after="0"/>
              <w:rPr>
                <w:sz w:val="20"/>
                <w:szCs w:val="20"/>
                <w:color w:val="auto"/>
              </w:rPr>
            </w:pPr>
            <w:r>
              <w:rPr>
                <w:rFonts w:ascii="Arial" w:cs="Arial" w:eastAsia="Arial" w:hAnsi="Arial"/>
                <w:sz w:val="17"/>
                <w:szCs w:val="17"/>
                <w:color w:val="auto"/>
              </w:rPr>
              <w:t>118.8 %</w:t>
            </w:r>
          </w:p>
        </w:tc>
      </w:tr>
      <w:tr>
        <w:trPr>
          <w:trHeight w:val="22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1,015</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137"/>
              <w:spacing w:after="0"/>
              <w:rPr>
                <w:sz w:val="20"/>
                <w:szCs w:val="20"/>
                <w:color w:val="auto"/>
              </w:rPr>
            </w:pPr>
            <w:r>
              <w:rPr>
                <w:rFonts w:ascii="Arial" w:cs="Arial" w:eastAsia="Arial" w:hAnsi="Arial"/>
                <w:sz w:val="17"/>
                <w:szCs w:val="17"/>
                <w:color w:val="auto"/>
                <w:w w:val="91"/>
              </w:rPr>
              <w:t>559</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81.5</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2,570</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1,926</w:t>
            </w: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color w:val="auto"/>
              </w:rPr>
              <w:t>33.4</w:t>
            </w:r>
          </w:p>
        </w:tc>
      </w:tr>
      <w:tr>
        <w:trPr>
          <w:trHeight w:val="22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434</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center"/>
              <w:ind w:left="97"/>
              <w:spacing w:after="0"/>
              <w:rPr>
                <w:sz w:val="20"/>
                <w:szCs w:val="20"/>
                <w:color w:val="auto"/>
              </w:rPr>
            </w:pPr>
            <w:r>
              <w:rPr>
                <w:rFonts w:ascii="Arial" w:cs="Arial" w:eastAsia="Arial" w:hAnsi="Arial"/>
                <w:sz w:val="17"/>
                <w:szCs w:val="17"/>
                <w:b w:val="1"/>
                <w:bCs w:val="1"/>
                <w:color w:val="auto"/>
                <w:w w:val="95"/>
              </w:rPr>
              <w:t>(174)</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NM</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593</w:t>
            </w:r>
          </w:p>
        </w:tc>
        <w:tc>
          <w:tcPr>
            <w:tcW w:w="4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(480)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NM</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Theme Parks Segment – Revenue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Revenue increased for the three and nine months ended September 30, 2021 compared to the same periods in 2020 primarily due to improved operating conditions compared to the prior year periods, when each of our theme parks were either operating at limited capacity or closed as a result of COVID-19. All of our theme parks temporarily closed beginning in mid to late first quarter of 2020. Our theme park in Orlando reopened with capacity restrictions in the second quarter of 2020 and began operating without capacity restrictions during the end of the second quarter of 2021. Our theme park in Hollywood reopened with capacity restrictions early in the second quarter of 2021 and began operating without capacity restrictions by the end of that quarter. While our theme park in Japan has been reopened with capacity restrictions since the second quarter of 2020, it had a temporary closure in the second quarter of 2021. Our newest theme park in Beijing opened in September 2021 with capacity restrictions.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Theme Parks Segment – Operating Costs and Expenses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costs and expenses increased for the three and nine months ended September 30, 2021 compared to the same periods in 2020 primarily due to the operation of our theme parks in the current year periods compared to temporary closures and capacity restrictions in the prior year periods and increased pre-opening costs and operating costs after the opening of Universal Beijing Resort in September 2021.</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NBCUniversal Headquarters, Other and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Headquarters and Other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right"/>
              <w:ind w:right="817"/>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w w:val="86"/>
              </w:rPr>
              <w:t>Increase/</w:t>
            </w:r>
          </w:p>
        </w:tc>
        <w:tc>
          <w:tcPr>
            <w:tcW w:w="340" w:type="dxa"/>
            <w:vAlign w:val="bottom"/>
          </w:tcPr>
          <w:p>
            <w:pPr>
              <w:spacing w:after="0"/>
              <w:rPr>
                <w:sz w:val="14"/>
                <w:szCs w:val="14"/>
                <w:color w:val="auto"/>
              </w:rPr>
            </w:pPr>
          </w:p>
        </w:tc>
        <w:tc>
          <w:tcPr>
            <w:tcW w:w="2460" w:type="dxa"/>
            <w:vAlign w:val="bottom"/>
            <w:gridSpan w:val="3"/>
          </w:tcPr>
          <w:p>
            <w:pPr>
              <w:jc w:val="right"/>
              <w:ind w:right="857"/>
              <w:spacing w:after="0"/>
              <w:rPr>
                <w:sz w:val="20"/>
                <w:szCs w:val="20"/>
                <w:color w:val="auto"/>
              </w:rPr>
            </w:pPr>
            <w:r>
              <w:rPr>
                <w:rFonts w:ascii="Arial" w:cs="Arial" w:eastAsia="Arial" w:hAnsi="Arial"/>
                <w:sz w:val="14"/>
                <w:szCs w:val="14"/>
                <w:color w:val="auto"/>
              </w:rPr>
              <w:t>Nine Months Ended</w:t>
            </w:r>
          </w:p>
        </w:tc>
        <w:tc>
          <w:tcPr>
            <w:tcW w:w="1240" w:type="dxa"/>
            <w:vAlign w:val="bottom"/>
          </w:tcPr>
          <w:p>
            <w:pPr>
              <w:jc w:val="center"/>
              <w:ind w:right="61"/>
              <w:spacing w:after="0"/>
              <w:rPr>
                <w:sz w:val="20"/>
                <w:szCs w:val="20"/>
                <w:color w:val="auto"/>
              </w:rPr>
            </w:pPr>
            <w:r>
              <w:rPr>
                <w:rFonts w:ascii="Arial" w:cs="Arial" w:eastAsia="Arial" w:hAnsi="Arial"/>
                <w:sz w:val="14"/>
                <w:szCs w:val="14"/>
                <w:color w:val="auto"/>
                <w:w w:val="86"/>
              </w:rPr>
              <w:t>Increase/</w:t>
            </w:r>
          </w:p>
        </w:tc>
      </w:tr>
      <w:tr>
        <w:trPr>
          <w:trHeight w:val="178"/>
        </w:trPr>
        <w:tc>
          <w:tcPr>
            <w:tcW w:w="3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86"/>
              </w:rPr>
              <w:t>(Decrease)</w:t>
            </w: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6"/>
              </w:rPr>
              <w:t>(Decrease)</w:t>
            </w:r>
          </w:p>
        </w:tc>
      </w:tr>
      <w:tr>
        <w:trPr>
          <w:trHeight w:val="17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2020</w:t>
            </w: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6"/>
              </w:rPr>
              <w:t>%</w:t>
            </w:r>
          </w:p>
        </w:tc>
      </w:tr>
      <w:tr>
        <w:trPr>
          <w:trHeight w:val="219"/>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28</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17"/>
              <w:spacing w:after="0"/>
              <w:rPr>
                <w:sz w:val="20"/>
                <w:szCs w:val="20"/>
                <w:color w:val="auto"/>
              </w:rPr>
            </w:pPr>
            <w:r>
              <w:rPr>
                <w:rFonts w:ascii="Arial" w:cs="Arial" w:eastAsia="Arial" w:hAnsi="Arial"/>
                <w:sz w:val="17"/>
                <w:szCs w:val="17"/>
                <w:color w:val="auto"/>
              </w:rPr>
              <w:t>12</w:t>
            </w:r>
          </w:p>
        </w:tc>
        <w:tc>
          <w:tcPr>
            <w:tcW w:w="1300" w:type="dxa"/>
            <w:vAlign w:val="bottom"/>
          </w:tcPr>
          <w:p>
            <w:pPr>
              <w:jc w:val="right"/>
              <w:ind w:right="1"/>
              <w:spacing w:after="0"/>
              <w:rPr>
                <w:sz w:val="20"/>
                <w:szCs w:val="20"/>
                <w:color w:val="auto"/>
              </w:rPr>
            </w:pPr>
            <w:r>
              <w:rPr>
                <w:rFonts w:ascii="Arial" w:cs="Arial" w:eastAsia="Arial" w:hAnsi="Arial"/>
                <w:sz w:val="17"/>
                <w:szCs w:val="17"/>
                <w:color w:val="auto"/>
              </w:rPr>
              <w:t>121.4 %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65</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17"/>
              <w:spacing w:after="0"/>
              <w:rPr>
                <w:sz w:val="20"/>
                <w:szCs w:val="20"/>
                <w:color w:val="auto"/>
              </w:rPr>
            </w:pPr>
            <w:r>
              <w:rPr>
                <w:rFonts w:ascii="Arial" w:cs="Arial" w:eastAsia="Arial" w:hAnsi="Arial"/>
                <w:sz w:val="17"/>
                <w:szCs w:val="17"/>
                <w:color w:val="auto"/>
              </w:rPr>
              <w:t>32</w:t>
            </w:r>
          </w:p>
        </w:tc>
        <w:tc>
          <w:tcPr>
            <w:tcW w:w="1240" w:type="dxa"/>
            <w:vAlign w:val="bottom"/>
          </w:tcPr>
          <w:p>
            <w:pPr>
              <w:jc w:val="right"/>
              <w:spacing w:after="0"/>
              <w:rPr>
                <w:sz w:val="20"/>
                <w:szCs w:val="20"/>
                <w:color w:val="auto"/>
              </w:rPr>
            </w:pPr>
            <w:r>
              <w:rPr>
                <w:rFonts w:ascii="Arial" w:cs="Arial" w:eastAsia="Arial" w:hAnsi="Arial"/>
                <w:sz w:val="17"/>
                <w:szCs w:val="17"/>
                <w:color w:val="auto"/>
              </w:rPr>
              <w:t>103.7 %</w:t>
            </w:r>
          </w:p>
        </w:tc>
      </w:tr>
      <w:tr>
        <w:trPr>
          <w:trHeight w:val="22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276</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139</w:t>
            </w:r>
          </w:p>
        </w:tc>
        <w:tc>
          <w:tcPr>
            <w:tcW w:w="1300" w:type="dxa"/>
            <w:vAlign w:val="bottom"/>
            <w:tcBorders>
              <w:bottom w:val="single" w:sz="8" w:color="auto"/>
            </w:tcBorders>
          </w:tcPr>
          <w:p>
            <w:pPr>
              <w:jc w:val="right"/>
              <w:ind w:right="221"/>
              <w:spacing w:after="0"/>
              <w:rPr>
                <w:sz w:val="20"/>
                <w:szCs w:val="20"/>
                <w:color w:val="auto"/>
              </w:rPr>
            </w:pPr>
            <w:r>
              <w:rPr>
                <w:rFonts w:ascii="Arial" w:cs="Arial" w:eastAsia="Arial" w:hAnsi="Arial"/>
                <w:sz w:val="17"/>
                <w:szCs w:val="17"/>
                <w:color w:val="auto"/>
              </w:rPr>
              <w:t>97.4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709</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462</w:t>
            </w: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7"/>
                <w:szCs w:val="17"/>
                <w:color w:val="auto"/>
              </w:rPr>
              <w:t>53.2</w:t>
            </w:r>
          </w:p>
        </w:tc>
      </w:tr>
      <w:tr>
        <w:trPr>
          <w:trHeight w:val="22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(248)</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(127)</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(95.1)%</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(643)</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(430)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Operating costs and expenses include overhead, personnel costs and costs associated with corporate initiatives.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817"/>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w w:val="86"/>
              </w:rPr>
              <w:t>Increase/</w:t>
            </w:r>
          </w:p>
        </w:tc>
        <w:tc>
          <w:tcPr>
            <w:tcW w:w="340" w:type="dxa"/>
            <w:vAlign w:val="bottom"/>
          </w:tcPr>
          <w:p>
            <w:pPr>
              <w:spacing w:after="0"/>
              <w:rPr>
                <w:sz w:val="14"/>
                <w:szCs w:val="14"/>
                <w:color w:val="auto"/>
              </w:rPr>
            </w:pPr>
          </w:p>
        </w:tc>
        <w:tc>
          <w:tcPr>
            <w:tcW w:w="2460" w:type="dxa"/>
            <w:vAlign w:val="bottom"/>
            <w:gridSpan w:val="3"/>
          </w:tcPr>
          <w:p>
            <w:pPr>
              <w:jc w:val="right"/>
              <w:ind w:right="837"/>
              <w:spacing w:after="0"/>
              <w:rPr>
                <w:sz w:val="20"/>
                <w:szCs w:val="20"/>
                <w:color w:val="auto"/>
              </w:rPr>
            </w:pPr>
            <w:r>
              <w:rPr>
                <w:rFonts w:ascii="Arial" w:cs="Arial" w:eastAsia="Arial" w:hAnsi="Arial"/>
                <w:sz w:val="14"/>
                <w:szCs w:val="14"/>
                <w:color w:val="auto"/>
              </w:rPr>
              <w:t>Nine Months Ended</w:t>
            </w:r>
          </w:p>
        </w:tc>
        <w:tc>
          <w:tcPr>
            <w:tcW w:w="1260" w:type="dxa"/>
            <w:vAlign w:val="bottom"/>
          </w:tcPr>
          <w:p>
            <w:pPr>
              <w:jc w:val="center"/>
              <w:ind w:right="41"/>
              <w:spacing w:after="0"/>
              <w:rPr>
                <w:sz w:val="20"/>
                <w:szCs w:val="20"/>
                <w:color w:val="auto"/>
              </w:rPr>
            </w:pPr>
            <w:r>
              <w:rPr>
                <w:rFonts w:ascii="Arial" w:cs="Arial" w:eastAsia="Arial" w:hAnsi="Arial"/>
                <w:sz w:val="14"/>
                <w:szCs w:val="14"/>
                <w:color w:val="auto"/>
                <w:w w:val="86"/>
              </w:rPr>
              <w:t>Increase/</w:t>
            </w:r>
          </w:p>
        </w:tc>
      </w:tr>
      <w:tr>
        <w:trPr>
          <w:trHeight w:val="178"/>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86"/>
              </w:rPr>
              <w:t>(Decrease)</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9"/>
              </w:rPr>
              <w:t>(Decrease)</w:t>
            </w:r>
          </w:p>
        </w:tc>
      </w:tr>
      <w:tr>
        <w:trPr>
          <w:trHeight w:val="17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w w:val="96"/>
              </w:rPr>
              <w:t>2020</w:t>
            </w: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79"/>
              </w:rPr>
              <w:t>%</w:t>
            </w:r>
          </w:p>
        </w:tc>
      </w:tr>
      <w:tr>
        <w:trPr>
          <w:trHeight w:val="219"/>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(654)</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7"/>
              <w:spacing w:after="0"/>
              <w:rPr>
                <w:sz w:val="20"/>
                <w:szCs w:val="20"/>
                <w:color w:val="auto"/>
              </w:rPr>
            </w:pPr>
            <w:r>
              <w:rPr>
                <w:rFonts w:ascii="Arial" w:cs="Arial" w:eastAsia="Arial" w:hAnsi="Arial"/>
                <w:sz w:val="17"/>
                <w:szCs w:val="17"/>
                <w:color w:val="auto"/>
              </w:rPr>
              <w:t>(551)</w:t>
            </w:r>
          </w:p>
        </w:tc>
        <w:tc>
          <w:tcPr>
            <w:tcW w:w="1300" w:type="dxa"/>
            <w:vAlign w:val="bottom"/>
          </w:tcPr>
          <w:p>
            <w:pPr>
              <w:jc w:val="right"/>
              <w:spacing w:after="0"/>
              <w:rPr>
                <w:sz w:val="20"/>
                <w:szCs w:val="20"/>
                <w:color w:val="auto"/>
              </w:rPr>
            </w:pPr>
            <w:r>
              <w:rPr>
                <w:rFonts w:ascii="Arial" w:cs="Arial" w:eastAsia="Arial" w:hAnsi="Arial"/>
                <w:sz w:val="17"/>
                <w:szCs w:val="17"/>
                <w:color w:val="auto"/>
              </w:rPr>
              <w:t>18.4 %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(2,230)</w:t>
            </w:r>
          </w:p>
        </w:tc>
        <w:tc>
          <w:tcPr>
            <w:tcW w:w="48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7"/>
              <w:spacing w:after="0"/>
              <w:rPr>
                <w:sz w:val="20"/>
                <w:szCs w:val="20"/>
                <w:color w:val="auto"/>
              </w:rPr>
            </w:pPr>
            <w:r>
              <w:rPr>
                <w:rFonts w:ascii="Arial" w:cs="Arial" w:eastAsia="Arial" w:hAnsi="Arial"/>
                <w:sz w:val="17"/>
                <w:szCs w:val="17"/>
                <w:color w:val="auto"/>
              </w:rPr>
              <w:t>(1,623)</w:t>
            </w:r>
          </w:p>
        </w:tc>
        <w:tc>
          <w:tcPr>
            <w:tcW w:w="1260" w:type="dxa"/>
            <w:vAlign w:val="bottom"/>
          </w:tcPr>
          <w:p>
            <w:pPr>
              <w:jc w:val="right"/>
              <w:spacing w:after="0"/>
              <w:rPr>
                <w:sz w:val="20"/>
                <w:szCs w:val="20"/>
                <w:color w:val="auto"/>
              </w:rPr>
            </w:pPr>
            <w:r>
              <w:rPr>
                <w:rFonts w:ascii="Arial" w:cs="Arial" w:eastAsia="Arial" w:hAnsi="Arial"/>
                <w:sz w:val="17"/>
                <w:szCs w:val="17"/>
                <w:color w:val="auto"/>
              </w:rPr>
              <w:t>37.3 %</w:t>
            </w:r>
          </w:p>
        </w:tc>
      </w:tr>
      <w:tr>
        <w:trPr>
          <w:trHeight w:val="22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(437)</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7"/>
                <w:szCs w:val="17"/>
                <w:color w:val="auto"/>
              </w:rPr>
              <w:t>45.6</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(1,992)</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(1,399)</w:t>
            </w: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7"/>
                <w:szCs w:val="17"/>
                <w:color w:val="auto"/>
              </w:rPr>
              <w:t>42.2</w:t>
            </w:r>
          </w:p>
        </w:tc>
      </w:tr>
      <w:tr>
        <w:trPr>
          <w:trHeight w:val="22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(114)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(88.9)%</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(238)</w:t>
            </w:r>
          </w:p>
        </w:tc>
        <w:tc>
          <w:tcPr>
            <w:tcW w:w="4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6.7 %</w:t>
            </w:r>
          </w:p>
        </w:tc>
      </w:tr>
    </w:tbl>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Amounts represent eliminations of transactions between our NBCUniversal segments, which are affected by the timing of recognition of content licenses between our Studios and Media segments. Current year amounts include the impact of a new licensing agreement for content that became exclusively available for streaming on Peacock during the first quarter of 2021, and prior year amounts include the impacts of initial licenses of content associated with the launch of Peacock.</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the three and nine months ended September 30, 2021, approximately 37% and 41%, respectively, of Studios segment content licensing revenue resulted from transactions with other segments, primarily with the Media segment. For the three and nine months ended September 30, 2020, approximately 39% and 35%, respectively, of Studios segment content licensing revenue resulted from transactions with other segments, primarily with the Media segment. Eliminations will increase or decrease to the extent that additional content is made available to our other segments. Refer to Note 2 for further discussion of transactions between our segments.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Sky Segment Results of Operations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vMerge w:val="restart"/>
          </w:tcPr>
          <w:p>
            <w:pPr>
              <w:jc w:val="right"/>
              <w:ind w:right="334"/>
              <w:spacing w:after="0"/>
              <w:rPr>
                <w:sz w:val="20"/>
                <w:szCs w:val="20"/>
                <w:color w:val="auto"/>
              </w:rPr>
            </w:pPr>
            <w:r>
              <w:rPr>
                <w:rFonts w:ascii="Arial" w:cs="Arial" w:eastAsia="Arial" w:hAnsi="Arial"/>
                <w:sz w:val="14"/>
                <w:szCs w:val="14"/>
                <w:color w:val="auto"/>
                <w:w w:val="97"/>
              </w:rPr>
              <w:t>Three Months Ended</w:t>
            </w:r>
          </w:p>
        </w:tc>
        <w:tc>
          <w:tcPr>
            <w:tcW w:w="1180" w:type="dxa"/>
            <w:vAlign w:val="bottom"/>
            <w:vMerge w:val="restart"/>
          </w:tcPr>
          <w:p>
            <w:pPr>
              <w:jc w:val="center"/>
              <w:ind w:right="97"/>
              <w:spacing w:after="0"/>
              <w:rPr>
                <w:sz w:val="20"/>
                <w:szCs w:val="20"/>
                <w:color w:val="auto"/>
              </w:rPr>
            </w:pPr>
            <w:r>
              <w:rPr>
                <w:rFonts w:ascii="Arial" w:cs="Arial" w:eastAsia="Arial" w:hAnsi="Arial"/>
                <w:sz w:val="14"/>
                <w:szCs w:val="14"/>
                <w:color w:val="auto"/>
                <w:w w:val="90"/>
              </w:rPr>
              <w:t>Increase/</w:t>
            </w:r>
          </w:p>
        </w:tc>
        <w:tc>
          <w:tcPr>
            <w:tcW w:w="1000" w:type="dxa"/>
            <w:vAlign w:val="bottom"/>
          </w:tcPr>
          <w:p>
            <w:pPr>
              <w:jc w:val="center"/>
              <w:ind w:right="18"/>
              <w:spacing w:after="0"/>
              <w:rPr>
                <w:sz w:val="20"/>
                <w:szCs w:val="20"/>
                <w:color w:val="auto"/>
              </w:rPr>
            </w:pPr>
            <w:r>
              <w:rPr>
                <w:rFonts w:ascii="Arial" w:cs="Arial" w:eastAsia="Arial" w:hAnsi="Arial"/>
                <w:sz w:val="14"/>
                <w:szCs w:val="14"/>
                <w:color w:val="auto"/>
                <w:w w:val="89"/>
              </w:rPr>
              <w:t>Constant</w:t>
            </w:r>
          </w:p>
        </w:tc>
        <w:tc>
          <w:tcPr>
            <w:tcW w:w="240" w:type="dxa"/>
            <w:vAlign w:val="bottom"/>
          </w:tcPr>
          <w:p>
            <w:pPr>
              <w:spacing w:after="0"/>
              <w:rPr>
                <w:sz w:val="14"/>
                <w:szCs w:val="14"/>
                <w:color w:val="auto"/>
              </w:rPr>
            </w:pPr>
          </w:p>
        </w:tc>
        <w:tc>
          <w:tcPr>
            <w:tcW w:w="1740" w:type="dxa"/>
            <w:vAlign w:val="bottom"/>
            <w:gridSpan w:val="3"/>
            <w:vMerge w:val="restart"/>
          </w:tcPr>
          <w:p>
            <w:pPr>
              <w:jc w:val="right"/>
              <w:ind w:right="374"/>
              <w:spacing w:after="0"/>
              <w:rPr>
                <w:sz w:val="20"/>
                <w:szCs w:val="20"/>
                <w:color w:val="auto"/>
              </w:rPr>
            </w:pPr>
            <w:r>
              <w:rPr>
                <w:rFonts w:ascii="Arial" w:cs="Arial" w:eastAsia="Arial" w:hAnsi="Arial"/>
                <w:sz w:val="14"/>
                <w:szCs w:val="14"/>
                <w:color w:val="auto"/>
              </w:rPr>
              <w:t>Nine Months Ended</w:t>
            </w:r>
          </w:p>
        </w:tc>
        <w:tc>
          <w:tcPr>
            <w:tcW w:w="820" w:type="dxa"/>
            <w:vAlign w:val="bottom"/>
            <w:vMerge w:val="restart"/>
          </w:tcPr>
          <w:p>
            <w:pPr>
              <w:jc w:val="center"/>
              <w:ind w:left="77"/>
              <w:spacing w:after="0"/>
              <w:rPr>
                <w:sz w:val="20"/>
                <w:szCs w:val="20"/>
                <w:color w:val="auto"/>
              </w:rPr>
            </w:pPr>
            <w:r>
              <w:rPr>
                <w:rFonts w:ascii="Arial" w:cs="Arial" w:eastAsia="Arial" w:hAnsi="Arial"/>
                <w:sz w:val="14"/>
                <w:szCs w:val="14"/>
                <w:color w:val="auto"/>
                <w:w w:val="86"/>
              </w:rPr>
              <w:t>Increase/</w:t>
            </w:r>
          </w:p>
        </w:tc>
        <w:tc>
          <w:tcPr>
            <w:tcW w:w="360" w:type="dxa"/>
            <w:vAlign w:val="bottom"/>
          </w:tcPr>
          <w:p>
            <w:pPr>
              <w:spacing w:after="0"/>
              <w:rPr>
                <w:sz w:val="14"/>
                <w:szCs w:val="14"/>
                <w:color w:val="auto"/>
              </w:rPr>
            </w:pPr>
          </w:p>
        </w:tc>
        <w:tc>
          <w:tcPr>
            <w:tcW w:w="760" w:type="dxa"/>
            <w:vAlign w:val="bottom"/>
          </w:tcPr>
          <w:p>
            <w:pPr>
              <w:jc w:val="center"/>
              <w:ind w:left="18"/>
              <w:spacing w:after="0"/>
              <w:rPr>
                <w:sz w:val="20"/>
                <w:szCs w:val="20"/>
                <w:color w:val="auto"/>
              </w:rPr>
            </w:pPr>
            <w:r>
              <w:rPr>
                <w:rFonts w:ascii="Arial" w:cs="Arial" w:eastAsia="Arial" w:hAnsi="Arial"/>
                <w:sz w:val="14"/>
                <w:szCs w:val="14"/>
                <w:color w:val="auto"/>
                <w:w w:val="89"/>
              </w:rPr>
              <w:t>Constant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00" w:type="dxa"/>
            <w:vAlign w:val="bottom"/>
          </w:tcPr>
          <w:p>
            <w:pPr>
              <w:jc w:val="center"/>
              <w:ind w:right="38"/>
              <w:spacing w:after="0" w:line="131" w:lineRule="exact"/>
              <w:rPr>
                <w:sz w:val="20"/>
                <w:szCs w:val="20"/>
                <w:color w:val="auto"/>
              </w:rPr>
            </w:pPr>
            <w:r>
              <w:rPr>
                <w:rFonts w:ascii="Arial" w:cs="Arial" w:eastAsia="Arial" w:hAnsi="Arial"/>
                <w:sz w:val="14"/>
                <w:szCs w:val="14"/>
                <w:color w:val="auto"/>
                <w:w w:val="91"/>
              </w:rPr>
              <w:t>Currency</w:t>
            </w:r>
          </w:p>
        </w:tc>
        <w:tc>
          <w:tcPr>
            <w:tcW w:w="2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left="38"/>
              <w:spacing w:after="0" w:line="131" w:lineRule="exact"/>
              <w:rPr>
                <w:sz w:val="20"/>
                <w:szCs w:val="20"/>
                <w:color w:val="auto"/>
              </w:rPr>
            </w:pPr>
            <w:r>
              <w:rPr>
                <w:rFonts w:ascii="Arial" w:cs="Arial" w:eastAsia="Arial" w:hAnsi="Arial"/>
                <w:sz w:val="14"/>
                <w:szCs w:val="14"/>
                <w:color w:val="auto"/>
                <w:w w:val="91"/>
              </w:rPr>
              <w:t>Currency</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September 30,</w:t>
            </w: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86"/>
              </w:rPr>
              <w:t>(Decrease)</w:t>
            </w:r>
          </w:p>
        </w:tc>
        <w:tc>
          <w:tcPr>
            <w:tcW w:w="1000" w:type="dxa"/>
            <w:vAlign w:val="bottom"/>
            <w:tcBorders>
              <w:bottom w:val="single" w:sz="8" w:color="auto"/>
            </w:tcBorders>
          </w:tcPr>
          <w:p>
            <w:pPr>
              <w:jc w:val="center"/>
              <w:ind w:right="18"/>
              <w:spacing w:after="0" w:line="183" w:lineRule="exact"/>
              <w:rPr>
                <w:sz w:val="20"/>
                <w:szCs w:val="20"/>
                <w:color w:val="auto"/>
              </w:rPr>
            </w:pPr>
            <w:r>
              <w:rPr>
                <w:rFonts w:ascii="Arial" w:cs="Arial" w:eastAsia="Arial" w:hAnsi="Arial"/>
                <w:sz w:val="14"/>
                <w:szCs w:val="14"/>
                <w:color w:val="auto"/>
                <w:w w:val="84"/>
              </w:rPr>
              <w:t>Change</w:t>
            </w:r>
            <w:r>
              <w:rPr>
                <w:rFonts w:ascii="Arial" w:cs="Arial" w:eastAsia="Arial" w:hAnsi="Arial"/>
                <w:sz w:val="18"/>
                <w:szCs w:val="18"/>
                <w:color w:val="auto"/>
                <w:w w:val="84"/>
                <w:vertAlign w:val="superscript"/>
              </w:rPr>
              <w:t>(a)</w:t>
            </w: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color w:val="auto"/>
                <w:w w:val="86"/>
              </w:rPr>
              <w:t>(Decrease)</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18"/>
              <w:spacing w:after="0" w:line="183" w:lineRule="exact"/>
              <w:rPr>
                <w:sz w:val="20"/>
                <w:szCs w:val="20"/>
                <w:color w:val="auto"/>
              </w:rPr>
            </w:pPr>
            <w:r>
              <w:rPr>
                <w:rFonts w:ascii="Arial" w:cs="Arial" w:eastAsia="Arial" w:hAnsi="Arial"/>
                <w:sz w:val="14"/>
                <w:szCs w:val="14"/>
                <w:color w:val="auto"/>
                <w:w w:val="84"/>
              </w:rPr>
              <w:t>Change</w:t>
            </w:r>
            <w:r>
              <w:rPr>
                <w:rFonts w:ascii="Arial" w:cs="Arial" w:eastAsia="Arial" w:hAnsi="Arial"/>
                <w:sz w:val="18"/>
                <w:szCs w:val="18"/>
                <w:color w:val="auto"/>
                <w:w w:val="84"/>
                <w:vertAlign w:val="superscript"/>
              </w:rPr>
              <w:t>(a)</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96"/>
              </w:rPr>
              <w:t>%</w:t>
            </w: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0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00" w:type="dxa"/>
            <w:vAlign w:val="bottom"/>
          </w:tcPr>
          <w:p>
            <w:pPr>
              <w:ind w:left="320"/>
              <w:spacing w:after="0"/>
              <w:rPr>
                <w:sz w:val="20"/>
                <w:szCs w:val="20"/>
                <w:color w:val="auto"/>
              </w:rPr>
            </w:pPr>
            <w:r>
              <w:rPr>
                <w:rFonts w:ascii="Arial" w:cs="Arial" w:eastAsia="Arial" w:hAnsi="Arial"/>
                <w:sz w:val="17"/>
                <w:szCs w:val="17"/>
                <w:color w:val="auto"/>
              </w:rPr>
              <w:t>Direct-to-consumer</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4,127</w:t>
            </w:r>
          </w:p>
        </w:tc>
        <w:tc>
          <w:tcPr>
            <w:tcW w:w="2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14"/>
              <w:spacing w:after="0"/>
              <w:rPr>
                <w:sz w:val="20"/>
                <w:szCs w:val="20"/>
                <w:color w:val="auto"/>
              </w:rPr>
            </w:pPr>
            <w:r>
              <w:rPr>
                <w:rFonts w:ascii="Arial" w:cs="Arial" w:eastAsia="Arial" w:hAnsi="Arial"/>
                <w:sz w:val="17"/>
                <w:szCs w:val="17"/>
                <w:color w:val="auto"/>
              </w:rPr>
              <w:t>3,943</w:t>
            </w: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4.7 %</w:t>
            </w:r>
          </w:p>
        </w:tc>
        <w:tc>
          <w:tcPr>
            <w:tcW w:w="1000" w:type="dxa"/>
            <w:vAlign w:val="bottom"/>
          </w:tcPr>
          <w:p>
            <w:pPr>
              <w:jc w:val="right"/>
              <w:spacing w:after="0"/>
              <w:rPr>
                <w:sz w:val="20"/>
                <w:szCs w:val="20"/>
                <w:color w:val="auto"/>
              </w:rPr>
            </w:pPr>
            <w:r>
              <w:rPr>
                <w:rFonts w:ascii="Arial" w:cs="Arial" w:eastAsia="Arial" w:hAnsi="Arial"/>
                <w:sz w:val="17"/>
                <w:szCs w:val="17"/>
                <w:color w:val="auto"/>
              </w:rPr>
              <w:t>(0.1) %</w:t>
            </w:r>
          </w:p>
        </w:tc>
        <w:tc>
          <w:tcPr>
            <w:tcW w:w="2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12,415</w:t>
            </w:r>
          </w:p>
        </w:tc>
        <w:tc>
          <w:tcPr>
            <w:tcW w:w="2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11,146</w:t>
            </w:r>
          </w:p>
        </w:tc>
        <w:tc>
          <w:tcPr>
            <w:tcW w:w="820" w:type="dxa"/>
            <w:vAlign w:val="bottom"/>
          </w:tcPr>
          <w:p>
            <w:pPr>
              <w:jc w:val="right"/>
              <w:spacing w:after="0"/>
              <w:rPr>
                <w:sz w:val="20"/>
                <w:szCs w:val="20"/>
                <w:color w:val="auto"/>
              </w:rPr>
            </w:pPr>
            <w:r>
              <w:rPr>
                <w:rFonts w:ascii="Arial" w:cs="Arial" w:eastAsia="Arial" w:hAnsi="Arial"/>
                <w:sz w:val="17"/>
                <w:szCs w:val="17"/>
                <w:color w:val="auto"/>
              </w:rPr>
              <w:t>11.4</w:t>
            </w:r>
          </w:p>
        </w:tc>
        <w:tc>
          <w:tcPr>
            <w:tcW w:w="3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3.1</w:t>
            </w:r>
          </w:p>
        </w:tc>
        <w:tc>
          <w:tcPr>
            <w:tcW w:w="20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23"/>
        </w:trPr>
        <w:tc>
          <w:tcPr>
            <w:tcW w:w="3000" w:type="dxa"/>
            <w:vAlign w:val="bottom"/>
          </w:tcPr>
          <w:p>
            <w:pPr>
              <w:ind w:left="320"/>
              <w:spacing w:after="0"/>
              <w:rPr>
                <w:sz w:val="20"/>
                <w:szCs w:val="20"/>
                <w:color w:val="auto"/>
              </w:rPr>
            </w:pPr>
            <w:r>
              <w:rPr>
                <w:rFonts w:ascii="Arial" w:cs="Arial" w:eastAsia="Arial" w:hAnsi="Arial"/>
                <w:sz w:val="17"/>
                <w:szCs w:val="17"/>
                <w:color w:val="auto"/>
              </w:rPr>
              <w:t>Content</w:t>
            </w:r>
          </w:p>
        </w:tc>
        <w:tc>
          <w:tcPr>
            <w:tcW w:w="18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300</w:t>
            </w:r>
          </w:p>
        </w:tc>
        <w:tc>
          <w:tcPr>
            <w:tcW w:w="28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7"/>
                <w:szCs w:val="17"/>
                <w:color w:val="auto"/>
              </w:rPr>
              <w:t>388</w:t>
            </w:r>
          </w:p>
        </w:tc>
        <w:tc>
          <w:tcPr>
            <w:tcW w:w="1180" w:type="dxa"/>
            <w:vAlign w:val="bottom"/>
          </w:tcPr>
          <w:p>
            <w:pPr>
              <w:jc w:val="right"/>
              <w:ind w:right="277"/>
              <w:spacing w:after="0"/>
              <w:rPr>
                <w:sz w:val="20"/>
                <w:szCs w:val="20"/>
                <w:color w:val="auto"/>
              </w:rPr>
            </w:pPr>
            <w:r>
              <w:rPr>
                <w:rFonts w:ascii="Arial" w:cs="Arial" w:eastAsia="Arial" w:hAnsi="Arial"/>
                <w:sz w:val="17"/>
                <w:szCs w:val="17"/>
                <w:color w:val="auto"/>
              </w:rPr>
              <w:t>(22.8)</w:t>
            </w:r>
          </w:p>
        </w:tc>
        <w:tc>
          <w:tcPr>
            <w:tcW w:w="1000" w:type="dxa"/>
            <w:vAlign w:val="bottom"/>
          </w:tcPr>
          <w:p>
            <w:pPr>
              <w:jc w:val="right"/>
              <w:ind w:right="158"/>
              <w:spacing w:after="0"/>
              <w:rPr>
                <w:sz w:val="20"/>
                <w:szCs w:val="20"/>
                <w:color w:val="auto"/>
              </w:rPr>
            </w:pPr>
            <w:r>
              <w:rPr>
                <w:rFonts w:ascii="Arial" w:cs="Arial" w:eastAsia="Arial" w:hAnsi="Arial"/>
                <w:sz w:val="17"/>
                <w:szCs w:val="17"/>
                <w:color w:val="auto"/>
              </w:rPr>
              <w:t>(26.4)</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1,013</w:t>
            </w:r>
          </w:p>
        </w:tc>
        <w:tc>
          <w:tcPr>
            <w:tcW w:w="280" w:type="dxa"/>
            <w:vAlign w:val="bottom"/>
          </w:tcPr>
          <w:p>
            <w:pPr>
              <w:spacing w:after="0"/>
              <w:rPr>
                <w:sz w:val="19"/>
                <w:szCs w:val="19"/>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947</w:t>
            </w:r>
          </w:p>
        </w:tc>
        <w:tc>
          <w:tcPr>
            <w:tcW w:w="820" w:type="dxa"/>
            <w:vAlign w:val="bottom"/>
          </w:tcPr>
          <w:p>
            <w:pPr>
              <w:jc w:val="right"/>
              <w:spacing w:after="0"/>
              <w:rPr>
                <w:sz w:val="20"/>
                <w:szCs w:val="20"/>
                <w:color w:val="auto"/>
              </w:rPr>
            </w:pPr>
            <w:r>
              <w:rPr>
                <w:rFonts w:ascii="Arial" w:cs="Arial" w:eastAsia="Arial" w:hAnsi="Arial"/>
                <w:sz w:val="17"/>
                <w:szCs w:val="17"/>
                <w:color w:val="auto"/>
              </w:rPr>
              <w:t>7.0</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Advertising</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561</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462</w:t>
            </w: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21.4</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7"/>
                <w:szCs w:val="17"/>
                <w:color w:val="auto"/>
              </w:rPr>
              <w:t>15.6</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1,777</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1,296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00" w:type="dxa"/>
            <w:vAlign w:val="bottom"/>
          </w:tcPr>
          <w:p>
            <w:pPr>
              <w:spacing w:after="0"/>
              <w:rPr>
                <w:sz w:val="20"/>
                <w:szCs w:val="20"/>
                <w:color w:val="auto"/>
              </w:rPr>
            </w:pPr>
            <w:r>
              <w:rPr>
                <w:rFonts w:ascii="Arial" w:cs="Arial" w:eastAsia="Arial" w:hAnsi="Arial"/>
                <w:sz w:val="17"/>
                <w:szCs w:val="17"/>
                <w:b w:val="1"/>
                <w:bCs w:val="1"/>
                <w:color w:val="auto"/>
              </w:rPr>
              <w:t>Total revenue</w:t>
            </w:r>
          </w:p>
        </w:tc>
        <w:tc>
          <w:tcPr>
            <w:tcW w:w="18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b w:val="1"/>
                <w:bCs w:val="1"/>
                <w:color w:val="auto"/>
              </w:rPr>
              <w:t>4,988</w:t>
            </w:r>
          </w:p>
        </w:tc>
        <w:tc>
          <w:tcPr>
            <w:tcW w:w="28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7"/>
                <w:szCs w:val="17"/>
                <w:b w:val="1"/>
                <w:bCs w:val="1"/>
                <w:color w:val="auto"/>
              </w:rPr>
              <w:t>4,793</w:t>
            </w:r>
          </w:p>
        </w:tc>
        <w:tc>
          <w:tcPr>
            <w:tcW w:w="1180" w:type="dxa"/>
            <w:vAlign w:val="bottom"/>
          </w:tcPr>
          <w:p>
            <w:pPr>
              <w:jc w:val="right"/>
              <w:ind w:right="317"/>
              <w:spacing w:after="0"/>
              <w:rPr>
                <w:sz w:val="20"/>
                <w:szCs w:val="20"/>
                <w:color w:val="auto"/>
              </w:rPr>
            </w:pPr>
            <w:r>
              <w:rPr>
                <w:rFonts w:ascii="Arial" w:cs="Arial" w:eastAsia="Arial" w:hAnsi="Arial"/>
                <w:sz w:val="17"/>
                <w:szCs w:val="17"/>
                <w:b w:val="1"/>
                <w:bCs w:val="1"/>
                <w:color w:val="auto"/>
              </w:rPr>
              <w:t>4.1</w:t>
            </w:r>
          </w:p>
        </w:tc>
        <w:tc>
          <w:tcPr>
            <w:tcW w:w="1000" w:type="dxa"/>
            <w:vAlign w:val="bottom"/>
          </w:tcPr>
          <w:p>
            <w:pPr>
              <w:jc w:val="right"/>
              <w:ind w:right="158"/>
              <w:spacing w:after="0"/>
              <w:rPr>
                <w:sz w:val="20"/>
                <w:szCs w:val="20"/>
                <w:color w:val="auto"/>
              </w:rPr>
            </w:pPr>
            <w:r>
              <w:rPr>
                <w:rFonts w:ascii="Arial" w:cs="Arial" w:eastAsia="Arial" w:hAnsi="Arial"/>
                <w:sz w:val="17"/>
                <w:szCs w:val="17"/>
                <w:b w:val="1"/>
                <w:bCs w:val="1"/>
                <w:color w:val="auto"/>
              </w:rPr>
              <w:t>(0.7)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15,205</w:t>
            </w:r>
          </w:p>
        </w:tc>
        <w:tc>
          <w:tcPr>
            <w:tcW w:w="28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b w:val="1"/>
                <w:bCs w:val="1"/>
                <w:color w:val="auto"/>
              </w:rPr>
              <w:t>13,389</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0" w:type="dxa"/>
            <w:vAlign w:val="bottom"/>
          </w:tcPr>
          <w:p>
            <w:pPr>
              <w:spacing w:after="0"/>
              <w:rPr>
                <w:sz w:val="20"/>
                <w:szCs w:val="20"/>
                <w:color w:val="auto"/>
              </w:rPr>
            </w:pPr>
            <w:r>
              <w:rPr>
                <w:rFonts w:ascii="Arial" w:cs="Arial" w:eastAsia="Arial" w:hAnsi="Arial"/>
                <w:sz w:val="17"/>
                <w:szCs w:val="17"/>
                <w:b w:val="1"/>
                <w:bCs w:val="1"/>
                <w:color w:val="auto"/>
              </w:rPr>
              <w:t>Operating costs and expenses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320"/>
              <w:spacing w:after="0"/>
              <w:rPr>
                <w:sz w:val="20"/>
                <w:szCs w:val="20"/>
                <w:color w:val="auto"/>
              </w:rPr>
            </w:pPr>
            <w:r>
              <w:rPr>
                <w:rFonts w:ascii="Arial" w:cs="Arial" w:eastAsia="Arial" w:hAnsi="Arial"/>
                <w:sz w:val="17"/>
                <w:szCs w:val="17"/>
                <w:color w:val="auto"/>
              </w:rPr>
              <w:t>Programming and production</w:t>
            </w:r>
          </w:p>
        </w:tc>
        <w:tc>
          <w:tcPr>
            <w:tcW w:w="18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1,779</w:t>
            </w:r>
          </w:p>
        </w:tc>
        <w:tc>
          <w:tcPr>
            <w:tcW w:w="28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7"/>
                <w:szCs w:val="17"/>
                <w:color w:val="auto"/>
              </w:rPr>
              <w:t>2,350</w:t>
            </w:r>
          </w:p>
        </w:tc>
        <w:tc>
          <w:tcPr>
            <w:tcW w:w="1180" w:type="dxa"/>
            <w:vAlign w:val="bottom"/>
          </w:tcPr>
          <w:p>
            <w:pPr>
              <w:jc w:val="right"/>
              <w:ind w:right="277"/>
              <w:spacing w:after="0"/>
              <w:rPr>
                <w:sz w:val="20"/>
                <w:szCs w:val="20"/>
                <w:color w:val="auto"/>
              </w:rPr>
            </w:pPr>
            <w:r>
              <w:rPr>
                <w:rFonts w:ascii="Arial" w:cs="Arial" w:eastAsia="Arial" w:hAnsi="Arial"/>
                <w:sz w:val="17"/>
                <w:szCs w:val="17"/>
                <w:color w:val="auto"/>
              </w:rPr>
              <w:t>(24.3)</w:t>
            </w:r>
          </w:p>
        </w:tc>
        <w:tc>
          <w:tcPr>
            <w:tcW w:w="1000" w:type="dxa"/>
            <w:vAlign w:val="bottom"/>
          </w:tcPr>
          <w:p>
            <w:pPr>
              <w:jc w:val="right"/>
              <w:ind w:right="158"/>
              <w:spacing w:after="0"/>
              <w:rPr>
                <w:sz w:val="20"/>
                <w:szCs w:val="20"/>
                <w:color w:val="auto"/>
              </w:rPr>
            </w:pPr>
            <w:r>
              <w:rPr>
                <w:rFonts w:ascii="Arial" w:cs="Arial" w:eastAsia="Arial" w:hAnsi="Arial"/>
                <w:sz w:val="17"/>
                <w:szCs w:val="17"/>
                <w:color w:val="auto"/>
              </w:rPr>
              <w:t>(27.2)</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6,710</w:t>
            </w:r>
          </w:p>
        </w:tc>
        <w:tc>
          <w:tcPr>
            <w:tcW w:w="280" w:type="dxa"/>
            <w:vAlign w:val="bottom"/>
          </w:tcPr>
          <w:p>
            <w:pPr>
              <w:spacing w:after="0"/>
              <w:rPr>
                <w:sz w:val="19"/>
                <w:szCs w:val="19"/>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5,957</w:t>
            </w:r>
          </w:p>
        </w:tc>
        <w:tc>
          <w:tcPr>
            <w:tcW w:w="820" w:type="dxa"/>
            <w:vAlign w:val="bottom"/>
          </w:tcPr>
          <w:p>
            <w:pPr>
              <w:jc w:val="right"/>
              <w:spacing w:after="0"/>
              <w:rPr>
                <w:sz w:val="20"/>
                <w:szCs w:val="20"/>
                <w:color w:val="auto"/>
              </w:rPr>
            </w:pPr>
            <w:r>
              <w:rPr>
                <w:rFonts w:ascii="Arial" w:cs="Arial" w:eastAsia="Arial" w:hAnsi="Arial"/>
                <w:sz w:val="17"/>
                <w:szCs w:val="17"/>
                <w:color w:val="auto"/>
              </w:rPr>
              <w:t>12.6</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320"/>
              <w:spacing w:after="0"/>
              <w:rPr>
                <w:sz w:val="20"/>
                <w:szCs w:val="20"/>
                <w:color w:val="auto"/>
              </w:rPr>
            </w:pPr>
            <w:r>
              <w:rPr>
                <w:rFonts w:ascii="Arial" w:cs="Arial" w:eastAsia="Arial" w:hAnsi="Arial"/>
                <w:sz w:val="17"/>
                <w:szCs w:val="17"/>
                <w:color w:val="auto"/>
              </w:rPr>
              <w:t>Direct network costs</w:t>
            </w:r>
          </w:p>
        </w:tc>
        <w:tc>
          <w:tcPr>
            <w:tcW w:w="18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647</w:t>
            </w:r>
          </w:p>
        </w:tc>
        <w:tc>
          <w:tcPr>
            <w:tcW w:w="28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7"/>
                <w:szCs w:val="17"/>
                <w:color w:val="auto"/>
              </w:rPr>
              <w:t>530</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22.2</w:t>
            </w:r>
          </w:p>
        </w:tc>
        <w:tc>
          <w:tcPr>
            <w:tcW w:w="1000" w:type="dxa"/>
            <w:vAlign w:val="bottom"/>
          </w:tcPr>
          <w:p>
            <w:pPr>
              <w:jc w:val="right"/>
              <w:ind w:right="198"/>
              <w:spacing w:after="0"/>
              <w:rPr>
                <w:sz w:val="20"/>
                <w:szCs w:val="20"/>
                <w:color w:val="auto"/>
              </w:rPr>
            </w:pPr>
            <w:r>
              <w:rPr>
                <w:rFonts w:ascii="Arial" w:cs="Arial" w:eastAsia="Arial" w:hAnsi="Arial"/>
                <w:sz w:val="17"/>
                <w:szCs w:val="17"/>
                <w:color w:val="auto"/>
              </w:rPr>
              <w:t>14.7</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1,903</w:t>
            </w:r>
          </w:p>
        </w:tc>
        <w:tc>
          <w:tcPr>
            <w:tcW w:w="280" w:type="dxa"/>
            <w:vAlign w:val="bottom"/>
          </w:tcPr>
          <w:p>
            <w:pPr>
              <w:spacing w:after="0"/>
              <w:rPr>
                <w:sz w:val="19"/>
                <w:szCs w:val="19"/>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1,485</w:t>
            </w:r>
          </w:p>
        </w:tc>
        <w:tc>
          <w:tcPr>
            <w:tcW w:w="820" w:type="dxa"/>
            <w:vAlign w:val="bottom"/>
          </w:tcPr>
          <w:p>
            <w:pPr>
              <w:jc w:val="right"/>
              <w:spacing w:after="0"/>
              <w:rPr>
                <w:sz w:val="20"/>
                <w:szCs w:val="20"/>
                <w:color w:val="auto"/>
              </w:rPr>
            </w:pPr>
            <w:r>
              <w:rPr>
                <w:rFonts w:ascii="Arial" w:cs="Arial" w:eastAsia="Arial" w:hAnsi="Arial"/>
                <w:sz w:val="17"/>
                <w:szCs w:val="17"/>
                <w:color w:val="auto"/>
              </w:rPr>
              <w:t>28.1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1,591</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1,398</w:t>
            </w: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13.7</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7"/>
                <w:szCs w:val="17"/>
                <w:color w:val="auto"/>
              </w:rPr>
              <w:t>8.5</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4,697</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4,132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operating costs and expenses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4,016</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4,278</w:t>
            </w: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(6.1)</w:t>
            </w: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color w:val="auto"/>
              </w:rPr>
              <w:t>(10.2)</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13,310</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11,574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971</w:t>
            </w:r>
          </w:p>
        </w:tc>
        <w:tc>
          <w:tcPr>
            <w:tcW w:w="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515</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88.8 %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76.2 %</w:t>
            </w:r>
          </w:p>
        </w:tc>
        <w:tc>
          <w:tcPr>
            <w:tcW w:w="2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1,895</w:t>
            </w:r>
          </w:p>
        </w:tc>
        <w:tc>
          <w:tcPr>
            <w:tcW w:w="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1,815</w:t>
            </w:r>
          </w:p>
        </w:tc>
        <w:tc>
          <w:tcPr>
            <w:tcW w:w="118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b w:val="1"/>
                <w:bCs w:val="1"/>
                <w:color w:val="auto"/>
              </w:rPr>
              <w:t>4.4 %</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(4.3)%</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144780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30" w:name="page31"/>
    <w:bookmarkEnd w:id="3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0" w:hanging="235"/>
        <w:spacing w:after="0" w:line="260" w:lineRule="auto"/>
        <w:tabs>
          <w:tab w:leader="none" w:pos="238"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30 for additional information, including our definition and our use of constant currency, and for a reconciliation of Sky’s constant currency growth rates.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Customer Metrics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446"/>
              <w:spacing w:after="0"/>
              <w:rPr>
                <w:sz w:val="20"/>
                <w:szCs w:val="20"/>
                <w:color w:val="auto"/>
              </w:rPr>
            </w:pPr>
            <w:r>
              <w:rPr>
                <w:rFonts w:ascii="Arial" w:cs="Arial" w:eastAsia="Arial" w:hAnsi="Arial"/>
                <w:sz w:val="14"/>
                <w:szCs w:val="14"/>
                <w:color w:val="auto"/>
              </w:rPr>
              <w:t>Net Additions / (Losses)</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2280" w:type="dxa"/>
            <w:vAlign w:val="bottom"/>
            <w:gridSpan w:val="2"/>
            <w:vMerge w:val="restart"/>
          </w:tcPr>
          <w:p>
            <w:pPr>
              <w:jc w:val="right"/>
              <w:ind w:right="761"/>
              <w:spacing w:after="0"/>
              <w:rPr>
                <w:sz w:val="20"/>
                <w:szCs w:val="20"/>
                <w:color w:val="auto"/>
              </w:rPr>
            </w:pPr>
            <w:r>
              <w:rPr>
                <w:rFonts w:ascii="Arial" w:cs="Arial" w:eastAsia="Arial" w:hAnsi="Arial"/>
                <w:sz w:val="14"/>
                <w:szCs w:val="14"/>
                <w:color w:val="auto"/>
              </w:rPr>
              <w:t>September 30,</w:t>
            </w:r>
          </w:p>
        </w:tc>
        <w:tc>
          <w:tcPr>
            <w:tcW w:w="1720" w:type="dxa"/>
            <w:vAlign w:val="bottom"/>
            <w:gridSpan w:val="2"/>
          </w:tcPr>
          <w:p>
            <w:pPr>
              <w:ind w:left="440"/>
              <w:spacing w:after="0" w:line="129" w:lineRule="exact"/>
              <w:rPr>
                <w:sz w:val="20"/>
                <w:szCs w:val="20"/>
                <w:color w:val="auto"/>
              </w:rPr>
            </w:pPr>
            <w:r>
              <w:rPr>
                <w:rFonts w:ascii="Arial" w:cs="Arial" w:eastAsia="Arial" w:hAnsi="Arial"/>
                <w:sz w:val="14"/>
                <w:szCs w:val="14"/>
                <w:color w:val="auto"/>
                <w:w w:val="96"/>
              </w:rPr>
              <w:t>Three Months Ended</w:t>
            </w:r>
          </w:p>
        </w:tc>
        <w:tc>
          <w:tcPr>
            <w:tcW w:w="520" w:type="dxa"/>
            <w:vAlign w:val="bottom"/>
          </w:tcPr>
          <w:p>
            <w:pPr>
              <w:spacing w:after="0"/>
              <w:rPr>
                <w:sz w:val="11"/>
                <w:szCs w:val="11"/>
                <w:color w:val="auto"/>
              </w:rPr>
            </w:pPr>
          </w:p>
        </w:tc>
        <w:tc>
          <w:tcPr>
            <w:tcW w:w="1900" w:type="dxa"/>
            <w:vAlign w:val="bottom"/>
            <w:gridSpan w:val="2"/>
          </w:tcPr>
          <w:p>
            <w:pPr>
              <w:ind w:left="300"/>
              <w:spacing w:after="0" w:line="129"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8"/>
        </w:trPr>
        <w:tc>
          <w:tcPr>
            <w:tcW w:w="4820" w:type="dxa"/>
            <w:vAlign w:val="bottom"/>
          </w:tcPr>
          <w:p>
            <w:pPr>
              <w:spacing w:after="0"/>
              <w:rPr>
                <w:sz w:val="15"/>
                <w:szCs w:val="15"/>
                <w:color w:val="auto"/>
              </w:rPr>
            </w:pPr>
          </w:p>
        </w:tc>
        <w:tc>
          <w:tcPr>
            <w:tcW w:w="2280" w:type="dxa"/>
            <w:vAlign w:val="bottom"/>
            <w:tcBorders>
              <w:bottom w:val="single" w:sz="8" w:color="auto"/>
            </w:tcBorders>
            <w:gridSpan w:val="2"/>
            <w:vMerge w:val="continue"/>
          </w:tcPr>
          <w:p>
            <w:pPr>
              <w:spacing w:after="0"/>
              <w:rPr>
                <w:sz w:val="15"/>
                <w:szCs w:val="15"/>
                <w:color w:val="auto"/>
              </w:rPr>
            </w:pPr>
          </w:p>
        </w:tc>
        <w:tc>
          <w:tcPr>
            <w:tcW w:w="17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7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color w:val="auto"/>
              </w:rPr>
              <w:t>2021</w:t>
            </w: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customer relationships</w:t>
            </w:r>
          </w:p>
        </w:tc>
        <w:tc>
          <w:tcPr>
            <w:tcW w:w="1200" w:type="dxa"/>
            <w:vAlign w:val="bottom"/>
            <w:tcBorders>
              <w:bottom w:val="single" w:sz="8" w:color="auto"/>
            </w:tcBorders>
          </w:tcPr>
          <w:p>
            <w:pPr>
              <w:jc w:val="right"/>
              <w:ind w:right="144"/>
              <w:spacing w:after="0"/>
              <w:rPr>
                <w:sz w:val="20"/>
                <w:szCs w:val="20"/>
                <w:color w:val="auto"/>
              </w:rPr>
            </w:pPr>
            <w:r>
              <w:rPr>
                <w:rFonts w:ascii="Arial" w:cs="Arial" w:eastAsia="Arial" w:hAnsi="Arial"/>
                <w:sz w:val="17"/>
                <w:szCs w:val="17"/>
                <w:color w:val="auto"/>
              </w:rPr>
              <w:t>22,966</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7"/>
                <w:szCs w:val="17"/>
                <w:color w:val="auto"/>
              </w:rPr>
              <w:t>22,981</w:t>
            </w: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(233)</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99"/>
              </w:rPr>
              <w:t>(21)</w:t>
            </w: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(259)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Customer metrics are presented based on actual amounts. Minor differences may exist due to rounding. Customer relationships represent the number of residential customers that subscribe to at least one of Sky’s four primary services of video, broadband, voice and wireless phone service. Sky reports commercial customers, including hotels, bars, workplaces and restaurants, generally based on the number of locations receiving our services. In the first quarter of 2021, we implemented conforming changes to our methodology for counting commercial customers in Italy and Germany, which are now counted as described above, consistent with customers in the United Kingdom. Previously these customers were counted based on a residential equivalent unit in Italy and the number of active venues or rooms in Germany. This change resulted in a reduction in Sky’s total customer relationships of 714,000 as of December 31, 2020. The impact of the change in methodology to customer relationship net additions for any period was not material. For comparative purposes, we have updated Sky’s historical total customer relationships and average monthly direct-to-consumer revenue per customer relationship to reflect this adjustment.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restart"/>
          </w:tcPr>
          <w:p>
            <w:pPr>
              <w:jc w:val="center"/>
              <w:ind w:right="161"/>
              <w:spacing w:after="0"/>
              <w:rPr>
                <w:sz w:val="20"/>
                <w:szCs w:val="20"/>
                <w:color w:val="auto"/>
              </w:rPr>
            </w:pPr>
            <w:r>
              <w:rPr>
                <w:rFonts w:ascii="Arial" w:cs="Arial" w:eastAsia="Arial" w:hAnsi="Arial"/>
                <w:sz w:val="14"/>
                <w:szCs w:val="14"/>
                <w:color w:val="auto"/>
                <w:w w:val="90"/>
              </w:rPr>
              <w:t>Three Months Ended</w:t>
            </w:r>
          </w:p>
        </w:tc>
        <w:tc>
          <w:tcPr>
            <w:tcW w:w="1060" w:type="dxa"/>
            <w:vAlign w:val="bottom"/>
            <w:vMerge w:val="restart"/>
          </w:tcPr>
          <w:p>
            <w:pPr>
              <w:jc w:val="center"/>
              <w:ind w:right="86"/>
              <w:spacing w:after="0"/>
              <w:rPr>
                <w:sz w:val="20"/>
                <w:szCs w:val="20"/>
                <w:color w:val="auto"/>
              </w:rPr>
            </w:pPr>
            <w:r>
              <w:rPr>
                <w:rFonts w:ascii="Arial" w:cs="Arial" w:eastAsia="Arial" w:hAnsi="Arial"/>
                <w:sz w:val="14"/>
                <w:szCs w:val="14"/>
                <w:color w:val="auto"/>
                <w:w w:val="86"/>
              </w:rPr>
              <w:t>Increase/</w:t>
            </w:r>
          </w:p>
        </w:tc>
        <w:tc>
          <w:tcPr>
            <w:tcW w:w="1200" w:type="dxa"/>
            <w:vAlign w:val="bottom"/>
          </w:tcPr>
          <w:p>
            <w:pPr>
              <w:jc w:val="center"/>
              <w:ind w:right="367"/>
              <w:spacing w:after="0"/>
              <w:rPr>
                <w:sz w:val="20"/>
                <w:szCs w:val="20"/>
                <w:color w:val="auto"/>
              </w:rPr>
            </w:pPr>
            <w:r>
              <w:rPr>
                <w:rFonts w:ascii="Arial" w:cs="Arial" w:eastAsia="Arial" w:hAnsi="Arial"/>
                <w:sz w:val="14"/>
                <w:szCs w:val="14"/>
                <w:color w:val="auto"/>
                <w:w w:val="85"/>
              </w:rPr>
              <w:t>Constant</w:t>
            </w:r>
          </w:p>
        </w:tc>
        <w:tc>
          <w:tcPr>
            <w:tcW w:w="1540" w:type="dxa"/>
            <w:vAlign w:val="bottom"/>
            <w:gridSpan w:val="2"/>
            <w:vMerge w:val="restart"/>
          </w:tcPr>
          <w:p>
            <w:pPr>
              <w:ind w:left="80"/>
              <w:spacing w:after="0"/>
              <w:rPr>
                <w:sz w:val="20"/>
                <w:szCs w:val="20"/>
                <w:color w:val="auto"/>
              </w:rPr>
            </w:pPr>
            <w:r>
              <w:rPr>
                <w:rFonts w:ascii="Arial" w:cs="Arial" w:eastAsia="Arial" w:hAnsi="Arial"/>
                <w:sz w:val="14"/>
                <w:szCs w:val="14"/>
                <w:color w:val="auto"/>
              </w:rPr>
              <w:t>Nine Months Ended</w:t>
            </w:r>
          </w:p>
        </w:tc>
        <w:tc>
          <w:tcPr>
            <w:tcW w:w="1080" w:type="dxa"/>
            <w:vAlign w:val="bottom"/>
            <w:vMerge w:val="restart"/>
          </w:tcPr>
          <w:p>
            <w:pPr>
              <w:jc w:val="center"/>
              <w:ind w:right="106"/>
              <w:spacing w:after="0"/>
              <w:rPr>
                <w:sz w:val="20"/>
                <w:szCs w:val="20"/>
                <w:color w:val="auto"/>
              </w:rPr>
            </w:pPr>
            <w:r>
              <w:rPr>
                <w:rFonts w:ascii="Arial" w:cs="Arial" w:eastAsia="Arial" w:hAnsi="Arial"/>
                <w:sz w:val="14"/>
                <w:szCs w:val="14"/>
                <w:color w:val="auto"/>
                <w:w w:val="86"/>
              </w:rPr>
              <w:t>Increase/</w:t>
            </w:r>
          </w:p>
        </w:tc>
        <w:tc>
          <w:tcPr>
            <w:tcW w:w="880" w:type="dxa"/>
            <w:vAlign w:val="bottom"/>
          </w:tcPr>
          <w:p>
            <w:pPr>
              <w:jc w:val="center"/>
              <w:ind w:right="27"/>
              <w:spacing w:after="0"/>
              <w:rPr>
                <w:sz w:val="20"/>
                <w:szCs w:val="20"/>
                <w:color w:val="auto"/>
              </w:rPr>
            </w:pPr>
            <w:r>
              <w:rPr>
                <w:rFonts w:ascii="Arial" w:cs="Arial" w:eastAsia="Arial" w:hAnsi="Arial"/>
                <w:sz w:val="14"/>
                <w:szCs w:val="14"/>
                <w:color w:val="auto"/>
                <w:w w:val="89"/>
              </w:rPr>
              <w:t>Constant</w:t>
            </w: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200" w:type="dxa"/>
            <w:vAlign w:val="bottom"/>
          </w:tcPr>
          <w:p>
            <w:pPr>
              <w:jc w:val="center"/>
              <w:ind w:right="367"/>
              <w:spacing w:after="0" w:line="131" w:lineRule="exact"/>
              <w:rPr>
                <w:sz w:val="20"/>
                <w:szCs w:val="20"/>
                <w:color w:val="auto"/>
              </w:rPr>
            </w:pPr>
            <w:r>
              <w:rPr>
                <w:rFonts w:ascii="Arial" w:cs="Arial" w:eastAsia="Arial" w:hAnsi="Arial"/>
                <w:sz w:val="14"/>
                <w:szCs w:val="14"/>
                <w:color w:val="auto"/>
                <w:w w:val="91"/>
              </w:rPr>
              <w:t>Currency</w:t>
            </w:r>
          </w:p>
        </w:tc>
        <w:tc>
          <w:tcPr>
            <w:tcW w:w="154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80" w:type="dxa"/>
            <w:vAlign w:val="bottom"/>
          </w:tcPr>
          <w:p>
            <w:pPr>
              <w:jc w:val="center"/>
              <w:ind w:right="47"/>
              <w:spacing w:after="0" w:line="131" w:lineRule="exact"/>
              <w:rPr>
                <w:sz w:val="20"/>
                <w:szCs w:val="20"/>
                <w:color w:val="auto"/>
              </w:rPr>
            </w:pPr>
            <w:r>
              <w:rPr>
                <w:rFonts w:ascii="Arial" w:cs="Arial" w:eastAsia="Arial" w:hAnsi="Arial"/>
                <w:sz w:val="14"/>
                <w:szCs w:val="14"/>
                <w:color w:val="auto"/>
                <w:w w:val="91"/>
              </w:rPr>
              <w:t>Currency</w:t>
            </w: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161"/>
              <w:spacing w:after="0"/>
              <w:rPr>
                <w:sz w:val="20"/>
                <w:szCs w:val="20"/>
                <w:color w:val="auto"/>
              </w:rPr>
            </w:pPr>
            <w:r>
              <w:rPr>
                <w:rFonts w:ascii="Arial" w:cs="Arial" w:eastAsia="Arial" w:hAnsi="Arial"/>
                <w:sz w:val="14"/>
                <w:szCs w:val="14"/>
                <w:color w:val="auto"/>
                <w:w w:val="89"/>
              </w:rPr>
              <w:t>September 30,</w:t>
            </w:r>
          </w:p>
        </w:tc>
        <w:tc>
          <w:tcPr>
            <w:tcW w:w="10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color w:val="auto"/>
                <w:w w:val="89"/>
              </w:rPr>
              <w:t>(Decrease)</w:t>
            </w:r>
          </w:p>
        </w:tc>
        <w:tc>
          <w:tcPr>
            <w:tcW w:w="1200" w:type="dxa"/>
            <w:vAlign w:val="bottom"/>
            <w:tcBorders>
              <w:bottom w:val="single" w:sz="8" w:color="auto"/>
            </w:tcBorders>
          </w:tcPr>
          <w:p>
            <w:pPr>
              <w:jc w:val="center"/>
              <w:ind w:right="367"/>
              <w:spacing w:after="0" w:line="183" w:lineRule="exact"/>
              <w:rPr>
                <w:sz w:val="20"/>
                <w:szCs w:val="20"/>
                <w:color w:val="auto"/>
              </w:rPr>
            </w:pPr>
            <w:r>
              <w:rPr>
                <w:rFonts w:ascii="Arial" w:cs="Arial" w:eastAsia="Arial" w:hAnsi="Arial"/>
                <w:sz w:val="14"/>
                <w:szCs w:val="14"/>
                <w:color w:val="auto"/>
                <w:w w:val="81"/>
              </w:rPr>
              <w:t>Change</w:t>
            </w:r>
            <w:r>
              <w:rPr>
                <w:rFonts w:ascii="Arial" w:cs="Arial" w:eastAsia="Arial" w:hAnsi="Arial"/>
                <w:sz w:val="18"/>
                <w:szCs w:val="18"/>
                <w:color w:val="auto"/>
                <w:w w:val="81"/>
                <w:vertAlign w:val="superscript"/>
              </w:rPr>
              <w:t>(a)</w:t>
            </w:r>
          </w:p>
        </w:tc>
        <w:tc>
          <w:tcPr>
            <w:tcW w:w="15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September 30,</w:t>
            </w:r>
          </w:p>
        </w:tc>
        <w:tc>
          <w:tcPr>
            <w:tcW w:w="108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color w:val="auto"/>
                <w:w w:val="86"/>
              </w:rPr>
              <w:t>(Decrease)</w:t>
            </w:r>
          </w:p>
        </w:tc>
        <w:tc>
          <w:tcPr>
            <w:tcW w:w="880" w:type="dxa"/>
            <w:vAlign w:val="bottom"/>
            <w:tcBorders>
              <w:bottom w:val="single" w:sz="8" w:color="auto"/>
            </w:tcBorders>
          </w:tcPr>
          <w:p>
            <w:pPr>
              <w:jc w:val="center"/>
              <w:ind w:right="47"/>
              <w:spacing w:after="0" w:line="183" w:lineRule="exact"/>
              <w:rPr>
                <w:sz w:val="20"/>
                <w:szCs w:val="20"/>
                <w:color w:val="auto"/>
              </w:rPr>
            </w:pPr>
            <w:r>
              <w:rPr>
                <w:rFonts w:ascii="Arial" w:cs="Arial" w:eastAsia="Arial" w:hAnsi="Arial"/>
                <w:sz w:val="14"/>
                <w:szCs w:val="14"/>
                <w:color w:val="auto"/>
                <w:w w:val="81"/>
              </w:rPr>
              <w:t>Change</w:t>
            </w:r>
            <w:r>
              <w:rPr>
                <w:rFonts w:ascii="Arial" w:cs="Arial" w:eastAsia="Arial" w:hAnsi="Arial"/>
                <w:sz w:val="18"/>
                <w:szCs w:val="18"/>
                <w:color w:val="auto"/>
                <w:w w:val="81"/>
                <w:vertAlign w:val="superscript"/>
              </w:rPr>
              <w:t>(a)</w:t>
            </w:r>
          </w:p>
        </w:tc>
        <w:tc>
          <w:tcPr>
            <w:tcW w:w="0" w:type="dxa"/>
            <w:vAlign w:val="bottom"/>
          </w:tcPr>
          <w:p>
            <w:pPr>
              <w:spacing w:after="0"/>
              <w:rPr>
                <w:sz w:val="1"/>
                <w:szCs w:val="1"/>
                <w:color w:val="auto"/>
              </w:rPr>
            </w:pPr>
          </w:p>
        </w:tc>
      </w:tr>
      <w:tr>
        <w:trPr>
          <w:trHeight w:val="174"/>
        </w:trPr>
        <w:tc>
          <w:tcPr>
            <w:tcW w:w="3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color w:val="auto"/>
              </w:rPr>
              <w:t>2021</w:t>
            </w: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color w:val="auto"/>
                <w:w w:val="96"/>
              </w:rPr>
              <w:t>%</w:t>
            </w:r>
          </w:p>
        </w:tc>
        <w:tc>
          <w:tcPr>
            <w:tcW w:w="1200" w:type="dxa"/>
            <w:vAlign w:val="bottom"/>
            <w:tcBorders>
              <w:bottom w:val="single" w:sz="8" w:color="auto"/>
            </w:tcBorders>
          </w:tcPr>
          <w:p>
            <w:pPr>
              <w:jc w:val="center"/>
              <w:ind w:right="367"/>
              <w:spacing w:after="0"/>
              <w:rPr>
                <w:sz w:val="20"/>
                <w:szCs w:val="20"/>
                <w:color w:val="auto"/>
              </w:rPr>
            </w:pPr>
            <w:r>
              <w:rPr>
                <w:rFonts w:ascii="Arial" w:cs="Arial" w:eastAsia="Arial" w:hAnsi="Arial"/>
                <w:sz w:val="14"/>
                <w:szCs w:val="14"/>
                <w:color w:val="auto"/>
                <w:w w:val="96"/>
              </w:rPr>
              <w:t>%</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color w:val="auto"/>
                <w:w w:val="96"/>
              </w:rPr>
              <w:t>%</w:t>
            </w:r>
          </w:p>
        </w:tc>
        <w:tc>
          <w:tcPr>
            <w:tcW w:w="8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7"/>
        </w:trPr>
        <w:tc>
          <w:tcPr>
            <w:tcW w:w="3760" w:type="dxa"/>
            <w:vAlign w:val="bottom"/>
          </w:tcPr>
          <w:p>
            <w:pPr>
              <w:ind w:left="20"/>
              <w:spacing w:after="0" w:line="167" w:lineRule="exact"/>
              <w:rPr>
                <w:sz w:val="20"/>
                <w:szCs w:val="20"/>
                <w:color w:val="auto"/>
              </w:rPr>
            </w:pPr>
            <w:r>
              <w:rPr>
                <w:rFonts w:ascii="Arial" w:cs="Arial" w:eastAsia="Arial" w:hAnsi="Arial"/>
                <w:sz w:val="17"/>
                <w:szCs w:val="17"/>
                <w:color w:val="auto"/>
              </w:rPr>
              <w:t>Average monthly direct-to-consumer revenue per</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ind w:right="6"/>
              <w:spacing w:after="0"/>
              <w:rPr>
                <w:sz w:val="20"/>
                <w:szCs w:val="20"/>
                <w:color w:val="auto"/>
              </w:rPr>
            </w:pPr>
            <w:r>
              <w:rPr>
                <w:rFonts w:ascii="Arial" w:cs="Arial" w:eastAsia="Arial" w:hAnsi="Arial"/>
                <w:sz w:val="17"/>
                <w:szCs w:val="17"/>
                <w:color w:val="auto"/>
              </w:rPr>
              <w:t>59.60 $</w:t>
            </w:r>
          </w:p>
        </w:tc>
        <w:tc>
          <w:tcPr>
            <w:tcW w:w="700" w:type="dxa"/>
            <w:vAlign w:val="bottom"/>
            <w:vMerge w:val="restart"/>
          </w:tcPr>
          <w:p>
            <w:pPr>
              <w:jc w:val="right"/>
              <w:ind w:right="61"/>
              <w:spacing w:after="0"/>
              <w:rPr>
                <w:sz w:val="20"/>
                <w:szCs w:val="20"/>
                <w:color w:val="auto"/>
              </w:rPr>
            </w:pPr>
            <w:r>
              <w:rPr>
                <w:rFonts w:ascii="Arial" w:cs="Arial" w:eastAsia="Arial" w:hAnsi="Arial"/>
                <w:sz w:val="17"/>
                <w:szCs w:val="17"/>
                <w:color w:val="auto"/>
              </w:rPr>
              <w:t>57.17</w:t>
            </w:r>
          </w:p>
        </w:tc>
        <w:tc>
          <w:tcPr>
            <w:tcW w:w="1060" w:type="dxa"/>
            <w:vAlign w:val="bottom"/>
            <w:vMerge w:val="restart"/>
          </w:tcPr>
          <w:p>
            <w:pPr>
              <w:jc w:val="right"/>
              <w:ind w:right="26"/>
              <w:spacing w:after="0"/>
              <w:rPr>
                <w:sz w:val="20"/>
                <w:szCs w:val="20"/>
                <w:color w:val="auto"/>
              </w:rPr>
            </w:pPr>
            <w:r>
              <w:rPr>
                <w:rFonts w:ascii="Arial" w:cs="Arial" w:eastAsia="Arial" w:hAnsi="Arial"/>
                <w:sz w:val="17"/>
                <w:szCs w:val="17"/>
                <w:color w:val="auto"/>
              </w:rPr>
              <w:t>4.3 %</w:t>
            </w:r>
          </w:p>
        </w:tc>
        <w:tc>
          <w:tcPr>
            <w:tcW w:w="1200" w:type="dxa"/>
            <w:vAlign w:val="bottom"/>
            <w:vMerge w:val="restart"/>
          </w:tcPr>
          <w:p>
            <w:pPr>
              <w:jc w:val="right"/>
              <w:ind w:right="7"/>
              <w:spacing w:after="0"/>
              <w:rPr>
                <w:sz w:val="20"/>
                <w:szCs w:val="20"/>
                <w:color w:val="auto"/>
              </w:rPr>
            </w:pPr>
            <w:r>
              <w:rPr>
                <w:rFonts w:ascii="Arial" w:cs="Arial" w:eastAsia="Arial" w:hAnsi="Arial"/>
                <w:sz w:val="17"/>
                <w:szCs w:val="17"/>
                <w:color w:val="auto"/>
              </w:rPr>
              <w:t>(0.5)%  $</w:t>
            </w:r>
          </w:p>
        </w:tc>
        <w:tc>
          <w:tcPr>
            <w:tcW w:w="820" w:type="dxa"/>
            <w:vAlign w:val="bottom"/>
            <w:vMerge w:val="restart"/>
          </w:tcPr>
          <w:p>
            <w:pPr>
              <w:jc w:val="right"/>
              <w:ind w:right="6"/>
              <w:spacing w:after="0"/>
              <w:rPr>
                <w:sz w:val="20"/>
                <w:szCs w:val="20"/>
                <w:color w:val="auto"/>
              </w:rPr>
            </w:pPr>
            <w:r>
              <w:rPr>
                <w:rFonts w:ascii="Arial" w:cs="Arial" w:eastAsia="Arial" w:hAnsi="Arial"/>
                <w:sz w:val="17"/>
                <w:szCs w:val="17"/>
                <w:color w:val="auto"/>
              </w:rPr>
              <w:t>59.72 $</w:t>
            </w:r>
          </w:p>
        </w:tc>
        <w:tc>
          <w:tcPr>
            <w:tcW w:w="720" w:type="dxa"/>
            <w:vAlign w:val="bottom"/>
            <w:vMerge w:val="restart"/>
          </w:tcPr>
          <w:p>
            <w:pPr>
              <w:jc w:val="right"/>
              <w:ind w:right="61"/>
              <w:spacing w:after="0"/>
              <w:rPr>
                <w:sz w:val="20"/>
                <w:szCs w:val="20"/>
                <w:color w:val="auto"/>
              </w:rPr>
            </w:pPr>
            <w:r>
              <w:rPr>
                <w:rFonts w:ascii="Arial" w:cs="Arial" w:eastAsia="Arial" w:hAnsi="Arial"/>
                <w:sz w:val="17"/>
                <w:szCs w:val="17"/>
                <w:color w:val="auto"/>
              </w:rPr>
              <w:t>53.54</w:t>
            </w:r>
          </w:p>
        </w:tc>
        <w:tc>
          <w:tcPr>
            <w:tcW w:w="1080" w:type="dxa"/>
            <w:vAlign w:val="bottom"/>
            <w:vMerge w:val="restart"/>
          </w:tcPr>
          <w:p>
            <w:pPr>
              <w:jc w:val="right"/>
              <w:ind w:right="46"/>
              <w:spacing w:after="0"/>
              <w:rPr>
                <w:sz w:val="20"/>
                <w:szCs w:val="20"/>
                <w:color w:val="auto"/>
              </w:rPr>
            </w:pPr>
            <w:r>
              <w:rPr>
                <w:rFonts w:ascii="Arial" w:cs="Arial" w:eastAsia="Arial" w:hAnsi="Arial"/>
                <w:sz w:val="17"/>
                <w:szCs w:val="17"/>
                <w:color w:val="auto"/>
              </w:rPr>
              <w:t>11.5 %</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22"/>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customer relationship</w:t>
            </w: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40" w:hanging="235"/>
        <w:spacing w:after="0" w:line="260" w:lineRule="auto"/>
        <w:tabs>
          <w:tab w:leader="none" w:pos="238"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30 for additional information, including our definition and our use of constant currency, and for a reconciliation of Sky’s constant currency growth rates.</w:t>
      </w:r>
    </w:p>
    <w:p>
      <w:pPr>
        <w:spacing w:after="0" w:line="7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monthly direct-to-consumer revenue per customer relationship is impacted by rate adjustments and changes in the types and levels of services received by Sky’s customers. Each of Sky’s services has a different contribution to Adjusted EBITDA. We believe average monthly direct-to-consumer revenue per customer relationship is useful in understanding the trends in our business across all of our direct-to-consumer service offerings.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Sky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Direct-to-Consumer</w:t>
      </w:r>
    </w:p>
    <w:p>
      <w:pPr>
        <w:spacing w:after="0" w:line="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Revenue increased for the three and nine months ended September 30, 2021 compared to the same periods in 2020. Excluding the impact of foreign currency, revenue remained consistent with the prior year period for the three months ended September 30, 2021 primarily due to consistent average revenue per customer relationship and customer relationships. Average revenue per customer relationship was impacted by rate increases in the United Kingdom, which were offset by declines in Italy compared to the prior year periods. Customer relationships included increases in the United Kingdom, offset by decreases in Italy compared to the prior year periods. The declines in customer relationships and average revenue per customer relationship in Italy primarily resulted from reduced broadcast rights for Lega Nazionale Professionisti Serie A (</w:t>
      </w:r>
      <w:r>
        <w:rPr>
          <w:rFonts w:ascii="Arial" w:cs="Arial" w:eastAsia="Arial" w:hAnsi="Arial"/>
          <w:sz w:val="15"/>
          <w:szCs w:val="15"/>
          <w:color w:val="auto"/>
        </w:rPr>
        <w:t>“</w:t>
      </w:r>
      <w:r>
        <w:rPr>
          <w:rFonts w:ascii="Arial" w:cs="Arial" w:eastAsia="Arial" w:hAnsi="Arial"/>
          <w:sz w:val="16"/>
          <w:szCs w:val="16"/>
          <w:color w:val="auto"/>
        </w:rPr>
        <w:t>Serie A</w:t>
      </w:r>
      <w:r>
        <w:rPr>
          <w:rFonts w:ascii="Arial" w:cs="Arial" w:eastAsia="Arial" w:hAnsi="Arial"/>
          <w:sz w:val="15"/>
          <w:szCs w:val="15"/>
          <w:color w:val="auto"/>
        </w:rPr>
        <w:t>”</w:t>
      </w:r>
      <w:r>
        <w:rPr>
          <w:rFonts w:ascii="Arial" w:cs="Arial" w:eastAsia="Arial" w:hAnsi="Arial"/>
          <w:sz w:val="16"/>
          <w:szCs w:val="16"/>
          <w:color w:val="auto"/>
        </w:rPr>
        <w:t>), which we had held through the end of the 2020-2021 season. Beginning with the 2021-2022 season in the third quarter of 2021 and through the 2023-2024 season, we have nonexclusive broadcast rights to fewer matches, which has resulted and we expect will continue to result in declines in revenue and customer relationships in Italy.</w:t>
      </w:r>
    </w:p>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Excluding the impact of foreign currency, revenue increased for the nine months ended September 30, 2021 primarily due to increased average revenue per customer relationship. Average revenue per customer relationship increased primarily due to rate increases in the United Kingdom and the impacts of COVID-19 in the prior year period, partially offset by a decline in Italy related to Serie A. Customer relationships remained consistent with the prior year period due to increases in the United Kingdom, offset by decreases in Italy compared to the prior year period.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Content</w:t>
      </w:r>
    </w:p>
    <w:p>
      <w:pPr>
        <w:spacing w:after="0" w:line="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Revenue decreased for the three months ended September 30, 2021 compared to the same period in 2020. Excluding the impact of foreign currency, revenue decreased for the three months ended September 30, 2021 primarily due to sports programming licensing revenue, which included revenue for the Union of European Football Associations Champions League in Germany and Italy and Serie A in the prior year period, as well as the timing of sporting events compared to the prior year period due to COVID-19.</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increased for the nine months ended September 30, 2021 compared to the same period in 2020. Excluding the impact of foreign currency, revenue remained consistent with the prior year period primarily due to lower revenue from sports programming licensing agreements in the current year period, offset by higher revenue from the distribution of Sky’s sports programming on third-party platforms due to the impacts of COVID-19 in the prior year period.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increased for the three and nine months ended September 30, 2021 compared to the same periods in 2020. Excluding the impact of foreign currency, revenue increased primarily reflecting an overall market recovery compared to the prior year periods.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Sky Segment – Operating Costs and Expenses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Programming and production costs decreased for the three months ended September 30, 2021 compared to the same period in 2020. Excluding the impact of foreign currency, programming and production costs decreased for the three months ended September 30, 2021 primarily due to the timing of recognition of costs related to sporting events, including additional events in the prior year period due to COVID-19 and lower costs associated with Serie A in the current year period. Programming and production costs increased for the nine months ended September 30, 2021 compared to the same period in 2020. Excluding the impact of foreign currency, programming and production costs increased for the nine months ended September 30, 2021 primarily due to an increase in the number of sporting events in the current year period due to COVID-19, including the impacts of the delayed starts of the 2020-2021 European football seasons in the prior year period, partially offset by lower costs associated with Serie A in the current year period.</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network costs increased for the three and nine months ended September 30, 2021 compared to the same periods in 2020. Excluding the impact of foreign currency, direct network costs increased primarily due to increases in costs associated with Sky’s wireless phone and broadband services from increases in the sale of handsets and the number of customers receiving these services.</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expenses increased for the three and nine months ended September 30, 2021 compared to the same periods in 2020. Excluding the impact of foreign currency, other expenses increased primarily due to higher fees paid to third-party channels related to advertising sales and higher marketing costs, reflecting the impact of COVID-19 in the prior year periods, as well as higher customer service costs in the current year periods, partially offset by lower personnel costs.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Other and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817"/>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w w:val="86"/>
              </w:rPr>
              <w:t>Increase/</w:t>
            </w:r>
          </w:p>
        </w:tc>
        <w:tc>
          <w:tcPr>
            <w:tcW w:w="340" w:type="dxa"/>
            <w:vAlign w:val="bottom"/>
          </w:tcPr>
          <w:p>
            <w:pPr>
              <w:spacing w:after="0"/>
              <w:rPr>
                <w:sz w:val="14"/>
                <w:szCs w:val="14"/>
                <w:color w:val="auto"/>
              </w:rPr>
            </w:pPr>
          </w:p>
        </w:tc>
        <w:tc>
          <w:tcPr>
            <w:tcW w:w="2460" w:type="dxa"/>
            <w:vAlign w:val="bottom"/>
            <w:gridSpan w:val="3"/>
          </w:tcPr>
          <w:p>
            <w:pPr>
              <w:jc w:val="right"/>
              <w:ind w:right="837"/>
              <w:spacing w:after="0"/>
              <w:rPr>
                <w:sz w:val="20"/>
                <w:szCs w:val="20"/>
                <w:color w:val="auto"/>
              </w:rPr>
            </w:pPr>
            <w:r>
              <w:rPr>
                <w:rFonts w:ascii="Arial" w:cs="Arial" w:eastAsia="Arial" w:hAnsi="Arial"/>
                <w:sz w:val="14"/>
                <w:szCs w:val="14"/>
                <w:color w:val="auto"/>
              </w:rPr>
              <w:t>Nine Months Ended</w:t>
            </w:r>
          </w:p>
        </w:tc>
        <w:tc>
          <w:tcPr>
            <w:tcW w:w="1260" w:type="dxa"/>
            <w:vAlign w:val="bottom"/>
          </w:tcPr>
          <w:p>
            <w:pPr>
              <w:jc w:val="center"/>
              <w:ind w:right="41"/>
              <w:spacing w:after="0"/>
              <w:rPr>
                <w:sz w:val="20"/>
                <w:szCs w:val="20"/>
                <w:color w:val="auto"/>
              </w:rPr>
            </w:pPr>
            <w:r>
              <w:rPr>
                <w:rFonts w:ascii="Arial" w:cs="Arial" w:eastAsia="Arial" w:hAnsi="Arial"/>
                <w:sz w:val="14"/>
                <w:szCs w:val="14"/>
                <w:color w:val="auto"/>
                <w:w w:val="86"/>
              </w:rPr>
              <w:t>Increase/</w:t>
            </w:r>
          </w:p>
        </w:tc>
      </w:tr>
      <w:tr>
        <w:trPr>
          <w:trHeight w:val="178"/>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86"/>
              </w:rPr>
              <w:t>(Decrease)</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9"/>
              </w:rPr>
              <w:t>(Decrease)</w:t>
            </w:r>
          </w:p>
        </w:tc>
      </w:tr>
      <w:tr>
        <w:trPr>
          <w:trHeight w:val="17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w w:val="96"/>
              </w:rPr>
              <w:t>2020</w:t>
            </w: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79"/>
              </w:rPr>
              <w:t>%</w:t>
            </w:r>
          </w:p>
        </w:tc>
      </w:tr>
      <w:tr>
        <w:trPr>
          <w:trHeight w:val="219"/>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65</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37"/>
              <w:spacing w:after="0"/>
              <w:rPr>
                <w:sz w:val="20"/>
                <w:szCs w:val="20"/>
                <w:color w:val="auto"/>
              </w:rPr>
            </w:pPr>
            <w:r>
              <w:rPr>
                <w:rFonts w:ascii="Arial" w:cs="Arial" w:eastAsia="Arial" w:hAnsi="Arial"/>
                <w:sz w:val="17"/>
                <w:szCs w:val="17"/>
                <w:color w:val="auto"/>
              </w:rPr>
              <w:t>44</w:t>
            </w:r>
          </w:p>
        </w:tc>
        <w:tc>
          <w:tcPr>
            <w:tcW w:w="1300" w:type="dxa"/>
            <w:vAlign w:val="bottom"/>
          </w:tcPr>
          <w:p>
            <w:pPr>
              <w:jc w:val="right"/>
              <w:spacing w:after="0"/>
              <w:rPr>
                <w:sz w:val="20"/>
                <w:szCs w:val="20"/>
                <w:color w:val="auto"/>
              </w:rPr>
            </w:pPr>
            <w:r>
              <w:rPr>
                <w:rFonts w:ascii="Arial" w:cs="Arial" w:eastAsia="Arial" w:hAnsi="Arial"/>
                <w:sz w:val="17"/>
                <w:szCs w:val="17"/>
                <w:color w:val="auto"/>
              </w:rPr>
              <w:t>50.9 %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246</w:t>
            </w:r>
          </w:p>
        </w:tc>
        <w:tc>
          <w:tcPr>
            <w:tcW w:w="48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17"/>
              <w:spacing w:after="0"/>
              <w:rPr>
                <w:sz w:val="20"/>
                <w:szCs w:val="20"/>
                <w:color w:val="auto"/>
              </w:rPr>
            </w:pPr>
            <w:r>
              <w:rPr>
                <w:rFonts w:ascii="Arial" w:cs="Arial" w:eastAsia="Arial" w:hAnsi="Arial"/>
                <w:sz w:val="17"/>
                <w:szCs w:val="17"/>
                <w:color w:val="auto"/>
              </w:rPr>
              <w:t>204</w:t>
            </w:r>
          </w:p>
        </w:tc>
        <w:tc>
          <w:tcPr>
            <w:tcW w:w="1260" w:type="dxa"/>
            <w:vAlign w:val="bottom"/>
          </w:tcPr>
          <w:p>
            <w:pPr>
              <w:jc w:val="right"/>
              <w:spacing w:after="0"/>
              <w:rPr>
                <w:sz w:val="20"/>
                <w:szCs w:val="20"/>
                <w:color w:val="auto"/>
              </w:rPr>
            </w:pPr>
            <w:r>
              <w:rPr>
                <w:rFonts w:ascii="Arial" w:cs="Arial" w:eastAsia="Arial" w:hAnsi="Arial"/>
                <w:sz w:val="17"/>
                <w:szCs w:val="17"/>
                <w:color w:val="auto"/>
              </w:rPr>
              <w:t>20.9 %</w:t>
            </w:r>
          </w:p>
        </w:tc>
      </w:tr>
      <w:tr>
        <w:trPr>
          <w:trHeight w:val="22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400</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308</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7"/>
                <w:szCs w:val="17"/>
                <w:color w:val="auto"/>
              </w:rPr>
              <w:t>30.2</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1,122</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1,050</w:t>
            </w: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7"/>
                <w:szCs w:val="17"/>
                <w:color w:val="auto"/>
              </w:rPr>
              <w:t>7.0</w:t>
            </w:r>
          </w:p>
        </w:tc>
      </w:tr>
      <w:tr>
        <w:trPr>
          <w:trHeight w:val="22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(335)</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(264)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(26.8)%</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(876)</w:t>
            </w:r>
          </w:p>
        </w:tc>
        <w:tc>
          <w:tcPr>
            <w:tcW w:w="4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(846)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 – Revenue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Revenue primarily relates to Comcast Spectacor, which owns the Philadelphia Flyers and the Wells Fargo Center arena in Philadelphia, Pennsylvania.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 – Operating Costs and Expenses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Operating costs and expenses primarily include overhead, personnel costs, the costs of other business initiatives, and operating costs and expenses associated with Comcast Spectacor.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right"/>
              <w:ind w:right="817"/>
              <w:spacing w:after="0"/>
              <w:rPr>
                <w:sz w:val="20"/>
                <w:szCs w:val="20"/>
                <w:color w:val="auto"/>
              </w:rPr>
            </w:pPr>
            <w:r>
              <w:rPr>
                <w:rFonts w:ascii="Arial" w:cs="Arial" w:eastAsia="Arial" w:hAnsi="Arial"/>
                <w:sz w:val="14"/>
                <w:szCs w:val="14"/>
                <w:color w:val="auto"/>
              </w:rPr>
              <w:t>Three Months Ended</w:t>
            </w:r>
          </w:p>
        </w:tc>
        <w:tc>
          <w:tcPr>
            <w:tcW w:w="1280" w:type="dxa"/>
            <w:vAlign w:val="bottom"/>
          </w:tcPr>
          <w:p>
            <w:pPr>
              <w:jc w:val="center"/>
              <w:ind w:right="101"/>
              <w:spacing w:after="0"/>
              <w:rPr>
                <w:sz w:val="20"/>
                <w:szCs w:val="20"/>
                <w:color w:val="auto"/>
              </w:rPr>
            </w:pPr>
            <w:r>
              <w:rPr>
                <w:rFonts w:ascii="Arial" w:cs="Arial" w:eastAsia="Arial" w:hAnsi="Arial"/>
                <w:sz w:val="14"/>
                <w:szCs w:val="14"/>
                <w:color w:val="auto"/>
                <w:w w:val="86"/>
              </w:rPr>
              <w:t>Increase/</w:t>
            </w:r>
          </w:p>
        </w:tc>
        <w:tc>
          <w:tcPr>
            <w:tcW w:w="340" w:type="dxa"/>
            <w:vAlign w:val="bottom"/>
          </w:tcPr>
          <w:p>
            <w:pPr>
              <w:spacing w:after="0"/>
              <w:rPr>
                <w:sz w:val="14"/>
                <w:szCs w:val="14"/>
                <w:color w:val="auto"/>
              </w:rPr>
            </w:pPr>
          </w:p>
        </w:tc>
        <w:tc>
          <w:tcPr>
            <w:tcW w:w="2480" w:type="dxa"/>
            <w:vAlign w:val="bottom"/>
            <w:gridSpan w:val="3"/>
          </w:tcPr>
          <w:p>
            <w:pPr>
              <w:jc w:val="right"/>
              <w:ind w:right="857"/>
              <w:spacing w:after="0"/>
              <w:rPr>
                <w:sz w:val="20"/>
                <w:szCs w:val="20"/>
                <w:color w:val="auto"/>
              </w:rPr>
            </w:pPr>
            <w:r>
              <w:rPr>
                <w:rFonts w:ascii="Arial" w:cs="Arial" w:eastAsia="Arial" w:hAnsi="Arial"/>
                <w:sz w:val="14"/>
                <w:szCs w:val="14"/>
                <w:color w:val="auto"/>
              </w:rPr>
              <w:t>Nine Months Ended</w:t>
            </w:r>
          </w:p>
        </w:tc>
        <w:tc>
          <w:tcPr>
            <w:tcW w:w="1240" w:type="dxa"/>
            <w:vAlign w:val="bottom"/>
          </w:tcPr>
          <w:p>
            <w:pPr>
              <w:jc w:val="center"/>
              <w:ind w:right="21"/>
              <w:spacing w:after="0"/>
              <w:rPr>
                <w:sz w:val="20"/>
                <w:szCs w:val="20"/>
                <w:color w:val="auto"/>
              </w:rPr>
            </w:pPr>
            <w:r>
              <w:rPr>
                <w:rFonts w:ascii="Arial" w:cs="Arial" w:eastAsia="Arial" w:hAnsi="Arial"/>
                <w:sz w:val="14"/>
                <w:szCs w:val="14"/>
                <w:color w:val="auto"/>
                <w:w w:val="86"/>
              </w:rPr>
              <w:t>Increase/</w:t>
            </w:r>
          </w:p>
        </w:tc>
      </w:tr>
      <w:tr>
        <w:trPr>
          <w:trHeight w:val="178"/>
        </w:trPr>
        <w:tc>
          <w:tcPr>
            <w:tcW w:w="3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6"/>
              </w:rPr>
              <w:t>(Decrease)</w:t>
            </w:r>
          </w:p>
        </w:tc>
      </w:tr>
      <w:tr>
        <w:trPr>
          <w:trHeight w:val="17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2020</w:t>
            </w:r>
          </w:p>
        </w:tc>
        <w:tc>
          <w:tcPr>
            <w:tcW w:w="12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79"/>
              </w:rPr>
              <w:t>%</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2020</w:t>
            </w: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6"/>
              </w:rPr>
              <w:t>%</w:t>
            </w:r>
          </w:p>
        </w:tc>
      </w:tr>
      <w:tr>
        <w:trPr>
          <w:trHeight w:val="219"/>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(871)</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7"/>
              <w:spacing w:after="0"/>
              <w:rPr>
                <w:sz w:val="20"/>
                <w:szCs w:val="20"/>
                <w:color w:val="auto"/>
              </w:rPr>
            </w:pPr>
            <w:r>
              <w:rPr>
                <w:rFonts w:ascii="Arial" w:cs="Arial" w:eastAsia="Arial" w:hAnsi="Arial"/>
                <w:sz w:val="17"/>
                <w:szCs w:val="17"/>
                <w:color w:val="auto"/>
              </w:rPr>
              <w:t>(638)</w:t>
            </w:r>
          </w:p>
        </w:tc>
        <w:tc>
          <w:tcPr>
            <w:tcW w:w="1280" w:type="dxa"/>
            <w:vAlign w:val="bottom"/>
          </w:tcPr>
          <w:p>
            <w:pPr>
              <w:ind w:left="720"/>
              <w:spacing w:after="0"/>
              <w:rPr>
                <w:sz w:val="20"/>
                <w:szCs w:val="20"/>
                <w:color w:val="auto"/>
              </w:rPr>
            </w:pPr>
            <w:r>
              <w:rPr>
                <w:rFonts w:ascii="Arial" w:cs="Arial" w:eastAsia="Arial" w:hAnsi="Arial"/>
                <w:sz w:val="17"/>
                <w:szCs w:val="17"/>
                <w:color w:val="auto"/>
              </w:rPr>
              <w:t>36.6 %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(2,304)</w:t>
            </w:r>
          </w:p>
        </w:tc>
        <w:tc>
          <w:tcPr>
            <w:tcW w:w="46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7"/>
              <w:spacing w:after="0"/>
              <w:rPr>
                <w:sz w:val="20"/>
                <w:szCs w:val="20"/>
                <w:color w:val="auto"/>
              </w:rPr>
            </w:pPr>
            <w:r>
              <w:rPr>
                <w:rFonts w:ascii="Arial" w:cs="Arial" w:eastAsia="Arial" w:hAnsi="Arial"/>
                <w:sz w:val="17"/>
                <w:szCs w:val="17"/>
                <w:color w:val="auto"/>
              </w:rPr>
              <w:t>(1,860)</w:t>
            </w:r>
          </w:p>
        </w:tc>
        <w:tc>
          <w:tcPr>
            <w:tcW w:w="1240" w:type="dxa"/>
            <w:vAlign w:val="bottom"/>
          </w:tcPr>
          <w:p>
            <w:pPr>
              <w:ind w:left="720"/>
              <w:spacing w:after="0"/>
              <w:rPr>
                <w:sz w:val="20"/>
                <w:szCs w:val="20"/>
                <w:color w:val="auto"/>
              </w:rPr>
            </w:pPr>
            <w:r>
              <w:rPr>
                <w:rFonts w:ascii="Arial" w:cs="Arial" w:eastAsia="Arial" w:hAnsi="Arial"/>
                <w:sz w:val="17"/>
                <w:szCs w:val="17"/>
                <w:color w:val="auto"/>
                <w:w w:val="94"/>
              </w:rPr>
              <w:t>24.0 %</w:t>
            </w:r>
          </w:p>
        </w:tc>
      </w:tr>
      <w:tr>
        <w:trPr>
          <w:trHeight w:val="22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(773)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(649)</w:t>
            </w: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19.2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(2,218)</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(1,889)</w:t>
            </w:r>
          </w:p>
        </w:tc>
        <w:tc>
          <w:tcPr>
            <w:tcW w:w="12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17.5</w:t>
            </w:r>
          </w:p>
        </w:tc>
      </w:tr>
      <w:tr>
        <w:trPr>
          <w:trHeight w:val="22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(98)</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11</w:t>
            </w:r>
          </w:p>
        </w:tc>
        <w:tc>
          <w:tcPr>
            <w:tcW w:w="128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auto"/>
              </w:rPr>
              <w:t>NM</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(87)</w:t>
            </w: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29</w:t>
            </w: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7"/>
                <w:szCs w:val="17"/>
                <w:b w:val="1"/>
                <w:bCs w:val="1"/>
                <w:color w:val="auto"/>
              </w:rPr>
              <w:t>NM</w:t>
            </w:r>
          </w:p>
        </w:tc>
      </w:tr>
    </w:tbl>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Amounts represent eliminations of transactions between Cable Communications, NBCUniversal, Sky and other businesses. Eliminations of transactions between NBCUniversal segments are presented separately. Current year amounts reflect an increase in eliminations associated with the Tokyo Olympics. Refer to Note 2 for a description of transactions between our segments.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Non-GAAP Financial Measures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Adjusted EBITDA</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reconcile consolidated Adjusted EBITDA to net income attributable to Comcast Corporation. This measure should not be considered a substitute for operating income, net income (loss), net income attributable to Comcast Corporation, or net cash provided by operating activities that we have reported in accordance with GAAP.</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Attributable to Comcast Corporation to Adjusted EBITDA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2"/>
          </w:tcPr>
          <w:p>
            <w:pPr>
              <w:jc w:val="right"/>
              <w:ind w:right="339"/>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color w:val="auto"/>
              </w:rPr>
              <w:t>September 30,</w:t>
            </w: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Comcast Corporation</w:t>
            </w:r>
          </w:p>
        </w:tc>
        <w:tc>
          <w:tcPr>
            <w:tcW w:w="880" w:type="dxa"/>
            <w:vAlign w:val="bottom"/>
          </w:tcPr>
          <w:p>
            <w:pPr>
              <w:jc w:val="right"/>
              <w:ind w:right="699"/>
              <w:spacing w:after="0"/>
              <w:rPr>
                <w:sz w:val="20"/>
                <w:szCs w:val="20"/>
                <w:color w:val="auto"/>
              </w:rPr>
            </w:pPr>
            <w:r>
              <w:rPr>
                <w:rFonts w:ascii="Arial" w:cs="Arial" w:eastAsia="Arial" w:hAnsi="Arial"/>
                <w:sz w:val="17"/>
                <w:szCs w:val="17"/>
                <w:b w:val="1"/>
                <w:bCs w:val="1"/>
                <w:color w:val="auto"/>
                <w:w w:val="84"/>
              </w:rPr>
              <w:t>$</w:t>
            </w:r>
          </w:p>
        </w:tc>
        <w:tc>
          <w:tcPr>
            <w:tcW w:w="640" w:type="dxa"/>
            <w:vAlign w:val="bottom"/>
          </w:tcPr>
          <w:p>
            <w:pPr>
              <w:jc w:val="right"/>
              <w:ind w:right="96"/>
              <w:spacing w:after="0"/>
              <w:rPr>
                <w:sz w:val="20"/>
                <w:szCs w:val="20"/>
                <w:color w:val="auto"/>
              </w:rPr>
            </w:pPr>
            <w:r>
              <w:rPr>
                <w:rFonts w:ascii="Arial" w:cs="Arial" w:eastAsia="Arial" w:hAnsi="Arial"/>
                <w:sz w:val="17"/>
                <w:szCs w:val="17"/>
                <w:b w:val="1"/>
                <w:bCs w:val="1"/>
                <w:color w:val="auto"/>
              </w:rPr>
              <w:t>4,035</w:t>
            </w:r>
          </w:p>
        </w:tc>
        <w:tc>
          <w:tcPr>
            <w:tcW w:w="1020" w:type="dxa"/>
            <w:vAlign w:val="bottom"/>
          </w:tcPr>
          <w:p>
            <w:pPr>
              <w:jc w:val="right"/>
              <w:ind w:right="739"/>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ind w:right="53"/>
              <w:spacing w:after="0"/>
              <w:rPr>
                <w:sz w:val="20"/>
                <w:szCs w:val="20"/>
                <w:color w:val="auto"/>
              </w:rPr>
            </w:pPr>
            <w:r>
              <w:rPr>
                <w:rFonts w:ascii="Arial" w:cs="Arial" w:eastAsia="Arial" w:hAnsi="Arial"/>
                <w:sz w:val="17"/>
                <w:szCs w:val="17"/>
                <w:b w:val="1"/>
                <w:bCs w:val="1"/>
                <w:color w:val="auto"/>
                <w:w w:val="98"/>
              </w:rPr>
              <w:t>2,019</w:t>
            </w:r>
          </w:p>
        </w:tc>
        <w:tc>
          <w:tcPr>
            <w:tcW w:w="480" w:type="dxa"/>
            <w:vAlign w:val="bottom"/>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77"/>
              <w:spacing w:after="0"/>
              <w:rPr>
                <w:sz w:val="20"/>
                <w:szCs w:val="20"/>
                <w:color w:val="auto"/>
              </w:rPr>
            </w:pPr>
            <w:r>
              <w:rPr>
                <w:rFonts w:ascii="Arial" w:cs="Arial" w:eastAsia="Arial" w:hAnsi="Arial"/>
                <w:sz w:val="17"/>
                <w:szCs w:val="17"/>
                <w:b w:val="1"/>
                <w:bCs w:val="1"/>
                <w:color w:val="auto"/>
              </w:rPr>
              <w:t>11,102</w:t>
            </w:r>
          </w:p>
        </w:tc>
        <w:tc>
          <w:tcPr>
            <w:tcW w:w="640" w:type="dxa"/>
            <w:vAlign w:val="bottom"/>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7,154</w:t>
            </w:r>
          </w:p>
        </w:tc>
        <w:tc>
          <w:tcPr>
            <w:tcW w:w="0" w:type="dxa"/>
            <w:vAlign w:val="bottom"/>
          </w:tcPr>
          <w:p>
            <w:pPr>
              <w:spacing w:after="0"/>
              <w:rPr>
                <w:sz w:val="1"/>
                <w:szCs w:val="1"/>
                <w:color w:val="auto"/>
              </w:rPr>
            </w:pPr>
          </w:p>
        </w:tc>
      </w:tr>
      <w:tr>
        <w:trPr>
          <w:trHeight w:val="170"/>
        </w:trPr>
        <w:tc>
          <w:tcPr>
            <w:tcW w:w="4920" w:type="dxa"/>
            <w:vAlign w:val="bottom"/>
          </w:tcPr>
          <w:p>
            <w:pPr>
              <w:ind w:left="20"/>
              <w:spacing w:after="0" w:line="171" w:lineRule="exact"/>
              <w:rPr>
                <w:sz w:val="20"/>
                <w:szCs w:val="20"/>
                <w:color w:val="auto"/>
              </w:rPr>
            </w:pPr>
            <w:r>
              <w:rPr>
                <w:rFonts w:ascii="Arial" w:cs="Arial" w:eastAsia="Arial" w:hAnsi="Arial"/>
                <w:sz w:val="17"/>
                <w:szCs w:val="17"/>
                <w:color w:val="auto"/>
              </w:rPr>
              <w:t>Net income (loss) attributable to noncontrolling interests and</w:t>
            </w:r>
          </w:p>
        </w:tc>
        <w:tc>
          <w:tcPr>
            <w:tcW w:w="880" w:type="dxa"/>
            <w:vAlign w:val="bottom"/>
          </w:tcPr>
          <w:p>
            <w:pPr>
              <w:spacing w:after="0"/>
              <w:rPr>
                <w:sz w:val="14"/>
                <w:szCs w:val="14"/>
                <w:color w:val="auto"/>
              </w:rPr>
            </w:pPr>
          </w:p>
        </w:tc>
        <w:tc>
          <w:tcPr>
            <w:tcW w:w="640" w:type="dxa"/>
            <w:vAlign w:val="bottom"/>
            <w:vMerge w:val="restart"/>
          </w:tcPr>
          <w:p>
            <w:pPr>
              <w:jc w:val="right"/>
              <w:ind w:right="56"/>
              <w:spacing w:after="0"/>
              <w:rPr>
                <w:sz w:val="20"/>
                <w:szCs w:val="20"/>
                <w:color w:val="auto"/>
              </w:rPr>
            </w:pPr>
            <w:r>
              <w:rPr>
                <w:rFonts w:ascii="Arial" w:cs="Arial" w:eastAsia="Arial" w:hAnsi="Arial"/>
                <w:sz w:val="17"/>
                <w:szCs w:val="17"/>
                <w:color w:val="auto"/>
              </w:rPr>
              <w:t>(104)</w:t>
            </w:r>
          </w:p>
        </w:tc>
        <w:tc>
          <w:tcPr>
            <w:tcW w:w="1020" w:type="dxa"/>
            <w:vAlign w:val="bottom"/>
          </w:tcPr>
          <w:p>
            <w:pPr>
              <w:spacing w:after="0"/>
              <w:rPr>
                <w:sz w:val="14"/>
                <w:szCs w:val="14"/>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7"/>
                <w:szCs w:val="17"/>
                <w:color w:val="auto"/>
              </w:rPr>
              <w:t>12</w:t>
            </w:r>
          </w:p>
        </w:tc>
        <w:tc>
          <w:tcPr>
            <w:tcW w:w="480" w:type="dxa"/>
            <w:vAlign w:val="bottom"/>
          </w:tcPr>
          <w:p>
            <w:pPr>
              <w:spacing w:after="0"/>
              <w:rPr>
                <w:sz w:val="14"/>
                <w:szCs w:val="14"/>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7"/>
                <w:szCs w:val="17"/>
                <w:color w:val="auto"/>
              </w:rPr>
              <w:t>(249)</w:t>
            </w:r>
          </w:p>
        </w:tc>
        <w:tc>
          <w:tcPr>
            <w:tcW w:w="6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2"/>
        </w:trPr>
        <w:tc>
          <w:tcPr>
            <w:tcW w:w="4920" w:type="dxa"/>
            <w:vAlign w:val="bottom"/>
          </w:tcPr>
          <w:p>
            <w:pPr>
              <w:ind w:left="180"/>
              <w:spacing w:after="0"/>
              <w:rPr>
                <w:sz w:val="20"/>
                <w:szCs w:val="20"/>
                <w:color w:val="auto"/>
              </w:rPr>
            </w:pPr>
            <w:r>
              <w:rPr>
                <w:rFonts w:ascii="Arial" w:cs="Arial" w:eastAsia="Arial" w:hAnsi="Arial"/>
                <w:sz w:val="17"/>
                <w:szCs w:val="17"/>
                <w:color w:val="auto"/>
              </w:rPr>
              <w:t>redeemable subsidiary preferred stock</w:t>
            </w:r>
          </w:p>
        </w:tc>
        <w:tc>
          <w:tcPr>
            <w:tcW w:w="8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88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7"/>
                <w:szCs w:val="17"/>
                <w:color w:val="auto"/>
              </w:rPr>
              <w:t>1,235</w:t>
            </w:r>
          </w:p>
        </w:tc>
        <w:tc>
          <w:tcPr>
            <w:tcW w:w="1020" w:type="dxa"/>
            <w:vAlign w:val="bottom"/>
          </w:tcPr>
          <w:p>
            <w:pPr>
              <w:spacing w:after="0"/>
              <w:rPr>
                <w:sz w:val="19"/>
                <w:szCs w:val="19"/>
                <w:color w:val="auto"/>
              </w:rPr>
            </w:pPr>
          </w:p>
        </w:tc>
        <w:tc>
          <w:tcPr>
            <w:tcW w:w="580" w:type="dxa"/>
            <w:vAlign w:val="bottom"/>
          </w:tcPr>
          <w:p>
            <w:pPr>
              <w:jc w:val="right"/>
              <w:ind w:right="53"/>
              <w:spacing w:after="0"/>
              <w:rPr>
                <w:sz w:val="20"/>
                <w:szCs w:val="20"/>
                <w:color w:val="auto"/>
              </w:rPr>
            </w:pPr>
            <w:r>
              <w:rPr>
                <w:rFonts w:ascii="Arial" w:cs="Arial" w:eastAsia="Arial" w:hAnsi="Arial"/>
                <w:sz w:val="17"/>
                <w:szCs w:val="17"/>
                <w:color w:val="auto"/>
              </w:rPr>
              <w:t>739</w:t>
            </w:r>
          </w:p>
        </w:tc>
        <w:tc>
          <w:tcPr>
            <w:tcW w:w="48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4,354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2,385</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Investment and other (income) loss, net</w:t>
            </w:r>
          </w:p>
        </w:tc>
        <w:tc>
          <w:tcPr>
            <w:tcW w:w="880" w:type="dxa"/>
            <w:vAlign w:val="bottom"/>
          </w:tcPr>
          <w:p>
            <w:pPr>
              <w:spacing w:after="0"/>
              <w:rPr>
                <w:sz w:val="19"/>
                <w:szCs w:val="19"/>
                <w:color w:val="auto"/>
              </w:rPr>
            </w:pPr>
          </w:p>
        </w:tc>
        <w:tc>
          <w:tcPr>
            <w:tcW w:w="640" w:type="dxa"/>
            <w:vAlign w:val="bottom"/>
          </w:tcPr>
          <w:p>
            <w:pPr>
              <w:jc w:val="right"/>
              <w:ind w:right="56"/>
              <w:spacing w:after="0"/>
              <w:rPr>
                <w:sz w:val="20"/>
                <w:szCs w:val="20"/>
                <w:color w:val="auto"/>
              </w:rPr>
            </w:pPr>
            <w:r>
              <w:rPr>
                <w:rFonts w:ascii="Arial" w:cs="Arial" w:eastAsia="Arial" w:hAnsi="Arial"/>
                <w:sz w:val="17"/>
                <w:szCs w:val="17"/>
                <w:color w:val="auto"/>
              </w:rPr>
              <w:t>(766)</w:t>
            </w:r>
          </w:p>
        </w:tc>
        <w:tc>
          <w:tcPr>
            <w:tcW w:w="1020" w:type="dxa"/>
            <w:vAlign w:val="bottom"/>
          </w:tcPr>
          <w:p>
            <w:pPr>
              <w:spacing w:after="0"/>
              <w:rPr>
                <w:sz w:val="19"/>
                <w:szCs w:val="19"/>
                <w:color w:val="auto"/>
              </w:rPr>
            </w:pPr>
          </w:p>
        </w:tc>
        <w:tc>
          <w:tcPr>
            <w:tcW w:w="580" w:type="dxa"/>
            <w:vAlign w:val="bottom"/>
          </w:tcPr>
          <w:p>
            <w:pPr>
              <w:jc w:val="right"/>
              <w:ind w:right="53"/>
              <w:spacing w:after="0"/>
              <w:rPr>
                <w:sz w:val="20"/>
                <w:szCs w:val="20"/>
                <w:color w:val="auto"/>
              </w:rPr>
            </w:pPr>
            <w:r>
              <w:rPr>
                <w:rFonts w:ascii="Arial" w:cs="Arial" w:eastAsia="Arial" w:hAnsi="Arial"/>
                <w:sz w:val="17"/>
                <w:szCs w:val="17"/>
                <w:color w:val="auto"/>
              </w:rPr>
              <w:t>86</w:t>
            </w:r>
          </w:p>
        </w:tc>
        <w:tc>
          <w:tcPr>
            <w:tcW w:w="48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(2,374)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88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7"/>
                <w:szCs w:val="17"/>
                <w:color w:val="auto"/>
              </w:rPr>
              <w:t>1,050</w:t>
            </w:r>
          </w:p>
        </w:tc>
        <w:tc>
          <w:tcPr>
            <w:tcW w:w="1020" w:type="dxa"/>
            <w:vAlign w:val="bottom"/>
          </w:tcPr>
          <w:p>
            <w:pPr>
              <w:spacing w:after="0"/>
              <w:rPr>
                <w:sz w:val="19"/>
                <w:szCs w:val="19"/>
                <w:color w:val="auto"/>
              </w:rPr>
            </w:pPr>
          </w:p>
        </w:tc>
        <w:tc>
          <w:tcPr>
            <w:tcW w:w="580" w:type="dxa"/>
            <w:vAlign w:val="bottom"/>
          </w:tcPr>
          <w:p>
            <w:pPr>
              <w:jc w:val="right"/>
              <w:ind w:right="53"/>
              <w:spacing w:after="0"/>
              <w:rPr>
                <w:sz w:val="20"/>
                <w:szCs w:val="20"/>
                <w:color w:val="auto"/>
              </w:rPr>
            </w:pPr>
            <w:r>
              <w:rPr>
                <w:rFonts w:ascii="Arial" w:cs="Arial" w:eastAsia="Arial" w:hAnsi="Arial"/>
                <w:sz w:val="17"/>
                <w:szCs w:val="17"/>
                <w:color w:val="auto"/>
                <w:w w:val="98"/>
              </w:rPr>
              <w:t>1,220</w:t>
            </w:r>
          </w:p>
        </w:tc>
        <w:tc>
          <w:tcPr>
            <w:tcW w:w="48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3,161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3,544</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88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7"/>
                <w:szCs w:val="17"/>
                <w:color w:val="auto"/>
              </w:rPr>
              <w:t>2,177</w:t>
            </w:r>
          </w:p>
        </w:tc>
        <w:tc>
          <w:tcPr>
            <w:tcW w:w="1020" w:type="dxa"/>
            <w:vAlign w:val="bottom"/>
          </w:tcPr>
          <w:p>
            <w:pPr>
              <w:spacing w:after="0"/>
              <w:rPr>
                <w:sz w:val="19"/>
                <w:szCs w:val="19"/>
                <w:color w:val="auto"/>
              </w:rPr>
            </w:pPr>
          </w:p>
        </w:tc>
        <w:tc>
          <w:tcPr>
            <w:tcW w:w="580" w:type="dxa"/>
            <w:vAlign w:val="bottom"/>
          </w:tcPr>
          <w:p>
            <w:pPr>
              <w:jc w:val="right"/>
              <w:ind w:right="53"/>
              <w:spacing w:after="0"/>
              <w:rPr>
                <w:sz w:val="20"/>
                <w:szCs w:val="20"/>
                <w:color w:val="auto"/>
              </w:rPr>
            </w:pPr>
            <w:r>
              <w:rPr>
                <w:rFonts w:ascii="Arial" w:cs="Arial" w:eastAsia="Arial" w:hAnsi="Arial"/>
                <w:sz w:val="17"/>
                <w:szCs w:val="17"/>
                <w:color w:val="auto"/>
                <w:w w:val="98"/>
              </w:rPr>
              <w:t>2,122</w:t>
            </w:r>
          </w:p>
        </w:tc>
        <w:tc>
          <w:tcPr>
            <w:tcW w:w="48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6,407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6,328</w:t>
            </w: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880" w:type="dxa"/>
            <w:vAlign w:val="bottom"/>
          </w:tcPr>
          <w:p>
            <w:pPr>
              <w:spacing w:after="0"/>
              <w:rPr>
                <w:sz w:val="18"/>
                <w:szCs w:val="18"/>
                <w:color w:val="auto"/>
              </w:rPr>
            </w:pPr>
          </w:p>
        </w:tc>
        <w:tc>
          <w:tcPr>
            <w:tcW w:w="640" w:type="dxa"/>
            <w:vAlign w:val="bottom"/>
          </w:tcPr>
          <w:p>
            <w:pPr>
              <w:jc w:val="right"/>
              <w:ind w:right="96"/>
              <w:spacing w:after="0"/>
              <w:rPr>
                <w:sz w:val="20"/>
                <w:szCs w:val="20"/>
                <w:color w:val="auto"/>
              </w:rPr>
            </w:pPr>
            <w:r>
              <w:rPr>
                <w:rFonts w:ascii="Arial" w:cs="Arial" w:eastAsia="Arial" w:hAnsi="Arial"/>
                <w:sz w:val="17"/>
                <w:szCs w:val="17"/>
                <w:color w:val="auto"/>
              </w:rPr>
              <w:t>1,301</w:t>
            </w:r>
          </w:p>
        </w:tc>
        <w:tc>
          <w:tcPr>
            <w:tcW w:w="1020" w:type="dxa"/>
            <w:vAlign w:val="bottom"/>
          </w:tcPr>
          <w:p>
            <w:pPr>
              <w:spacing w:after="0"/>
              <w:rPr>
                <w:sz w:val="18"/>
                <w:szCs w:val="18"/>
                <w:color w:val="auto"/>
              </w:rPr>
            </w:pPr>
          </w:p>
        </w:tc>
        <w:tc>
          <w:tcPr>
            <w:tcW w:w="580" w:type="dxa"/>
            <w:vAlign w:val="bottom"/>
          </w:tcPr>
          <w:p>
            <w:pPr>
              <w:jc w:val="right"/>
              <w:ind w:right="53"/>
              <w:spacing w:after="0"/>
              <w:rPr>
                <w:sz w:val="20"/>
                <w:szCs w:val="20"/>
                <w:color w:val="auto"/>
              </w:rPr>
            </w:pPr>
            <w:r>
              <w:rPr>
                <w:rFonts w:ascii="Arial" w:cs="Arial" w:eastAsia="Arial" w:hAnsi="Arial"/>
                <w:sz w:val="17"/>
                <w:szCs w:val="17"/>
                <w:color w:val="auto"/>
                <w:w w:val="98"/>
              </w:rPr>
              <w:t>1,198</w:t>
            </w:r>
          </w:p>
        </w:tc>
        <w:tc>
          <w:tcPr>
            <w:tcW w:w="480" w:type="dxa"/>
            <w:vAlign w:val="bottom"/>
          </w:tcPr>
          <w:p>
            <w:pPr>
              <w:spacing w:after="0"/>
              <w:rPr>
                <w:sz w:val="18"/>
                <w:szCs w:val="18"/>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3,815</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3,520</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Adjustments</w:t>
            </w:r>
            <w:r>
              <w:rPr>
                <w:rFonts w:ascii="Arial" w:cs="Arial" w:eastAsia="Arial" w:hAnsi="Arial"/>
                <w:sz w:val="22"/>
                <w:szCs w:val="22"/>
                <w:color w:val="auto"/>
                <w:vertAlign w:val="superscript"/>
              </w:rPr>
              <w:t>(a)</w:t>
            </w: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30</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187</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79</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8,957</w:t>
            </w:r>
          </w:p>
        </w:tc>
        <w:tc>
          <w:tcPr>
            <w:tcW w:w="102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8"/>
              </w:rPr>
              <w:t>7,583</w:t>
            </w:r>
          </w:p>
        </w:tc>
        <w:tc>
          <w:tcPr>
            <w:tcW w:w="4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26,297</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23,640</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40" w:hanging="235"/>
        <w:spacing w:after="0" w:line="260" w:lineRule="auto"/>
        <w:tabs>
          <w:tab w:leader="none" w:pos="238"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represent the impacts of certain events, gains, losses or other charges that are excluded from Adjusted EBITDA, including Sky transaction-related costs and costs related to our investment portfolio. Amounts for the three and nine months ended September 30, 2020 include $177 million related to a legal settlement.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Constant Currency</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6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Sky Constant Currency Growth Rates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16"/>
              <w:spacing w:after="0"/>
              <w:rPr>
                <w:sz w:val="20"/>
                <w:szCs w:val="20"/>
                <w:color w:val="auto"/>
              </w:rPr>
            </w:pPr>
            <w:r>
              <w:rPr>
                <w:rFonts w:ascii="Arial" w:cs="Arial" w:eastAsia="Arial" w:hAnsi="Arial"/>
                <w:sz w:val="14"/>
                <w:szCs w:val="14"/>
                <w:color w:val="auto"/>
                <w:w w:val="88"/>
              </w:rPr>
              <w:t>Three Months Ended</w:t>
            </w: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7"/>
              <w:spacing w:after="0"/>
              <w:rPr>
                <w:sz w:val="20"/>
                <w:szCs w:val="20"/>
                <w:color w:val="auto"/>
              </w:rPr>
            </w:pPr>
            <w:r>
              <w:rPr>
                <w:rFonts w:ascii="Arial" w:cs="Arial" w:eastAsia="Arial" w:hAnsi="Arial"/>
                <w:sz w:val="14"/>
                <w:szCs w:val="14"/>
                <w:color w:val="auto"/>
                <w:w w:val="89"/>
              </w:rPr>
              <w:t>Nine Months Ended</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September 30,</w:t>
            </w: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September 30,</w:t>
            </w: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56"/>
              <w:spacing w:after="0"/>
              <w:rPr>
                <w:sz w:val="20"/>
                <w:szCs w:val="20"/>
                <w:color w:val="auto"/>
              </w:rPr>
            </w:pPr>
            <w:r>
              <w:rPr>
                <w:rFonts w:ascii="Arial" w:cs="Arial" w:eastAsia="Arial" w:hAnsi="Arial"/>
                <w:sz w:val="14"/>
                <w:szCs w:val="14"/>
                <w:color w:val="auto"/>
              </w:rPr>
              <w:t>Actual</w:t>
            </w:r>
          </w:p>
        </w:tc>
        <w:tc>
          <w:tcPr>
            <w:tcW w:w="1460" w:type="dxa"/>
            <w:vAlign w:val="bottom"/>
            <w:gridSpan w:val="2"/>
            <w:vMerge w:val="restart"/>
          </w:tcPr>
          <w:p>
            <w:pPr>
              <w:jc w:val="right"/>
              <w:ind w:right="176"/>
              <w:spacing w:after="0"/>
              <w:rPr>
                <w:sz w:val="20"/>
                <w:szCs w:val="20"/>
                <w:color w:val="auto"/>
              </w:rPr>
            </w:pPr>
            <w:r>
              <w:rPr>
                <w:rFonts w:ascii="Arial" w:cs="Arial" w:eastAsia="Arial" w:hAnsi="Arial"/>
                <w:sz w:val="14"/>
                <w:szCs w:val="14"/>
                <w:color w:val="auto"/>
              </w:rPr>
              <w:t>Constant Currency</w:t>
            </w:r>
          </w:p>
        </w:tc>
        <w:tc>
          <w:tcPr>
            <w:tcW w:w="1360" w:type="dxa"/>
            <w:vAlign w:val="bottom"/>
          </w:tcPr>
          <w:p>
            <w:pPr>
              <w:jc w:val="center"/>
              <w:ind w:right="37"/>
              <w:spacing w:after="0" w:line="127" w:lineRule="exact"/>
              <w:rPr>
                <w:sz w:val="20"/>
                <w:szCs w:val="20"/>
                <w:color w:val="auto"/>
              </w:rPr>
            </w:pPr>
            <w:r>
              <w:rPr>
                <w:rFonts w:ascii="Arial" w:cs="Arial" w:eastAsia="Arial" w:hAnsi="Arial"/>
                <w:sz w:val="14"/>
                <w:szCs w:val="14"/>
                <w:color w:val="auto"/>
                <w:w w:val="89"/>
              </w:rPr>
              <w:t>Constant Currency</w:t>
            </w:r>
          </w:p>
        </w:tc>
        <w:tc>
          <w:tcPr>
            <w:tcW w:w="300" w:type="dxa"/>
            <w:vAlign w:val="bottom"/>
          </w:tcPr>
          <w:p>
            <w:pPr>
              <w:spacing w:after="0"/>
              <w:rPr>
                <w:sz w:val="11"/>
                <w:szCs w:val="11"/>
                <w:color w:val="auto"/>
              </w:rPr>
            </w:pPr>
          </w:p>
        </w:tc>
        <w:tc>
          <w:tcPr>
            <w:tcW w:w="980" w:type="dxa"/>
            <w:vAlign w:val="bottom"/>
            <w:vMerge w:val="restart"/>
          </w:tcPr>
          <w:p>
            <w:pPr>
              <w:jc w:val="right"/>
              <w:ind w:right="356"/>
              <w:spacing w:after="0"/>
              <w:rPr>
                <w:sz w:val="20"/>
                <w:szCs w:val="20"/>
                <w:color w:val="auto"/>
              </w:rPr>
            </w:pPr>
            <w:r>
              <w:rPr>
                <w:rFonts w:ascii="Arial" w:cs="Arial" w:eastAsia="Arial" w:hAnsi="Arial"/>
                <w:sz w:val="14"/>
                <w:szCs w:val="14"/>
                <w:color w:val="auto"/>
              </w:rPr>
              <w:t>Actual</w:t>
            </w:r>
          </w:p>
        </w:tc>
        <w:tc>
          <w:tcPr>
            <w:tcW w:w="1440" w:type="dxa"/>
            <w:vAlign w:val="bottom"/>
            <w:gridSpan w:val="2"/>
            <w:vMerge w:val="restart"/>
          </w:tcPr>
          <w:p>
            <w:pPr>
              <w:jc w:val="right"/>
              <w:ind w:right="157"/>
              <w:spacing w:after="0"/>
              <w:rPr>
                <w:sz w:val="20"/>
                <w:szCs w:val="20"/>
                <w:color w:val="auto"/>
              </w:rPr>
            </w:pPr>
            <w:r>
              <w:rPr>
                <w:rFonts w:ascii="Arial" w:cs="Arial" w:eastAsia="Arial" w:hAnsi="Arial"/>
                <w:sz w:val="14"/>
                <w:szCs w:val="14"/>
                <w:color w:val="auto"/>
              </w:rPr>
              <w:t>Constant Currency</w:t>
            </w:r>
          </w:p>
        </w:tc>
        <w:tc>
          <w:tcPr>
            <w:tcW w:w="1160" w:type="dxa"/>
            <w:vAlign w:val="bottom"/>
          </w:tcPr>
          <w:p>
            <w:pPr>
              <w:jc w:val="center"/>
              <w:ind w:left="37"/>
              <w:spacing w:after="0" w:line="127" w:lineRule="exact"/>
              <w:rPr>
                <w:sz w:val="20"/>
                <w:szCs w:val="20"/>
                <w:color w:val="auto"/>
              </w:rPr>
            </w:pPr>
            <w:r>
              <w:rPr>
                <w:rFonts w:ascii="Arial" w:cs="Arial" w:eastAsia="Arial" w:hAnsi="Arial"/>
                <w:sz w:val="14"/>
                <w:szCs w:val="14"/>
                <w:color w:val="auto"/>
                <w:w w:val="89"/>
              </w:rPr>
              <w:t>Constant Currency</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13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5"/>
              </w:rPr>
              <w:t>Change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1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color w:val="auto"/>
                <w:w w:val="85"/>
              </w:rPr>
              <w:t>Change</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customer data)</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2020</w:t>
            </w:r>
          </w:p>
        </w:tc>
        <w:tc>
          <w:tcPr>
            <w:tcW w:w="13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6"/>
              </w:rPr>
              <w: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color w:val="auto"/>
              </w:rPr>
              <w:t>2020</w:t>
            </w:r>
          </w:p>
        </w:tc>
        <w:tc>
          <w:tcPr>
            <w:tcW w:w="116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60" w:type="dxa"/>
            <w:vAlign w:val="bottom"/>
          </w:tcPr>
          <w:p>
            <w:pPr>
              <w:ind w:left="140"/>
              <w:spacing w:after="0"/>
              <w:rPr>
                <w:sz w:val="20"/>
                <w:szCs w:val="20"/>
                <w:color w:val="auto"/>
              </w:rPr>
            </w:pPr>
            <w:r>
              <w:rPr>
                <w:rFonts w:ascii="Arial" w:cs="Arial" w:eastAsia="Arial" w:hAnsi="Arial"/>
                <w:sz w:val="17"/>
                <w:szCs w:val="17"/>
                <w:color w:val="auto"/>
              </w:rPr>
              <w:t>Direct-to-consumer</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4,127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6"/>
              <w:spacing w:after="0"/>
              <w:rPr>
                <w:sz w:val="20"/>
                <w:szCs w:val="20"/>
                <w:color w:val="auto"/>
              </w:rPr>
            </w:pPr>
            <w:r>
              <w:rPr>
                <w:rFonts w:ascii="Arial" w:cs="Arial" w:eastAsia="Arial" w:hAnsi="Arial"/>
                <w:sz w:val="17"/>
                <w:szCs w:val="17"/>
                <w:color w:val="auto"/>
              </w:rPr>
              <w:t>4,131</w:t>
            </w:r>
          </w:p>
        </w:tc>
        <w:tc>
          <w:tcPr>
            <w:tcW w:w="1360" w:type="dxa"/>
            <w:vAlign w:val="bottom"/>
          </w:tcPr>
          <w:p>
            <w:pPr>
              <w:jc w:val="right"/>
              <w:spacing w:after="0"/>
              <w:rPr>
                <w:sz w:val="20"/>
                <w:szCs w:val="20"/>
                <w:color w:val="auto"/>
              </w:rPr>
            </w:pPr>
            <w:r>
              <w:rPr>
                <w:rFonts w:ascii="Arial" w:cs="Arial" w:eastAsia="Arial" w:hAnsi="Arial"/>
                <w:sz w:val="17"/>
                <w:szCs w:val="17"/>
                <w:color w:val="auto"/>
              </w:rPr>
              <w:t>(0.1) %</w:t>
            </w:r>
          </w:p>
        </w:tc>
        <w:tc>
          <w:tcPr>
            <w:tcW w:w="30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12,415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12,044</w:t>
            </w:r>
          </w:p>
        </w:tc>
        <w:tc>
          <w:tcPr>
            <w:tcW w:w="116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Arial" w:cs="Arial" w:eastAsia="Arial" w:hAnsi="Arial"/>
                <w:sz w:val="17"/>
                <w:szCs w:val="17"/>
                <w:color w:val="auto"/>
              </w:rPr>
              <w:t>Content</w:t>
            </w:r>
          </w:p>
        </w:tc>
        <w:tc>
          <w:tcPr>
            <w:tcW w:w="2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300</w:t>
            </w:r>
          </w:p>
        </w:tc>
        <w:tc>
          <w:tcPr>
            <w:tcW w:w="180" w:type="dxa"/>
            <w:vAlign w:val="bottom"/>
          </w:tcPr>
          <w:p>
            <w:pPr>
              <w:spacing w:after="0"/>
              <w:rPr>
                <w:sz w:val="19"/>
                <w:szCs w:val="19"/>
                <w:color w:val="auto"/>
              </w:rPr>
            </w:pPr>
          </w:p>
        </w:tc>
        <w:tc>
          <w:tcPr>
            <w:tcW w:w="1280" w:type="dxa"/>
            <w:vAlign w:val="bottom"/>
          </w:tcPr>
          <w:p>
            <w:pPr>
              <w:jc w:val="right"/>
              <w:ind w:right="156"/>
              <w:spacing w:after="0"/>
              <w:rPr>
                <w:sz w:val="20"/>
                <w:szCs w:val="20"/>
                <w:color w:val="auto"/>
              </w:rPr>
            </w:pPr>
            <w:r>
              <w:rPr>
                <w:rFonts w:ascii="Arial" w:cs="Arial" w:eastAsia="Arial" w:hAnsi="Arial"/>
                <w:sz w:val="17"/>
                <w:szCs w:val="17"/>
                <w:color w:val="auto"/>
              </w:rPr>
              <w:t>407</w:t>
            </w: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(26.4)</w:t>
            </w:r>
          </w:p>
        </w:tc>
        <w:tc>
          <w:tcPr>
            <w:tcW w:w="3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1,013</w:t>
            </w:r>
          </w:p>
        </w:tc>
        <w:tc>
          <w:tcPr>
            <w:tcW w:w="20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1,021</w:t>
            </w:r>
          </w:p>
        </w:tc>
        <w:tc>
          <w:tcPr>
            <w:tcW w:w="1160" w:type="dxa"/>
            <w:vAlign w:val="bottom"/>
          </w:tcPr>
          <w:p>
            <w:pPr>
              <w:jc w:val="right"/>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Advertising</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561</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485</w:t>
            </w:r>
          </w:p>
        </w:tc>
        <w:tc>
          <w:tcPr>
            <w:tcW w:w="13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15.6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1,777</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1,399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6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26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b w:val="1"/>
                <w:bCs w:val="1"/>
                <w:color w:val="auto"/>
              </w:rPr>
              <w:t>4,988</w:t>
            </w:r>
          </w:p>
        </w:tc>
        <w:tc>
          <w:tcPr>
            <w:tcW w:w="180" w:type="dxa"/>
            <w:vAlign w:val="bottom"/>
          </w:tcPr>
          <w:p>
            <w:pPr>
              <w:spacing w:after="0"/>
              <w:rPr>
                <w:sz w:val="18"/>
                <w:szCs w:val="18"/>
                <w:color w:val="auto"/>
              </w:rPr>
            </w:pPr>
          </w:p>
        </w:tc>
        <w:tc>
          <w:tcPr>
            <w:tcW w:w="1280" w:type="dxa"/>
            <w:vAlign w:val="bottom"/>
          </w:tcPr>
          <w:p>
            <w:pPr>
              <w:jc w:val="right"/>
              <w:ind w:right="156"/>
              <w:spacing w:after="0"/>
              <w:rPr>
                <w:sz w:val="20"/>
                <w:szCs w:val="20"/>
                <w:color w:val="auto"/>
              </w:rPr>
            </w:pPr>
            <w:r>
              <w:rPr>
                <w:rFonts w:ascii="Arial" w:cs="Arial" w:eastAsia="Arial" w:hAnsi="Arial"/>
                <w:sz w:val="17"/>
                <w:szCs w:val="17"/>
                <w:b w:val="1"/>
                <w:bCs w:val="1"/>
                <w:color w:val="auto"/>
              </w:rPr>
              <w:t>5,023</w:t>
            </w:r>
          </w:p>
        </w:tc>
        <w:tc>
          <w:tcPr>
            <w:tcW w:w="1360" w:type="dxa"/>
            <w:vAlign w:val="bottom"/>
          </w:tcPr>
          <w:p>
            <w:pPr>
              <w:jc w:val="right"/>
              <w:ind w:right="177"/>
              <w:spacing w:after="0"/>
              <w:rPr>
                <w:sz w:val="20"/>
                <w:szCs w:val="20"/>
                <w:color w:val="auto"/>
              </w:rPr>
            </w:pPr>
            <w:r>
              <w:rPr>
                <w:rFonts w:ascii="Arial" w:cs="Arial" w:eastAsia="Arial" w:hAnsi="Arial"/>
                <w:sz w:val="17"/>
                <w:szCs w:val="17"/>
                <w:b w:val="1"/>
                <w:bCs w:val="1"/>
                <w:color w:val="auto"/>
              </w:rPr>
              <w:t>(0.7)</w:t>
            </w:r>
          </w:p>
        </w:tc>
        <w:tc>
          <w:tcPr>
            <w:tcW w:w="3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b w:val="1"/>
                <w:bCs w:val="1"/>
                <w:color w:val="auto"/>
              </w:rPr>
              <w:t>15,205</w:t>
            </w:r>
          </w:p>
        </w:tc>
        <w:tc>
          <w:tcPr>
            <w:tcW w:w="200" w:type="dxa"/>
            <w:vAlign w:val="bottom"/>
          </w:tcPr>
          <w:p>
            <w:pPr>
              <w:spacing w:after="0"/>
              <w:rPr>
                <w:sz w:val="18"/>
                <w:szCs w:val="18"/>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b w:val="1"/>
                <w:bCs w:val="1"/>
                <w:color w:val="auto"/>
              </w:rPr>
              <w:t>14,464</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60" w:type="dxa"/>
            <w:vAlign w:val="bottom"/>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Arial" w:cs="Arial" w:eastAsia="Arial" w:hAnsi="Arial"/>
                <w:sz w:val="17"/>
                <w:szCs w:val="17"/>
                <w:color w:val="auto"/>
              </w:rPr>
              <w:t>Programming and production</w:t>
            </w:r>
          </w:p>
        </w:tc>
        <w:tc>
          <w:tcPr>
            <w:tcW w:w="2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1,779</w:t>
            </w:r>
          </w:p>
        </w:tc>
        <w:tc>
          <w:tcPr>
            <w:tcW w:w="180" w:type="dxa"/>
            <w:vAlign w:val="bottom"/>
          </w:tcPr>
          <w:p>
            <w:pPr>
              <w:spacing w:after="0"/>
              <w:rPr>
                <w:sz w:val="19"/>
                <w:szCs w:val="19"/>
                <w:color w:val="auto"/>
              </w:rPr>
            </w:pPr>
          </w:p>
        </w:tc>
        <w:tc>
          <w:tcPr>
            <w:tcW w:w="1280" w:type="dxa"/>
            <w:vAlign w:val="bottom"/>
          </w:tcPr>
          <w:p>
            <w:pPr>
              <w:jc w:val="right"/>
              <w:ind w:right="156"/>
              <w:spacing w:after="0"/>
              <w:rPr>
                <w:sz w:val="20"/>
                <w:szCs w:val="20"/>
                <w:color w:val="auto"/>
              </w:rPr>
            </w:pPr>
            <w:r>
              <w:rPr>
                <w:rFonts w:ascii="Arial" w:cs="Arial" w:eastAsia="Arial" w:hAnsi="Arial"/>
                <w:sz w:val="17"/>
                <w:szCs w:val="17"/>
                <w:color w:val="auto"/>
              </w:rPr>
              <w:t>2,442</w:t>
            </w: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(27.2)</w:t>
            </w:r>
          </w:p>
        </w:tc>
        <w:tc>
          <w:tcPr>
            <w:tcW w:w="3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6,710</w:t>
            </w:r>
          </w:p>
        </w:tc>
        <w:tc>
          <w:tcPr>
            <w:tcW w:w="20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6,398</w:t>
            </w:r>
          </w:p>
        </w:tc>
        <w:tc>
          <w:tcPr>
            <w:tcW w:w="1160" w:type="dxa"/>
            <w:vAlign w:val="bottom"/>
          </w:tcPr>
          <w:p>
            <w:pPr>
              <w:jc w:val="right"/>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Arial" w:cs="Arial" w:eastAsia="Arial" w:hAnsi="Arial"/>
                <w:sz w:val="17"/>
                <w:szCs w:val="17"/>
                <w:color w:val="auto"/>
              </w:rPr>
              <w:t>Direct network costs</w:t>
            </w:r>
          </w:p>
        </w:tc>
        <w:tc>
          <w:tcPr>
            <w:tcW w:w="2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647</w:t>
            </w:r>
          </w:p>
        </w:tc>
        <w:tc>
          <w:tcPr>
            <w:tcW w:w="180" w:type="dxa"/>
            <w:vAlign w:val="bottom"/>
          </w:tcPr>
          <w:p>
            <w:pPr>
              <w:spacing w:after="0"/>
              <w:rPr>
                <w:sz w:val="19"/>
                <w:szCs w:val="19"/>
                <w:color w:val="auto"/>
              </w:rPr>
            </w:pPr>
          </w:p>
        </w:tc>
        <w:tc>
          <w:tcPr>
            <w:tcW w:w="1280" w:type="dxa"/>
            <w:vAlign w:val="bottom"/>
          </w:tcPr>
          <w:p>
            <w:pPr>
              <w:jc w:val="right"/>
              <w:ind w:right="156"/>
              <w:spacing w:after="0"/>
              <w:rPr>
                <w:sz w:val="20"/>
                <w:szCs w:val="20"/>
                <w:color w:val="auto"/>
              </w:rPr>
            </w:pPr>
            <w:r>
              <w:rPr>
                <w:rFonts w:ascii="Arial" w:cs="Arial" w:eastAsia="Arial" w:hAnsi="Arial"/>
                <w:sz w:val="17"/>
                <w:szCs w:val="17"/>
                <w:color w:val="auto"/>
              </w:rPr>
              <w:t>564</w:t>
            </w:r>
          </w:p>
        </w:tc>
        <w:tc>
          <w:tcPr>
            <w:tcW w:w="1360" w:type="dxa"/>
            <w:vAlign w:val="bottom"/>
          </w:tcPr>
          <w:p>
            <w:pPr>
              <w:jc w:val="right"/>
              <w:ind w:right="217"/>
              <w:spacing w:after="0"/>
              <w:rPr>
                <w:sz w:val="20"/>
                <w:szCs w:val="20"/>
                <w:color w:val="auto"/>
              </w:rPr>
            </w:pPr>
            <w:r>
              <w:rPr>
                <w:rFonts w:ascii="Arial" w:cs="Arial" w:eastAsia="Arial" w:hAnsi="Arial"/>
                <w:sz w:val="17"/>
                <w:szCs w:val="17"/>
                <w:color w:val="auto"/>
              </w:rPr>
              <w:t>14.7</w:t>
            </w:r>
          </w:p>
        </w:tc>
        <w:tc>
          <w:tcPr>
            <w:tcW w:w="3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1,903</w:t>
            </w:r>
          </w:p>
        </w:tc>
        <w:tc>
          <w:tcPr>
            <w:tcW w:w="20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1,618</w:t>
            </w:r>
          </w:p>
        </w:tc>
        <w:tc>
          <w:tcPr>
            <w:tcW w:w="1160" w:type="dxa"/>
            <w:vAlign w:val="bottom"/>
          </w:tcPr>
          <w:p>
            <w:pPr>
              <w:jc w:val="right"/>
              <w:spacing w:after="0"/>
              <w:rPr>
                <w:sz w:val="20"/>
                <w:szCs w:val="20"/>
                <w:color w:val="auto"/>
              </w:rPr>
            </w:pPr>
            <w:r>
              <w:rPr>
                <w:rFonts w:ascii="Arial" w:cs="Arial" w:eastAsia="Arial" w:hAnsi="Arial"/>
                <w:sz w:val="17"/>
                <w:szCs w:val="17"/>
                <w:color w:val="auto"/>
              </w:rPr>
              <w:t>17.6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1,591</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1,466</w:t>
            </w:r>
          </w:p>
        </w:tc>
        <w:tc>
          <w:tcPr>
            <w:tcW w:w="13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8.5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4,697</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4,468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4,016</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4,472</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(10.2)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13,310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12,484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971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551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76.2 %</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1,895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1,981</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(4.3)%</w:t>
            </w:r>
          </w:p>
        </w:tc>
        <w:tc>
          <w:tcPr>
            <w:tcW w:w="0" w:type="dxa"/>
            <w:vAlign w:val="bottom"/>
          </w:tcPr>
          <w:p>
            <w:pPr>
              <w:spacing w:after="0"/>
              <w:rPr>
                <w:sz w:val="1"/>
                <w:szCs w:val="1"/>
                <w:color w:val="auto"/>
              </w:rPr>
            </w:pPr>
          </w:p>
        </w:tc>
      </w:tr>
      <w:tr>
        <w:trPr>
          <w:trHeight w:val="163"/>
        </w:trPr>
        <w:tc>
          <w:tcPr>
            <w:tcW w:w="3160" w:type="dxa"/>
            <w:vAlign w:val="bottom"/>
          </w:tcPr>
          <w:p>
            <w:pPr>
              <w:ind w:left="20"/>
              <w:spacing w:after="0" w:line="163" w:lineRule="exact"/>
              <w:rPr>
                <w:sz w:val="20"/>
                <w:szCs w:val="20"/>
                <w:color w:val="auto"/>
              </w:rPr>
            </w:pPr>
            <w:r>
              <w:rPr>
                <w:rFonts w:ascii="Arial" w:cs="Arial" w:eastAsia="Arial" w:hAnsi="Arial"/>
                <w:sz w:val="17"/>
                <w:szCs w:val="17"/>
                <w:b w:val="1"/>
                <w:bCs w:val="1"/>
                <w:color w:val="auto"/>
              </w:rPr>
              <w:t>Average monthly direct-to-consumer</w:t>
            </w:r>
          </w:p>
        </w:tc>
        <w:tc>
          <w:tcPr>
            <w:tcW w:w="26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96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59.60</w:t>
            </w: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vMerge w:val="restart"/>
          </w:tcPr>
          <w:p>
            <w:pPr>
              <w:jc w:val="right"/>
              <w:ind w:right="156"/>
              <w:spacing w:after="0"/>
              <w:rPr>
                <w:sz w:val="20"/>
                <w:szCs w:val="20"/>
                <w:color w:val="auto"/>
              </w:rPr>
            </w:pPr>
            <w:r>
              <w:rPr>
                <w:rFonts w:ascii="Arial" w:cs="Arial" w:eastAsia="Arial" w:hAnsi="Arial"/>
                <w:sz w:val="17"/>
                <w:szCs w:val="17"/>
                <w:b w:val="1"/>
                <w:bCs w:val="1"/>
                <w:color w:val="auto"/>
              </w:rPr>
              <w:t>59.89</w:t>
            </w:r>
          </w:p>
        </w:tc>
        <w:tc>
          <w:tcPr>
            <w:tcW w:w="13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(0.5)%</w:t>
            </w:r>
          </w:p>
        </w:tc>
        <w:tc>
          <w:tcPr>
            <w:tcW w:w="30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59.72</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vMerge w:val="restart"/>
          </w:tcPr>
          <w:p>
            <w:pPr>
              <w:jc w:val="right"/>
              <w:ind w:right="137"/>
              <w:spacing w:after="0"/>
              <w:rPr>
                <w:sz w:val="20"/>
                <w:szCs w:val="20"/>
                <w:color w:val="auto"/>
              </w:rPr>
            </w:pPr>
            <w:r>
              <w:rPr>
                <w:rFonts w:ascii="Arial" w:cs="Arial" w:eastAsia="Arial" w:hAnsi="Arial"/>
                <w:sz w:val="17"/>
                <w:szCs w:val="17"/>
                <w:b w:val="1"/>
                <w:bCs w:val="1"/>
                <w:color w:val="auto"/>
              </w:rPr>
              <w:t>57.86</w:t>
            </w:r>
          </w:p>
        </w:tc>
        <w:tc>
          <w:tcPr>
            <w:tcW w:w="13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3.2 %</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revenue per customer relationship</w:t>
            </w:r>
          </w:p>
        </w:tc>
        <w:tc>
          <w:tcPr>
            <w:tcW w:w="26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31</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revolving credit facility; and our ability to obtain future external financing.</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significant availability under our revolving credit facility and commercial paper program to meet our short-term liquidity requirements. As of September 30, 2021, amounts available under our revolving credit facility, net of amounts outstanding under our commercial paper program and outstanding letters of credit and bank guarantees, totaled $11.0 billion. We entered into a new revolving credit facility in March 2021 (see Note 5).</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subject to customary covenants and restrictions set forth in agreements related to debt issued at Comcast and certain of our subsidiaries, including the indentures governing our public debt securities and the credit agreements governing our revolving credit facility. Our credit facility contains a financial covenant pertaining to leverage, which is the ratio of debt to EBITDA, as defined in the revolving credit facility. Compliance with this financial covenant is tested on a quarterly basis under the terms of the revolving credit facility. As of September 30, 2021, we met this financial covenant by a significant margin and we would expect to remain in compliance with this financial covenant and other covenants related to our debt. The covenants and restrictions in our revolving credit facility do not apply to certain entities, including Sky and our international theme parks.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Net Cash Provided by Operating Activities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78"/>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7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w w:val="96"/>
              </w:rPr>
              <w:t>2020</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15,996</w:t>
            </w:r>
          </w:p>
        </w:tc>
        <w:tc>
          <w:tcPr>
            <w:tcW w:w="6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13,575</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10,222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9,848</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Noncash share-based compensation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1,019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922</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(1,057)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361</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Payments of interest</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(2,943)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(2,845)</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(2,201)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(2,298)</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420</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r>
      <w:tr>
        <w:trPr>
          <w:trHeight w:val="22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21,457</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19,695</w:t>
            </w:r>
          </w:p>
        </w:tc>
      </w:tr>
    </w:tbl>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variance in changes in operating assets and liabilities for the nine months ended September 30, 2021 compared to the same period in 2020 was primarily related to the timing of amortization and related payments for our film and television costs, including increased production spend partially offset by the timing of sporting events, as well as increases in accounts receivable and decreases in deferred revenue, which included the impacts of our broadcast of the Tokyo Olympics in the third quarter of 2021.</w:t>
      </w:r>
    </w:p>
    <w:p>
      <w:pPr>
        <w:spacing w:after="0" w:line="73"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In March 2021, we entered into an agreement with the NFL extending our rights for an additional 11 years through the 2033-2034 season. The new agreement includes exhibition rights for three additional Super Bowls and certain other rights, including streaming rights and additional exclusive games on Peacock.</w:t>
      </w:r>
    </w:p>
    <w:p>
      <w:pPr>
        <w:spacing w:after="0" w:line="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decrease in income tax payments for the nine months ended September 30, 2021 compared to the same period in 2020 was primarily due to tax deductions resulting from our senior notes exchange (refer to </w:t>
      </w:r>
      <w:r>
        <w:rPr>
          <w:rFonts w:ascii="Arial" w:cs="Arial" w:eastAsia="Arial" w:hAnsi="Arial"/>
          <w:sz w:val="16"/>
          <w:szCs w:val="16"/>
          <w:color w:val="auto"/>
        </w:rPr>
        <w:t>“</w:t>
      </w:r>
      <w:r>
        <w:rPr>
          <w:rFonts w:ascii="Arial" w:cs="Arial" w:eastAsia="Arial" w:hAnsi="Arial"/>
          <w:sz w:val="17"/>
          <w:szCs w:val="17"/>
          <w:color w:val="auto"/>
        </w:rPr>
        <w:t>Financing Activities</w:t>
      </w:r>
      <w:r>
        <w:rPr>
          <w:rFonts w:ascii="Arial" w:cs="Arial" w:eastAsia="Arial" w:hAnsi="Arial"/>
          <w:sz w:val="16"/>
          <w:szCs w:val="16"/>
          <w:color w:val="auto"/>
        </w:rPr>
        <w:t>”</w:t>
      </w:r>
      <w:r>
        <w:rPr>
          <w:rFonts w:ascii="Arial" w:cs="Arial" w:eastAsia="Arial" w:hAnsi="Arial"/>
          <w:sz w:val="17"/>
          <w:szCs w:val="17"/>
          <w:color w:val="auto"/>
        </w:rPr>
        <w:t xml:space="preserve"> below for additional information), which reduced tax payments by $0.7 billion in the third quarter of 2021 and more than offset the higher taxable income from operations in 2021.</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Net cash used in investing activities for both the nine months ended September 30, 2021 and 2020 consisted primarily of capital expenditures, cash paid for intangible assets and the construction of Universal Beijing Resort, which were partially offset by proceeds from sales of businesses and investments. Capital expenditures decreased for the nine months ended September 30, 2021 compared to the same period in 2020 primarily due to reduced spending at our Theme Parks, partially offset by increased spending at our Cable Communications segment related to scalable infrastructure and line extensions. Proceeds from sales of businesses and investments decreased for the nine months ended September 30, 2021 compared to the same period in 2020 primarily due to the sale of our investment in AirTouch in the prior year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cash used in financing activities for the nine months ended September 30, 2021 consisted primarily of repayments of debt and the related early redemption payments presented in other financing activities, dividend payments, repurchases of common stock under our share repurchase program and employee plans and payments related to the redemption of NBCUniversal Enterprise redeemable subsidiary preferred stock presented in other financing activities, partially offset by proceeds from borrowings. Net cash used in financing activities for the nine months ended September 30, 2020 consisted primarily of repayments of debt and the related early redemption payments presented in other financing activities, dividend payments and payments related to the redemption and repayment of subsidiary preferred shares presented in other financing activities, which were partially offset by proceeds from borrowings and proceeds from the settlement of cross-currency swaps related to our debt presented in other financing activities.</w:t>
      </w:r>
    </w:p>
    <w:p>
      <w:pPr>
        <w:spacing w:after="0" w:line="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August 2021, we completed a debt exchange transaction. We issued $15.0 billion aggregate principal amount of new senior notes, which have maturities ranging from 2051 to 2063 and a weighted average interest rate of 2.93%, and made cash payments of $0.5 billion in exchange for $11.2 billion aggregate principal amount of certain series of outstanding senior notes with maturities ranging from 2033 to 2058 and a weighted average interest rate of 5.04%. The debt exchange transaction was accounted for as a debt modification, and therefore following the exchange, the book value of the new senior notes is equal to the book value of the exchanged senior notes reduced by the amount of the cash payments, and the difference between the principal and carrying amounts of the new senior notes will accrue through interest expense over the period to maturity of the new senior notes.</w:t>
      </w:r>
    </w:p>
    <w:p>
      <w:pPr>
        <w:spacing w:after="0" w:line="6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September 2021, we issued €1.75 billion ($2.1 billion using exchange rates on the date of issuance) aggregate principal amount of fixed-rate Euro senior notes maturing in 2026 and 2029.</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nine months ended September 30, 2021, we made debt repayments totaling $9.0 billion, including $4.9 billion of optional repayments of term loans due 2022 to 2023 and the early redemption of $1.3 billion of senior notes maturing in 2024, as well as amounts due at maturity and the cash payments in the debt exchange transaction.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we had no commercial paper outstanding and there were no amounts outstanding under our revolving credit facility.</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have made, and may from time to time in the future make, optional repayments on our debt obligations, which may include repurchases or exchanges of our outstanding public notes and debentures, depending on various factors, such as market conditions.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See Notes 5 and 6 for additional information on our financing activities.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 and Dividends</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second quarter of 2021, we restarted our share repurchase program. Effective May 25, 2021, our Board of Directors increased our share repurchase program authorization to $10 billion, which does not have an expiration date. During the nine months ended September 30, 2021, we repurchased a total of 34.7 million shares of our Class A common stock for $2.0 billion. Under the authorization, we expect to repurchase additional shares during the remainder of 2021, which may be in the open market or in private transactions.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addition, we paid $620 million for the nine months ended September 30, 2021 related to employee taxes associated with the administration of our share-based compensation plans.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2021, our Board of Directors approved a 9% increase in our dividend to $1.00 per share on an annualized basis. On July 28, 2021, we paid dividends of $1.2 billion. In July 2021, our Board of Directors approved our third quarter dividend of $0.25 per share, which was paid in October 2021. We expect to continue to pay quarterly dividends, although each dividend is subject to approval by our Board of Directors.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 Structure</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Debt and Guarantee Structure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billions)</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94"/>
              </w:rPr>
              <w:t>September 30, 2021</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w w:val="95"/>
              </w:rPr>
              <w:t>December 31, 2020</w:t>
            </w: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Debt subject to cross-guarantees</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Arial" w:cs="Arial" w:eastAsia="Arial" w:hAnsi="Arial"/>
                <w:sz w:val="17"/>
                <w:szCs w:val="17"/>
                <w:color w:val="auto"/>
              </w:rPr>
              <w:t>Comcast</w:t>
            </w:r>
          </w:p>
        </w:tc>
        <w:tc>
          <w:tcPr>
            <w:tcW w:w="4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88.4</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line="223" w:lineRule="exact"/>
              <w:rPr>
                <w:sz w:val="20"/>
                <w:szCs w:val="20"/>
                <w:color w:val="auto"/>
              </w:rPr>
            </w:pPr>
            <w:r>
              <w:rPr>
                <w:rFonts w:ascii="Arial" w:cs="Arial" w:eastAsia="Arial" w:hAnsi="Arial"/>
                <w:sz w:val="17"/>
                <w:szCs w:val="17"/>
                <w:color w:val="auto"/>
              </w:rPr>
              <w:t>NBCUniversal</w:t>
            </w:r>
            <w:r>
              <w:rPr>
                <w:rFonts w:ascii="Arial" w:cs="Arial" w:eastAsia="Arial" w:hAnsi="Arial"/>
                <w:sz w:val="22"/>
                <w:szCs w:val="22"/>
                <w:color w:val="auto"/>
                <w:vertAlign w:val="superscript"/>
              </w:rPr>
              <w:t>(a)</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Comcast Cable</w:t>
            </w:r>
            <w:r>
              <w:rPr>
                <w:rFonts w:ascii="Arial" w:cs="Arial" w:eastAsia="Arial" w:hAnsi="Arial"/>
                <w:sz w:val="22"/>
                <w:szCs w:val="22"/>
                <w:color w:val="auto"/>
                <w:vertAlign w:val="superscript"/>
              </w:rPr>
              <w:t>(a)</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5"/>
        </w:trPr>
        <w:tc>
          <w:tcPr>
            <w:tcW w:w="7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Debt subject to one-way guarantees</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92.1</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23"/>
        </w:trPr>
        <w:tc>
          <w:tcPr>
            <w:tcW w:w="75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540" w:type="dxa"/>
            <w:vAlign w:val="bottom"/>
          </w:tcPr>
          <w:p>
            <w:pPr>
              <w:ind w:left="20"/>
              <w:spacing w:after="0"/>
              <w:rPr>
                <w:sz w:val="20"/>
                <w:szCs w:val="20"/>
                <w:color w:val="auto"/>
              </w:rPr>
            </w:pPr>
            <w:r>
              <w:rPr>
                <w:rFonts w:ascii="Arial" w:cs="Arial" w:eastAsia="Arial" w:hAnsi="Arial"/>
                <w:sz w:val="17"/>
                <w:szCs w:val="17"/>
                <w:color w:val="auto"/>
              </w:rPr>
              <w:t>Sky</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(a)</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5"/>
        </w:trPr>
        <w:tc>
          <w:tcPr>
            <w:tcW w:w="7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Debt not guaranteed</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6.5</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7"/>
        </w:trPr>
        <w:tc>
          <w:tcPr>
            <w:tcW w:w="75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line="229" w:lineRule="exact"/>
              <w:rPr>
                <w:sz w:val="20"/>
                <w:szCs w:val="20"/>
                <w:color w:val="auto"/>
              </w:rPr>
            </w:pPr>
            <w:r>
              <w:rPr>
                <w:rFonts w:ascii="Arial" w:cs="Arial" w:eastAsia="Arial" w:hAnsi="Arial"/>
                <w:sz w:val="17"/>
                <w:szCs w:val="17"/>
                <w:color w:val="auto"/>
              </w:rPr>
              <w:t>Universal Beijing Resort</w:t>
            </w:r>
            <w:r>
              <w:rPr>
                <w:rFonts w:ascii="Arial" w:cs="Arial" w:eastAsia="Arial" w:hAnsi="Arial"/>
                <w:sz w:val="22"/>
                <w:szCs w:val="22"/>
                <w:color w:val="auto"/>
                <w:vertAlign w:val="superscript"/>
              </w:rPr>
              <w:t>(b)</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3.4</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4.5</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71"/>
        </w:trPr>
        <w:tc>
          <w:tcPr>
            <w:tcW w:w="7540" w:type="dxa"/>
            <w:vAlign w:val="bottom"/>
          </w:tcPr>
          <w:p>
            <w:pPr>
              <w:ind w:left="20"/>
              <w:spacing w:after="0" w:line="172" w:lineRule="exact"/>
              <w:rPr>
                <w:sz w:val="20"/>
                <w:szCs w:val="20"/>
                <w:color w:val="auto"/>
              </w:rPr>
            </w:pPr>
            <w:r>
              <w:rPr>
                <w:rFonts w:ascii="Arial" w:cs="Arial" w:eastAsia="Arial" w:hAnsi="Arial"/>
                <w:sz w:val="17"/>
                <w:szCs w:val="17"/>
                <w:color w:val="auto"/>
                <w:w w:val="95"/>
              </w:rPr>
              <w:t>Debt issuance costs, premiums, discounts, fair value adjustments for acquisition accounting and hedged</w:t>
            </w:r>
          </w:p>
        </w:tc>
        <w:tc>
          <w:tcPr>
            <w:tcW w:w="4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7"/>
                <w:szCs w:val="17"/>
                <w:color w:val="auto"/>
              </w:rPr>
              <w:t>(5.9)</w:t>
            </w:r>
          </w:p>
        </w:tc>
        <w:tc>
          <w:tcPr>
            <w:tcW w:w="2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positions, net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debt</w:t>
            </w: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97.2</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103.8</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20" w:hanging="315"/>
        <w:spacing w:after="0" w:line="260" w:lineRule="auto"/>
        <w:tabs>
          <w:tab w:leader="none" w:pos="317" w:val="left"/>
        </w:tabs>
        <w:numPr>
          <w:ilvl w:val="0"/>
          <w:numId w:val="18"/>
        </w:numPr>
        <w:rPr>
          <w:rFonts w:ascii="Arial" w:cs="Arial" w:eastAsia="Arial" w:hAnsi="Arial"/>
          <w:sz w:val="14"/>
          <w:szCs w:val="14"/>
          <w:color w:val="auto"/>
        </w:rPr>
      </w:pPr>
      <w:r>
        <w:rPr>
          <w:rFonts w:ascii="Arial" w:cs="Arial" w:eastAsia="Arial" w:hAnsi="Arial"/>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7" w:lineRule="exact"/>
        <w:rPr>
          <w:rFonts w:ascii="Arial" w:cs="Arial" w:eastAsia="Arial" w:hAnsi="Arial"/>
          <w:sz w:val="14"/>
          <w:szCs w:val="14"/>
          <w:color w:val="auto"/>
        </w:rPr>
      </w:pP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6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Cross-guarantees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of September 30, 2021 and December 31, 2020, the combined Guarantors have noncurrent notes payable to non-guarantor subsidiaries of $125 billion and $124 billion, respectively, and noncurrent notes receivable from non-guarantor subsidiaries of $30 billion and $26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One-way Guarantees</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Comcast provides full and unconditional guarantees of certain debt issued by Sky and other consolidated subsidiaries not subject to the periodic reporting requirements of the SEC.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September 30, 2021 and December 31, 2020, Comcast and Comcast Holdings, the combined issuer and guarantor of the guaranteed subordinated debt, have noncurrent senior notes payable to non-guarantor subsidiaries of $95 billion and $94 billion, respectively, and noncurrent notes receivable from non-guarantor subsidiaries of $29 billion and $23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Judgments and Estimates</w:t>
      </w:r>
    </w:p>
    <w:p>
      <w:pPr>
        <w:spacing w:after="0" w:line="119"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40"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Following the change in presentation of our segment operating results in the first quarter of 2021, we reassessed the reporting units related to goodwill in our NBCUniversal segments and concluded that our reporting units are the same as our reportable segments. See Note 2 for additional information.</w:t>
      </w:r>
    </w:p>
    <w:p>
      <w:pPr>
        <w:spacing w:after="0" w:line="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believe our judgments and related estimates associated with the valuation and impairment testing of goodwill and cable franchise rights and the accounting for film and television costs are critical in the preparation of our condensed consolidated financial statements. We performed our annual impairment testing of goodwill and cable franchise rights as of July 1, 2021 and no impairment was required. Our impairment testing consisted of qualitative assessments for our cable franchise rights and goodwill in our Cable Communications and NBCUniversal segments, and a quantitative assessment for goodwill in our Sky segment. The goodwill in our Sky segment resulted from our acquisition of Sky in the fourth quarter of 2018. Given this was a recent transaction, the fair value is in close proximity to the carrying value of the Sky reporting unit.</w:t>
      </w:r>
    </w:p>
    <w:p>
      <w:pPr>
        <w:spacing w:after="0" w:line="77"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2020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have evaluated the information required under this item that was disclosed in our 2020 Annual Report on Form 10-K and there have been no significant changes to this information.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Conclusions regarding disclosure controls and procedures</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See Note 10 included in this Quarterly Report on Form 10-Q for a discussion of legal proceedings.</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from the risk factors previously disclosed in Item 1A of our 2020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Comcast's common stock repurchases during the three months ended September 30, 2021.</w:t>
      </w:r>
    </w:p>
    <w:p>
      <w:pPr>
        <w:spacing w:after="0" w:line="108"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Purchases of Equity Securities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03"/>
              <w:spacing w:after="0"/>
              <w:rPr>
                <w:sz w:val="20"/>
                <w:szCs w:val="20"/>
                <w:color w:val="auto"/>
              </w:rPr>
            </w:pPr>
            <w:r>
              <w:rPr>
                <w:rFonts w:ascii="Arial" w:cs="Arial" w:eastAsia="Arial" w:hAnsi="Arial"/>
                <w:sz w:val="14"/>
                <w:szCs w:val="14"/>
                <w:color w:val="auto"/>
                <w:w w:val="92"/>
              </w:rPr>
              <w:t>Total Dollar</w:t>
            </w:r>
          </w:p>
        </w:tc>
        <w:tc>
          <w:tcPr>
            <w:tcW w:w="220" w:type="dxa"/>
            <w:vAlign w:val="bottom"/>
          </w:tcPr>
          <w:p>
            <w:pPr>
              <w:spacing w:after="0"/>
              <w:rPr>
                <w:sz w:val="14"/>
                <w:szCs w:val="14"/>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color w:val="auto"/>
                <w:w w:val="96"/>
              </w:rPr>
              <w:t>Maximum Dollar</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880" w:type="dxa"/>
            <w:vAlign w:val="bottom"/>
            <w:vMerge w:val="restart"/>
          </w:tcPr>
          <w:p>
            <w:pPr>
              <w:jc w:val="center"/>
              <w:ind w:right="61"/>
              <w:spacing w:after="0"/>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11"/>
                <w:szCs w:val="11"/>
                <w:color w:val="auto"/>
              </w:rPr>
            </w:pPr>
          </w:p>
        </w:tc>
        <w:tc>
          <w:tcPr>
            <w:tcW w:w="1100" w:type="dxa"/>
            <w:vAlign w:val="bottom"/>
            <w:vMerge w:val="restart"/>
          </w:tcPr>
          <w:p>
            <w:pPr>
              <w:jc w:val="center"/>
              <w:ind w:right="281"/>
              <w:spacing w:after="0"/>
              <w:rPr>
                <w:sz w:val="20"/>
                <w:szCs w:val="20"/>
                <w:color w:val="auto"/>
              </w:rPr>
            </w:pPr>
            <w:r>
              <w:rPr>
                <w:rFonts w:ascii="Arial" w:cs="Arial" w:eastAsia="Arial" w:hAnsi="Arial"/>
                <w:sz w:val="14"/>
                <w:szCs w:val="14"/>
                <w:color w:val="auto"/>
                <w:w w:val="88"/>
              </w:rPr>
              <w:t>Average</w:t>
            </w:r>
          </w:p>
        </w:tc>
        <w:tc>
          <w:tcPr>
            <w:tcW w:w="1920" w:type="dxa"/>
            <w:vAlign w:val="bottom"/>
            <w:vMerge w:val="restart"/>
          </w:tcPr>
          <w:p>
            <w:pPr>
              <w:jc w:val="center"/>
              <w:ind w:right="1"/>
              <w:spacing w:after="0"/>
              <w:rPr>
                <w:sz w:val="20"/>
                <w:szCs w:val="20"/>
                <w:color w:val="auto"/>
              </w:rPr>
            </w:pPr>
            <w:r>
              <w:rPr>
                <w:rFonts w:ascii="Arial" w:cs="Arial" w:eastAsia="Arial" w:hAnsi="Arial"/>
                <w:sz w:val="14"/>
                <w:szCs w:val="14"/>
                <w:color w:val="auto"/>
                <w:w w:val="91"/>
              </w:rPr>
              <w:t>Total Number of</w:t>
            </w:r>
          </w:p>
        </w:tc>
        <w:tc>
          <w:tcPr>
            <w:tcW w:w="240" w:type="dxa"/>
            <w:vAlign w:val="bottom"/>
          </w:tcPr>
          <w:p>
            <w:pPr>
              <w:spacing w:after="0"/>
              <w:rPr>
                <w:sz w:val="11"/>
                <w:szCs w:val="11"/>
                <w:color w:val="auto"/>
              </w:rPr>
            </w:pPr>
          </w:p>
        </w:tc>
        <w:tc>
          <w:tcPr>
            <w:tcW w:w="1440" w:type="dxa"/>
            <w:vAlign w:val="bottom"/>
          </w:tcPr>
          <w:p>
            <w:pPr>
              <w:jc w:val="center"/>
              <w:ind w:right="103"/>
              <w:spacing w:after="0" w:line="131" w:lineRule="exact"/>
              <w:rPr>
                <w:sz w:val="20"/>
                <w:szCs w:val="20"/>
                <w:color w:val="auto"/>
              </w:rPr>
            </w:pPr>
            <w:r>
              <w:rPr>
                <w:rFonts w:ascii="Arial" w:cs="Arial" w:eastAsia="Arial" w:hAnsi="Arial"/>
                <w:sz w:val="14"/>
                <w:szCs w:val="14"/>
                <w:color w:val="auto"/>
                <w:w w:val="95"/>
              </w:rPr>
              <w:t>Amount</w:t>
            </w:r>
          </w:p>
        </w:tc>
        <w:tc>
          <w:tcPr>
            <w:tcW w:w="220" w:type="dxa"/>
            <w:vAlign w:val="bottom"/>
          </w:tcPr>
          <w:p>
            <w:pPr>
              <w:spacing w:after="0"/>
              <w:rPr>
                <w:sz w:val="11"/>
                <w:szCs w:val="11"/>
                <w:color w:val="auto"/>
              </w:rPr>
            </w:pPr>
          </w:p>
        </w:tc>
        <w:tc>
          <w:tcPr>
            <w:tcW w:w="1520" w:type="dxa"/>
            <w:vAlign w:val="bottom"/>
          </w:tcPr>
          <w:p>
            <w:pPr>
              <w:jc w:val="center"/>
              <w:ind w:right="102"/>
              <w:spacing w:after="0" w:line="131" w:lineRule="exact"/>
              <w:rPr>
                <w:sz w:val="20"/>
                <w:szCs w:val="20"/>
                <w:color w:val="auto"/>
              </w:rPr>
            </w:pPr>
            <w:r>
              <w:rPr>
                <w:rFonts w:ascii="Arial" w:cs="Arial" w:eastAsia="Arial" w:hAnsi="Arial"/>
                <w:sz w:val="14"/>
                <w:szCs w:val="14"/>
                <w:color w:val="auto"/>
                <w:w w:val="89"/>
              </w:rPr>
              <w:t>Value of Shares That</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103"/>
              <w:spacing w:after="0" w:line="131" w:lineRule="exact"/>
              <w:rPr>
                <w:sz w:val="20"/>
                <w:szCs w:val="20"/>
                <w:color w:val="auto"/>
              </w:rPr>
            </w:pPr>
            <w:r>
              <w:rPr>
                <w:rFonts w:ascii="Arial" w:cs="Arial" w:eastAsia="Arial" w:hAnsi="Arial"/>
                <w:sz w:val="14"/>
                <w:szCs w:val="14"/>
                <w:color w:val="auto"/>
                <w:w w:val="86"/>
              </w:rPr>
              <w:t>Purchased</w:t>
            </w:r>
          </w:p>
        </w:tc>
        <w:tc>
          <w:tcPr>
            <w:tcW w:w="220" w:type="dxa"/>
            <w:vAlign w:val="bottom"/>
          </w:tcPr>
          <w:p>
            <w:pPr>
              <w:spacing w:after="0"/>
              <w:rPr>
                <w:sz w:val="11"/>
                <w:szCs w:val="11"/>
                <w:color w:val="auto"/>
              </w:rPr>
            </w:pPr>
          </w:p>
        </w:tc>
        <w:tc>
          <w:tcPr>
            <w:tcW w:w="1520" w:type="dxa"/>
            <w:vAlign w:val="bottom"/>
          </w:tcPr>
          <w:p>
            <w:pPr>
              <w:jc w:val="center"/>
              <w:ind w:right="102"/>
              <w:spacing w:after="0" w:line="131" w:lineRule="exact"/>
              <w:rPr>
                <w:sz w:val="20"/>
                <w:szCs w:val="20"/>
                <w:color w:val="auto"/>
              </w:rPr>
            </w:pPr>
            <w:r>
              <w:rPr>
                <w:rFonts w:ascii="Arial" w:cs="Arial" w:eastAsia="Arial" w:hAnsi="Arial"/>
                <w:sz w:val="14"/>
                <w:szCs w:val="14"/>
                <w:color w:val="auto"/>
                <w:w w:val="91"/>
              </w:rPr>
              <w:t>May Yet Be</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880" w:type="dxa"/>
            <w:vAlign w:val="bottom"/>
          </w:tcPr>
          <w:p>
            <w:pPr>
              <w:jc w:val="center"/>
              <w:ind w:right="61"/>
              <w:spacing w:after="0" w:line="131"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1"/>
                <w:szCs w:val="11"/>
                <w:color w:val="auto"/>
              </w:rPr>
            </w:pPr>
          </w:p>
        </w:tc>
        <w:tc>
          <w:tcPr>
            <w:tcW w:w="1100" w:type="dxa"/>
            <w:vAlign w:val="bottom"/>
          </w:tcPr>
          <w:p>
            <w:pPr>
              <w:jc w:val="center"/>
              <w:ind w:right="281"/>
              <w:spacing w:after="0" w:line="131" w:lineRule="exact"/>
              <w:rPr>
                <w:sz w:val="20"/>
                <w:szCs w:val="20"/>
                <w:color w:val="auto"/>
              </w:rPr>
            </w:pPr>
            <w:r>
              <w:rPr>
                <w:rFonts w:ascii="Arial" w:cs="Arial" w:eastAsia="Arial" w:hAnsi="Arial"/>
                <w:sz w:val="14"/>
                <w:szCs w:val="14"/>
                <w:color w:val="auto"/>
                <w:w w:val="93"/>
              </w:rPr>
              <w:t>Price</w:t>
            </w:r>
          </w:p>
        </w:tc>
        <w:tc>
          <w:tcPr>
            <w:tcW w:w="1920" w:type="dxa"/>
            <w:vAlign w:val="bottom"/>
          </w:tcPr>
          <w:p>
            <w:pPr>
              <w:jc w:val="center"/>
              <w:ind w:right="21"/>
              <w:spacing w:after="0" w:line="131" w:lineRule="exact"/>
              <w:rPr>
                <w:sz w:val="20"/>
                <w:szCs w:val="20"/>
                <w:color w:val="auto"/>
              </w:rPr>
            </w:pPr>
            <w:r>
              <w:rPr>
                <w:rFonts w:ascii="Arial" w:cs="Arial" w:eastAsia="Arial" w:hAnsi="Arial"/>
                <w:sz w:val="14"/>
                <w:szCs w:val="14"/>
                <w:color w:val="auto"/>
                <w:w w:val="85"/>
              </w:rPr>
              <w:t>Shares Purchased</w:t>
            </w:r>
          </w:p>
        </w:tc>
        <w:tc>
          <w:tcPr>
            <w:tcW w:w="240" w:type="dxa"/>
            <w:vAlign w:val="bottom"/>
          </w:tcPr>
          <w:p>
            <w:pPr>
              <w:spacing w:after="0"/>
              <w:rPr>
                <w:sz w:val="11"/>
                <w:szCs w:val="11"/>
                <w:color w:val="auto"/>
              </w:rPr>
            </w:pPr>
          </w:p>
        </w:tc>
        <w:tc>
          <w:tcPr>
            <w:tcW w:w="1440" w:type="dxa"/>
            <w:vAlign w:val="bottom"/>
          </w:tcPr>
          <w:p>
            <w:pPr>
              <w:jc w:val="center"/>
              <w:ind w:right="103"/>
              <w:spacing w:after="0" w:line="131" w:lineRule="exact"/>
              <w:rPr>
                <w:sz w:val="20"/>
                <w:szCs w:val="20"/>
                <w:color w:val="auto"/>
              </w:rPr>
            </w:pPr>
            <w:r>
              <w:rPr>
                <w:rFonts w:ascii="Arial" w:cs="Arial" w:eastAsia="Arial" w:hAnsi="Arial"/>
                <w:sz w:val="14"/>
                <w:szCs w:val="14"/>
                <w:color w:val="auto"/>
                <w:w w:val="93"/>
              </w:rPr>
              <w:t>Under the Publicly</w:t>
            </w:r>
          </w:p>
        </w:tc>
        <w:tc>
          <w:tcPr>
            <w:tcW w:w="1740" w:type="dxa"/>
            <w:vAlign w:val="bottom"/>
            <w:gridSpan w:val="2"/>
          </w:tcPr>
          <w:p>
            <w:pPr>
              <w:ind w:left="60"/>
              <w:spacing w:after="0" w:line="131" w:lineRule="exact"/>
              <w:rPr>
                <w:sz w:val="20"/>
                <w:szCs w:val="20"/>
                <w:color w:val="auto"/>
              </w:rPr>
            </w:pPr>
            <w:r>
              <w:rPr>
                <w:rFonts w:ascii="Arial" w:cs="Arial" w:eastAsia="Arial" w:hAnsi="Arial"/>
                <w:sz w:val="14"/>
                <w:szCs w:val="14"/>
                <w:color w:val="auto"/>
                <w:w w:val="89"/>
              </w:rPr>
              <w:t>Purchased Under the Publicly</w:t>
            </w:r>
          </w:p>
        </w:tc>
        <w:tc>
          <w:tcPr>
            <w:tcW w:w="0" w:type="dxa"/>
            <w:vAlign w:val="bottom"/>
          </w:tcPr>
          <w:p>
            <w:pPr>
              <w:spacing w:after="0"/>
              <w:rPr>
                <w:sz w:val="1"/>
                <w:szCs w:val="1"/>
                <w:color w:val="auto"/>
              </w:rPr>
            </w:pPr>
          </w:p>
        </w:tc>
      </w:tr>
      <w:tr>
        <w:trPr>
          <w:trHeight w:val="131"/>
        </w:trPr>
        <w:tc>
          <w:tcPr>
            <w:tcW w:w="212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1880" w:type="dxa"/>
            <w:vAlign w:val="bottom"/>
          </w:tcPr>
          <w:p>
            <w:pPr>
              <w:jc w:val="center"/>
              <w:ind w:right="61"/>
              <w:spacing w:after="0" w:line="131"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1"/>
                <w:szCs w:val="11"/>
                <w:color w:val="auto"/>
              </w:rPr>
            </w:pPr>
          </w:p>
        </w:tc>
        <w:tc>
          <w:tcPr>
            <w:tcW w:w="1100" w:type="dxa"/>
            <w:vAlign w:val="bottom"/>
          </w:tcPr>
          <w:p>
            <w:pPr>
              <w:jc w:val="center"/>
              <w:ind w:right="281"/>
              <w:spacing w:after="0" w:line="131"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ind w:right="21"/>
              <w:spacing w:after="0" w:line="131" w:lineRule="exact"/>
              <w:rPr>
                <w:sz w:val="20"/>
                <w:szCs w:val="20"/>
                <w:color w:val="auto"/>
              </w:rPr>
            </w:pPr>
            <w:r>
              <w:rPr>
                <w:rFonts w:ascii="Arial" w:cs="Arial" w:eastAsia="Arial" w:hAnsi="Arial"/>
                <w:sz w:val="14"/>
                <w:szCs w:val="14"/>
                <w:color w:val="auto"/>
                <w:w w:val="90"/>
              </w:rPr>
              <w:t>as Part of Publicly</w:t>
            </w:r>
          </w:p>
        </w:tc>
        <w:tc>
          <w:tcPr>
            <w:tcW w:w="240" w:type="dxa"/>
            <w:vAlign w:val="bottom"/>
          </w:tcPr>
          <w:p>
            <w:pPr>
              <w:spacing w:after="0"/>
              <w:rPr>
                <w:sz w:val="11"/>
                <w:szCs w:val="11"/>
                <w:color w:val="auto"/>
              </w:rPr>
            </w:pPr>
          </w:p>
        </w:tc>
        <w:tc>
          <w:tcPr>
            <w:tcW w:w="1440" w:type="dxa"/>
            <w:vAlign w:val="bottom"/>
          </w:tcPr>
          <w:p>
            <w:pPr>
              <w:jc w:val="center"/>
              <w:ind w:right="103"/>
              <w:spacing w:after="0" w:line="131" w:lineRule="exact"/>
              <w:rPr>
                <w:sz w:val="20"/>
                <w:szCs w:val="20"/>
                <w:color w:val="auto"/>
              </w:rPr>
            </w:pPr>
            <w:r>
              <w:rPr>
                <w:rFonts w:ascii="Arial" w:cs="Arial" w:eastAsia="Arial" w:hAnsi="Arial"/>
                <w:sz w:val="14"/>
                <w:szCs w:val="14"/>
                <w:color w:val="auto"/>
                <w:w w:val="93"/>
              </w:rPr>
              <w:t>Announced</w:t>
            </w:r>
          </w:p>
        </w:tc>
        <w:tc>
          <w:tcPr>
            <w:tcW w:w="220" w:type="dxa"/>
            <w:vAlign w:val="bottom"/>
          </w:tcPr>
          <w:p>
            <w:pPr>
              <w:spacing w:after="0"/>
              <w:rPr>
                <w:sz w:val="11"/>
                <w:szCs w:val="11"/>
                <w:color w:val="auto"/>
              </w:rPr>
            </w:pPr>
          </w:p>
        </w:tc>
        <w:tc>
          <w:tcPr>
            <w:tcW w:w="1520" w:type="dxa"/>
            <w:vAlign w:val="bottom"/>
          </w:tcPr>
          <w:p>
            <w:pPr>
              <w:jc w:val="center"/>
              <w:ind w:right="102"/>
              <w:spacing w:after="0" w:line="131" w:lineRule="exact"/>
              <w:rPr>
                <w:sz w:val="20"/>
                <w:szCs w:val="20"/>
                <w:color w:val="auto"/>
              </w:rPr>
            </w:pPr>
            <w:r>
              <w:rPr>
                <w:rFonts w:ascii="Arial" w:cs="Arial" w:eastAsia="Arial" w:hAnsi="Arial"/>
                <w:sz w:val="14"/>
                <w:szCs w:val="14"/>
                <w:color w:val="auto"/>
                <w:w w:val="93"/>
              </w:rPr>
              <w:t>Announced</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auto"/>
            </w:tcBorders>
            <w:vMerge w:val="continue"/>
          </w:tcPr>
          <w:p>
            <w:pPr>
              <w:spacing w:after="0"/>
              <w:rPr>
                <w:sz w:val="15"/>
                <w:szCs w:val="15"/>
                <w:color w:val="auto"/>
              </w:rPr>
            </w:pPr>
          </w:p>
        </w:tc>
        <w:tc>
          <w:tcPr>
            <w:tcW w:w="1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86"/>
              </w:rPr>
              <w:t>Purchased</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color w:val="auto"/>
                <w:w w:val="85"/>
              </w:rPr>
              <w:t>Share</w:t>
            </w:r>
          </w:p>
        </w:tc>
        <w:tc>
          <w:tcPr>
            <w:tcW w:w="19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2"/>
              </w:rPr>
              <w:t>Announced Authorization</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w w:val="95"/>
              </w:rPr>
              <w:t>Authorization</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02"/>
              <w:spacing w:after="0" w:line="183" w:lineRule="exact"/>
              <w:rPr>
                <w:sz w:val="20"/>
                <w:szCs w:val="20"/>
                <w:color w:val="auto"/>
              </w:rPr>
            </w:pPr>
            <w:r>
              <w:rPr>
                <w:rFonts w:ascii="Arial" w:cs="Arial" w:eastAsia="Arial" w:hAnsi="Arial"/>
                <w:sz w:val="14"/>
                <w:szCs w:val="14"/>
                <w:color w:val="auto"/>
                <w:w w:val="89"/>
              </w:rPr>
              <w:t>Authorization</w:t>
            </w:r>
            <w:r>
              <w:rPr>
                <w:rFonts w:ascii="Arial" w:cs="Arial" w:eastAsia="Arial" w:hAnsi="Arial"/>
                <w:sz w:val="18"/>
                <w:szCs w:val="18"/>
                <w:color w:val="auto"/>
                <w:w w:val="89"/>
                <w:vertAlign w:val="superscript"/>
              </w:rPr>
              <w:t>(a)</w:t>
            </w:r>
          </w:p>
        </w:tc>
        <w:tc>
          <w:tcPr>
            <w:tcW w:w="0" w:type="dxa"/>
            <w:vAlign w:val="bottom"/>
          </w:tcPr>
          <w:p>
            <w:pPr>
              <w:spacing w:after="0"/>
              <w:rPr>
                <w:sz w:val="1"/>
                <w:szCs w:val="1"/>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7"/>
                <w:szCs w:val="17"/>
                <w:color w:val="auto"/>
              </w:rPr>
              <w:t>July 1-31, 2021</w:t>
            </w:r>
          </w:p>
        </w:tc>
        <w:tc>
          <w:tcPr>
            <w:tcW w:w="1880" w:type="dxa"/>
            <w:vAlign w:val="bottom"/>
          </w:tcPr>
          <w:p>
            <w:pPr>
              <w:jc w:val="right"/>
              <w:ind w:right="141"/>
              <w:spacing w:after="0"/>
              <w:rPr>
                <w:sz w:val="20"/>
                <w:szCs w:val="20"/>
                <w:color w:val="auto"/>
              </w:rPr>
            </w:pPr>
            <w:r>
              <w:rPr>
                <w:rFonts w:ascii="Arial" w:cs="Arial" w:eastAsia="Arial" w:hAnsi="Arial"/>
                <w:sz w:val="17"/>
                <w:szCs w:val="17"/>
                <w:color w:val="auto"/>
              </w:rPr>
              <w:t>6,947,195</w:t>
            </w:r>
          </w:p>
        </w:tc>
        <w:tc>
          <w:tcPr>
            <w:tcW w:w="4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01"/>
              <w:spacing w:after="0"/>
              <w:rPr>
                <w:sz w:val="20"/>
                <w:szCs w:val="20"/>
                <w:color w:val="auto"/>
              </w:rPr>
            </w:pPr>
            <w:r>
              <w:rPr>
                <w:rFonts w:ascii="Arial" w:cs="Arial" w:eastAsia="Arial" w:hAnsi="Arial"/>
                <w:sz w:val="17"/>
                <w:szCs w:val="17"/>
                <w:color w:val="auto"/>
              </w:rPr>
              <w:t>57.58</w:t>
            </w:r>
          </w:p>
        </w:tc>
        <w:tc>
          <w:tcPr>
            <w:tcW w:w="1920" w:type="dxa"/>
            <w:vAlign w:val="bottom"/>
          </w:tcPr>
          <w:p>
            <w:pPr>
              <w:jc w:val="right"/>
              <w:spacing w:after="0"/>
              <w:rPr>
                <w:sz w:val="20"/>
                <w:szCs w:val="20"/>
                <w:color w:val="auto"/>
              </w:rPr>
            </w:pPr>
            <w:r>
              <w:rPr>
                <w:rFonts w:ascii="Arial" w:cs="Arial" w:eastAsia="Arial" w:hAnsi="Arial"/>
                <w:sz w:val="17"/>
                <w:szCs w:val="17"/>
                <w:color w:val="auto"/>
              </w:rPr>
              <w:t>6,947,195</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399,999,989</w:t>
            </w:r>
          </w:p>
        </w:tc>
        <w:tc>
          <w:tcPr>
            <w:tcW w:w="220" w:type="dxa"/>
            <w:vAlign w:val="bottom"/>
          </w:tcPr>
          <w:p>
            <w:pPr>
              <w:ind w:left="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9,100,000,076</w:t>
            </w:r>
          </w:p>
        </w:tc>
        <w:tc>
          <w:tcPr>
            <w:tcW w:w="0" w:type="dxa"/>
            <w:vAlign w:val="bottom"/>
          </w:tcPr>
          <w:p>
            <w:pPr>
              <w:spacing w:after="0"/>
              <w:rPr>
                <w:sz w:val="1"/>
                <w:szCs w:val="1"/>
                <w:color w:val="auto"/>
              </w:rPr>
            </w:pPr>
          </w:p>
        </w:tc>
      </w:tr>
      <w:tr>
        <w:trPr>
          <w:trHeight w:val="236"/>
        </w:trPr>
        <w:tc>
          <w:tcPr>
            <w:tcW w:w="2120" w:type="dxa"/>
            <w:vAlign w:val="bottom"/>
          </w:tcPr>
          <w:p>
            <w:pPr>
              <w:ind w:left="20"/>
              <w:spacing w:after="0"/>
              <w:rPr>
                <w:sz w:val="20"/>
                <w:szCs w:val="20"/>
                <w:color w:val="auto"/>
              </w:rPr>
            </w:pPr>
            <w:r>
              <w:rPr>
                <w:rFonts w:ascii="Arial" w:cs="Arial" w:eastAsia="Arial" w:hAnsi="Arial"/>
                <w:sz w:val="17"/>
                <w:szCs w:val="17"/>
                <w:color w:val="auto"/>
              </w:rPr>
              <w:t>August 1-31, 2021</w:t>
            </w:r>
          </w:p>
        </w:tc>
        <w:tc>
          <w:tcPr>
            <w:tcW w:w="1880" w:type="dxa"/>
            <w:vAlign w:val="bottom"/>
          </w:tcPr>
          <w:p>
            <w:pPr>
              <w:jc w:val="right"/>
              <w:ind w:right="141"/>
              <w:spacing w:after="0"/>
              <w:rPr>
                <w:sz w:val="20"/>
                <w:szCs w:val="20"/>
                <w:color w:val="auto"/>
              </w:rPr>
            </w:pPr>
            <w:r>
              <w:rPr>
                <w:rFonts w:ascii="Arial" w:cs="Arial" w:eastAsia="Arial" w:hAnsi="Arial"/>
                <w:sz w:val="17"/>
                <w:szCs w:val="17"/>
                <w:color w:val="auto"/>
              </w:rPr>
              <w:t>6,154,308</w:t>
            </w:r>
          </w:p>
        </w:tc>
        <w:tc>
          <w:tcPr>
            <w:tcW w:w="4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01"/>
              <w:spacing w:after="0"/>
              <w:rPr>
                <w:sz w:val="20"/>
                <w:szCs w:val="20"/>
                <w:color w:val="auto"/>
              </w:rPr>
            </w:pPr>
            <w:r>
              <w:rPr>
                <w:rFonts w:ascii="Arial" w:cs="Arial" w:eastAsia="Arial" w:hAnsi="Arial"/>
                <w:sz w:val="17"/>
                <w:szCs w:val="17"/>
                <w:color w:val="auto"/>
              </w:rPr>
              <w:t>59.16</w:t>
            </w:r>
          </w:p>
        </w:tc>
        <w:tc>
          <w:tcPr>
            <w:tcW w:w="1920" w:type="dxa"/>
            <w:vAlign w:val="bottom"/>
          </w:tcPr>
          <w:p>
            <w:pPr>
              <w:jc w:val="right"/>
              <w:spacing w:after="0"/>
              <w:rPr>
                <w:sz w:val="20"/>
                <w:szCs w:val="20"/>
                <w:color w:val="auto"/>
              </w:rPr>
            </w:pPr>
            <w:r>
              <w:rPr>
                <w:rFonts w:ascii="Arial" w:cs="Arial" w:eastAsia="Arial" w:hAnsi="Arial"/>
                <w:sz w:val="17"/>
                <w:szCs w:val="17"/>
                <w:color w:val="auto"/>
              </w:rPr>
              <w:t>6,154,308</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364,109,213</w:t>
            </w:r>
          </w:p>
        </w:tc>
        <w:tc>
          <w:tcPr>
            <w:tcW w:w="220" w:type="dxa"/>
            <w:vAlign w:val="bottom"/>
          </w:tcPr>
          <w:p>
            <w:pPr>
              <w:ind w:left="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8,735,890,863</w:t>
            </w:r>
          </w:p>
        </w:tc>
        <w:tc>
          <w:tcPr>
            <w:tcW w:w="0" w:type="dxa"/>
            <w:vAlign w:val="bottom"/>
          </w:tcPr>
          <w:p>
            <w:pPr>
              <w:spacing w:after="0"/>
              <w:rPr>
                <w:sz w:val="1"/>
                <w:szCs w:val="1"/>
                <w:color w:val="auto"/>
              </w:rPr>
            </w:pPr>
          </w:p>
        </w:tc>
      </w:tr>
      <w:tr>
        <w:trPr>
          <w:trHeight w:val="223"/>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September 1-30, 2021</w:t>
            </w:r>
          </w:p>
        </w:tc>
        <w:tc>
          <w:tcPr>
            <w:tcW w:w="188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color w:val="auto"/>
              </w:rPr>
              <w:t>12,780,195</w:t>
            </w: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7"/>
                <w:szCs w:val="17"/>
                <w:color w:val="auto"/>
              </w:rPr>
              <w:t>57.58</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12,780,195</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735,890,836</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8,000,000,027</w:t>
            </w:r>
          </w:p>
        </w:tc>
        <w:tc>
          <w:tcPr>
            <w:tcW w:w="0" w:type="dxa"/>
            <w:vAlign w:val="bottom"/>
          </w:tcPr>
          <w:p>
            <w:pPr>
              <w:spacing w:after="0"/>
              <w:rPr>
                <w:sz w:val="1"/>
                <w:szCs w:val="1"/>
                <w:color w:val="auto"/>
              </w:rPr>
            </w:pPr>
          </w:p>
        </w:tc>
      </w:tr>
      <w:tr>
        <w:trPr>
          <w:trHeight w:val="222"/>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188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b w:val="1"/>
                <w:bCs w:val="1"/>
                <w:color w:val="auto"/>
              </w:rPr>
              <w:t>25,881,698</w:t>
            </w: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7"/>
                <w:szCs w:val="17"/>
                <w:b w:val="1"/>
                <w:bCs w:val="1"/>
                <w:color w:val="auto"/>
              </w:rPr>
              <w:t>57.96</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25,881,698</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1,500,000,038</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8,000,000,027</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hanging="315"/>
        <w:spacing w:after="0" w:line="260" w:lineRule="auto"/>
        <w:tabs>
          <w:tab w:leader="none" w:pos="317"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Effective May 25, 2021, our Board of Directors increased our share repurchase program authorization to $10 billion, which does not have an expiration date. Under this authorization, we may repurchase shares in the open market or in private transactions.</w:t>
      </w:r>
    </w:p>
    <w:p>
      <w:pPr>
        <w:spacing w:after="0" w:line="7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total number of shares purchased during the three months ended September 30, 2021 does not include any shares received in the administration of employee share-based compensation plans.</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8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0" w:lineRule="exact"/>
        <w:rPr>
          <w:sz w:val="20"/>
          <w:szCs w:val="20"/>
          <w:color w:val="auto"/>
        </w:rPr>
      </w:pPr>
    </w:p>
    <w:p>
      <w:pPr>
        <w:ind w:left="880" w:hanging="858"/>
        <w:spacing w:after="0"/>
        <w:tabs>
          <w:tab w:leader="none" w:pos="880" w:val="left"/>
        </w:tabs>
        <w:numPr>
          <w:ilvl w:val="0"/>
          <w:numId w:val="20"/>
        </w:numPr>
        <w:rPr>
          <w:rFonts w:ascii="Arial" w:cs="Arial" w:eastAsia="Arial" w:hAnsi="Arial"/>
          <w:sz w:val="17"/>
          <w:szCs w:val="17"/>
          <w:u w:val="single" w:color="auto"/>
          <w:color w:val="0000FF"/>
        </w:rPr>
      </w:pPr>
      <w:r>
        <w:rPr>
          <w:rFonts w:ascii="Arial" w:cs="Arial" w:eastAsia="Arial" w:hAnsi="Arial"/>
          <w:sz w:val="17"/>
          <w:szCs w:val="17"/>
          <w:color w:val="auto"/>
        </w:rPr>
        <w:t>Subsidiary guarantors and issuers of guaranteed securities and affiliates whose securities collateralize securities of the registrant</w:t>
      </w:r>
    </w:p>
    <w:p>
      <w:pPr>
        <w:spacing w:after="0" w:line="27" w:lineRule="exact"/>
        <w:rPr>
          <w:sz w:val="20"/>
          <w:szCs w:val="20"/>
          <w:color w:val="auto"/>
        </w:rPr>
      </w:pPr>
    </w:p>
    <w:p>
      <w:pPr>
        <w:ind w:left="880" w:hanging="858"/>
        <w:spacing w:after="0"/>
        <w:tabs>
          <w:tab w:leader="none" w:pos="880" w:val="left"/>
        </w:tabs>
        <w:numPr>
          <w:ilvl w:val="0"/>
          <w:numId w:val="21"/>
        </w:numPr>
        <w:rPr>
          <w:rFonts w:ascii="Arial" w:cs="Arial" w:eastAsia="Arial" w:hAnsi="Arial"/>
          <w:sz w:val="17"/>
          <w:szCs w:val="17"/>
          <w:u w:val="single" w:color="auto"/>
          <w:color w:val="0000FF"/>
        </w:rPr>
      </w:pPr>
      <w:r>
        <w:rPr>
          <w:rFonts w:ascii="Arial" w:cs="Arial" w:eastAsia="Arial" w:hAnsi="Arial"/>
          <w:sz w:val="17"/>
          <w:szCs w:val="17"/>
          <w:color w:val="auto"/>
        </w:rPr>
        <w:t>Certification of Chief Executive Officer and Chief Financial Officer pursuant to Section 302 of the Sarbanes-Oxley Act of 2002</w:t>
      </w:r>
    </w:p>
    <w:p>
      <w:pPr>
        <w:spacing w:after="0" w:line="27" w:lineRule="exact"/>
        <w:rPr>
          <w:rFonts w:ascii="Arial" w:cs="Arial" w:eastAsia="Arial" w:hAnsi="Arial"/>
          <w:sz w:val="17"/>
          <w:szCs w:val="17"/>
          <w:u w:val="single" w:color="auto"/>
          <w:color w:val="0000FF"/>
        </w:rPr>
      </w:pPr>
    </w:p>
    <w:p>
      <w:pPr>
        <w:ind w:left="880" w:hanging="858"/>
        <w:spacing w:after="0"/>
        <w:tabs>
          <w:tab w:leader="none" w:pos="880" w:val="left"/>
        </w:tabs>
        <w:numPr>
          <w:ilvl w:val="0"/>
          <w:numId w:val="21"/>
        </w:numPr>
        <w:rPr>
          <w:rFonts w:ascii="Arial" w:cs="Arial" w:eastAsia="Arial" w:hAnsi="Arial"/>
          <w:sz w:val="17"/>
          <w:szCs w:val="17"/>
          <w:u w:val="single" w:color="auto"/>
          <w:color w:val="0000FF"/>
        </w:rPr>
      </w:pPr>
      <w:r>
        <w:rPr>
          <w:rFonts w:ascii="Arial" w:cs="Arial" w:eastAsia="Arial" w:hAnsi="Arial"/>
          <w:sz w:val="17"/>
          <w:szCs w:val="17"/>
          <w:color w:val="auto"/>
        </w:rPr>
        <w:t>Certification of Chief Executive Officer and Chief Financial Officer pursuant to Section 906 of the Sarbanes-Oxley Act of 2002</w:t>
      </w:r>
    </w:p>
    <w:p>
      <w:pPr>
        <w:spacing w:after="0" w:line="27" w:lineRule="exact"/>
        <w:rPr>
          <w:sz w:val="20"/>
          <w:szCs w:val="20"/>
          <w:color w:val="auto"/>
        </w:rPr>
      </w:pPr>
    </w:p>
    <w:p>
      <w:pPr>
        <w:jc w:val="both"/>
        <w:ind w:left="880" w:right="20" w:hanging="858"/>
        <w:spacing w:after="0" w:line="231"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nine months ended September 30, 2021, filed with the Securities and Exchange Commission on October 28, 2021, formatted in Inline Extensible Business Reporting Language (iXBRL):</w:t>
      </w:r>
    </w:p>
    <w:p>
      <w:pPr>
        <w:jc w:val="both"/>
        <w:ind w:left="880" w:right="20" w:firstLine="7"/>
        <w:spacing w:after="0" w:line="224" w:lineRule="auto"/>
        <w:tabs>
          <w:tab w:leader="none" w:pos="1101"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 w:lineRule="exact"/>
        <w:rPr>
          <w:sz w:val="20"/>
          <w:szCs w:val="20"/>
          <w:color w:val="auto"/>
        </w:rPr>
      </w:pPr>
    </w:p>
    <w:p>
      <w:pPr>
        <w:ind w:left="5540" w:right="5160" w:hanging="5518"/>
        <w:spacing w:after="0" w:line="1040" w:lineRule="auto"/>
        <w:tabs>
          <w:tab w:leader="none" w:pos="8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iXBRL document)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-267970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-871220</wp:posOffset>
            </wp:positionV>
            <wp:extent cx="71361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92"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COMCAST CORPORATION</w:t>
      </w:r>
    </w:p>
    <w:p>
      <w:pPr>
        <w:spacing w:after="0" w:line="80"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16510</wp:posOffset>
            </wp:positionV>
            <wp:extent cx="31026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Daniel C. Murdock</w:t>
      </w:r>
    </w:p>
    <w:p>
      <w:pPr>
        <w:ind w:left="6380"/>
        <w:spacing w:after="0" w:line="222" w:lineRule="auto"/>
        <w:rPr>
          <w:sz w:val="20"/>
          <w:szCs w:val="20"/>
          <w:color w:val="auto"/>
        </w:rPr>
      </w:pPr>
      <w:r>
        <w:rPr>
          <w:rFonts w:ascii="Arial" w:cs="Arial" w:eastAsia="Arial" w:hAnsi="Arial"/>
          <w:sz w:val="16"/>
          <w:szCs w:val="16"/>
          <w:color w:val="auto"/>
        </w:rPr>
        <w:t>Executive Vice President, Chief Accounting Officer and Controller</w:t>
      </w:r>
    </w:p>
    <w:p>
      <w:pPr>
        <w:ind w:left="6380"/>
        <w:spacing w:after="0"/>
        <w:rPr>
          <w:sz w:val="20"/>
          <w:szCs w:val="20"/>
          <w:color w:val="auto"/>
        </w:rPr>
      </w:pPr>
      <w:r>
        <w:rPr>
          <w:rFonts w:ascii="Arial" w:cs="Arial" w:eastAsia="Arial" w:hAnsi="Arial"/>
          <w:sz w:val="17"/>
          <w:szCs w:val="17"/>
          <w:color w:val="auto"/>
        </w:rPr>
        <w:t>(Principal Accounting Officer)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173" w:right="339" w:bottom="1440" w:gutter="0" w:footer="0" w:header="0"/>
        </w:sectPr>
      </w:pPr>
    </w:p>
    <w:bookmarkStart w:id="41" w:name="page42"/>
    <w:bookmarkEnd w:id="41"/>
    <w:p>
      <w:pPr>
        <w:ind w:left="10320"/>
        <w:spacing w:after="0"/>
        <w:rPr>
          <w:sz w:val="20"/>
          <w:szCs w:val="20"/>
          <w:color w:val="auto"/>
        </w:rPr>
      </w:pPr>
      <w:r>
        <w:rPr>
          <w:rFonts w:ascii="Arial" w:cs="Arial" w:eastAsia="Arial" w:hAnsi="Arial"/>
          <w:sz w:val="19"/>
          <w:szCs w:val="19"/>
          <w:b w:val="1"/>
          <w:bCs w:val="1"/>
          <w:color w:val="auto"/>
        </w:rPr>
        <w:t>Exhibit 22</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Subsidiary guarantors and issuers of guaranteed securities and affiliates whose securities collateralize securities of the</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registrant</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6480" w:type="dxa"/>
            <w:vAlign w:val="bottom"/>
            <w:tcBorders>
              <w:top w:val="single" w:sz="8" w:color="auto"/>
              <w:left w:val="single" w:sz="8" w:color="auto"/>
              <w:bottom w:val="single" w:sz="8" w:color="auto"/>
              <w:right w:val="single" w:sz="8" w:color="auto"/>
            </w:tcBorders>
          </w:tcPr>
          <w:p>
            <w:pPr>
              <w:ind w:left="2800"/>
              <w:spacing w:after="0"/>
              <w:rPr>
                <w:sz w:val="20"/>
                <w:szCs w:val="20"/>
                <w:color w:val="auto"/>
              </w:rPr>
            </w:pPr>
            <w:r>
              <w:rPr>
                <w:rFonts w:ascii="Arial" w:cs="Arial" w:eastAsia="Arial" w:hAnsi="Arial"/>
                <w:sz w:val="21"/>
                <w:szCs w:val="21"/>
                <w:b w:val="1"/>
                <w:bCs w:val="1"/>
                <w:color w:val="auto"/>
              </w:rPr>
              <w:t>Securities</w:t>
            </w:r>
          </w:p>
        </w:tc>
        <w:tc>
          <w:tcPr>
            <w:tcW w:w="478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21"/>
                <w:szCs w:val="21"/>
                <w:b w:val="1"/>
                <w:bCs w:val="1"/>
                <w:color w:val="auto"/>
              </w:rPr>
              <w:t>Guarantors</w:t>
            </w:r>
          </w:p>
        </w:tc>
      </w:tr>
      <w:tr>
        <w:trPr>
          <w:trHeight w:val="267"/>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5"/>
              </w:rPr>
              <w:t>Certain debt securities issued by Comcast Corporation under the Senior</w:t>
            </w: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Comcast Cable Communications, LLC and</w:t>
            </w: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89"/>
              </w:rPr>
              <w:t>Indenture dated September 18, 2013, as supplemented and amended by the</w:t>
            </w: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NBCUniversal Media, LLC</w:t>
            </w: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0"/>
              </w:rPr>
              <w:t>First Supplemental Indenture dated November 17, 2015. The 0.000% Notes</w:t>
            </w:r>
          </w:p>
        </w:tc>
        <w:tc>
          <w:tcPr>
            <w:tcW w:w="4780" w:type="dxa"/>
            <w:vAlign w:val="bottom"/>
            <w:tcBorders>
              <w:right w:val="single" w:sz="8" w:color="auto"/>
            </w:tcBorders>
          </w:tcPr>
          <w:p>
            <w:pPr>
              <w:spacing w:after="0"/>
              <w:rPr>
                <w:sz w:val="21"/>
                <w:szCs w:val="21"/>
                <w:color w:val="auto"/>
              </w:rPr>
            </w:pP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4"/>
              </w:rPr>
              <w:t>due 2026, the 0.250% Notes due 2027, the 0.250% Notes due 2029, the</w:t>
            </w:r>
          </w:p>
        </w:tc>
        <w:tc>
          <w:tcPr>
            <w:tcW w:w="4780" w:type="dxa"/>
            <w:vAlign w:val="bottom"/>
            <w:tcBorders>
              <w:right w:val="single" w:sz="8" w:color="auto"/>
            </w:tcBorders>
          </w:tcPr>
          <w:p>
            <w:pPr>
              <w:spacing w:after="0"/>
              <w:rPr>
                <w:sz w:val="21"/>
                <w:szCs w:val="21"/>
                <w:color w:val="auto"/>
              </w:rPr>
            </w:pP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4"/>
              </w:rPr>
              <w:t>0.750% Notes due 2032, the 1.250% Notes due 2040, the 1.500% Notes</w:t>
            </w:r>
          </w:p>
        </w:tc>
        <w:tc>
          <w:tcPr>
            <w:tcW w:w="4780" w:type="dxa"/>
            <w:vAlign w:val="bottom"/>
            <w:tcBorders>
              <w:right w:val="single" w:sz="8" w:color="auto"/>
            </w:tcBorders>
          </w:tcPr>
          <w:p>
            <w:pPr>
              <w:spacing w:after="0"/>
              <w:rPr>
                <w:sz w:val="21"/>
                <w:szCs w:val="21"/>
                <w:color w:val="auto"/>
              </w:rPr>
            </w:pP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1"/>
              </w:rPr>
              <w:t>due 2029 and the 1.875% Notes due 2036 are listed on the Nasdaq Global</w:t>
            </w:r>
          </w:p>
        </w:tc>
        <w:tc>
          <w:tcPr>
            <w:tcW w:w="4780" w:type="dxa"/>
            <w:vAlign w:val="bottom"/>
            <w:tcBorders>
              <w:right w:val="single" w:sz="8" w:color="auto"/>
            </w:tcBorders>
          </w:tcPr>
          <w:p>
            <w:pPr>
              <w:spacing w:after="0"/>
              <w:rPr>
                <w:sz w:val="21"/>
                <w:szCs w:val="21"/>
                <w:color w:val="auto"/>
              </w:rPr>
            </w:pPr>
          </w:p>
        </w:tc>
      </w:tr>
      <w:tr>
        <w:trPr>
          <w:trHeight w:val="276"/>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Market.</w:t>
            </w:r>
          </w:p>
        </w:tc>
        <w:tc>
          <w:tcPr>
            <w:tcW w:w="4780" w:type="dxa"/>
            <w:vAlign w:val="bottom"/>
            <w:tcBorders>
              <w:bottom w:val="single" w:sz="8" w:color="auto"/>
              <w:right w:val="single" w:sz="8" w:color="auto"/>
            </w:tcBorders>
          </w:tcPr>
          <w:p>
            <w:pPr>
              <w:spacing w:after="0"/>
              <w:rPr>
                <w:sz w:val="24"/>
                <w:szCs w:val="24"/>
                <w:color w:val="auto"/>
              </w:rPr>
            </w:pPr>
          </w:p>
        </w:tc>
      </w:tr>
      <w:tr>
        <w:trPr>
          <w:trHeight w:val="267"/>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0"/>
              </w:rPr>
              <w:t>Certain debt securities issued by Comcast Corporation under the Indenture,</w:t>
            </w: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Comcast Cable Communications, LLC and</w:t>
            </w: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dated January 7, 2003, as supplemented and amended by the First</w:t>
            </w: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NBCUniversal Media, LLC</w:t>
            </w: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2"/>
              </w:rPr>
              <w:t>Supplemental Indenture dated March 25, 2003, the Second Supplemental</w:t>
            </w:r>
          </w:p>
        </w:tc>
        <w:tc>
          <w:tcPr>
            <w:tcW w:w="4780" w:type="dxa"/>
            <w:vAlign w:val="bottom"/>
            <w:tcBorders>
              <w:right w:val="single" w:sz="8" w:color="auto"/>
            </w:tcBorders>
          </w:tcPr>
          <w:p>
            <w:pPr>
              <w:spacing w:after="0"/>
              <w:rPr>
                <w:sz w:val="21"/>
                <w:szCs w:val="21"/>
                <w:color w:val="auto"/>
              </w:rPr>
            </w:pP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2"/>
              </w:rPr>
              <w:t>Indenture dated August 31, 2009, the Third Supplemental Indenture dated</w:t>
            </w:r>
          </w:p>
        </w:tc>
        <w:tc>
          <w:tcPr>
            <w:tcW w:w="4780" w:type="dxa"/>
            <w:vAlign w:val="bottom"/>
            <w:tcBorders>
              <w:right w:val="single" w:sz="8" w:color="auto"/>
            </w:tcBorders>
          </w:tcPr>
          <w:p>
            <w:pPr>
              <w:spacing w:after="0"/>
              <w:rPr>
                <w:sz w:val="21"/>
                <w:szCs w:val="21"/>
                <w:color w:val="auto"/>
              </w:rPr>
            </w:pP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3"/>
              </w:rPr>
              <w:t>March 27, 2013 and the Fourth Supplemental Indenture dated October 1,</w:t>
            </w:r>
          </w:p>
        </w:tc>
        <w:tc>
          <w:tcPr>
            <w:tcW w:w="4780" w:type="dxa"/>
            <w:vAlign w:val="bottom"/>
            <w:tcBorders>
              <w:right w:val="single" w:sz="8" w:color="auto"/>
            </w:tcBorders>
          </w:tcPr>
          <w:p>
            <w:pPr>
              <w:spacing w:after="0"/>
              <w:rPr>
                <w:sz w:val="21"/>
                <w:szCs w:val="21"/>
                <w:color w:val="auto"/>
              </w:rPr>
            </w:pP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2015. The 5.50% Notes due 2029 are listed on the New York Stock</w:t>
            </w:r>
          </w:p>
        </w:tc>
        <w:tc>
          <w:tcPr>
            <w:tcW w:w="4780" w:type="dxa"/>
            <w:vAlign w:val="bottom"/>
            <w:tcBorders>
              <w:right w:val="single" w:sz="8" w:color="auto"/>
            </w:tcBorders>
          </w:tcPr>
          <w:p>
            <w:pPr>
              <w:spacing w:after="0"/>
              <w:rPr>
                <w:sz w:val="21"/>
                <w:szCs w:val="21"/>
                <w:color w:val="auto"/>
              </w:rPr>
            </w:pPr>
          </w:p>
        </w:tc>
      </w:tr>
      <w:tr>
        <w:trPr>
          <w:trHeight w:val="276"/>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Exchange.</w:t>
            </w:r>
          </w:p>
        </w:tc>
        <w:tc>
          <w:tcPr>
            <w:tcW w:w="4780" w:type="dxa"/>
            <w:vAlign w:val="bottom"/>
            <w:tcBorders>
              <w:bottom w:val="single" w:sz="8" w:color="auto"/>
              <w:right w:val="single" w:sz="8" w:color="auto"/>
            </w:tcBorders>
          </w:tcPr>
          <w:p>
            <w:pPr>
              <w:spacing w:after="0"/>
              <w:rPr>
                <w:sz w:val="24"/>
                <w:szCs w:val="24"/>
                <w:color w:val="auto"/>
              </w:rPr>
            </w:pPr>
          </w:p>
        </w:tc>
      </w:tr>
      <w:tr>
        <w:trPr>
          <w:trHeight w:val="267"/>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89"/>
              </w:rPr>
              <w:t>2.0% Exchangeable Subordinated Debentures due 2029 issued by Comcast</w:t>
            </w: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Comcast Corporation</w:t>
            </w: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7"/>
              </w:rPr>
              <w:t>Holdings Corporation. The securities are listed on the New York Stock</w:t>
            </w:r>
          </w:p>
        </w:tc>
        <w:tc>
          <w:tcPr>
            <w:tcW w:w="4780" w:type="dxa"/>
            <w:vAlign w:val="bottom"/>
            <w:tcBorders>
              <w:right w:val="single" w:sz="8" w:color="auto"/>
            </w:tcBorders>
          </w:tcPr>
          <w:p>
            <w:pPr>
              <w:spacing w:after="0"/>
              <w:rPr>
                <w:sz w:val="21"/>
                <w:szCs w:val="21"/>
                <w:color w:val="auto"/>
              </w:rPr>
            </w:pPr>
          </w:p>
        </w:tc>
      </w:tr>
      <w:tr>
        <w:trPr>
          <w:trHeight w:val="267"/>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Exchange.</w:t>
            </w:r>
          </w:p>
        </w:tc>
        <w:tc>
          <w:tcPr>
            <w:tcW w:w="4780" w:type="dxa"/>
            <w:vAlign w:val="bottom"/>
            <w:tcBorders>
              <w:right w:val="single" w:sz="8" w:color="auto"/>
            </w:tcBorders>
          </w:tcPr>
          <w:p>
            <w:pPr>
              <w:spacing w:after="0"/>
              <w:rPr>
                <w:sz w:val="23"/>
                <w:szCs w:val="23"/>
                <w:color w:val="auto"/>
              </w:rPr>
            </w:pPr>
          </w:p>
        </w:tc>
      </w:tr>
      <w:tr>
        <w:trPr>
          <w:trHeight w:val="226"/>
        </w:trPr>
        <w:tc>
          <w:tcPr>
            <w:tcW w:w="6480" w:type="dxa"/>
            <w:vAlign w:val="bottom"/>
            <w:tcBorders>
              <w:left w:val="single" w:sz="8" w:color="auto"/>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r>
        <w:trPr>
          <w:trHeight w:val="260"/>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9.455% Guaranteed Notes due 2022 issued by Comcast Cable</w:t>
            </w: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w w:val="95"/>
              </w:rPr>
              <w:t>Comcast Corporation and NBCUniversal Media, LLC</w:t>
            </w:r>
          </w:p>
        </w:tc>
      </w:tr>
      <w:tr>
        <w:trPr>
          <w:trHeight w:val="249"/>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6"/>
              </w:rPr>
              <w:t>Communications, LLC. The securities are listed on the New York Stock</w:t>
            </w:r>
          </w:p>
        </w:tc>
        <w:tc>
          <w:tcPr>
            <w:tcW w:w="4780" w:type="dxa"/>
            <w:vAlign w:val="bottom"/>
            <w:tcBorders>
              <w:right w:val="single" w:sz="8" w:color="auto"/>
            </w:tcBorders>
          </w:tcPr>
          <w:p>
            <w:pPr>
              <w:spacing w:after="0"/>
              <w:rPr>
                <w:sz w:val="21"/>
                <w:szCs w:val="21"/>
                <w:color w:val="auto"/>
              </w:rPr>
            </w:pPr>
          </w:p>
        </w:tc>
      </w:tr>
      <w:tr>
        <w:trPr>
          <w:trHeight w:val="267"/>
        </w:trPr>
        <w:tc>
          <w:tcPr>
            <w:tcW w:w="6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Exchange.</w:t>
            </w:r>
          </w:p>
        </w:tc>
        <w:tc>
          <w:tcPr>
            <w:tcW w:w="4780" w:type="dxa"/>
            <w:vAlign w:val="bottom"/>
            <w:tcBorders>
              <w:right w:val="single" w:sz="8" w:color="auto"/>
            </w:tcBorders>
          </w:tcPr>
          <w:p>
            <w:pPr>
              <w:spacing w:after="0"/>
              <w:rPr>
                <w:sz w:val="23"/>
                <w:szCs w:val="23"/>
                <w:color w:val="auto"/>
              </w:rPr>
            </w:pPr>
          </w:p>
        </w:tc>
      </w:tr>
      <w:tr>
        <w:trPr>
          <w:trHeight w:val="226"/>
        </w:trPr>
        <w:tc>
          <w:tcPr>
            <w:tcW w:w="6480" w:type="dxa"/>
            <w:vAlign w:val="bottom"/>
            <w:tcBorders>
              <w:left w:val="single" w:sz="8" w:color="auto"/>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1260"/>
          </w:cols>
          <w:pgMar w:left="320" w:top="1383" w:right="31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31</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 Brian L. Roberts, certify that:</w:t>
      </w:r>
    </w:p>
    <w:p>
      <w:pPr>
        <w:spacing w:after="0" w:line="119" w:lineRule="exact"/>
        <w:rPr>
          <w:sz w:val="20"/>
          <w:szCs w:val="20"/>
          <w:color w:val="auto"/>
        </w:rPr>
      </w:pPr>
    </w:p>
    <w:p>
      <w:pPr>
        <w:ind w:left="640" w:hanging="635"/>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Comcast Corporation;</w:t>
      </w:r>
    </w:p>
    <w:p>
      <w:pPr>
        <w:spacing w:after="0" w:line="118" w:lineRule="exact"/>
        <w:rPr>
          <w:rFonts w:ascii="Arial" w:cs="Arial" w:eastAsia="Arial" w:hAnsi="Arial"/>
          <w:sz w:val="17"/>
          <w:szCs w:val="17"/>
          <w:color w:val="auto"/>
        </w:rPr>
      </w:pPr>
    </w:p>
    <w:p>
      <w:pPr>
        <w:jc w:val="both"/>
        <w:ind w:left="640" w:right="460" w:hanging="635"/>
        <w:spacing w:after="0" w:line="273"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7"/>
          <w:szCs w:val="17"/>
          <w:color w:val="auto"/>
        </w:rPr>
      </w:pPr>
    </w:p>
    <w:p>
      <w:pPr>
        <w:ind w:left="640" w:right="420" w:hanging="635"/>
        <w:spacing w:after="0" w:line="289"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40" w:right="40" w:hanging="635"/>
        <w:spacing w:after="0" w:line="273"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jc w:val="both"/>
        <w:ind w:left="1260" w:right="120" w:hanging="626"/>
        <w:spacing w:after="0" w:line="273" w:lineRule="auto"/>
        <w:tabs>
          <w:tab w:leader="none" w:pos="1251"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ind w:left="1260" w:right="380" w:hanging="626"/>
        <w:spacing w:after="0" w:line="273" w:lineRule="auto"/>
        <w:tabs>
          <w:tab w:leader="none" w:pos="124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left="1260" w:right="540" w:hanging="626"/>
        <w:spacing w:after="0" w:line="359" w:lineRule="auto"/>
        <w:tabs>
          <w:tab w:leader="none" w:pos="1251"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260" w:right="120" w:hanging="626"/>
        <w:spacing w:after="0" w:line="273" w:lineRule="auto"/>
        <w:tabs>
          <w:tab w:leader="none" w:pos="124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7"/>
          <w:szCs w:val="17"/>
          <w:color w:val="auto"/>
        </w:rPr>
      </w:pPr>
    </w:p>
    <w:p>
      <w:pPr>
        <w:ind w:left="640" w:right="340" w:hanging="635"/>
        <w:spacing w:after="0" w:line="322"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260" w:right="40" w:hanging="626"/>
        <w:spacing w:after="0" w:line="289" w:lineRule="auto"/>
        <w:tabs>
          <w:tab w:leader="none" w:pos="1251"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260" w:right="540" w:hanging="626"/>
        <w:spacing w:after="0" w:line="289" w:lineRule="auto"/>
        <w:tabs>
          <w:tab w:leader="none" w:pos="1248"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2021</w:t>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683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Name: Brian L. Roberts</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1240"/>
          </w:cols>
          <w:pgMar w:left="320" w:top="35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I, Michael J. Cavanagh, certify that:</w:t>
      </w:r>
    </w:p>
    <w:p>
      <w:pPr>
        <w:spacing w:after="0" w:line="66" w:lineRule="exact"/>
        <w:rPr>
          <w:sz w:val="20"/>
          <w:szCs w:val="20"/>
          <w:color w:val="auto"/>
        </w:rPr>
      </w:pPr>
    </w:p>
    <w:p>
      <w:pPr>
        <w:ind w:left="640" w:hanging="635"/>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Comcast Corporation;</w:t>
      </w:r>
    </w:p>
    <w:p>
      <w:pPr>
        <w:spacing w:after="0" w:line="118" w:lineRule="exact"/>
        <w:rPr>
          <w:rFonts w:ascii="Arial" w:cs="Arial" w:eastAsia="Arial" w:hAnsi="Arial"/>
          <w:sz w:val="17"/>
          <w:szCs w:val="17"/>
          <w:color w:val="auto"/>
        </w:rPr>
      </w:pPr>
    </w:p>
    <w:p>
      <w:pPr>
        <w:jc w:val="both"/>
        <w:ind w:left="640" w:right="420" w:hanging="635"/>
        <w:spacing w:after="0" w:line="273"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7"/>
          <w:szCs w:val="17"/>
          <w:color w:val="auto"/>
        </w:rPr>
      </w:pPr>
    </w:p>
    <w:p>
      <w:pPr>
        <w:ind w:left="640" w:right="380" w:hanging="635"/>
        <w:spacing w:after="0" w:line="289"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40" w:hanging="635"/>
        <w:spacing w:after="0" w:line="273"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jc w:val="both"/>
        <w:ind w:left="1260" w:right="80" w:hanging="626"/>
        <w:spacing w:after="0" w:line="273" w:lineRule="auto"/>
        <w:tabs>
          <w:tab w:leader="none" w:pos="1251"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ind w:left="1260" w:right="340" w:hanging="626"/>
        <w:spacing w:after="0" w:line="273" w:lineRule="auto"/>
        <w:tabs>
          <w:tab w:leader="none" w:pos="12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left="1260" w:right="500" w:hanging="626"/>
        <w:spacing w:after="0" w:line="359" w:lineRule="auto"/>
        <w:tabs>
          <w:tab w:leader="none" w:pos="1251"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260" w:right="80" w:hanging="626"/>
        <w:spacing w:after="0" w:line="273" w:lineRule="auto"/>
        <w:tabs>
          <w:tab w:leader="none" w:pos="12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7"/>
          <w:szCs w:val="17"/>
          <w:color w:val="auto"/>
        </w:rPr>
      </w:pPr>
    </w:p>
    <w:p>
      <w:pPr>
        <w:ind w:left="640" w:right="300" w:hanging="635"/>
        <w:spacing w:after="0" w:line="32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260" w:hanging="626"/>
        <w:spacing w:after="0" w:line="289" w:lineRule="auto"/>
        <w:tabs>
          <w:tab w:leader="none" w:pos="1251"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260" w:right="500" w:hanging="626"/>
        <w:spacing w:after="0" w:line="289" w:lineRule="auto"/>
        <w:tabs>
          <w:tab w:leader="none" w:pos="12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2021</w:t>
      </w:r>
    </w:p>
    <w:p>
      <w:pPr>
        <w:spacing w:after="0" w:line="19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68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Michael J. Cavanagh</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1200"/>
          </w:cols>
          <w:pgMar w:left="320" w:top="1109" w:right="37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SECTION 906 OF THE SARBANES-OXLEY ACT</w:t>
      </w:r>
    </w:p>
    <w:p>
      <w:pPr>
        <w:spacing w:after="0" w:line="119"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October 28, 2021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6"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Brian L. Roberts, the Chief Executive Officer and Michael J. Cavanagh, the Chief Financial Officer of Comcast Corporation, each certifies that, to the best of his knowledge:</w:t>
      </w:r>
    </w:p>
    <w:p>
      <w:pPr>
        <w:spacing w:after="0" w:line="53" w:lineRule="exact"/>
        <w:rPr>
          <w:sz w:val="20"/>
          <w:szCs w:val="20"/>
          <w:color w:val="auto"/>
        </w:rPr>
      </w:pPr>
    </w:p>
    <w:p>
      <w:pPr>
        <w:ind w:left="640" w:hanging="635"/>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18" w:lineRule="exact"/>
        <w:rPr>
          <w:rFonts w:ascii="Arial" w:cs="Arial" w:eastAsia="Arial" w:hAnsi="Arial"/>
          <w:sz w:val="17"/>
          <w:szCs w:val="17"/>
          <w:color w:val="auto"/>
        </w:rPr>
      </w:pPr>
    </w:p>
    <w:p>
      <w:pPr>
        <w:ind w:left="640" w:right="840" w:hanging="635"/>
        <w:spacing w:after="0" w:line="289"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Comcast Corporation.</w:t>
      </w:r>
    </w:p>
    <w:p>
      <w:pPr>
        <w:spacing w:after="0" w:line="92"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16510</wp:posOffset>
            </wp:positionV>
            <wp:extent cx="34683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Name: Brian L. Roberts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38"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16510</wp:posOffset>
            </wp:positionV>
            <wp:extent cx="3468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Name: Michael J. Cavanagh</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Title: Chief Financial Officer</w:t>
      </w:r>
    </w:p>
    <w:sectPr>
      <w:pgSz w:w="11900" w:h="16838" w:orient="portrait"/>
      <w:cols w:equalWidth="0" w:num="1">
        <w:col w:w="11240"/>
      </w:cols>
      <w:pgMar w:left="320" w:top="3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2"/>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22"/>
    </w:lvl>
  </w:abstractNum>
  <w:abstractNum w:abstractNumId="20">
    <w:nsid w:val="6763845E"/>
    <w:multiLevelType w:val="hybridMultilevel"/>
    <w:lvl w:ilvl="0">
      <w:lvlJc w:val="left"/>
      <w:lvlText w:val="%1"/>
      <w:numFmt w:val="decimal"/>
      <w:start w:val="31"/>
    </w:lvl>
  </w:abstractNum>
  <w:abstractNum w:abstractNumId="21">
    <w:nsid w:val="75A2A8D4"/>
    <w:multiLevelType w:val="hybridMultilevel"/>
    <w:lvl w:ilvl="0">
      <w:lvlJc w:val="left"/>
      <w:lvlText w:val="%1"/>
      <w:numFmt w:val="decimal"/>
      <w:start w:val="101"/>
    </w:lvl>
    <w:lvl w:ilvl="1">
      <w:lvlJc w:val="left"/>
      <w:lvlText w:val="(%2)"/>
      <w:numFmt w:val="lowerRoman"/>
      <w:start w:val="1"/>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2021-10-28T14:03:50Z</dcterms:created>
  <dcterms:modified xsi:type="dcterms:W3CDTF">2021-10-28T14:03:50Z</dcterms:modified>
</cp:coreProperties>
</file>