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28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2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09/04/2015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84,527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09/22/2015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14,595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57.71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had previously elected to defer receipt of shares and to notionally reinvest the deferred compensation in another investment plan at the end of the original deferral period.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2019-12-08T00:14:46Z</dcterms:created>
  <dcterms:modified xsi:type="dcterms:W3CDTF">2019-12-08T00:14:46Z</dcterms:modified>
</cp:coreProperties>
</file>