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6"/>
              </w:rPr>
              <w:t xml:space="preserve">INITIAL STATEMENT OF BENEFICIAL OWNERSHIP OF SECURITIES </w:t>
            </w:r>
            <w:r>
              <w:rPr>
                <w:rFonts w:ascii="Arial" w:cs="Arial" w:eastAsia="Arial" w:hAnsi="Arial"/>
                <w:sz w:val="35"/>
                <w:szCs w:val="35"/>
                <w:color w:val="auto"/>
                <w:w w:val="96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7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Salva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Lawrence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7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Senior Vice President and Controller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113665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122555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122555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122555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122555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113665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122555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59" w:lineRule="auto"/>
        <w:tabs>
          <w:tab w:leader="none" w:pos="460" w:val="left"/>
        </w:tabs>
        <w:numPr>
          <w:ilvl w:val="0"/>
          <w:numId w:val="2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5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/s/ Lawrence J. Salva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Lawrence J. Salva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3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2019-12-15T06:50:38Z</dcterms:created>
  <dcterms:modified xsi:type="dcterms:W3CDTF">2019-12-15T06:50:38Z</dcterms:modified>
</cp:coreProperties>
</file>