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348" w:right="4540"/>
        <w:spacing w:after="0" w:line="359" w:lineRule="auto"/>
        <w:rPr>
          <w:sz w:val="20"/>
          <w:szCs w:val="20"/>
          <w:color w:val="auto"/>
        </w:rPr>
      </w:pPr>
      <w:r>
        <w:rPr>
          <w:rFonts w:ascii="Courier New" w:cs="Courier New" w:eastAsia="Courier New" w:hAnsi="Courier New"/>
          <w:sz w:val="15"/>
          <w:szCs w:val="15"/>
          <w:color w:val="auto"/>
        </w:rPr>
        <w:t>As Filed with the Securities and Exchange Commission on January 14, 2000 Registration No. 333-92509</w:t>
      </w:r>
    </w:p>
    <w:p>
      <w:pPr>
        <w:spacing w:after="0" w:line="8" w:lineRule="exact"/>
        <w:rPr>
          <w:sz w:val="24"/>
          <w:szCs w:val="24"/>
          <w:color w:val="auto"/>
        </w:rPr>
      </w:pPr>
    </w:p>
    <w:p>
      <w:pPr>
        <w:jc w:val="center"/>
        <w:ind w:right="4192"/>
        <w:spacing w:after="0"/>
        <w:rPr>
          <w:sz w:val="20"/>
          <w:szCs w:val="20"/>
          <w:color w:val="auto"/>
        </w:rPr>
      </w:pPr>
      <w:r>
        <w:rPr>
          <w:rFonts w:ascii="Courier New" w:cs="Courier New" w:eastAsia="Courier New" w:hAnsi="Courier New"/>
          <w:sz w:val="14"/>
          <w:szCs w:val="14"/>
          <w:color w:val="auto"/>
        </w:rPr>
        <w:t>================================================================================</w:t>
      </w:r>
    </w:p>
    <w:p>
      <w:pPr>
        <w:spacing w:after="0" w:line="186" w:lineRule="exact"/>
        <w:rPr>
          <w:sz w:val="24"/>
          <w:szCs w:val="24"/>
          <w:color w:val="auto"/>
        </w:rPr>
      </w:pPr>
    </w:p>
    <w:p>
      <w:pPr>
        <w:jc w:val="center"/>
        <w:ind w:right="419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0" w:lineRule="exact"/>
        <w:rPr>
          <w:sz w:val="24"/>
          <w:szCs w:val="24"/>
          <w:color w:val="auto"/>
        </w:rPr>
      </w:pPr>
    </w:p>
    <w:p>
      <w:pPr>
        <w:jc w:val="center"/>
        <w:ind w:right="4192"/>
        <w:spacing w:after="0"/>
        <w:rPr>
          <w:sz w:val="20"/>
          <w:szCs w:val="20"/>
          <w:color w:val="auto"/>
        </w:rPr>
      </w:pPr>
      <w:r>
        <w:rPr>
          <w:rFonts w:ascii="Courier New" w:cs="Courier New" w:eastAsia="Courier New" w:hAnsi="Courier New"/>
          <w:sz w:val="15"/>
          <w:szCs w:val="15"/>
          <w:color w:val="auto"/>
        </w:rPr>
        <w:t>Washington, D.C. 20549</w:t>
      </w:r>
    </w:p>
    <w:p>
      <w:pPr>
        <w:spacing w:after="0" w:line="146"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4"/>
          <w:szCs w:val="24"/>
          <w:color w:val="auto"/>
        </w:rPr>
      </w:pPr>
    </w:p>
    <w:p>
      <w:pPr>
        <w:jc w:val="center"/>
        <w:ind w:right="4112"/>
        <w:spacing w:after="0"/>
        <w:rPr>
          <w:sz w:val="20"/>
          <w:szCs w:val="20"/>
          <w:color w:val="auto"/>
        </w:rPr>
      </w:pPr>
      <w:r>
        <w:rPr>
          <w:rFonts w:ascii="Courier New" w:cs="Courier New" w:eastAsia="Courier New" w:hAnsi="Courier New"/>
          <w:sz w:val="15"/>
          <w:szCs w:val="15"/>
          <w:color w:val="auto"/>
        </w:rPr>
        <w:t>AMENDMENT NO. 2</w:t>
      </w:r>
    </w:p>
    <w:p>
      <w:pPr>
        <w:spacing w:after="0" w:line="30" w:lineRule="exact"/>
        <w:rPr>
          <w:sz w:val="24"/>
          <w:szCs w:val="24"/>
          <w:color w:val="auto"/>
        </w:rPr>
      </w:pPr>
    </w:p>
    <w:p>
      <w:pPr>
        <w:jc w:val="center"/>
        <w:ind w:right="4192"/>
        <w:spacing w:after="0"/>
        <w:rPr>
          <w:sz w:val="20"/>
          <w:szCs w:val="20"/>
          <w:color w:val="auto"/>
        </w:rPr>
      </w:pPr>
      <w:r>
        <w:rPr>
          <w:rFonts w:ascii="Courier New" w:cs="Courier New" w:eastAsia="Courier New" w:hAnsi="Courier New"/>
          <w:sz w:val="15"/>
          <w:szCs w:val="15"/>
          <w:color w:val="auto"/>
        </w:rPr>
        <w:t>TO</w:t>
      </w:r>
    </w:p>
    <w:p>
      <w:pPr>
        <w:spacing w:after="0" w:line="2" w:lineRule="exact"/>
        <w:rPr>
          <w:sz w:val="24"/>
          <w:szCs w:val="24"/>
          <w:color w:val="auto"/>
        </w:rPr>
      </w:pPr>
    </w:p>
    <w:p>
      <w:pPr>
        <w:jc w:val="center"/>
        <w:ind w:right="4192"/>
        <w:spacing w:after="0"/>
        <w:rPr>
          <w:sz w:val="20"/>
          <w:szCs w:val="20"/>
          <w:color w:val="auto"/>
        </w:rPr>
      </w:pPr>
      <w:r>
        <w:rPr>
          <w:rFonts w:ascii="Courier New" w:cs="Courier New" w:eastAsia="Courier New" w:hAnsi="Courier New"/>
          <w:sz w:val="15"/>
          <w:szCs w:val="15"/>
          <w:color w:val="auto"/>
        </w:rPr>
        <w:t>FORM S-3</w:t>
      </w:r>
    </w:p>
    <w:p>
      <w:pPr>
        <w:spacing w:after="0" w:line="2" w:lineRule="exact"/>
        <w:rPr>
          <w:sz w:val="24"/>
          <w:szCs w:val="24"/>
          <w:color w:val="auto"/>
        </w:rPr>
      </w:pPr>
    </w:p>
    <w:p>
      <w:pPr>
        <w:jc w:val="center"/>
        <w:ind w:right="4192"/>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jc w:val="center"/>
        <w:ind w:right="4112"/>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jc w:val="center"/>
        <w:ind w:right="4192"/>
        <w:spacing w:after="0"/>
        <w:rPr>
          <w:sz w:val="20"/>
          <w:szCs w:val="20"/>
          <w:color w:val="auto"/>
        </w:rPr>
      </w:pPr>
      <w:r>
        <w:rPr>
          <w:rFonts w:ascii="Courier New" w:cs="Courier New" w:eastAsia="Courier New" w:hAnsi="Courier New"/>
          <w:sz w:val="15"/>
          <w:szCs w:val="15"/>
          <w:color w:val="auto"/>
        </w:rPr>
        <w:t>THE SECURITIES ACT OF 1933</w:t>
      </w:r>
    </w:p>
    <w:p>
      <w:pPr>
        <w:spacing w:after="0" w:line="146"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4112"/>
        <w:spacing w:after="0"/>
        <w:rPr>
          <w:sz w:val="20"/>
          <w:szCs w:val="20"/>
          <w:color w:val="auto"/>
        </w:rPr>
      </w:pPr>
      <w:r>
        <w:rPr>
          <w:rFonts w:ascii="Courier New" w:cs="Courier New" w:eastAsia="Courier New" w:hAnsi="Courier New"/>
          <w:sz w:val="15"/>
          <w:szCs w:val="15"/>
          <w:color w:val="auto"/>
        </w:rPr>
        <w:t>COMCAST CORPORATION</w:t>
      </w:r>
    </w:p>
    <w:p>
      <w:pPr>
        <w:spacing w:after="0" w:line="30" w:lineRule="exact"/>
        <w:rPr>
          <w:sz w:val="24"/>
          <w:szCs w:val="24"/>
          <w:color w:val="auto"/>
        </w:rPr>
      </w:pPr>
    </w:p>
    <w:p>
      <w:pPr>
        <w:jc w:val="center"/>
        <w:ind w:right="419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1348"/>
          </w:cols>
          <w:pgMar w:left="312" w:top="549" w:right="239" w:bottom="0" w:gutter="0" w:footer="0" w:header="0"/>
        </w:sectPr>
      </w:pPr>
    </w:p>
    <w:p>
      <w:pPr>
        <w:spacing w:after="0" w:line="146" w:lineRule="exact"/>
        <w:rPr>
          <w:sz w:val="24"/>
          <w:szCs w:val="24"/>
          <w:color w:val="auto"/>
        </w:rPr>
      </w:pPr>
    </w:p>
    <w:p>
      <w:pPr>
        <w:ind w:left="1348"/>
        <w:spacing w:after="0"/>
        <w:rPr>
          <w:sz w:val="20"/>
          <w:szCs w:val="20"/>
          <w:color w:val="auto"/>
        </w:rPr>
      </w:pPr>
      <w:r>
        <w:rPr>
          <w:rFonts w:ascii="Courier New" w:cs="Courier New" w:eastAsia="Courier New" w:hAnsi="Courier New"/>
          <w:sz w:val="15"/>
          <w:szCs w:val="15"/>
          <w:color w:val="auto"/>
        </w:rPr>
        <w:t>Pennsylvania</w:t>
      </w:r>
    </w:p>
    <w:p>
      <w:pPr>
        <w:spacing w:after="0" w:line="30" w:lineRule="exact"/>
        <w:rPr>
          <w:sz w:val="24"/>
          <w:szCs w:val="24"/>
          <w:color w:val="auto"/>
        </w:rPr>
      </w:pPr>
    </w:p>
    <w:p>
      <w:pPr>
        <w:ind w:left="708"/>
        <w:spacing w:after="0"/>
        <w:rPr>
          <w:sz w:val="20"/>
          <w:szCs w:val="20"/>
          <w:color w:val="auto"/>
        </w:rPr>
      </w:pPr>
      <w:r>
        <w:rPr>
          <w:rFonts w:ascii="Courier New" w:cs="Courier New" w:eastAsia="Courier New" w:hAnsi="Courier New"/>
          <w:sz w:val="15"/>
          <w:szCs w:val="15"/>
          <w:color w:val="auto"/>
        </w:rPr>
        <w:t>(State or jurisdiction of</w:t>
      </w:r>
    </w:p>
    <w:p>
      <w:pPr>
        <w:spacing w:after="0" w:line="2" w:lineRule="exact"/>
        <w:rPr>
          <w:sz w:val="24"/>
          <w:szCs w:val="24"/>
          <w:color w:val="auto"/>
        </w:rPr>
      </w:pPr>
    </w:p>
    <w:p>
      <w:pPr>
        <w:ind w:left="528"/>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jc w:val="center"/>
        <w:ind w:right="4900"/>
        <w:spacing w:after="0"/>
        <w:rPr>
          <w:sz w:val="20"/>
          <w:szCs w:val="20"/>
          <w:color w:val="auto"/>
        </w:rPr>
      </w:pPr>
      <w:r>
        <w:rPr>
          <w:rFonts w:ascii="Courier New" w:cs="Courier New" w:eastAsia="Courier New" w:hAnsi="Courier New"/>
          <w:sz w:val="15"/>
          <w:szCs w:val="15"/>
          <w:color w:val="auto"/>
        </w:rPr>
        <w:t>23-1709202</w:t>
      </w:r>
    </w:p>
    <w:p>
      <w:pPr>
        <w:spacing w:after="0" w:line="30" w:lineRule="exact"/>
        <w:rPr>
          <w:sz w:val="24"/>
          <w:szCs w:val="24"/>
          <w:color w:val="auto"/>
        </w:rPr>
      </w:pPr>
    </w:p>
    <w:p>
      <w:pPr>
        <w:jc w:val="center"/>
        <w:ind w:right="4900"/>
        <w:spacing w:after="0"/>
        <w:rPr>
          <w:sz w:val="20"/>
          <w:szCs w:val="20"/>
          <w:color w:val="auto"/>
        </w:rPr>
      </w:pPr>
      <w:r>
        <w:rPr>
          <w:rFonts w:ascii="Courier New" w:cs="Courier New" w:eastAsia="Courier New" w:hAnsi="Courier New"/>
          <w:sz w:val="15"/>
          <w:szCs w:val="15"/>
          <w:color w:val="auto"/>
        </w:rPr>
        <w:t>(I.R.S. Employer</w:t>
      </w:r>
    </w:p>
    <w:p>
      <w:pPr>
        <w:spacing w:after="0" w:line="2" w:lineRule="exact"/>
        <w:rPr>
          <w:sz w:val="24"/>
          <w:szCs w:val="24"/>
          <w:color w:val="auto"/>
        </w:rPr>
      </w:pPr>
    </w:p>
    <w:p>
      <w:pPr>
        <w:jc w:val="center"/>
        <w:ind w:right="4900"/>
        <w:spacing w:after="0"/>
        <w:rPr>
          <w:sz w:val="20"/>
          <w:szCs w:val="20"/>
          <w:color w:val="auto"/>
        </w:rPr>
      </w:pPr>
      <w:r>
        <w:rPr>
          <w:rFonts w:ascii="Courier New" w:cs="Courier New" w:eastAsia="Courier New" w:hAnsi="Courier New"/>
          <w:sz w:val="14"/>
          <w:szCs w:val="14"/>
          <w:color w:val="auto"/>
        </w:rPr>
        <w:t>Identification Number)</w:t>
      </w:r>
    </w:p>
    <w:p>
      <w:pPr>
        <w:spacing w:after="0" w:line="158" w:lineRule="exact"/>
        <w:rPr>
          <w:sz w:val="24"/>
          <w:szCs w:val="24"/>
          <w:color w:val="auto"/>
        </w:rPr>
      </w:pPr>
    </w:p>
    <w:p>
      <w:pPr>
        <w:sectPr>
          <w:pgSz w:w="11900" w:h="16838" w:orient="portrait"/>
          <w:cols w:equalWidth="0" w:num="2">
            <w:col w:w="3748" w:space="720"/>
            <w:col w:w="6880"/>
          </w:cols>
          <w:pgMar w:left="312" w:top="549" w:right="239" w:bottom="0" w:gutter="0" w:footer="0" w:header="0"/>
          <w:type w:val="continuous"/>
        </w:sectPr>
      </w:pPr>
    </w:p>
    <w:p>
      <w:pPr>
        <w:jc w:val="center"/>
        <w:ind w:right="4192"/>
        <w:spacing w:after="0"/>
        <w:rPr>
          <w:sz w:val="20"/>
          <w:szCs w:val="20"/>
          <w:color w:val="auto"/>
        </w:rPr>
      </w:pPr>
      <w:r>
        <w:rPr>
          <w:rFonts w:ascii="Courier New" w:cs="Courier New" w:eastAsia="Courier New" w:hAnsi="Courier New"/>
          <w:sz w:val="15"/>
          <w:szCs w:val="15"/>
          <w:color w:val="auto"/>
        </w:rPr>
        <w:t>1500 Market Street</w:t>
      </w:r>
    </w:p>
    <w:p>
      <w:pPr>
        <w:spacing w:after="0" w:line="30" w:lineRule="exact"/>
        <w:rPr>
          <w:sz w:val="24"/>
          <w:szCs w:val="24"/>
          <w:color w:val="auto"/>
        </w:rPr>
      </w:pPr>
    </w:p>
    <w:p>
      <w:pPr>
        <w:jc w:val="center"/>
        <w:ind w:right="4092"/>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2" w:lineRule="exact"/>
        <w:rPr>
          <w:sz w:val="24"/>
          <w:szCs w:val="24"/>
          <w:color w:val="auto"/>
        </w:rPr>
      </w:pPr>
    </w:p>
    <w:p>
      <w:pPr>
        <w:jc w:val="center"/>
        <w:ind w:right="4192"/>
        <w:spacing w:after="0"/>
        <w:rPr>
          <w:sz w:val="20"/>
          <w:szCs w:val="20"/>
          <w:color w:val="auto"/>
        </w:rPr>
      </w:pPr>
      <w:r>
        <w:rPr>
          <w:rFonts w:ascii="Courier New" w:cs="Courier New" w:eastAsia="Courier New" w:hAnsi="Courier New"/>
          <w:sz w:val="15"/>
          <w:szCs w:val="15"/>
          <w:color w:val="auto"/>
        </w:rPr>
        <w:t>(215) 665-1700</w:t>
      </w:r>
    </w:p>
    <w:p>
      <w:pPr>
        <w:spacing w:after="0" w:line="2" w:lineRule="exact"/>
        <w:rPr>
          <w:sz w:val="24"/>
          <w:szCs w:val="24"/>
          <w:color w:val="auto"/>
        </w:rPr>
      </w:pPr>
    </w:p>
    <w:p>
      <w:pPr>
        <w:jc w:val="center"/>
        <w:ind w:right="4192"/>
        <w:spacing w:after="0"/>
        <w:rPr>
          <w:sz w:val="20"/>
          <w:szCs w:val="20"/>
          <w:color w:val="auto"/>
        </w:rPr>
      </w:pPr>
      <w:r>
        <w:rPr>
          <w:rFonts w:ascii="Courier New" w:cs="Courier New" w:eastAsia="Courier New" w:hAnsi="Courier New"/>
          <w:sz w:val="15"/>
          <w:szCs w:val="15"/>
          <w:color w:val="auto"/>
        </w:rPr>
        <w:t>(Address, including zip code, and telephone number, including area</w:t>
      </w:r>
    </w:p>
    <w:p>
      <w:pPr>
        <w:spacing w:after="0" w:line="2" w:lineRule="exact"/>
        <w:rPr>
          <w:sz w:val="24"/>
          <w:szCs w:val="24"/>
          <w:color w:val="auto"/>
        </w:rPr>
      </w:pPr>
    </w:p>
    <w:p>
      <w:pPr>
        <w:jc w:val="center"/>
        <w:ind w:right="4192"/>
        <w:spacing w:after="0"/>
        <w:rPr>
          <w:sz w:val="20"/>
          <w:szCs w:val="20"/>
          <w:color w:val="auto"/>
        </w:rPr>
      </w:pPr>
      <w:r>
        <w:rPr>
          <w:rFonts w:ascii="Courier New" w:cs="Courier New" w:eastAsia="Courier New" w:hAnsi="Courier New"/>
          <w:sz w:val="15"/>
          <w:szCs w:val="15"/>
          <w:color w:val="auto"/>
        </w:rPr>
        <w:t>code, of Registrant's principal executive offices)</w:t>
      </w:r>
    </w:p>
    <w:p>
      <w:pPr>
        <w:spacing w:after="0" w:line="146" w:lineRule="exact"/>
        <w:rPr>
          <w:sz w:val="24"/>
          <w:szCs w:val="24"/>
          <w:color w:val="auto"/>
        </w:rPr>
      </w:pPr>
    </w:p>
    <w:p>
      <w:pPr>
        <w:ind w:left="1348"/>
        <w:spacing w:after="0"/>
        <w:rPr>
          <w:sz w:val="20"/>
          <w:szCs w:val="20"/>
          <w:color w:val="auto"/>
        </w:rPr>
      </w:pPr>
      <w:r>
        <w:rPr>
          <w:rFonts w:ascii="Courier New" w:cs="Courier New" w:eastAsia="Courier New" w:hAnsi="Courier New"/>
          <w:sz w:val="15"/>
          <w:szCs w:val="15"/>
          <w:color w:val="auto"/>
        </w:rPr>
        <w:t>John R. Alchin, Senior Vice President and Treasurer</w:t>
      </w:r>
    </w:p>
    <w:p>
      <w:pPr>
        <w:spacing w:after="0" w:line="30" w:lineRule="exact"/>
        <w:rPr>
          <w:sz w:val="24"/>
          <w:szCs w:val="24"/>
          <w:color w:val="auto"/>
        </w:rPr>
      </w:pPr>
    </w:p>
    <w:p>
      <w:pPr>
        <w:ind w:left="2768"/>
        <w:spacing w:after="0"/>
        <w:rPr>
          <w:sz w:val="20"/>
          <w:szCs w:val="20"/>
          <w:color w:val="auto"/>
        </w:rPr>
      </w:pPr>
      <w:r>
        <w:rPr>
          <w:rFonts w:ascii="Courier New" w:cs="Courier New" w:eastAsia="Courier New" w:hAnsi="Courier New"/>
          <w:sz w:val="15"/>
          <w:szCs w:val="15"/>
          <w:color w:val="auto"/>
        </w:rPr>
        <w:t>Comcast Corporation</w:t>
      </w:r>
    </w:p>
    <w:p>
      <w:pPr>
        <w:spacing w:after="0" w:line="2" w:lineRule="exact"/>
        <w:rPr>
          <w:sz w:val="24"/>
          <w:szCs w:val="24"/>
          <w:color w:val="auto"/>
        </w:rPr>
      </w:pPr>
    </w:p>
    <w:p>
      <w:pPr>
        <w:ind w:left="2768"/>
        <w:spacing w:after="0"/>
        <w:rPr>
          <w:sz w:val="20"/>
          <w:szCs w:val="20"/>
          <w:color w:val="auto"/>
        </w:rPr>
      </w:pPr>
      <w:r>
        <w:rPr>
          <w:rFonts w:ascii="Courier New" w:cs="Courier New" w:eastAsia="Courier New" w:hAnsi="Courier New"/>
          <w:sz w:val="15"/>
          <w:szCs w:val="15"/>
          <w:color w:val="auto"/>
        </w:rPr>
        <w:t>1500 Market Street</w:t>
      </w:r>
    </w:p>
    <w:p>
      <w:pPr>
        <w:spacing w:after="0" w:line="2" w:lineRule="exact"/>
        <w:rPr>
          <w:sz w:val="24"/>
          <w:szCs w:val="24"/>
          <w:color w:val="auto"/>
        </w:rPr>
      </w:pPr>
    </w:p>
    <w:p>
      <w:pPr>
        <w:jc w:val="center"/>
        <w:ind w:right="4092"/>
        <w:spacing w:after="0"/>
        <w:rPr>
          <w:sz w:val="20"/>
          <w:szCs w:val="20"/>
          <w:color w:val="auto"/>
        </w:rPr>
      </w:pPr>
      <w:r>
        <w:rPr>
          <w:rFonts w:ascii="Courier New" w:cs="Courier New" w:eastAsia="Courier New" w:hAnsi="Courier New"/>
          <w:sz w:val="15"/>
          <w:szCs w:val="15"/>
          <w:color w:val="auto"/>
        </w:rPr>
        <w:t>Philadelphia, Pennsylvania 19102-2148</w:t>
      </w:r>
    </w:p>
    <w:p>
      <w:pPr>
        <w:spacing w:after="0" w:line="2" w:lineRule="exact"/>
        <w:rPr>
          <w:sz w:val="24"/>
          <w:szCs w:val="24"/>
          <w:color w:val="auto"/>
        </w:rPr>
      </w:pPr>
    </w:p>
    <w:p>
      <w:pPr>
        <w:jc w:val="center"/>
        <w:ind w:right="4192"/>
        <w:spacing w:after="0"/>
        <w:rPr>
          <w:sz w:val="20"/>
          <w:szCs w:val="20"/>
          <w:color w:val="auto"/>
        </w:rPr>
      </w:pPr>
      <w:r>
        <w:rPr>
          <w:rFonts w:ascii="Courier New" w:cs="Courier New" w:eastAsia="Courier New" w:hAnsi="Courier New"/>
          <w:sz w:val="15"/>
          <w:szCs w:val="15"/>
          <w:color w:val="auto"/>
        </w:rPr>
        <w:t>(215) 665-1700</w:t>
      </w:r>
    </w:p>
    <w:p>
      <w:pPr>
        <w:spacing w:after="0" w:line="2" w:lineRule="exact"/>
        <w:rPr>
          <w:sz w:val="24"/>
          <w:szCs w:val="24"/>
          <w:color w:val="auto"/>
        </w:rPr>
      </w:pPr>
    </w:p>
    <w:p>
      <w:pPr>
        <w:ind w:left="1068"/>
        <w:spacing w:after="0"/>
        <w:rPr>
          <w:sz w:val="20"/>
          <w:szCs w:val="20"/>
          <w:color w:val="auto"/>
        </w:rPr>
      </w:pPr>
      <w:r>
        <w:rPr>
          <w:rFonts w:ascii="Courier New" w:cs="Courier New" w:eastAsia="Courier New" w:hAnsi="Courier New"/>
          <w:sz w:val="15"/>
          <w:szCs w:val="15"/>
          <w:color w:val="auto"/>
        </w:rPr>
        <w:t>(Name, address, including zip code, and telephone number,</w:t>
      </w:r>
    </w:p>
    <w:p>
      <w:pPr>
        <w:spacing w:after="0" w:line="2" w:lineRule="exact"/>
        <w:rPr>
          <w:sz w:val="24"/>
          <w:szCs w:val="24"/>
          <w:color w:val="auto"/>
        </w:rPr>
      </w:pPr>
    </w:p>
    <w:p>
      <w:pPr>
        <w:ind w:left="1708"/>
        <w:spacing w:after="0"/>
        <w:rPr>
          <w:sz w:val="20"/>
          <w:szCs w:val="20"/>
          <w:color w:val="auto"/>
        </w:rPr>
      </w:pPr>
      <w:r>
        <w:rPr>
          <w:rFonts w:ascii="Courier New" w:cs="Courier New" w:eastAsia="Courier New" w:hAnsi="Courier New"/>
          <w:sz w:val="15"/>
          <w:szCs w:val="15"/>
          <w:color w:val="auto"/>
        </w:rPr>
        <w:t>including area code, of agent for service)</w:t>
      </w:r>
    </w:p>
    <w:p>
      <w:pPr>
        <w:spacing w:after="0" w:line="146"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4192"/>
        <w:spacing w:after="0"/>
        <w:rPr>
          <w:sz w:val="20"/>
          <w:szCs w:val="20"/>
          <w:color w:val="auto"/>
        </w:rPr>
      </w:pPr>
      <w:r>
        <w:rPr>
          <w:rFonts w:ascii="Courier New" w:cs="Courier New" w:eastAsia="Courier New" w:hAnsi="Courier New"/>
          <w:sz w:val="15"/>
          <w:szCs w:val="15"/>
          <w:color w:val="auto"/>
        </w:rPr>
        <w:t>Copies of communications to:</w:t>
      </w:r>
    </w:p>
    <w:p>
      <w:pPr>
        <w:spacing w:after="0" w:line="30" w:lineRule="exact"/>
        <w:rPr>
          <w:sz w:val="24"/>
          <w:szCs w:val="24"/>
          <w:color w:val="auto"/>
        </w:rPr>
      </w:pPr>
    </w:p>
    <w:p>
      <w:pPr>
        <w:ind w:left="2768"/>
        <w:spacing w:after="0"/>
        <w:rPr>
          <w:sz w:val="20"/>
          <w:szCs w:val="20"/>
          <w:color w:val="auto"/>
        </w:rPr>
      </w:pPr>
      <w:r>
        <w:rPr>
          <w:rFonts w:ascii="Courier New" w:cs="Courier New" w:eastAsia="Courier New" w:hAnsi="Courier New"/>
          <w:sz w:val="15"/>
          <w:szCs w:val="15"/>
          <w:color w:val="auto"/>
        </w:rPr>
        <w:t>Richard A. Drucker</w:t>
      </w:r>
    </w:p>
    <w:p>
      <w:pPr>
        <w:spacing w:after="0" w:line="2" w:lineRule="exact"/>
        <w:rPr>
          <w:sz w:val="24"/>
          <w:szCs w:val="24"/>
          <w:color w:val="auto"/>
        </w:rPr>
      </w:pPr>
    </w:p>
    <w:p>
      <w:pPr>
        <w:ind w:left="2688"/>
        <w:spacing w:after="0"/>
        <w:rPr>
          <w:sz w:val="20"/>
          <w:szCs w:val="20"/>
          <w:color w:val="auto"/>
        </w:rPr>
      </w:pPr>
      <w:r>
        <w:rPr>
          <w:rFonts w:ascii="Courier New" w:cs="Courier New" w:eastAsia="Courier New" w:hAnsi="Courier New"/>
          <w:sz w:val="15"/>
          <w:szCs w:val="15"/>
          <w:color w:val="auto"/>
        </w:rPr>
        <w:t>Davis Polk &amp; Wardwell</w:t>
      </w:r>
    </w:p>
    <w:p>
      <w:pPr>
        <w:spacing w:after="0" w:line="2" w:lineRule="exact"/>
        <w:rPr>
          <w:sz w:val="24"/>
          <w:szCs w:val="24"/>
          <w:color w:val="auto"/>
        </w:rPr>
      </w:pPr>
    </w:p>
    <w:p>
      <w:pPr>
        <w:ind w:left="2688"/>
        <w:spacing w:after="0"/>
        <w:rPr>
          <w:sz w:val="20"/>
          <w:szCs w:val="20"/>
          <w:color w:val="auto"/>
        </w:rPr>
      </w:pPr>
      <w:r>
        <w:rPr>
          <w:rFonts w:ascii="Courier New" w:cs="Courier New" w:eastAsia="Courier New" w:hAnsi="Courier New"/>
          <w:sz w:val="15"/>
          <w:szCs w:val="15"/>
          <w:color w:val="auto"/>
        </w:rPr>
        <w:t>450 Lexington Avenue</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New York, New York 10017</w:t>
      </w:r>
    </w:p>
    <w:p>
      <w:pPr>
        <w:spacing w:after="0" w:line="2" w:lineRule="exact"/>
        <w:rPr>
          <w:sz w:val="24"/>
          <w:szCs w:val="24"/>
          <w:color w:val="auto"/>
        </w:rPr>
      </w:pPr>
    </w:p>
    <w:p>
      <w:pPr>
        <w:ind w:left="3488" w:hanging="536"/>
        <w:spacing w:after="0"/>
        <w:tabs>
          <w:tab w:leader="none" w:pos="34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450-4000</w:t>
      </w:r>
    </w:p>
    <w:p>
      <w:pPr>
        <w:spacing w:after="0" w:line="146" w:lineRule="exact"/>
        <w:rPr>
          <w:rFonts w:ascii="Courier New" w:cs="Courier New" w:eastAsia="Courier New" w:hAnsi="Courier New"/>
          <w:sz w:val="15"/>
          <w:szCs w:val="15"/>
          <w:color w:val="auto"/>
        </w:rPr>
      </w:pPr>
    </w:p>
    <w:p>
      <w:pPr>
        <w:ind w:left="29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8" w:right="4280" w:firstLine="447"/>
        <w:spacing w:after="0" w:line="359" w:lineRule="auto"/>
        <w:rPr>
          <w:sz w:val="20"/>
          <w:szCs w:val="20"/>
          <w:color w:val="auto"/>
        </w:rPr>
      </w:pPr>
      <w:r>
        <w:rPr>
          <w:rFonts w:ascii="Courier New" w:cs="Courier New" w:eastAsia="Courier New" w:hAnsi="Courier New"/>
          <w:sz w:val="15"/>
          <w:szCs w:val="15"/>
          <w:color w:val="auto"/>
        </w:rPr>
        <w:t>Approximate date of commencement of proposed sale to the public: From time to time after the effective date of this Registration Statement.</w:t>
      </w:r>
    </w:p>
    <w:p>
      <w:pPr>
        <w:spacing w:after="0" w:line="8" w:lineRule="exact"/>
        <w:rPr>
          <w:sz w:val="24"/>
          <w:szCs w:val="24"/>
          <w:color w:val="auto"/>
        </w:rPr>
      </w:pPr>
    </w:p>
    <w:p>
      <w:pPr>
        <w:ind w:left="8" w:right="4280" w:firstLine="447"/>
        <w:spacing w:after="0" w:line="301"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49" w:lineRule="exact"/>
        <w:rPr>
          <w:sz w:val="24"/>
          <w:szCs w:val="24"/>
          <w:color w:val="auto"/>
        </w:rPr>
      </w:pPr>
    </w:p>
    <w:p>
      <w:pPr>
        <w:ind w:left="8" w:right="4200" w:firstLine="447"/>
        <w:spacing w:after="0" w:line="281"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spacing w:after="0" w:line="65" w:lineRule="exact"/>
        <w:rPr>
          <w:sz w:val="24"/>
          <w:szCs w:val="24"/>
          <w:color w:val="auto"/>
        </w:rPr>
      </w:pPr>
    </w:p>
    <w:p>
      <w:pPr>
        <w:ind w:left="8" w:right="4200" w:firstLine="447"/>
        <w:spacing w:after="0" w:line="281"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number of the earlier effective registration statement for the same offering. [ ] _______</w:t>
      </w:r>
    </w:p>
    <w:p>
      <w:pPr>
        <w:spacing w:after="0" w:line="65" w:lineRule="exact"/>
        <w:rPr>
          <w:sz w:val="24"/>
          <w:szCs w:val="24"/>
          <w:color w:val="auto"/>
        </w:rPr>
      </w:pPr>
    </w:p>
    <w:p>
      <w:pPr>
        <w:jc w:val="both"/>
        <w:ind w:left="8" w:right="4460" w:firstLine="447"/>
        <w:spacing w:after="0" w:line="281"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number of the earlier effective registration number for the same offering. [ ] _______</w:t>
      </w:r>
    </w:p>
    <w:p>
      <w:pPr>
        <w:spacing w:after="0" w:line="237" w:lineRule="exact"/>
        <w:rPr>
          <w:sz w:val="24"/>
          <w:szCs w:val="24"/>
          <w:color w:val="auto"/>
        </w:rPr>
      </w:pPr>
    </w:p>
    <w:p>
      <w:pPr>
        <w:ind w:left="8" w:right="4280" w:firstLine="447"/>
        <w:spacing w:after="0" w:line="359"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80"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CALCULATION OF REGISTRATION FEE</w:t>
      </w:r>
    </w:p>
    <w:p>
      <w:pPr>
        <w:spacing w:after="0" w:line="30"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tbl>
      <w:tblPr>
        <w:tblLayout w:type="fixed"/>
        <w:tblInd w:w="448" w:type="dxa"/>
        <w:tblCellMar>
          <w:top w:w="0" w:type="dxa"/>
          <w:left w:w="0" w:type="dxa"/>
          <w:bottom w:w="0" w:type="dxa"/>
          <w:right w:w="0" w:type="dxa"/>
        </w:tblCellMar>
      </w:tblPr>
      <w:tr>
        <w:trPr>
          <w:trHeight w:val="146"/>
        </w:trPr>
        <w:tc>
          <w:tcPr>
            <w:tcW w:w="3260" w:type="dxa"/>
            <w:vAlign w:val="bottom"/>
          </w:tcPr>
          <w:p>
            <w:pPr>
              <w:spacing w:after="0"/>
              <w:rPr>
                <w:sz w:val="12"/>
                <w:szCs w:val="12"/>
                <w:color w:val="auto"/>
              </w:rPr>
            </w:pPr>
          </w:p>
        </w:tc>
        <w:tc>
          <w:tcPr>
            <w:tcW w:w="17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Amount to be</w:t>
            </w:r>
          </w:p>
        </w:tc>
        <w:tc>
          <w:tcPr>
            <w:tcW w:w="1980" w:type="dxa"/>
            <w:vAlign w:val="bottom"/>
          </w:tcPr>
          <w:p>
            <w:pPr>
              <w:ind w:left="220"/>
              <w:spacing w:after="0" w:line="146" w:lineRule="exact"/>
              <w:rPr>
                <w:sz w:val="20"/>
                <w:szCs w:val="20"/>
                <w:color w:val="auto"/>
              </w:rPr>
            </w:pPr>
            <w:r>
              <w:rPr>
                <w:rFonts w:ascii="Courier New" w:cs="Courier New" w:eastAsia="Courier New" w:hAnsi="Courier New"/>
                <w:sz w:val="15"/>
                <w:szCs w:val="15"/>
                <w:color w:val="auto"/>
              </w:rPr>
              <w:t>Proposed Maximum</w:t>
            </w:r>
          </w:p>
        </w:tc>
        <w:tc>
          <w:tcPr>
            <w:tcW w:w="1920" w:type="dxa"/>
            <w:vAlign w:val="bottom"/>
          </w:tcPr>
          <w:p>
            <w:pPr>
              <w:jc w:val="center"/>
              <w:spacing w:after="0" w:line="146" w:lineRule="exact"/>
              <w:rPr>
                <w:sz w:val="20"/>
                <w:szCs w:val="20"/>
                <w:color w:val="auto"/>
              </w:rPr>
            </w:pPr>
            <w:r>
              <w:rPr>
                <w:rFonts w:ascii="Courier New" w:cs="Courier New" w:eastAsia="Courier New" w:hAnsi="Courier New"/>
                <w:sz w:val="15"/>
                <w:szCs w:val="15"/>
                <w:color w:val="auto"/>
                <w:w w:val="98"/>
              </w:rPr>
              <w:t>Proposed Maximum</w:t>
            </w:r>
          </w:p>
        </w:tc>
        <w:tc>
          <w:tcPr>
            <w:tcW w:w="1880" w:type="dxa"/>
            <w:vAlign w:val="bottom"/>
            <w:vMerge w:val="restart"/>
          </w:tcPr>
          <w:p>
            <w:pPr>
              <w:jc w:val="center"/>
              <w:ind w:left="85"/>
              <w:spacing w:after="0"/>
              <w:rPr>
                <w:sz w:val="20"/>
                <w:szCs w:val="20"/>
                <w:color w:val="auto"/>
              </w:rPr>
            </w:pPr>
            <w:r>
              <w:rPr>
                <w:rFonts w:ascii="Courier New" w:cs="Courier New" w:eastAsia="Courier New" w:hAnsi="Courier New"/>
                <w:sz w:val="15"/>
                <w:szCs w:val="15"/>
                <w:color w:val="auto"/>
                <w:w w:val="98"/>
              </w:rPr>
              <w:t>Amount of</w:t>
            </w:r>
          </w:p>
        </w:tc>
        <w:tc>
          <w:tcPr>
            <w:tcW w:w="0" w:type="dxa"/>
            <w:vAlign w:val="bottom"/>
          </w:tcPr>
          <w:p>
            <w:pPr>
              <w:spacing w:after="0"/>
              <w:rPr>
                <w:sz w:val="1"/>
                <w:szCs w:val="1"/>
                <w:color w:val="auto"/>
              </w:rPr>
            </w:pPr>
          </w:p>
        </w:tc>
      </w:tr>
      <w:tr>
        <w:trPr>
          <w:trHeight w:val="172"/>
        </w:trPr>
        <w:tc>
          <w:tcPr>
            <w:tcW w:w="3260" w:type="dxa"/>
            <w:vAlign w:val="bottom"/>
            <w:vMerge w:val="restart"/>
          </w:tcPr>
          <w:p>
            <w:pPr>
              <w:spacing w:after="0"/>
              <w:rPr>
                <w:sz w:val="20"/>
                <w:szCs w:val="20"/>
                <w:color w:val="auto"/>
              </w:rPr>
            </w:pPr>
            <w:r>
              <w:rPr>
                <w:rFonts w:ascii="Courier New" w:cs="Courier New" w:eastAsia="Courier New" w:hAnsi="Courier New"/>
                <w:sz w:val="15"/>
                <w:szCs w:val="15"/>
                <w:color w:val="auto"/>
              </w:rPr>
              <w:t>Title of Shares to be Registered</w:t>
            </w:r>
          </w:p>
        </w:tc>
        <w:tc>
          <w:tcPr>
            <w:tcW w:w="1700" w:type="dxa"/>
            <w:vAlign w:val="bottom"/>
            <w:vMerge w:val="continue"/>
          </w:tcPr>
          <w:p>
            <w:pPr>
              <w:spacing w:after="0"/>
              <w:rPr>
                <w:sz w:val="14"/>
                <w:szCs w:val="14"/>
                <w:color w:val="auto"/>
              </w:rPr>
            </w:pP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Aggregate Price Per</w:t>
            </w:r>
          </w:p>
        </w:tc>
        <w:tc>
          <w:tcPr>
            <w:tcW w:w="1920" w:type="dxa"/>
            <w:vAlign w:val="bottom"/>
          </w:tcPr>
          <w:p>
            <w:pPr>
              <w:jc w:val="center"/>
              <w:spacing w:after="0"/>
              <w:rPr>
                <w:sz w:val="20"/>
                <w:szCs w:val="20"/>
                <w:color w:val="auto"/>
              </w:rPr>
            </w:pPr>
            <w:r>
              <w:rPr>
                <w:rFonts w:ascii="Courier New" w:cs="Courier New" w:eastAsia="Courier New" w:hAnsi="Courier New"/>
                <w:sz w:val="15"/>
                <w:szCs w:val="15"/>
                <w:color w:val="auto"/>
                <w:w w:val="99"/>
              </w:rPr>
              <w:t>Aggregate Offering</w:t>
            </w: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260" w:type="dxa"/>
            <w:vAlign w:val="bottom"/>
            <w:vMerge w:val="continue"/>
          </w:tcPr>
          <w:p>
            <w:pPr>
              <w:spacing w:after="0"/>
              <w:rPr>
                <w:sz w:val="17"/>
                <w:szCs w:val="17"/>
                <w:color w:val="auto"/>
              </w:rPr>
            </w:pPr>
          </w:p>
        </w:tc>
        <w:tc>
          <w:tcPr>
            <w:tcW w:w="1700" w:type="dxa"/>
            <w:vAlign w:val="bottom"/>
          </w:tcPr>
          <w:p>
            <w:pPr>
              <w:ind w:left="400"/>
              <w:spacing w:after="0"/>
              <w:rPr>
                <w:sz w:val="20"/>
                <w:szCs w:val="20"/>
                <w:color w:val="auto"/>
              </w:rPr>
            </w:pPr>
            <w:r>
              <w:rPr>
                <w:rFonts w:ascii="Courier New" w:cs="Courier New" w:eastAsia="Courier New" w:hAnsi="Courier New"/>
                <w:sz w:val="15"/>
                <w:szCs w:val="15"/>
                <w:color w:val="auto"/>
              </w:rPr>
              <w:t>Registered(1)</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8"/>
              </w:rPr>
              <w:t>Unit(2)</w:t>
            </w:r>
          </w:p>
        </w:tc>
        <w:tc>
          <w:tcPr>
            <w:tcW w:w="1920" w:type="dxa"/>
            <w:vAlign w:val="bottom"/>
          </w:tcPr>
          <w:p>
            <w:pPr>
              <w:jc w:val="center"/>
              <w:spacing w:after="0"/>
              <w:rPr>
                <w:sz w:val="20"/>
                <w:szCs w:val="20"/>
                <w:color w:val="auto"/>
              </w:rPr>
            </w:pPr>
            <w:r>
              <w:rPr>
                <w:rFonts w:ascii="Courier New" w:cs="Courier New" w:eastAsia="Courier New" w:hAnsi="Courier New"/>
                <w:sz w:val="15"/>
                <w:szCs w:val="15"/>
                <w:color w:val="auto"/>
                <w:w w:val="99"/>
              </w:rPr>
              <w:t>Price(2)</w:t>
            </w:r>
          </w:p>
        </w:tc>
        <w:tc>
          <w:tcPr>
            <w:tcW w:w="188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Registration Fee(3)</w:t>
            </w:r>
          </w:p>
        </w:tc>
        <w:tc>
          <w:tcPr>
            <w:tcW w:w="0" w:type="dxa"/>
            <w:vAlign w:val="bottom"/>
          </w:tcPr>
          <w:p>
            <w:pPr>
              <w:spacing w:after="0"/>
              <w:rPr>
                <w:sz w:val="1"/>
                <w:szCs w:val="1"/>
                <w:color w:val="auto"/>
              </w:rPr>
            </w:pPr>
          </w:p>
        </w:tc>
      </w:tr>
    </w:tbl>
    <w:p>
      <w:pPr>
        <w:ind w:left="8"/>
        <w:spacing w:after="0"/>
        <w:rPr>
          <w:sz w:val="20"/>
          <w:szCs w:val="20"/>
          <w:color w:val="auto"/>
        </w:rPr>
      </w:pPr>
      <w:r>
        <w:rPr>
          <w:rFonts w:ascii="Courier New" w:cs="Courier New" w:eastAsia="Courier New" w:hAnsi="Courier New"/>
          <w:sz w:val="14"/>
          <w:szCs w:val="14"/>
          <w:color w:val="auto"/>
        </w:rPr>
        <w:t>- -----------------------------------------------------------------------------------------------------------------------------</w:t>
      </w:r>
    </w:p>
    <w:p>
      <w:pPr>
        <w:spacing w:after="0" w:line="158" w:lineRule="exact"/>
        <w:rPr>
          <w:sz w:val="24"/>
          <w:szCs w:val="24"/>
          <w:color w:val="auto"/>
        </w:rPr>
      </w:pPr>
    </w:p>
    <w:tbl>
      <w:tblPr>
        <w:tblLayout w:type="fixed"/>
        <w:tblInd w:w="8" w:type="dxa"/>
        <w:tblCellMar>
          <w:top w:w="0" w:type="dxa"/>
          <w:left w:w="0" w:type="dxa"/>
          <w:bottom w:w="0" w:type="dxa"/>
          <w:right w:w="0" w:type="dxa"/>
        </w:tblCellMar>
      </w:tblPr>
      <w:tr>
        <w:trPr>
          <w:trHeight w:val="172"/>
        </w:trPr>
        <w:tc>
          <w:tcPr>
            <w:tcW w:w="480" w:type="dxa"/>
            <w:vAlign w:val="bottom"/>
          </w:tcPr>
          <w:p>
            <w:pPr>
              <w:spacing w:after="0"/>
              <w:rPr>
                <w:sz w:val="20"/>
                <w:szCs w:val="20"/>
                <w:color w:val="auto"/>
              </w:rPr>
            </w:pPr>
            <w:r>
              <w:rPr>
                <w:rFonts w:ascii="Courier New" w:cs="Courier New" w:eastAsia="Courier New" w:hAnsi="Courier New"/>
                <w:sz w:val="15"/>
                <w:szCs w:val="15"/>
                <w:color w:val="auto"/>
              </w:rPr>
              <w:t>Class</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w w:val="98"/>
              </w:rPr>
              <w:t>A Special</w:t>
            </w:r>
          </w:p>
        </w:tc>
        <w:tc>
          <w:tcPr>
            <w:tcW w:w="4420" w:type="dxa"/>
            <w:vAlign w:val="bottom"/>
          </w:tcPr>
          <w:p>
            <w:pPr>
              <w:ind w:left="80"/>
              <w:spacing w:after="0"/>
              <w:rPr>
                <w:sz w:val="20"/>
                <w:szCs w:val="20"/>
                <w:color w:val="auto"/>
              </w:rPr>
            </w:pPr>
            <w:r>
              <w:rPr>
                <w:rFonts w:ascii="Courier New" w:cs="Courier New" w:eastAsia="Courier New" w:hAnsi="Courier New"/>
                <w:sz w:val="15"/>
                <w:szCs w:val="15"/>
                <w:color w:val="auto"/>
              </w:rPr>
              <w:t>Common Stock, par value</w:t>
            </w:r>
          </w:p>
        </w:tc>
        <w:tc>
          <w:tcPr>
            <w:tcW w:w="130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N/A</w:t>
            </w:r>
          </w:p>
        </w:tc>
        <w:tc>
          <w:tcPr>
            <w:tcW w:w="2420" w:type="dxa"/>
            <w:vAlign w:val="bottom"/>
            <w:vMerge w:val="restart"/>
          </w:tcPr>
          <w:p>
            <w:pPr>
              <w:jc w:val="right"/>
              <w:ind w:right="385"/>
              <w:spacing w:after="0"/>
              <w:rPr>
                <w:sz w:val="20"/>
                <w:szCs w:val="20"/>
                <w:color w:val="auto"/>
              </w:rPr>
            </w:pPr>
            <w:r>
              <w:rPr>
                <w:rFonts w:ascii="Courier New" w:cs="Courier New" w:eastAsia="Courier New" w:hAnsi="Courier New"/>
                <w:sz w:val="15"/>
                <w:szCs w:val="15"/>
                <w:color w:val="auto"/>
              </w:rPr>
              <w:t>$3,337,644,431</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$881,139</w:t>
            </w:r>
          </w:p>
        </w:tc>
        <w:tc>
          <w:tcPr>
            <w:tcW w:w="0" w:type="dxa"/>
            <w:vAlign w:val="bottom"/>
          </w:tcPr>
          <w:p>
            <w:pPr>
              <w:spacing w:after="0"/>
              <w:rPr>
                <w:sz w:val="1"/>
                <w:szCs w:val="1"/>
                <w:color w:val="auto"/>
              </w:rPr>
            </w:pPr>
          </w:p>
        </w:tc>
      </w:tr>
      <w:tr>
        <w:trPr>
          <w:trHeight w:val="200"/>
        </w:trPr>
        <w:tc>
          <w:tcPr>
            <w:tcW w:w="480" w:type="dxa"/>
            <w:vAlign w:val="bottom"/>
          </w:tcPr>
          <w:p>
            <w:pPr>
              <w:spacing w:after="0"/>
              <w:rPr>
                <w:sz w:val="20"/>
                <w:szCs w:val="20"/>
                <w:color w:val="auto"/>
              </w:rPr>
            </w:pPr>
            <w:r>
              <w:rPr>
                <w:rFonts w:ascii="Courier New" w:cs="Courier New" w:eastAsia="Courier New" w:hAnsi="Courier New"/>
                <w:sz w:val="15"/>
                <w:szCs w:val="15"/>
                <w:color w:val="auto"/>
              </w:rPr>
              <w:t>$1.00</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w w:val="98"/>
              </w:rPr>
              <w:t>per share</w:t>
            </w:r>
          </w:p>
        </w:tc>
        <w:tc>
          <w:tcPr>
            <w:tcW w:w="4420" w:type="dxa"/>
            <w:vAlign w:val="bottom"/>
          </w:tcPr>
          <w:p>
            <w:pPr>
              <w:spacing w:after="0"/>
              <w:rPr>
                <w:sz w:val="20"/>
                <w:szCs w:val="20"/>
                <w:color w:val="auto"/>
              </w:rPr>
            </w:pPr>
            <w:r>
              <w:rPr>
                <w:rFonts w:ascii="Courier New" w:cs="Courier New" w:eastAsia="Courier New" w:hAnsi="Courier New"/>
                <w:sz w:val="15"/>
                <w:szCs w:val="15"/>
                <w:color w:val="auto"/>
              </w:rPr>
              <w:t>............................ 72,837,586 shares</w:t>
            </w:r>
          </w:p>
        </w:tc>
        <w:tc>
          <w:tcPr>
            <w:tcW w:w="1300" w:type="dxa"/>
            <w:vAlign w:val="bottom"/>
            <w:vMerge w:val="continue"/>
          </w:tcPr>
          <w:p>
            <w:pPr>
              <w:spacing w:after="0"/>
              <w:rPr>
                <w:sz w:val="17"/>
                <w:szCs w:val="17"/>
                <w:color w:val="auto"/>
              </w:rPr>
            </w:pPr>
          </w:p>
        </w:tc>
        <w:tc>
          <w:tcPr>
            <w:tcW w:w="24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448" w:right="4540" w:hanging="448"/>
        <w:spacing w:after="0" w:line="281" w:lineRule="auto"/>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maximum number of shares of Class A Special Common Stock that may be offered by the selling stockholders as described in the prospectus filed as part of this Registration Statement.</w:t>
      </w:r>
    </w:p>
    <w:p>
      <w:pPr>
        <w:sectPr>
          <w:pgSz w:w="11900" w:h="16838" w:orient="portrait"/>
          <w:cols w:equalWidth="0" w:num="1">
            <w:col w:w="11348"/>
          </w:cols>
          <w:pgMar w:left="312" w:top="549" w:right="239" w:bottom="0" w:gutter="0" w:footer="0" w:header="0"/>
          <w:type w:val="continuous"/>
        </w:sectPr>
      </w:pPr>
    </w:p>
    <w:bookmarkStart w:id="1" w:name="page2"/>
    <w:bookmarkEnd w:id="1"/>
    <w:p>
      <w:pPr>
        <w:ind w:left="448" w:right="3079" w:hanging="448"/>
        <w:spacing w:after="0" w:line="270" w:lineRule="auto"/>
        <w:tabs>
          <w:tab w:leader="none" w:pos="44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filing of the Registration Statement on December 10, 1999, related to 69,830,280 shares of Comcast Class A Special Common Stock. This amendment registers an additional 3,007,306 shares of Comcast Class A Special Common Stock that may be offered by the selling stockholders as described in the prospectus filed as part of this Registration Statement. The proposed maximum offering price for the purposes of calculating the registration fee for the initial 69,830,280 shares of Comcast Class A Special Common Stock was calculated in accordance with Rule 457(c) under the Securities Act of 1933, as amended, based upon the average high and low per share prices quoted on the Nasdaq National Market System on December 8, 1999. The proposed maximum offering price for the additional 3,007,306 shares of Comcast Class A Special Common Stock is estimated solely for purposes of calculating the registration fee and computed pursuant to Rule 457(c) based on the average of the high and low per share prices quoted on the Nasdaq National Market System on January 7, 2000.</w:t>
      </w:r>
    </w:p>
    <w:p>
      <w:pPr>
        <w:spacing w:after="0" w:line="76" w:lineRule="exact"/>
        <w:rPr>
          <w:rFonts w:ascii="Courier New" w:cs="Courier New" w:eastAsia="Courier New" w:hAnsi="Courier New"/>
          <w:sz w:val="14"/>
          <w:szCs w:val="14"/>
          <w:color w:val="auto"/>
        </w:rPr>
      </w:pPr>
    </w:p>
    <w:p>
      <w:pPr>
        <w:ind w:left="448" w:right="3799" w:hanging="448"/>
        <w:spacing w:after="0" w:line="402" w:lineRule="auto"/>
        <w:tabs>
          <w:tab w:leader="none" w:pos="44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$845,139 of the registration fee was paid on December 10, 1999 in connection with the original filing of the Registration Statement.</w:t>
      </w:r>
    </w:p>
    <w:p>
      <w:pPr>
        <w:spacing w:after="0" w:line="329"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right="2999" w:firstLine="447"/>
        <w:spacing w:after="0" w:line="262"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7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7" w:lineRule="exact"/>
        <w:rPr>
          <w:sz w:val="20"/>
          <w:szCs w:val="20"/>
          <w:color w:val="auto"/>
        </w:rPr>
      </w:pPr>
    </w:p>
    <w:p>
      <w:pPr>
        <w:ind w:left="8" w:right="2999"/>
        <w:spacing w:after="0" w:line="272"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4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Subject to Completion, dated January 14, 2000</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72,837,586 shares</w:t>
      </w:r>
    </w:p>
    <w:p>
      <w:pPr>
        <w:spacing w:after="0" w:line="30"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COMCAST CORPORATION</w:t>
      </w:r>
    </w:p>
    <w:p>
      <w:pPr>
        <w:spacing w:after="0" w:line="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Class A Special Common Stock</w:t>
      </w:r>
    </w:p>
    <w:p>
      <w:pPr>
        <w:spacing w:after="0" w:line="318"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right="3159"/>
        <w:spacing w:after="0" w:line="266" w:lineRule="auto"/>
        <w:rPr>
          <w:sz w:val="20"/>
          <w:szCs w:val="20"/>
          <w:color w:val="auto"/>
        </w:rPr>
      </w:pPr>
      <w:r>
        <w:rPr>
          <w:rFonts w:ascii="Courier New" w:cs="Courier New" w:eastAsia="Courier New" w:hAnsi="Courier New"/>
          <w:sz w:val="15"/>
          <w:szCs w:val="15"/>
          <w:color w:val="auto"/>
        </w:rPr>
        <w:t>This prospectus relates to the sale of up to 72,837,586 shares of Class A Special Common Stock, par value $1.00 per share, of Comcast Corporation by the selling stockholders identified in this prospectus. These shares are being acquired by the selling stockholders in a private placement exempt from registration pursuant to federal and state securities laws in connection with the acquisition of Lenfest Communications, Inc. by Comcast Corporation.</w:t>
      </w:r>
    </w:p>
    <w:p>
      <w:pPr>
        <w:spacing w:after="0" w:line="75"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right="3259"/>
        <w:spacing w:after="0" w:line="301" w:lineRule="auto"/>
        <w:rPr>
          <w:sz w:val="20"/>
          <w:szCs w:val="20"/>
          <w:color w:val="auto"/>
        </w:rPr>
      </w:pPr>
      <w:r>
        <w:rPr>
          <w:rFonts w:ascii="Courier New" w:cs="Courier New" w:eastAsia="Courier New" w:hAnsi="Courier New"/>
          <w:sz w:val="15"/>
          <w:szCs w:val="15"/>
          <w:color w:val="auto"/>
        </w:rPr>
        <w:t>The selling stockholders may sell their shares at market prices prevailing at the time of transfer, prices related to the prevailing market prices or negotiated prices.</w:t>
      </w:r>
    </w:p>
    <w:p>
      <w:pPr>
        <w:spacing w:after="0" w:line="49"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8" w:right="3339"/>
        <w:spacing w:after="0" w:line="301" w:lineRule="auto"/>
        <w:rPr>
          <w:sz w:val="20"/>
          <w:szCs w:val="20"/>
          <w:color w:val="auto"/>
        </w:rPr>
      </w:pPr>
      <w:r>
        <w:rPr>
          <w:rFonts w:ascii="Courier New" w:cs="Courier New" w:eastAsia="Courier New" w:hAnsi="Courier New"/>
          <w:sz w:val="15"/>
          <w:szCs w:val="15"/>
          <w:color w:val="auto"/>
        </w:rPr>
        <w:t>The Class A Special Common Stock is included for quotation in The Nasdaq National Market under the symbol "CMCSK." On January 13, 2000, the last sale price of the Class A Special Common Stock was $50.56 per share.</w:t>
      </w:r>
    </w:p>
    <w:p>
      <w:pPr>
        <w:spacing w:after="0" w:line="221"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right="3079"/>
        <w:spacing w:after="0" w:line="359" w:lineRule="auto"/>
        <w:rPr>
          <w:sz w:val="20"/>
          <w:szCs w:val="20"/>
          <w:color w:val="auto"/>
        </w:rPr>
      </w:pPr>
      <w:r>
        <w:rPr>
          <w:rFonts w:ascii="Courier New" w:cs="Courier New" w:eastAsia="Courier New" w:hAnsi="Courier New"/>
          <w:sz w:val="15"/>
          <w:szCs w:val="15"/>
          <w:color w:val="auto"/>
        </w:rPr>
        <w:t>Investing in the Class A Special Common Stock involves certain risks. See "Risk Factors" beginning on Page 3.</w:t>
      </w:r>
    </w:p>
    <w:p>
      <w:pPr>
        <w:spacing w:after="0" w:line="8"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right="2999"/>
        <w:spacing w:after="0" w:line="281"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37"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The date of this prospectus is January 14, 2000</w:t>
      </w:r>
    </w:p>
    <w:p>
      <w:pPr>
        <w:sectPr>
          <w:pgSz w:w="11900" w:h="16838" w:orient="portrait"/>
          <w:cols w:equalWidth="0" w:num="1">
            <w:col w:w="10147"/>
          </w:cols>
          <w:pgMar w:left="312" w:top="113" w:right="1440" w:bottom="11"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2"/>
        </w:trPr>
        <w:tc>
          <w:tcPr>
            <w:tcW w:w="620" w:type="dxa"/>
            <w:vAlign w:val="bottom"/>
          </w:tcPr>
          <w:p>
            <w:pPr>
              <w:spacing w:after="0"/>
              <w:rPr>
                <w:sz w:val="21"/>
                <w:szCs w:val="21"/>
                <w:color w:val="auto"/>
              </w:rPr>
            </w:pPr>
          </w:p>
        </w:tc>
        <w:tc>
          <w:tcPr>
            <w:tcW w:w="6180" w:type="dxa"/>
            <w:vAlign w:val="bottom"/>
          </w:tcPr>
          <w:p>
            <w:pPr>
              <w:jc w:val="right"/>
              <w:ind w:right="2345"/>
              <w:spacing w:after="0"/>
              <w:rPr>
                <w:sz w:val="20"/>
                <w:szCs w:val="20"/>
                <w:color w:val="auto"/>
              </w:rPr>
            </w:pPr>
            <w:r>
              <w:rPr>
                <w:rFonts w:ascii="Courier New" w:cs="Courier New" w:eastAsia="Courier New" w:hAnsi="Courier New"/>
                <w:sz w:val="15"/>
                <w:szCs w:val="15"/>
                <w:color w:val="auto"/>
              </w:rPr>
              <w:t>TABLE OF CONTENTS</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Page</w:t>
            </w:r>
          </w:p>
        </w:tc>
        <w:tc>
          <w:tcPr>
            <w:tcW w:w="0" w:type="dxa"/>
            <w:vAlign w:val="bottom"/>
          </w:tcPr>
          <w:p>
            <w:pPr>
              <w:spacing w:after="0"/>
              <w:rPr>
                <w:sz w:val="1"/>
                <w:szCs w:val="1"/>
                <w:color w:val="auto"/>
              </w:rPr>
            </w:pPr>
          </w:p>
        </w:tc>
      </w:tr>
      <w:tr>
        <w:trPr>
          <w:trHeight w:val="92"/>
        </w:trPr>
        <w:tc>
          <w:tcPr>
            <w:tcW w:w="620" w:type="dxa"/>
            <w:vAlign w:val="bottom"/>
          </w:tcPr>
          <w:p>
            <w:pPr>
              <w:spacing w:after="0"/>
              <w:rPr>
                <w:sz w:val="7"/>
                <w:szCs w:val="7"/>
                <w:color w:val="auto"/>
              </w:rPr>
            </w:pPr>
          </w:p>
        </w:tc>
        <w:tc>
          <w:tcPr>
            <w:tcW w:w="61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680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Risk Factors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172"/>
        </w:trPr>
        <w:tc>
          <w:tcPr>
            <w:tcW w:w="6800" w:type="dxa"/>
            <w:vAlign w:val="bottom"/>
            <w:gridSpan w:val="2"/>
            <w:vMerge w:val="continue"/>
          </w:tcPr>
          <w:p>
            <w:pPr>
              <w:ind w:left="1060"/>
              <w:spacing w:after="0" w:line="153" w:lineRule="exact"/>
              <w:rPr>
                <w:sz w:val="20"/>
                <w:szCs w:val="20"/>
                <w:color w:val="auto"/>
              </w:rPr>
            </w:pPr>
            <w:r>
              <w:rPr>
                <w:rFonts w:ascii="Courier New" w:cs="Courier New" w:eastAsia="Courier New" w:hAnsi="Courier New"/>
                <w:sz w:val="15"/>
                <w:szCs w:val="15"/>
                <w:color w:val="auto"/>
                <w:w w:val="96"/>
              </w:rPr>
              <w:t>..................................................................</w:t>
            </w:r>
          </w:p>
        </w:tc>
        <w:tc>
          <w:tcPr>
            <w:tcW w:w="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Special</w:t>
            </w:r>
          </w:p>
        </w:tc>
        <w:tc>
          <w:tcPr>
            <w:tcW w:w="6180" w:type="dxa"/>
            <w:vAlign w:val="bottom"/>
          </w:tcPr>
          <w:p>
            <w:pPr>
              <w:jc w:val="right"/>
              <w:spacing w:after="0"/>
              <w:rPr>
                <w:sz w:val="20"/>
                <w:szCs w:val="20"/>
                <w:color w:val="auto"/>
              </w:rPr>
            </w:pPr>
            <w:r>
              <w:rPr>
                <w:rFonts w:ascii="Courier New" w:cs="Courier New" w:eastAsia="Courier New" w:hAnsi="Courier New"/>
                <w:sz w:val="15"/>
                <w:szCs w:val="15"/>
                <w:color w:val="auto"/>
                <w:w w:val="97"/>
              </w:rPr>
              <w:t>Note Regarding Forward-Looking Statements.............................</w:t>
            </w:r>
          </w:p>
        </w:tc>
        <w:tc>
          <w:tcPr>
            <w:tcW w:w="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Comcast</w:t>
            </w:r>
          </w:p>
        </w:tc>
        <w:tc>
          <w:tcPr>
            <w:tcW w:w="6180" w:type="dxa"/>
            <w:vAlign w:val="bottom"/>
          </w:tcPr>
          <w:p>
            <w:pPr>
              <w:jc w:val="right"/>
              <w:spacing w:after="0"/>
              <w:rPr>
                <w:sz w:val="20"/>
                <w:szCs w:val="20"/>
                <w:color w:val="auto"/>
              </w:rPr>
            </w:pPr>
            <w:r>
              <w:rPr>
                <w:rFonts w:ascii="Courier New" w:cs="Courier New" w:eastAsia="Courier New" w:hAnsi="Courier New"/>
                <w:sz w:val="15"/>
                <w:szCs w:val="15"/>
                <w:color w:val="auto"/>
                <w:w w:val="97"/>
              </w:rPr>
              <w:t>Corporation...........................................................</w:t>
            </w:r>
          </w:p>
        </w:tc>
        <w:tc>
          <w:tcPr>
            <w:tcW w:w="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2"/>
        </w:trPr>
        <w:tc>
          <w:tcPr>
            <w:tcW w:w="6800" w:type="dxa"/>
            <w:vAlign w:val="bottom"/>
            <w:gridSpan w:val="2"/>
          </w:tcPr>
          <w:p>
            <w:pPr>
              <w:spacing w:after="0"/>
              <w:rPr>
                <w:sz w:val="20"/>
                <w:szCs w:val="20"/>
                <w:color w:val="auto"/>
              </w:rPr>
            </w:pPr>
            <w:r>
              <w:rPr>
                <w:rFonts w:ascii="Courier New" w:cs="Courier New" w:eastAsia="Courier New" w:hAnsi="Courier New"/>
                <w:sz w:val="15"/>
                <w:szCs w:val="15"/>
                <w:color w:val="auto"/>
                <w:w w:val="96"/>
              </w:rPr>
              <w:t>Use of Proceeds...............................................................</w:t>
            </w:r>
          </w:p>
        </w:tc>
        <w:tc>
          <w:tcPr>
            <w:tcW w:w="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Selling</w:t>
            </w:r>
          </w:p>
        </w:tc>
        <w:tc>
          <w:tcPr>
            <w:tcW w:w="6180" w:type="dxa"/>
            <w:vAlign w:val="bottom"/>
          </w:tcPr>
          <w:p>
            <w:pPr>
              <w:jc w:val="right"/>
              <w:spacing w:after="0"/>
              <w:rPr>
                <w:sz w:val="20"/>
                <w:szCs w:val="20"/>
                <w:color w:val="auto"/>
              </w:rPr>
            </w:pPr>
            <w:r>
              <w:rPr>
                <w:rFonts w:ascii="Courier New" w:cs="Courier New" w:eastAsia="Courier New" w:hAnsi="Courier New"/>
                <w:sz w:val="15"/>
                <w:szCs w:val="15"/>
                <w:color w:val="auto"/>
                <w:w w:val="97"/>
              </w:rPr>
              <w:t>Stockholders..........................................................</w:t>
            </w:r>
          </w:p>
        </w:tc>
        <w:tc>
          <w:tcPr>
            <w:tcW w:w="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Plan of</w:t>
            </w:r>
          </w:p>
        </w:tc>
        <w:tc>
          <w:tcPr>
            <w:tcW w:w="6180" w:type="dxa"/>
            <w:vAlign w:val="bottom"/>
          </w:tcPr>
          <w:p>
            <w:pPr>
              <w:jc w:val="right"/>
              <w:spacing w:after="0"/>
              <w:rPr>
                <w:sz w:val="20"/>
                <w:szCs w:val="20"/>
                <w:color w:val="auto"/>
              </w:rPr>
            </w:pPr>
            <w:r>
              <w:rPr>
                <w:rFonts w:ascii="Courier New" w:cs="Courier New" w:eastAsia="Courier New" w:hAnsi="Courier New"/>
                <w:sz w:val="15"/>
                <w:szCs w:val="15"/>
                <w:color w:val="auto"/>
                <w:w w:val="97"/>
              </w:rPr>
              <w:t>Distribution..........................................................</w:t>
            </w:r>
          </w:p>
        </w:tc>
        <w:tc>
          <w:tcPr>
            <w:tcW w:w="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2"/>
        </w:trPr>
        <w:tc>
          <w:tcPr>
            <w:tcW w:w="6800" w:type="dxa"/>
            <w:vAlign w:val="bottom"/>
            <w:gridSpan w:val="2"/>
          </w:tcPr>
          <w:p>
            <w:pPr>
              <w:spacing w:after="0"/>
              <w:rPr>
                <w:sz w:val="20"/>
                <w:szCs w:val="20"/>
                <w:color w:val="auto"/>
              </w:rPr>
            </w:pPr>
            <w:r>
              <w:rPr>
                <w:rFonts w:ascii="Courier New" w:cs="Courier New" w:eastAsia="Courier New" w:hAnsi="Courier New"/>
                <w:sz w:val="15"/>
                <w:szCs w:val="15"/>
                <w:color w:val="auto"/>
                <w:w w:val="96"/>
              </w:rPr>
              <w:t>Legal Matters.................................................................</w:t>
            </w:r>
          </w:p>
        </w:tc>
        <w:tc>
          <w:tcPr>
            <w:tcW w:w="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Experts</w:t>
            </w:r>
          </w:p>
        </w:tc>
        <w:tc>
          <w:tcPr>
            <w:tcW w:w="61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2"/>
        </w:trPr>
        <w:tc>
          <w:tcPr>
            <w:tcW w:w="6800" w:type="dxa"/>
            <w:vAlign w:val="bottom"/>
            <w:gridSpan w:val="2"/>
          </w:tcPr>
          <w:p>
            <w:pPr>
              <w:spacing w:after="0"/>
              <w:rPr>
                <w:sz w:val="20"/>
                <w:szCs w:val="20"/>
                <w:color w:val="auto"/>
              </w:rPr>
            </w:pPr>
            <w:r>
              <w:rPr>
                <w:rFonts w:ascii="Courier New" w:cs="Courier New" w:eastAsia="Courier New" w:hAnsi="Courier New"/>
                <w:sz w:val="15"/>
                <w:szCs w:val="15"/>
                <w:color w:val="auto"/>
                <w:w w:val="96"/>
              </w:rPr>
              <w:t>Available Information.........................................................</w:t>
            </w:r>
          </w:p>
        </w:tc>
        <w:tc>
          <w:tcPr>
            <w:tcW w:w="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252"/>
        </w:trPr>
        <w:tc>
          <w:tcPr>
            <w:tcW w:w="6800" w:type="dxa"/>
            <w:vAlign w:val="bottom"/>
            <w:gridSpan w:val="2"/>
          </w:tcPr>
          <w:p>
            <w:pPr>
              <w:spacing w:after="0"/>
              <w:rPr>
                <w:sz w:val="20"/>
                <w:szCs w:val="20"/>
                <w:color w:val="auto"/>
              </w:rPr>
            </w:pPr>
            <w:r>
              <w:rPr>
                <w:rFonts w:ascii="Courier New" w:cs="Courier New" w:eastAsia="Courier New" w:hAnsi="Courier New"/>
                <w:sz w:val="15"/>
                <w:szCs w:val="15"/>
                <w:color w:val="auto"/>
                <w:w w:val="96"/>
              </w:rPr>
              <w:t>Incorporation of Certain Documents by Reference...............................</w:t>
            </w:r>
          </w:p>
        </w:tc>
        <w:tc>
          <w:tcPr>
            <w:tcW w:w="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2999"/>
        <w:spacing w:after="0" w:line="257" w:lineRule="auto"/>
        <w:rPr>
          <w:sz w:val="20"/>
          <w:szCs w:val="20"/>
          <w:color w:val="auto"/>
        </w:rPr>
      </w:pPr>
      <w:r>
        <w:rPr>
          <w:rFonts w:ascii="Courier New" w:cs="Courier New" w:eastAsia="Courier New" w:hAnsi="Courier New"/>
          <w:sz w:val="15"/>
          <w:szCs w:val="15"/>
          <w:color w:val="auto"/>
        </w:rPr>
        <w:t>In this prospectus, "Comcast," the "company," "we," "us" and "our" refer to Comcast Corporation and its subsidiaries. You should rely only on the information contained in this prospectus. We have not authorized anyone to provide you with information different from that contained in this prospectus. The selling stockholders are offering to sell, and seeking offers to buy, shares of Class A Special Common Stock only in jurisdictions where offers and sales are permitted. The information contained in this prospectus is accurate only as of the date of this prospectus, regardless of the time of delivery of this prospectus or of any sale of the Class A Special Common Stock.</w:t>
      </w:r>
    </w:p>
    <w:p>
      <w:pPr>
        <w:spacing w:after="0" w:line="83"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2999"/>
        <w:spacing w:after="0" w:line="272" w:lineRule="auto"/>
        <w:rPr>
          <w:sz w:val="20"/>
          <w:szCs w:val="20"/>
          <w:color w:val="auto"/>
        </w:rPr>
      </w:pPr>
      <w:r>
        <w:rPr>
          <w:rFonts w:ascii="Courier New" w:cs="Courier New" w:eastAsia="Courier New" w:hAnsi="Courier New"/>
          <w:sz w:val="15"/>
          <w:szCs w:val="15"/>
          <w:color w:val="auto"/>
        </w:rPr>
        <w:t>Comcast was incorporated in Pennsylvania in 1969. Our principal executive offices are located at 1500 Market Street, Philadelphia, Pennsylvania 19102-2148 and our telephone number is (215) 665-1700. Our world wide web site address is www.comcast.com. The information posted on our web site is not incorporated by reference in this prospectus.</w:t>
      </w:r>
    </w:p>
    <w:p>
      <w:pPr>
        <w:spacing w:after="0" w:line="70"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779" w:right="1440" w:bottom="1440" w:gutter="0" w:footer="0" w:header="0"/>
        </w:sectPr>
      </w:pPr>
    </w:p>
    <w:bookmarkStart w:id="4" w:name="page5"/>
    <w:bookmarkEnd w:id="4"/>
    <w:p>
      <w:pPr>
        <w:jc w:val="center"/>
        <w:ind w:right="2999"/>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right="2999" w:firstLine="447"/>
        <w:spacing w:after="0" w:line="301" w:lineRule="auto"/>
        <w:rPr>
          <w:sz w:val="20"/>
          <w:szCs w:val="20"/>
          <w:color w:val="auto"/>
        </w:rPr>
      </w:pPr>
      <w:r>
        <w:rPr>
          <w:rFonts w:ascii="Courier New" w:cs="Courier New" w:eastAsia="Courier New" w:hAnsi="Courier New"/>
          <w:sz w:val="15"/>
          <w:szCs w:val="15"/>
          <w:color w:val="auto"/>
        </w:rPr>
        <w:t>You should carefully review the information contained in this prospectus and the other reports we file with the SEC, but should particularly consider the following matters.</w:t>
      </w:r>
    </w:p>
    <w:p>
      <w:pPr>
        <w:spacing w:after="0" w:line="49" w:lineRule="exact"/>
        <w:rPr>
          <w:sz w:val="20"/>
          <w:szCs w:val="20"/>
          <w:color w:val="auto"/>
        </w:rPr>
      </w:pPr>
    </w:p>
    <w:p>
      <w:pPr>
        <w:ind w:right="3259"/>
        <w:spacing w:after="0" w:line="359" w:lineRule="auto"/>
        <w:rPr>
          <w:sz w:val="20"/>
          <w:szCs w:val="20"/>
          <w:color w:val="auto"/>
        </w:rPr>
      </w:pPr>
      <w:r>
        <w:rPr>
          <w:rFonts w:ascii="Courier New" w:cs="Courier New" w:eastAsia="Courier New" w:hAnsi="Courier New"/>
          <w:sz w:val="15"/>
          <w:szCs w:val="15"/>
          <w:color w:val="auto"/>
        </w:rPr>
        <w:t>Our Ability to Successfully Integrate Our New Cable Communications Operations Will Affect Our Future Results of Operations.</w:t>
      </w:r>
    </w:p>
    <w:p>
      <w:pPr>
        <w:spacing w:after="0" w:line="8" w:lineRule="exact"/>
        <w:rPr>
          <w:sz w:val="20"/>
          <w:szCs w:val="20"/>
          <w:color w:val="auto"/>
        </w:rPr>
      </w:pPr>
    </w:p>
    <w:p>
      <w:pPr>
        <w:ind w:right="2999" w:firstLine="447"/>
        <w:spacing w:after="0" w:line="255" w:lineRule="auto"/>
        <w:rPr>
          <w:sz w:val="20"/>
          <w:szCs w:val="20"/>
          <w:color w:val="auto"/>
        </w:rPr>
      </w:pPr>
      <w:r>
        <w:rPr>
          <w:rFonts w:ascii="Courier New" w:cs="Courier New" w:eastAsia="Courier New" w:hAnsi="Courier New"/>
          <w:sz w:val="15"/>
          <w:szCs w:val="15"/>
          <w:color w:val="auto"/>
        </w:rPr>
        <w:t>We recently have entered into a series of transactions which will substantially increase the size and scope of our cable operations over the next several years. These transactions will result in an increase in the number of subscribers we serve from approximately 5.7 million, as of September 30, 1999, to approximately 8.2 million. We will be acquiring systems in new communities in which we do not have established relationships with the local franchising authority, community leaders or cable subscribers. Further, a substantial number of new employees must be integrated into our business practices and operations. Our results of operations may be significantly affected by our ability to efficiently and effectively manage these changes.</w:t>
      </w:r>
    </w:p>
    <w:p>
      <w:pPr>
        <w:spacing w:after="0" w:line="87" w:lineRule="exact"/>
        <w:rPr>
          <w:sz w:val="20"/>
          <w:szCs w:val="20"/>
          <w:color w:val="auto"/>
        </w:rPr>
      </w:pPr>
    </w:p>
    <w:p>
      <w:pPr>
        <w:ind w:right="3079"/>
        <w:spacing w:after="0" w:line="359" w:lineRule="auto"/>
        <w:rPr>
          <w:sz w:val="20"/>
          <w:szCs w:val="20"/>
          <w:color w:val="auto"/>
        </w:rPr>
      </w:pPr>
      <w:r>
        <w:rPr>
          <w:rFonts w:ascii="Courier New" w:cs="Courier New" w:eastAsia="Courier New" w:hAnsi="Courier New"/>
          <w:sz w:val="15"/>
          <w:szCs w:val="15"/>
          <w:color w:val="auto"/>
        </w:rPr>
        <w:t>We Face a Wide Range of Competition in Areas Served by Our Cable Systems, Which Could Affect Our Future Results of Operations.</w:t>
      </w:r>
    </w:p>
    <w:p>
      <w:pPr>
        <w:spacing w:after="0" w:line="8" w:lineRule="exact"/>
        <w:rPr>
          <w:sz w:val="20"/>
          <w:szCs w:val="20"/>
          <w:color w:val="auto"/>
        </w:rPr>
      </w:pPr>
    </w:p>
    <w:p>
      <w:pPr>
        <w:ind w:right="2999" w:firstLine="447"/>
        <w:spacing w:after="0" w:line="254" w:lineRule="auto"/>
        <w:rPr>
          <w:sz w:val="20"/>
          <w:szCs w:val="20"/>
          <w:color w:val="auto"/>
        </w:rPr>
      </w:pPr>
      <w:r>
        <w:rPr>
          <w:rFonts w:ascii="Courier New" w:cs="Courier New" w:eastAsia="Courier New" w:hAnsi="Courier New"/>
          <w:sz w:val="15"/>
          <w:szCs w:val="15"/>
          <w:color w:val="auto"/>
        </w:rPr>
        <w:t>Our cable communications systems compete with a number of different sources which provide news, information and entertainment programming to consumers. We compete directly with program distributors that use satellites, build competing cable systems in the same communities we serve or otherwise provide programming to our subscribers and potential subscribers. In addition, federal law now allows local telephone companies to provide directly to subscribers a wide variety of services that are competitive with our cable communications services. Some local telephone companies provide or have announced plans to provide video services within and outside their telephone service areas through a variety of methods, including broadband cable networks, satellite program distribution and wireless transmission facilities.</w:t>
      </w:r>
    </w:p>
    <w:p>
      <w:pPr>
        <w:spacing w:after="0" w:line="87" w:lineRule="exact"/>
        <w:rPr>
          <w:sz w:val="20"/>
          <w:szCs w:val="20"/>
          <w:color w:val="auto"/>
        </w:rPr>
      </w:pPr>
    </w:p>
    <w:p>
      <w:pPr>
        <w:ind w:right="2999" w:firstLine="447"/>
        <w:spacing w:after="0" w:line="253" w:lineRule="auto"/>
        <w:rPr>
          <w:sz w:val="20"/>
          <w:szCs w:val="20"/>
          <w:color w:val="auto"/>
        </w:rPr>
      </w:pPr>
      <w:r>
        <w:rPr>
          <w:rFonts w:ascii="Courier New" w:cs="Courier New" w:eastAsia="Courier New" w:hAnsi="Courier New"/>
          <w:sz w:val="15"/>
          <w:szCs w:val="15"/>
          <w:color w:val="auto"/>
        </w:rPr>
        <w:t>Recently enacted federal legislation establishes, among other things, a permanent compulsory copyright license that permits satellite carriers that offer broadcast satellite service, such as DirectTV and Echostar, to retransmit local broadcast television signals to subscribers who reside inside the local television station's market. These companies have already begun transmitting local broadcast signals in certain major television markets and have announced their intention to expand this local television broadcast retransmission service to other domestic markets. With this legislation, satellite carriers become more competitive to cable operators like us because they are now able to offer programming which more closely resembles what we offer. We are unable to predict the effects of this legislation and these competitive developments on our business and operations.</w:t>
      </w:r>
    </w:p>
    <w:p>
      <w:pPr>
        <w:spacing w:after="0" w:line="87" w:lineRule="exact"/>
        <w:rPr>
          <w:sz w:val="20"/>
          <w:szCs w:val="20"/>
          <w:color w:val="auto"/>
        </w:rPr>
      </w:pPr>
    </w:p>
    <w:p>
      <w:pPr>
        <w:ind w:right="3079"/>
        <w:spacing w:after="0" w:line="359" w:lineRule="auto"/>
        <w:rPr>
          <w:sz w:val="20"/>
          <w:szCs w:val="20"/>
          <w:color w:val="auto"/>
        </w:rPr>
      </w:pPr>
      <w:r>
        <w:rPr>
          <w:rFonts w:ascii="Courier New" w:cs="Courier New" w:eastAsia="Courier New" w:hAnsi="Courier New"/>
          <w:sz w:val="15"/>
          <w:szCs w:val="15"/>
          <w:color w:val="auto"/>
        </w:rPr>
        <w:t>Our Competition May Increase Because of Technological and Other Advances, Which Could Affect Our Future Results of Operations.</w:t>
      </w:r>
    </w:p>
    <w:p>
      <w:pPr>
        <w:spacing w:after="0" w:line="8" w:lineRule="exact"/>
        <w:rPr>
          <w:sz w:val="20"/>
          <w:szCs w:val="20"/>
          <w:color w:val="auto"/>
        </w:rPr>
      </w:pPr>
    </w:p>
    <w:p>
      <w:pPr>
        <w:ind w:right="2999" w:firstLine="447"/>
        <w:spacing w:after="0" w:line="270" w:lineRule="auto"/>
        <w:rPr>
          <w:sz w:val="20"/>
          <w:szCs w:val="20"/>
          <w:color w:val="auto"/>
        </w:rPr>
      </w:pPr>
      <w:r>
        <w:rPr>
          <w:rFonts w:ascii="Courier New" w:cs="Courier New" w:eastAsia="Courier New" w:hAnsi="Courier New"/>
          <w:sz w:val="14"/>
          <w:szCs w:val="14"/>
          <w:color w:val="auto"/>
        </w:rPr>
        <w:t>Recently, a number of companies, including telephone companies and Internet service providers have asked local authorities and the FCC to require cable operators to provide capacity on their broadband infrastructure so that these companies and others may deliver Internet services directly to customers over cable facilities. In response, several local jurisdictions attempted to impose these capacity obligations on several cable operators. Various cable companies, including us, have initiated litigation challenging these municipal requirements. In addition, two antitrust lawsuits have been filed in federal courts alleging that Comcast and other cable companies have improperly refused to allow their cable facilities to be used by certain Internet service providers to serve their customers. Franchise renewals and transfers could become more difficult depending upon the outcome of this issue. In addition, several telephone companies are introducing Digital Subscriber Line technology, known as DSL, which will allow Internet access to subscribers at data transmission speeds equal to or greater than that of modems over conventional telephone lines.</w:t>
      </w:r>
    </w:p>
    <w:p>
      <w:pPr>
        <w:spacing w:after="0" w:line="77" w:lineRule="exact"/>
        <w:rPr>
          <w:sz w:val="20"/>
          <w:szCs w:val="20"/>
          <w:color w:val="auto"/>
        </w:rPr>
      </w:pPr>
    </w:p>
    <w:p>
      <w:pPr>
        <w:ind w:right="2999" w:firstLine="447"/>
        <w:spacing w:after="0" w:line="266" w:lineRule="auto"/>
        <w:rPr>
          <w:sz w:val="20"/>
          <w:szCs w:val="20"/>
          <w:color w:val="auto"/>
        </w:rPr>
      </w:pPr>
      <w:r>
        <w:rPr>
          <w:rFonts w:ascii="Courier New" w:cs="Courier New" w:eastAsia="Courier New" w:hAnsi="Courier New"/>
          <w:sz w:val="15"/>
          <w:szCs w:val="15"/>
          <w:color w:val="auto"/>
        </w:rPr>
        <w:t>We expect other advances in communications technology, as well as changes in the marketplace and the regulatory and legislative environment to occur in the future. Other new technologies and services may develop and may compete with services that our cable communications systems offer. The success of these ongoing and future developments could have a negative impact on our business and operations.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Cost of Providing Programming May Increase.</w:t>
      </w:r>
    </w:p>
    <w:p>
      <w:pPr>
        <w:spacing w:after="0" w:line="174" w:lineRule="exact"/>
        <w:rPr>
          <w:sz w:val="20"/>
          <w:szCs w:val="20"/>
          <w:color w:val="auto"/>
        </w:rPr>
      </w:pPr>
    </w:p>
    <w:p>
      <w:pPr>
        <w:ind w:right="2999" w:firstLine="447"/>
        <w:spacing w:after="0" w:line="262" w:lineRule="auto"/>
        <w:rPr>
          <w:sz w:val="20"/>
          <w:szCs w:val="20"/>
          <w:color w:val="auto"/>
        </w:rPr>
      </w:pPr>
      <w:r>
        <w:rPr>
          <w:rFonts w:ascii="Courier New" w:cs="Courier New" w:eastAsia="Courier New" w:hAnsi="Courier New"/>
          <w:sz w:val="15"/>
          <w:szCs w:val="15"/>
          <w:color w:val="auto"/>
        </w:rPr>
        <w:t>We generally pay either a monthly fee per subscriber per channel or a percentage of certain revenues for programming. Our programming costs are increased by increases in the number of subscribers, expansion of the number of channels provided to customers, and increases in contract rates from programming suppliers. Our programming contracts are generally for a fixed period of time and are subject to negotiated renewal. We anticipate that future contract renewals will result in programming costs that</w:t>
      </w:r>
    </w:p>
    <w:p>
      <w:pPr>
        <w:spacing w:after="0" w:line="78"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779" w:right="1440" w:bottom="871" w:gutter="0" w:footer="0" w:header="0"/>
        </w:sectPr>
      </w:pPr>
    </w:p>
    <w:bookmarkStart w:id="5" w:name="page6"/>
    <w:bookmarkEnd w:id="5"/>
    <w:p>
      <w:pPr>
        <w:ind w:right="3439"/>
        <w:spacing w:after="0" w:line="359" w:lineRule="auto"/>
        <w:rPr>
          <w:sz w:val="20"/>
          <w:szCs w:val="20"/>
          <w:color w:val="auto"/>
        </w:rPr>
      </w:pPr>
      <w:r>
        <w:rPr>
          <w:rFonts w:ascii="Courier New" w:cs="Courier New" w:eastAsia="Courier New" w:hAnsi="Courier New"/>
          <w:sz w:val="15"/>
          <w:szCs w:val="15"/>
          <w:color w:val="auto"/>
        </w:rPr>
        <w:t>are higher than our costs today, particularly for sports programming, which could make our service less competitive.</w:t>
      </w:r>
    </w:p>
    <w:p>
      <w:pPr>
        <w:spacing w:after="0" w:line="8" w:lineRule="exact"/>
        <w:rPr>
          <w:sz w:val="20"/>
          <w:szCs w:val="20"/>
          <w:color w:val="auto"/>
        </w:rPr>
      </w:pPr>
    </w:p>
    <w:p>
      <w:pPr>
        <w:ind w:right="3159"/>
        <w:spacing w:after="0" w:line="301" w:lineRule="auto"/>
        <w:rPr>
          <w:sz w:val="20"/>
          <w:szCs w:val="20"/>
          <w:color w:val="auto"/>
        </w:rPr>
      </w:pPr>
      <w:r>
        <w:rPr>
          <w:rFonts w:ascii="Courier New" w:cs="Courier New" w:eastAsia="Courier New" w:hAnsi="Courier New"/>
          <w:sz w:val="15"/>
          <w:szCs w:val="15"/>
          <w:color w:val="auto"/>
        </w:rPr>
        <w:t>We Face Competition in Electronic Retailing from the Retail Industry and Other Satellite-Transmitted Programs, Which Could Affect QVC's Future Results of Operations.</w:t>
      </w:r>
    </w:p>
    <w:p>
      <w:pPr>
        <w:spacing w:after="0" w:line="49" w:lineRule="exact"/>
        <w:rPr>
          <w:sz w:val="20"/>
          <w:szCs w:val="20"/>
          <w:color w:val="auto"/>
        </w:rPr>
      </w:pPr>
    </w:p>
    <w:p>
      <w:pPr>
        <w:ind w:right="2999" w:firstLine="447"/>
        <w:spacing w:after="0" w:line="254" w:lineRule="auto"/>
        <w:rPr>
          <w:sz w:val="20"/>
          <w:szCs w:val="20"/>
          <w:color w:val="auto"/>
        </w:rPr>
      </w:pPr>
      <w:r>
        <w:rPr>
          <w:rFonts w:ascii="Courier New" w:cs="Courier New" w:eastAsia="Courier New" w:hAnsi="Courier New"/>
          <w:sz w:val="15"/>
          <w:szCs w:val="15"/>
          <w:color w:val="auto"/>
        </w:rPr>
        <w:t>QVC, our electronic retailing subsidiary, is a domestic and international electronic media general merchandise retailer which produces and distributes merchandise-focused television programs, via satellite, to affiliated video program providers for retransmission to subscribers. QVC operates in a highly competitive environment. As a general merchandise retailer, QVC competes for consumer expenditures and interest with the entire retail industry, including department, discount, warehouse and specialty stores, mail order, Internet and other direct sellers, shopping center and mall tenants and conventional retail stores. On television, QVC competes with other satellite-transmitted programs for channel space and viewer loyalty. Many systems have limited channel capacity and therefore may be precluded from carrying the QVC program.</w:t>
      </w:r>
    </w:p>
    <w:p>
      <w:pPr>
        <w:spacing w:after="0" w:line="87" w:lineRule="exact"/>
        <w:rPr>
          <w:sz w:val="20"/>
          <w:szCs w:val="20"/>
          <w:color w:val="auto"/>
        </w:rPr>
      </w:pPr>
    </w:p>
    <w:p>
      <w:pPr>
        <w:ind w:right="3079"/>
        <w:spacing w:after="0" w:line="359" w:lineRule="auto"/>
        <w:rPr>
          <w:sz w:val="20"/>
          <w:szCs w:val="20"/>
          <w:color w:val="auto"/>
        </w:rPr>
      </w:pPr>
      <w:r>
        <w:rPr>
          <w:rFonts w:ascii="Courier New" w:cs="Courier New" w:eastAsia="Courier New" w:hAnsi="Courier New"/>
          <w:sz w:val="15"/>
          <w:szCs w:val="15"/>
          <w:color w:val="auto"/>
        </w:rPr>
        <w:t>The QVC Program May Experience Transmission Failures, Which Could Significantly Affect QVC's Future Results of Operations.</w:t>
      </w:r>
    </w:p>
    <w:p>
      <w:pPr>
        <w:spacing w:after="0" w:line="8" w:lineRule="exact"/>
        <w:rPr>
          <w:sz w:val="20"/>
          <w:szCs w:val="20"/>
          <w:color w:val="auto"/>
        </w:rPr>
      </w:pPr>
    </w:p>
    <w:p>
      <w:pPr>
        <w:ind w:right="2999" w:firstLine="447"/>
        <w:spacing w:after="0" w:line="266" w:lineRule="auto"/>
        <w:rPr>
          <w:sz w:val="20"/>
          <w:szCs w:val="20"/>
          <w:color w:val="auto"/>
        </w:rPr>
      </w:pPr>
      <w:r>
        <w:rPr>
          <w:rFonts w:ascii="Courier New" w:cs="Courier New" w:eastAsia="Courier New" w:hAnsi="Courier New"/>
          <w:sz w:val="15"/>
          <w:szCs w:val="15"/>
          <w:color w:val="auto"/>
        </w:rPr>
        <w:t>A transponder on a communications satellite transmits the QVC domestic signal. QVC subleases transponders for the transmission of its signals to the UK and Germany and has made arrangements for redundant coverage through other satellites in case of a failure. An interruption or termination of satellite transmission due to transponder failure could have a material adverse effect on QVC's future results of operations.</w:t>
      </w:r>
    </w:p>
    <w:p>
      <w:pPr>
        <w:spacing w:after="0" w:line="7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74" w:lineRule="exact"/>
        <w:rPr>
          <w:sz w:val="20"/>
          <w:szCs w:val="20"/>
          <w:color w:val="auto"/>
        </w:rPr>
      </w:pPr>
    </w:p>
    <w:p>
      <w:pPr>
        <w:ind w:right="3079" w:firstLine="447"/>
        <w:spacing w:after="0" w:line="359" w:lineRule="auto"/>
        <w:rPr>
          <w:sz w:val="20"/>
          <w:szCs w:val="20"/>
          <w:color w:val="auto"/>
        </w:rPr>
      </w:pPr>
      <w:r>
        <w:rPr>
          <w:rFonts w:ascii="Courier New" w:cs="Courier New" w:eastAsia="Courier New" w:hAnsi="Courier New"/>
          <w:sz w:val="15"/>
          <w:szCs w:val="15"/>
          <w:color w:val="auto"/>
        </w:rPr>
        <w:t>The cable communications industry and the provision of programming content may be affected by, among other things:</w:t>
      </w:r>
    </w:p>
    <w:p>
      <w:pPr>
        <w:spacing w:after="0" w:line="8" w:lineRule="exact"/>
        <w:rPr>
          <w:sz w:val="20"/>
          <w:szCs w:val="20"/>
          <w:color w:val="auto"/>
        </w:rPr>
      </w:pPr>
    </w:p>
    <w:p>
      <w:pPr>
        <w:ind w:left="800" w:hanging="361"/>
        <w:spacing w:after="0"/>
        <w:tabs>
          <w:tab w:leader="none" w:pos="8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laws and regulations;</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judicial and administrative decisions;</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competitive environment;</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technology;</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related matters;</w:t>
      </w:r>
    </w:p>
    <w:p>
      <w:pPr>
        <w:spacing w:after="0" w:line="174" w:lineRule="exact"/>
        <w:rPr>
          <w:rFonts w:ascii="Courier New" w:cs="Courier New" w:eastAsia="Courier New" w:hAnsi="Courier New"/>
          <w:sz w:val="15"/>
          <w:szCs w:val="15"/>
          <w:color w:val="auto"/>
        </w:rPr>
      </w:pPr>
    </w:p>
    <w:p>
      <w:pPr>
        <w:ind w:left="800" w:right="2999" w:hanging="361"/>
        <w:spacing w:after="0" w:line="301" w:lineRule="auto"/>
        <w:tabs>
          <w:tab w:leader="none" w:pos="8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that may adversely affect the availability of debt and equity financing for working capital, capital expenditures or other purposes;</w:t>
      </w:r>
    </w:p>
    <w:p>
      <w:pPr>
        <w:spacing w:after="0" w:line="48" w:lineRule="exact"/>
        <w:rPr>
          <w:rFonts w:ascii="Courier New" w:cs="Courier New" w:eastAsia="Courier New" w:hAnsi="Courier New"/>
          <w:sz w:val="15"/>
          <w:szCs w:val="15"/>
          <w:color w:val="auto"/>
        </w:rPr>
      </w:pPr>
    </w:p>
    <w:p>
      <w:pPr>
        <w:ind w:left="800" w:right="3079" w:hanging="361"/>
        <w:spacing w:after="0" w:line="359" w:lineRule="auto"/>
        <w:tabs>
          <w:tab w:leader="none" w:pos="8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the programming content we distribute or the willingness of other video program providers to carry our content; and</w:t>
      </w:r>
    </w:p>
    <w:p>
      <w:pPr>
        <w:spacing w:after="0" w:line="7"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w:t>
      </w:r>
    </w:p>
    <w:p>
      <w:pPr>
        <w:spacing w:after="0" w:line="174" w:lineRule="exact"/>
        <w:rPr>
          <w:sz w:val="20"/>
          <w:szCs w:val="20"/>
          <w:color w:val="auto"/>
        </w:rPr>
      </w:pPr>
    </w:p>
    <w:p>
      <w:pPr>
        <w:ind w:right="2999" w:firstLine="447"/>
        <w:spacing w:after="0" w:line="254" w:lineRule="auto"/>
        <w:rPr>
          <w:sz w:val="20"/>
          <w:szCs w:val="20"/>
          <w:color w:val="auto"/>
        </w:rPr>
      </w:pPr>
      <w:r>
        <w:rPr>
          <w:rFonts w:ascii="Courier New" w:cs="Courier New" w:eastAsia="Courier New" w:hAnsi="Courier New"/>
          <w:sz w:val="15"/>
          <w:szCs w:val="15"/>
          <w:color w:val="auto"/>
        </w:rPr>
        <w:t>In this prospectus and in the documents we incorporate by reference, we state our beliefs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above. Those factors may cause our actual results to differ materially from any of our forward-looking statements.</w:t>
      </w:r>
    </w:p>
    <w:p>
      <w:pPr>
        <w:spacing w:after="0" w:line="8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COMCAST CORPORATION</w:t>
      </w:r>
    </w:p>
    <w:p>
      <w:pPr>
        <w:spacing w:after="0" w:line="174" w:lineRule="exact"/>
        <w:rPr>
          <w:sz w:val="20"/>
          <w:szCs w:val="20"/>
          <w:color w:val="auto"/>
        </w:rPr>
      </w:pPr>
    </w:p>
    <w:p>
      <w:pPr>
        <w:ind w:right="2999" w:firstLine="447"/>
        <w:spacing w:after="0" w:line="266" w:lineRule="auto"/>
        <w:rPr>
          <w:sz w:val="20"/>
          <w:szCs w:val="20"/>
          <w:color w:val="auto"/>
        </w:rPr>
      </w:pPr>
      <w:r>
        <w:rPr>
          <w:rFonts w:ascii="Courier New" w:cs="Courier New" w:eastAsia="Courier New" w:hAnsi="Courier New"/>
          <w:sz w:val="15"/>
          <w:szCs w:val="15"/>
          <w:color w:val="auto"/>
        </w:rPr>
        <w:t>We are principally engaged both in developing, managing and operating hybrid fiber-coaxial broadband cable communications networks and in providing programming content, primarily through QVC. We are currently the third-largest cable communications system operator in the United States and are in the process of implementing high-speed Internet access service and digital video applications to enhance the products available on our cable networks.</w:t>
      </w:r>
    </w:p>
    <w:p>
      <w:pPr>
        <w:spacing w:after="0" w:line="75" w:lineRule="exact"/>
        <w:rPr>
          <w:sz w:val="20"/>
          <w:szCs w:val="20"/>
          <w:color w:val="auto"/>
        </w:rPr>
      </w:pPr>
    </w:p>
    <w:p>
      <w:pPr>
        <w:ind w:right="3079" w:firstLine="447"/>
        <w:spacing w:after="0" w:line="307" w:lineRule="auto"/>
        <w:rPr>
          <w:sz w:val="20"/>
          <w:szCs w:val="20"/>
          <w:color w:val="auto"/>
        </w:rPr>
      </w:pPr>
      <w:r>
        <w:rPr>
          <w:rFonts w:ascii="Courier New" w:cs="Courier New" w:eastAsia="Courier New" w:hAnsi="Courier New"/>
          <w:sz w:val="14"/>
          <w:szCs w:val="14"/>
          <w:color w:val="auto"/>
        </w:rPr>
        <w:t>Our consolidated cable operations served approximately 5.7 million subscribers and passed approximately 9.4 million homes in the United States as of September 30, 1999. We have entered into a series of transactions whereby we will acquire, subject to receipt of necessary regulatory and other approvals,</w:t>
      </w:r>
    </w:p>
    <w:p>
      <w:pPr>
        <w:spacing w:after="0" w:line="49"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779" w:right="1440" w:bottom="1440" w:gutter="0" w:footer="0" w:header="0"/>
        </w:sectPr>
      </w:pPr>
    </w:p>
    <w:bookmarkStart w:id="6" w:name="page7"/>
    <w:bookmarkEnd w:id="6"/>
    <w:p>
      <w:pPr>
        <w:ind w:right="3339"/>
        <w:spacing w:after="0" w:line="301" w:lineRule="auto"/>
        <w:rPr>
          <w:sz w:val="20"/>
          <w:szCs w:val="20"/>
          <w:color w:val="auto"/>
        </w:rPr>
      </w:pPr>
      <w:r>
        <w:rPr>
          <w:rFonts w:ascii="Courier New" w:cs="Courier New" w:eastAsia="Courier New" w:hAnsi="Courier New"/>
          <w:sz w:val="15"/>
          <w:szCs w:val="15"/>
          <w:color w:val="auto"/>
        </w:rPr>
        <w:t>approximately 2.5 million cable subscribers over the next twelve to eighteen months. Upon completion of these pending transactions, we will serve approximately 8.2 million subscribers.</w:t>
      </w:r>
    </w:p>
    <w:p>
      <w:pPr>
        <w:spacing w:after="0" w:line="49" w:lineRule="exact"/>
        <w:rPr>
          <w:sz w:val="20"/>
          <w:szCs w:val="20"/>
          <w:color w:val="auto"/>
        </w:rPr>
      </w:pPr>
    </w:p>
    <w:p>
      <w:pPr>
        <w:ind w:right="3079" w:firstLine="447"/>
        <w:spacing w:after="0" w:line="259" w:lineRule="auto"/>
        <w:rPr>
          <w:sz w:val="20"/>
          <w:szCs w:val="20"/>
          <w:color w:val="auto"/>
        </w:rPr>
      </w:pPr>
      <w:r>
        <w:rPr>
          <w:rFonts w:ascii="Courier New" w:cs="Courier New" w:eastAsia="Courier New" w:hAnsi="Courier New"/>
          <w:sz w:val="15"/>
          <w:szCs w:val="15"/>
          <w:color w:val="auto"/>
        </w:rPr>
        <w:t>We provide programming content through our majority-owned subsidiaries, QVC, Inc. and E! Entertainment Television, Inc., and through other programming investments, including Comcast SportsNet, The Golf Channel, Speedvision and Outdoor Life. Through QVC, we market a wide variety of products directly to consumers primarily on merchandise-focused television programs. As of September 30, 1999, QVC is available, on a full and part-time basis, to over 73.6 million homes in the United States, over 7.7 million homes in the United Kingdom and Ireland and over 15.0 million homes in Germany.</w:t>
      </w:r>
    </w:p>
    <w:p>
      <w:pPr>
        <w:spacing w:after="0" w:line="82" w:lineRule="exact"/>
        <w:rPr>
          <w:sz w:val="20"/>
          <w:szCs w:val="20"/>
          <w:color w:val="auto"/>
        </w:rPr>
      </w:pPr>
    </w:p>
    <w:p>
      <w:pPr>
        <w:jc w:val="both"/>
        <w:ind w:right="3159" w:firstLine="447"/>
        <w:spacing w:after="0" w:line="272" w:lineRule="auto"/>
        <w:rPr>
          <w:sz w:val="20"/>
          <w:szCs w:val="20"/>
          <w:color w:val="auto"/>
        </w:rPr>
      </w:pPr>
      <w:r>
        <w:rPr>
          <w:rFonts w:ascii="Courier New" w:cs="Courier New" w:eastAsia="Courier New" w:hAnsi="Courier New"/>
          <w:sz w:val="15"/>
          <w:szCs w:val="15"/>
          <w:color w:val="auto"/>
        </w:rPr>
        <w:t>We are a Pennsylvania corporation that was organized in 1969. We have our principal executive offices at 1500 Market Street, Philadelphia, Pennsylvania 19102-2148. Our telephone number is (215) 665-1700. We also have a world wide web site at http://www.comcast.com. The information posted on our web site is not incorporated into this prospectus.</w:t>
      </w:r>
    </w:p>
    <w:p>
      <w:pPr>
        <w:spacing w:after="0" w:line="70"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right="3079" w:firstLine="447"/>
        <w:spacing w:after="0" w:line="359" w:lineRule="auto"/>
        <w:rPr>
          <w:sz w:val="20"/>
          <w:szCs w:val="20"/>
          <w:color w:val="auto"/>
        </w:rPr>
      </w:pPr>
      <w:r>
        <w:rPr>
          <w:rFonts w:ascii="Courier New" w:cs="Courier New" w:eastAsia="Courier New" w:hAnsi="Courier New"/>
          <w:sz w:val="15"/>
          <w:szCs w:val="15"/>
          <w:color w:val="auto"/>
        </w:rPr>
        <w:t>We will not receive any proceeds from the sale of the shares being offered by the selling stockholders.</w:t>
      </w:r>
    </w:p>
    <w:p>
      <w:pPr>
        <w:spacing w:after="0" w:line="180"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SELLING STOCKHOLDERS</w:t>
      </w:r>
    </w:p>
    <w:p>
      <w:pPr>
        <w:spacing w:after="0" w:line="174" w:lineRule="exact"/>
        <w:rPr>
          <w:sz w:val="20"/>
          <w:szCs w:val="20"/>
          <w:color w:val="auto"/>
        </w:rPr>
      </w:pPr>
    </w:p>
    <w:p>
      <w:pPr>
        <w:ind w:right="2999" w:firstLine="447"/>
        <w:spacing w:after="0" w:line="252" w:lineRule="auto"/>
        <w:rPr>
          <w:sz w:val="20"/>
          <w:szCs w:val="20"/>
          <w:color w:val="auto"/>
        </w:rPr>
      </w:pPr>
      <w:r>
        <w:rPr>
          <w:rFonts w:ascii="Courier New" w:cs="Courier New" w:eastAsia="Courier New" w:hAnsi="Courier New"/>
          <w:sz w:val="15"/>
          <w:szCs w:val="15"/>
          <w:color w:val="auto"/>
        </w:rPr>
        <w:t>The shares offered hereby may be offered by the selling stockholders named herein or by pledgees, donees, transferees or other successors in interest that receive such shares as a gift, partnership distribution or other non-sale related transfer. The table below sets forth certain information with respect to the selling stockholders listed below and their beneficial ownership of shares of Class A Special Common Stock as of November 30, 1999, after giving effect to the acquisition of Lenfest Communications, Inc. by Comcast Corporation. Except as specified in the table below, none of the selling stockholders or their affiliates hold any positions, or offices or had any other material relationships with us, or any of our predecessors or affiliates, during the past three years. As used herein, "selling stockholders" includes donees and pledgees selling shares received from a named selling stockholder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Shares of</w:t>
            </w:r>
          </w:p>
        </w:tc>
        <w:tc>
          <w:tcPr>
            <w:tcW w:w="1700" w:type="dxa"/>
            <w:vAlign w:val="bottom"/>
          </w:tcPr>
          <w:p>
            <w:pPr>
              <w:jc w:val="center"/>
              <w:ind w:right="85"/>
              <w:spacing w:after="0"/>
              <w:rPr>
                <w:sz w:val="20"/>
                <w:szCs w:val="20"/>
                <w:color w:val="auto"/>
              </w:rPr>
            </w:pPr>
            <w:r>
              <w:rPr>
                <w:rFonts w:ascii="Courier New" w:cs="Courier New" w:eastAsia="Courier New" w:hAnsi="Courier New"/>
                <w:sz w:val="15"/>
                <w:szCs w:val="15"/>
                <w:color w:val="auto"/>
              </w:rPr>
              <w:t>Percentage of</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Class A</w:t>
            </w:r>
          </w:p>
        </w:tc>
        <w:tc>
          <w:tcPr>
            <w:tcW w:w="17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Outstanding</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Special</w:t>
            </w:r>
          </w:p>
        </w:tc>
        <w:tc>
          <w:tcPr>
            <w:tcW w:w="1700" w:type="dxa"/>
            <w:vAlign w:val="bottom"/>
          </w:tcPr>
          <w:p>
            <w:pPr>
              <w:jc w:val="center"/>
              <w:ind w:right="85"/>
              <w:spacing w:after="0"/>
              <w:rPr>
                <w:sz w:val="20"/>
                <w:szCs w:val="20"/>
                <w:color w:val="auto"/>
              </w:rPr>
            </w:pPr>
            <w:r>
              <w:rPr>
                <w:rFonts w:ascii="Courier New" w:cs="Courier New" w:eastAsia="Courier New" w:hAnsi="Courier New"/>
                <w:sz w:val="15"/>
                <w:szCs w:val="15"/>
                <w:color w:val="auto"/>
              </w:rPr>
              <w:t>Shares-of</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Common Stock</w:t>
            </w:r>
          </w:p>
        </w:tc>
        <w:tc>
          <w:tcPr>
            <w:tcW w:w="17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Class A Special</w:t>
            </w:r>
          </w:p>
        </w:tc>
        <w:tc>
          <w:tcPr>
            <w:tcW w:w="0" w:type="dxa"/>
            <w:vAlign w:val="bottom"/>
          </w:tcPr>
          <w:p>
            <w:pPr>
              <w:spacing w:after="0"/>
              <w:rPr>
                <w:sz w:val="1"/>
                <w:szCs w:val="1"/>
                <w:color w:val="auto"/>
              </w:rPr>
            </w:pPr>
          </w:p>
        </w:tc>
      </w:tr>
      <w:tr>
        <w:trPr>
          <w:trHeight w:val="172"/>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Owned Prior</w:t>
            </w:r>
          </w:p>
        </w:tc>
        <w:tc>
          <w:tcPr>
            <w:tcW w:w="1700" w:type="dxa"/>
            <w:vAlign w:val="bottom"/>
          </w:tcPr>
          <w:p>
            <w:pPr>
              <w:ind w:left="280"/>
              <w:spacing w:after="0"/>
              <w:rPr>
                <w:sz w:val="20"/>
                <w:szCs w:val="20"/>
                <w:color w:val="auto"/>
              </w:rPr>
            </w:pPr>
            <w:r>
              <w:rPr>
                <w:rFonts w:ascii="Courier New" w:cs="Courier New" w:eastAsia="Courier New" w:hAnsi="Courier New"/>
                <w:sz w:val="15"/>
                <w:szCs w:val="15"/>
                <w:color w:val="auto"/>
              </w:rPr>
              <w:t>Common Stock</w:t>
            </w:r>
          </w:p>
        </w:tc>
        <w:tc>
          <w:tcPr>
            <w:tcW w:w="0" w:type="dxa"/>
            <w:vAlign w:val="bottom"/>
          </w:tcPr>
          <w:p>
            <w:pPr>
              <w:spacing w:after="0"/>
              <w:rPr>
                <w:sz w:val="1"/>
                <w:szCs w:val="1"/>
                <w:color w:val="auto"/>
              </w:rPr>
            </w:pPr>
          </w:p>
        </w:tc>
      </w:tr>
      <w:tr>
        <w:trPr>
          <w:trHeight w:val="172"/>
        </w:trPr>
        <w:tc>
          <w:tcPr>
            <w:tcW w:w="4380" w:type="dxa"/>
            <w:vAlign w:val="bottom"/>
            <w:vMerge w:val="continue"/>
          </w:tcPr>
          <w:p>
            <w:pPr>
              <w:spacing w:after="0"/>
              <w:rPr>
                <w:sz w:val="14"/>
                <w:szCs w:val="14"/>
                <w:color w:val="auto"/>
              </w:rPr>
            </w:pPr>
          </w:p>
        </w:tc>
        <w:tc>
          <w:tcPr>
            <w:tcW w:w="29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H.F. Lenfest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31,961,332</w:t>
            </w:r>
          </w:p>
        </w:tc>
        <w:tc>
          <w:tcPr>
            <w:tcW w:w="1700" w:type="dxa"/>
            <w:vAlign w:val="bottom"/>
          </w:tcPr>
          <w:p>
            <w:pPr>
              <w:ind w:left="640"/>
              <w:spacing w:after="0"/>
              <w:rPr>
                <w:sz w:val="20"/>
                <w:szCs w:val="20"/>
                <w:color w:val="auto"/>
              </w:rPr>
            </w:pPr>
            <w:r>
              <w:rPr>
                <w:rFonts w:ascii="Courier New" w:cs="Courier New" w:eastAsia="Courier New" w:hAnsi="Courier New"/>
                <w:sz w:val="15"/>
                <w:szCs w:val="15"/>
                <w:color w:val="auto"/>
              </w:rPr>
              <w:t>4.46%</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H. Chase Lenfest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13,625,418</w:t>
            </w:r>
          </w:p>
        </w:tc>
        <w:tc>
          <w:tcPr>
            <w:tcW w:w="1700" w:type="dxa"/>
            <w:vAlign w:val="bottom"/>
          </w:tcPr>
          <w:p>
            <w:pPr>
              <w:ind w:left="640"/>
              <w:spacing w:after="0"/>
              <w:rPr>
                <w:sz w:val="20"/>
                <w:szCs w:val="20"/>
                <w:color w:val="auto"/>
              </w:rPr>
            </w:pPr>
            <w:r>
              <w:rPr>
                <w:rFonts w:ascii="Courier New" w:cs="Courier New" w:eastAsia="Courier New" w:hAnsi="Courier New"/>
                <w:sz w:val="15"/>
                <w:szCs w:val="15"/>
                <w:color w:val="auto"/>
              </w:rPr>
              <w:t>1.90</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Brook J. Lenfest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13,625,418</w:t>
            </w:r>
          </w:p>
        </w:tc>
        <w:tc>
          <w:tcPr>
            <w:tcW w:w="1700" w:type="dxa"/>
            <w:vAlign w:val="bottom"/>
          </w:tcPr>
          <w:p>
            <w:pPr>
              <w:ind w:left="640"/>
              <w:spacing w:after="0"/>
              <w:rPr>
                <w:sz w:val="20"/>
                <w:szCs w:val="20"/>
                <w:color w:val="auto"/>
              </w:rPr>
            </w:pPr>
            <w:r>
              <w:rPr>
                <w:rFonts w:ascii="Courier New" w:cs="Courier New" w:eastAsia="Courier New" w:hAnsi="Courier New"/>
                <w:sz w:val="15"/>
                <w:szCs w:val="15"/>
                <w:color w:val="auto"/>
              </w:rPr>
              <w:t>1.90</w:t>
            </w:r>
          </w:p>
        </w:tc>
        <w:tc>
          <w:tcPr>
            <w:tcW w:w="0" w:type="dxa"/>
            <w:vAlign w:val="bottom"/>
          </w:tcPr>
          <w:p>
            <w:pPr>
              <w:spacing w:after="0"/>
              <w:rPr>
                <w:sz w:val="1"/>
                <w:szCs w:val="1"/>
                <w:color w:val="auto"/>
              </w:rPr>
            </w:pPr>
          </w:p>
        </w:tc>
      </w:tr>
      <w:tr>
        <w:trPr>
          <w:trHeight w:val="252"/>
        </w:trPr>
        <w:tc>
          <w:tcPr>
            <w:tcW w:w="4380" w:type="dxa"/>
            <w:vAlign w:val="bottom"/>
          </w:tcPr>
          <w:p>
            <w:pPr>
              <w:spacing w:after="0"/>
              <w:rPr>
                <w:sz w:val="20"/>
                <w:szCs w:val="20"/>
                <w:color w:val="auto"/>
              </w:rPr>
            </w:pPr>
            <w:r>
              <w:rPr>
                <w:rFonts w:ascii="Courier New" w:cs="Courier New" w:eastAsia="Courier New" w:hAnsi="Courier New"/>
                <w:sz w:val="15"/>
                <w:szCs w:val="15"/>
                <w:color w:val="auto"/>
              </w:rPr>
              <w:t>Diane Lenfest Myer</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13,625,418</w:t>
            </w:r>
          </w:p>
        </w:tc>
        <w:tc>
          <w:tcPr>
            <w:tcW w:w="1700" w:type="dxa"/>
            <w:vAlign w:val="bottom"/>
          </w:tcPr>
          <w:p>
            <w:pPr>
              <w:ind w:left="640"/>
              <w:spacing w:after="0"/>
              <w:rPr>
                <w:sz w:val="20"/>
                <w:szCs w:val="20"/>
                <w:color w:val="auto"/>
              </w:rPr>
            </w:pPr>
            <w:r>
              <w:rPr>
                <w:rFonts w:ascii="Courier New" w:cs="Courier New" w:eastAsia="Courier New" w:hAnsi="Courier New"/>
                <w:sz w:val="15"/>
                <w:szCs w:val="15"/>
                <w:color w:val="auto"/>
              </w:rPr>
              <w:t>1.90</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right="3259" w:firstLine="447"/>
        <w:spacing w:after="0" w:line="281" w:lineRule="auto"/>
        <w:rPr>
          <w:sz w:val="20"/>
          <w:szCs w:val="20"/>
          <w:color w:val="auto"/>
        </w:rPr>
      </w:pPr>
      <w:r>
        <w:rPr>
          <w:rFonts w:ascii="Courier New" w:cs="Courier New" w:eastAsia="Courier New" w:hAnsi="Courier New"/>
          <w:sz w:val="15"/>
          <w:szCs w:val="15"/>
          <w:color w:val="auto"/>
        </w:rPr>
        <w:t>The selling stockholders may sell all or part of the shares registered hereunder and as a result no estimate can be given as to the number of shares that will be held by any selling stockholder upon termination of any offering made hereby.</w:t>
      </w:r>
    </w:p>
    <w:p>
      <w:pPr>
        <w:spacing w:after="0" w:line="65" w:lineRule="exact"/>
        <w:rPr>
          <w:sz w:val="20"/>
          <w:szCs w:val="20"/>
          <w:color w:val="auto"/>
        </w:rPr>
      </w:pPr>
    </w:p>
    <w:p>
      <w:pPr>
        <w:ind w:right="2999" w:firstLine="447"/>
        <w:spacing w:after="0" w:line="266" w:lineRule="auto"/>
        <w:rPr>
          <w:sz w:val="20"/>
          <w:szCs w:val="20"/>
          <w:color w:val="auto"/>
        </w:rPr>
      </w:pPr>
      <w:r>
        <w:rPr>
          <w:rFonts w:ascii="Courier New" w:cs="Courier New" w:eastAsia="Courier New" w:hAnsi="Courier New"/>
          <w:sz w:val="15"/>
          <w:szCs w:val="15"/>
          <w:color w:val="auto"/>
        </w:rPr>
        <w:t>All of the shares that may be sold hereunder are being acquired by the selling stockholders in a private placement exempt from registration pursuant to federal and state securities laws in connection with the acquisition of Lenfest Communications, Inc. by Comcast Corporation. The shares are being registered by us pursuant to a registration rights agreement between us and the selling stockholders listed above, dated as of November 16, 1999.</w:t>
      </w:r>
    </w:p>
    <w:p>
      <w:pPr>
        <w:spacing w:after="0" w:line="75" w:lineRule="exact"/>
        <w:rPr>
          <w:sz w:val="20"/>
          <w:szCs w:val="20"/>
          <w:color w:val="auto"/>
        </w:rPr>
      </w:pPr>
    </w:p>
    <w:p>
      <w:pPr>
        <w:ind w:right="2999" w:firstLine="447"/>
        <w:spacing w:after="0" w:line="257" w:lineRule="auto"/>
        <w:rPr>
          <w:sz w:val="20"/>
          <w:szCs w:val="20"/>
          <w:color w:val="auto"/>
        </w:rPr>
      </w:pPr>
      <w:r>
        <w:rPr>
          <w:rFonts w:ascii="Courier New" w:cs="Courier New" w:eastAsia="Courier New" w:hAnsi="Courier New"/>
          <w:sz w:val="15"/>
          <w:szCs w:val="15"/>
          <w:color w:val="auto"/>
        </w:rPr>
        <w:t>Pursuant to the registration rights agreement, we agreed to prepare and file with the SEC a registration statement providing for the sale by the selling stockholders of shares from time to time on a delayed or continuous basis pursuant to Rule 415 under the Securities Act of 1933, as amended. Under the terms of the registration rights agreement, we agreed to pay the fees and expenses incurred in connection with the registration; provided, however, that we shall not pay certain internal administrative and similar costs of the selling stockholders, legal fees and expenses of counsel for the selling stockholders or any underwriting</w:t>
      </w:r>
    </w:p>
    <w:p>
      <w:pPr>
        <w:spacing w:after="0" w:line="83"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779" w:right="1440" w:bottom="1440" w:gutter="0" w:footer="0" w:header="0"/>
        </w:sectPr>
      </w:pPr>
    </w:p>
    <w:bookmarkStart w:id="7" w:name="page8"/>
    <w:bookmarkEnd w:id="7"/>
    <w:p>
      <w:pPr>
        <w:jc w:val="both"/>
        <w:ind w:right="3879"/>
        <w:spacing w:after="0" w:line="301" w:lineRule="auto"/>
        <w:rPr>
          <w:sz w:val="20"/>
          <w:szCs w:val="20"/>
          <w:color w:val="auto"/>
        </w:rPr>
      </w:pPr>
      <w:r>
        <w:rPr>
          <w:rFonts w:ascii="Courier New" w:cs="Courier New" w:eastAsia="Courier New" w:hAnsi="Courier New"/>
          <w:sz w:val="15"/>
          <w:szCs w:val="15"/>
          <w:color w:val="auto"/>
        </w:rPr>
        <w:t>discount or commissions, selling or placement agent or broker fees and commissions, or transfer taxes, if any, in connection with the sale of securities by the selling stockholders.</w:t>
      </w:r>
    </w:p>
    <w:p>
      <w:pPr>
        <w:spacing w:after="0" w:line="49"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PLAN OF DISTRIBUTION</w:t>
      </w:r>
    </w:p>
    <w:p>
      <w:pPr>
        <w:spacing w:after="0" w:line="174" w:lineRule="exact"/>
        <w:rPr>
          <w:sz w:val="20"/>
          <w:szCs w:val="20"/>
          <w:color w:val="auto"/>
        </w:rPr>
      </w:pPr>
    </w:p>
    <w:p>
      <w:pPr>
        <w:ind w:right="2999" w:firstLine="447"/>
        <w:spacing w:after="0" w:line="359" w:lineRule="auto"/>
        <w:rPr>
          <w:sz w:val="20"/>
          <w:szCs w:val="20"/>
          <w:color w:val="auto"/>
        </w:rPr>
      </w:pPr>
      <w:r>
        <w:rPr>
          <w:rFonts w:ascii="Courier New" w:cs="Courier New" w:eastAsia="Courier New" w:hAnsi="Courier New"/>
          <w:sz w:val="15"/>
          <w:szCs w:val="15"/>
          <w:color w:val="auto"/>
        </w:rPr>
        <w:t>Any distribution hereunder of the shares by the selling stockholders may be effected from time to time in one or more of the following transactions:</w:t>
      </w:r>
    </w:p>
    <w:p>
      <w:pPr>
        <w:spacing w:after="0" w:line="8" w:lineRule="exact"/>
        <w:rPr>
          <w:sz w:val="20"/>
          <w:szCs w:val="20"/>
          <w:color w:val="auto"/>
        </w:rPr>
      </w:pPr>
    </w:p>
    <w:p>
      <w:pPr>
        <w:ind w:left="800" w:right="3159" w:hanging="361"/>
        <w:spacing w:after="0" w:line="295"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brokers, acting as principal or agent, in transactions (which may involve block transactions) on NASDAQ or otherwise, in special offerings, in the over-the-counter market, or otherwise, at market prices obtainable at the time of sale, at prices related to such prevailing market prices, at negotiated prices or at fixed prices,</w:t>
      </w:r>
    </w:p>
    <w:p>
      <w:pPr>
        <w:spacing w:after="0" w:line="57" w:lineRule="exact"/>
        <w:rPr>
          <w:rFonts w:ascii="Courier New" w:cs="Courier New" w:eastAsia="Courier New" w:hAnsi="Courier New"/>
          <w:sz w:val="14"/>
          <w:szCs w:val="14"/>
          <w:color w:val="auto"/>
        </w:rPr>
      </w:pPr>
    </w:p>
    <w:p>
      <w:pPr>
        <w:ind w:left="800" w:right="3079" w:hanging="361"/>
        <w:spacing w:after="0" w:line="266" w:lineRule="auto"/>
        <w:tabs>
          <w:tab w:leader="none" w:pos="8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underwriters who will acquire the shares for their own account and resell them in one or more transactions, including negotiated transactions, at a fixed public offering price or at varying prices determined at the time of sale (any public offering price and any discount or concessions allowed or reallowed or paid to dealers may be changed from time to time),</w:t>
      </w:r>
    </w:p>
    <w:p>
      <w:pPr>
        <w:spacing w:after="0" w:line="74" w:lineRule="exact"/>
        <w:rPr>
          <w:rFonts w:ascii="Courier New" w:cs="Courier New" w:eastAsia="Courier New" w:hAnsi="Courier New"/>
          <w:sz w:val="15"/>
          <w:szCs w:val="15"/>
          <w:color w:val="auto"/>
        </w:rPr>
      </w:pPr>
    </w:p>
    <w:p>
      <w:pPr>
        <w:ind w:left="800" w:right="3259" w:hanging="361"/>
        <w:spacing w:after="0" w:line="359" w:lineRule="auto"/>
        <w:tabs>
          <w:tab w:leader="none" w:pos="8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or through brokers or agents in private sales at negotiated prices,</w:t>
      </w:r>
    </w:p>
    <w:p>
      <w:pPr>
        <w:spacing w:after="0" w:line="7" w:lineRule="exact"/>
        <w:rPr>
          <w:rFonts w:ascii="Courier New" w:cs="Courier New" w:eastAsia="Courier New" w:hAnsi="Courier New"/>
          <w:sz w:val="15"/>
          <w:szCs w:val="15"/>
          <w:color w:val="auto"/>
        </w:rPr>
      </w:pPr>
    </w:p>
    <w:p>
      <w:pPr>
        <w:ind w:left="800" w:right="3519" w:hanging="361"/>
        <w:spacing w:after="0" w:line="301" w:lineRule="auto"/>
        <w:tabs>
          <w:tab w:leader="none" w:pos="8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lenders pledged as collateral to secure loans, credit or other financing arrangements and any subsequent foreclosure, if any, thereunder,</w:t>
      </w:r>
    </w:p>
    <w:p>
      <w:pPr>
        <w:spacing w:after="0" w:line="48"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put or call options transactions relating to the shares,</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short sales of shares or</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other legally available means.</w:t>
      </w:r>
    </w:p>
    <w:p>
      <w:pPr>
        <w:spacing w:after="0" w:line="174"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4"/>
          <w:szCs w:val="14"/>
          <w:color w:val="auto"/>
        </w:rPr>
        <w:t>Also, offers to purchase shares may be solicited by agents designated by the selling stockholders from time to time. Underwriters or other agents participating in an offering made pursuant to this prospectus (as amended or supplemented from time to time) may receive underwriting discounts and commissions under the Securities Act of 1933, as amended, and discounts or concessions may be allowed or reallowed or paid to dealers, and brokers or agents participating in such transactions may receive brokerage or agent's commissions or fees. The selling stockholders may effect sales of shares to or through broker-dealers, and such broker-dealers may receive compensation in the form of discounts, concessions or commissions from the selling stockholders and/or the purchasers of the shares for whom such broker-dealers may act as agents or to whom they sell as principals, or both (which compensation as to a particular broker-dealer might be in excess of customary commissions).</w:t>
      </w:r>
    </w:p>
    <w:p>
      <w:pPr>
        <w:spacing w:after="0" w:line="72" w:lineRule="exact"/>
        <w:rPr>
          <w:sz w:val="20"/>
          <w:szCs w:val="20"/>
          <w:color w:val="auto"/>
        </w:rPr>
      </w:pPr>
    </w:p>
    <w:p>
      <w:pPr>
        <w:ind w:right="2999" w:firstLine="447"/>
        <w:spacing w:after="0" w:line="250" w:lineRule="auto"/>
        <w:rPr>
          <w:sz w:val="20"/>
          <w:szCs w:val="20"/>
          <w:color w:val="auto"/>
        </w:rPr>
      </w:pPr>
      <w:r>
        <w:rPr>
          <w:rFonts w:ascii="Courier New" w:cs="Courier New" w:eastAsia="Courier New" w:hAnsi="Courier New"/>
          <w:sz w:val="15"/>
          <w:szCs w:val="15"/>
          <w:color w:val="auto"/>
        </w:rPr>
        <w:t>At the time a particular offering of any shares is made hereunder, to the extent required by law, a prospectus supplement will be distributed which will set forth the amount of shares being offered and the terms of the offering, including the purchase price or public offering price, the name or names of any underwriters, dealers or agents, the purchase price paid by any underwriter for any shares purchased from the selling stockholders, any discounts, commissions and other items constituting compensation from the selling stockholders and any discounts, commissions or concessions allowed or filed or paid to dealers. The shares may be sold from time to time in one or more transactions at a fixed offering price, which may be changed, or at varying prices determined at the time of sale or at negotiated prices. Such prices will be determined by the selling stockholders or by agreement between the selling stockholders and underwriters or dealers, if any. The selling stockholders also may, from time to time, authorize dealers, acting as selling stockholders' agents, to solicit offers to purchase the shares upon the terms and conditions set forth in any prospectus supplement.</w:t>
      </w:r>
    </w:p>
    <w:p>
      <w:pPr>
        <w:spacing w:after="0" w:line="93" w:lineRule="exact"/>
        <w:rPr>
          <w:sz w:val="20"/>
          <w:szCs w:val="20"/>
          <w:color w:val="auto"/>
        </w:rPr>
      </w:pPr>
    </w:p>
    <w:p>
      <w:pPr>
        <w:ind w:right="2999" w:firstLine="447"/>
        <w:spacing w:after="0" w:line="301" w:lineRule="auto"/>
        <w:rPr>
          <w:sz w:val="20"/>
          <w:szCs w:val="20"/>
          <w:color w:val="auto"/>
        </w:rPr>
      </w:pPr>
      <w:r>
        <w:rPr>
          <w:rFonts w:ascii="Courier New" w:cs="Courier New" w:eastAsia="Courier New" w:hAnsi="Courier New"/>
          <w:sz w:val="15"/>
          <w:szCs w:val="15"/>
          <w:color w:val="auto"/>
        </w:rPr>
        <w:t>In order to comply with the securities laws of certain states, if applicable, the shares will be sold hereunder in such jurisdictions only through registered or licensed brokers or dealers.</w:t>
      </w:r>
    </w:p>
    <w:p>
      <w:pPr>
        <w:spacing w:after="0" w:line="49" w:lineRule="exact"/>
        <w:rPr>
          <w:sz w:val="20"/>
          <w:szCs w:val="20"/>
          <w:color w:val="auto"/>
        </w:rPr>
      </w:pPr>
    </w:p>
    <w:p>
      <w:pPr>
        <w:ind w:right="2999" w:firstLine="447"/>
        <w:spacing w:after="0" w:line="254" w:lineRule="auto"/>
        <w:rPr>
          <w:sz w:val="20"/>
          <w:szCs w:val="20"/>
          <w:color w:val="auto"/>
        </w:rPr>
      </w:pPr>
      <w:r>
        <w:rPr>
          <w:rFonts w:ascii="Courier New" w:cs="Courier New" w:eastAsia="Courier New" w:hAnsi="Courier New"/>
          <w:sz w:val="15"/>
          <w:szCs w:val="15"/>
          <w:color w:val="auto"/>
        </w:rPr>
        <w:t>We have been advised that, as of the date hereof, the selling stockholders have made no arrangements with any broker for the sale of their shares. The selling stockholders and any underwriters, brokers or dealers involved in the sale of the shares may be considered "underwriters" as that term is defined by the Securities Act of 1933, as amended, although the selling stockholders disclaim such status. Under the registration rights agreement, we have agreed to indemnify the selling stockholders against certain liabilities that may be incurred in connection with the sale of the shares under this prospectus. In addition, the selling stockholders have agreed to indemnify us against certain liabilities. The registration rights agreement also provides for rights of contribution if</w:t>
      </w:r>
    </w:p>
    <w:p>
      <w:pPr>
        <w:spacing w:after="0" w:line="87"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779" w:right="1440" w:bottom="1440" w:gutter="0" w:footer="0" w:header="0"/>
        </w:sectPr>
      </w:pPr>
    </w:p>
    <w:bookmarkStart w:id="8" w:name="page9"/>
    <w:bookmarkEnd w:id="8"/>
    <w:p>
      <w:pPr>
        <w:ind w:right="2999"/>
        <w:spacing w:after="0" w:line="259" w:lineRule="auto"/>
        <w:rPr>
          <w:sz w:val="20"/>
          <w:szCs w:val="20"/>
          <w:color w:val="auto"/>
        </w:rPr>
      </w:pPr>
      <w:r>
        <w:rPr>
          <w:rFonts w:ascii="Courier New" w:cs="Courier New" w:eastAsia="Courier New" w:hAnsi="Courier New"/>
          <w:sz w:val="15"/>
          <w:szCs w:val="15"/>
          <w:color w:val="auto"/>
        </w:rPr>
        <w:t>such indemnification is not available. We have agreed to pay certain expenses incident to the registration statement and the sale of the shares hereunder to the public, other than certain internal administrative and similar costs of the selling stockholders, legal fees and expenses of counsel for the selling stockholders and any underwriting discount and commissions, selling or placement agent or broker fees or commissions, and transfer taxes, if any, in connection with the sale of securities by the selling stockholders. We will not receive any proceeds from any sales of the shares pursuant to this prospectus.</w:t>
      </w:r>
    </w:p>
    <w:p>
      <w:pPr>
        <w:spacing w:after="0" w:line="82" w:lineRule="exact"/>
        <w:rPr>
          <w:sz w:val="20"/>
          <w:szCs w:val="20"/>
          <w:color w:val="auto"/>
        </w:rPr>
      </w:pPr>
    </w:p>
    <w:p>
      <w:pPr>
        <w:ind w:right="3079" w:firstLine="447"/>
        <w:spacing w:after="0" w:line="272" w:lineRule="auto"/>
        <w:rPr>
          <w:sz w:val="20"/>
          <w:szCs w:val="20"/>
          <w:color w:val="auto"/>
        </w:rPr>
      </w:pPr>
      <w:r>
        <w:rPr>
          <w:rFonts w:ascii="Courier New" w:cs="Courier New" w:eastAsia="Courier New" w:hAnsi="Courier New"/>
          <w:sz w:val="15"/>
          <w:szCs w:val="15"/>
          <w:color w:val="auto"/>
        </w:rPr>
        <w:t>Each selling stockholder will be subject to applicable provisions of the Securities Exchange Act of 1934, as amended, and the rules and regulations thereunder, including, without limitation, Regulation M, which provisions may limit the timing of purchases and sales of shares of our Class A Special Common Stock by the selling stockholders.</w:t>
      </w:r>
    </w:p>
    <w:p>
      <w:pPr>
        <w:spacing w:after="0" w:line="70"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2999" w:firstLine="447"/>
        <w:spacing w:after="0" w:line="301" w:lineRule="auto"/>
        <w:rPr>
          <w:sz w:val="20"/>
          <w:szCs w:val="20"/>
          <w:color w:val="auto"/>
        </w:rPr>
      </w:pPr>
      <w:r>
        <w:rPr>
          <w:rFonts w:ascii="Courier New" w:cs="Courier New" w:eastAsia="Courier New" w:hAnsi="Courier New"/>
          <w:sz w:val="15"/>
          <w:szCs w:val="15"/>
          <w:color w:val="auto"/>
        </w:rPr>
        <w:t>The validity of the shares of Class A Special Common Stock in respect of which this prospectus is being delivered will be passed on for Comcast by Arthur R. Block, Esquire, Senior Deputy General Counsel of the company.</w:t>
      </w:r>
    </w:p>
    <w:p>
      <w:pPr>
        <w:spacing w:after="0" w:line="49"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2999" w:firstLine="447"/>
        <w:spacing w:after="0" w:line="281" w:lineRule="auto"/>
        <w:rPr>
          <w:sz w:val="20"/>
          <w:szCs w:val="20"/>
          <w:color w:val="auto"/>
        </w:rPr>
      </w:pPr>
      <w:r>
        <w:rPr>
          <w:rFonts w:ascii="Courier New" w:cs="Courier New" w:eastAsia="Courier New" w:hAnsi="Courier New"/>
          <w:sz w:val="15"/>
          <w:szCs w:val="15"/>
          <w:color w:val="auto"/>
        </w:rPr>
        <w:t>Our consolidated financial statements and consolidated financial statement schedules in our annual report on Form 10-K for the year ended December 31, 1998 have been audited by Deloitte &amp; Touche LLP, independent auditors, as set forth in their reports thereon and incorporated herein by reference.</w:t>
      </w:r>
    </w:p>
    <w:p>
      <w:pPr>
        <w:spacing w:after="0" w:line="65" w:lineRule="exact"/>
        <w:rPr>
          <w:sz w:val="20"/>
          <w:szCs w:val="20"/>
          <w:color w:val="auto"/>
        </w:rPr>
      </w:pPr>
    </w:p>
    <w:p>
      <w:pPr>
        <w:ind w:right="2999" w:firstLine="447"/>
        <w:spacing w:after="0" w:line="281" w:lineRule="auto"/>
        <w:rPr>
          <w:sz w:val="20"/>
          <w:szCs w:val="20"/>
          <w:color w:val="auto"/>
        </w:rPr>
      </w:pPr>
      <w:r>
        <w:rPr>
          <w:rFonts w:ascii="Courier New" w:cs="Courier New" w:eastAsia="Courier New" w:hAnsi="Courier New"/>
          <w:sz w:val="15"/>
          <w:szCs w:val="15"/>
          <w:color w:val="auto"/>
        </w:rPr>
        <w:t>Such consolidated financial statements and consolidated financial statement schedules have been incorporated herein by reference in reliance upon the reports of such firm given upon their authority as experts in accounting and auditing.</w:t>
      </w:r>
    </w:p>
    <w:p>
      <w:pPr>
        <w:spacing w:after="0" w:line="65" w:lineRule="exact"/>
        <w:rPr>
          <w:sz w:val="20"/>
          <w:szCs w:val="20"/>
          <w:color w:val="auto"/>
        </w:rPr>
      </w:pPr>
    </w:p>
    <w:p>
      <w:pPr>
        <w:ind w:right="2999" w:firstLine="447"/>
        <w:spacing w:after="0" w:line="262" w:lineRule="auto"/>
        <w:rPr>
          <w:sz w:val="20"/>
          <w:szCs w:val="20"/>
          <w:color w:val="auto"/>
        </w:rPr>
      </w:pPr>
      <w:r>
        <w:rPr>
          <w:rFonts w:ascii="Courier New" w:cs="Courier New" w:eastAsia="Courier New" w:hAnsi="Courier New"/>
          <w:sz w:val="15"/>
          <w:szCs w:val="15"/>
          <w:color w:val="auto"/>
        </w:rPr>
        <w:t>The consolidated financial statements of QVC, Inc. and subsidiaries, as of December 31, 1998 and 1997 and for each of the years in the three-year period ended December 31, 1998, have been audited by KPMG LLP, independent certified public accountants, as stated in their report, which is included as an exhibit to our annual report on Form 10-K for the fiscal year ended December 31, 1998 and incorporated herein by reference in reliance upon the authority of said firm as experts in accounting and auditing.</w:t>
      </w:r>
    </w:p>
    <w:p>
      <w:pPr>
        <w:spacing w:after="0" w:line="7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AVAILABLE INFORMATION</w:t>
      </w:r>
    </w:p>
    <w:p>
      <w:pPr>
        <w:spacing w:after="0" w:line="174" w:lineRule="exact"/>
        <w:rPr>
          <w:sz w:val="20"/>
          <w:szCs w:val="20"/>
          <w:color w:val="auto"/>
        </w:rPr>
      </w:pPr>
    </w:p>
    <w:p>
      <w:pPr>
        <w:ind w:right="2999" w:firstLine="447"/>
        <w:spacing w:after="0" w:line="280" w:lineRule="auto"/>
        <w:rPr>
          <w:sz w:val="20"/>
          <w:szCs w:val="20"/>
          <w:color w:val="auto"/>
        </w:rPr>
      </w:pPr>
      <w:r>
        <w:rPr>
          <w:rFonts w:ascii="Courier New" w:cs="Courier New" w:eastAsia="Courier New" w:hAnsi="Courier New"/>
          <w:sz w:val="14"/>
          <w:szCs w:val="14"/>
          <w:color w:val="auto"/>
        </w:rPr>
        <w:t>We file annual, quarterly and special reports and other information with the SEC. You may read and copy any document we file at the SEC's public reference room located at 450 Fifth Street, N.W., Washington, D.C. 20549, at Citicorp Center, 500 West Madison Street, Chicago, Illinois 60661 and at Seven World Trade Center, 13th Floor, New York, New York 10048. Please call the SEC at 1-800-SEC-0330 for further information on the public reference rooms. You may also read our SEC filings, including the complete registration statement and all of the exhibits to it, through the SEC's web site at http://www.sec.gov.</w:t>
      </w:r>
    </w:p>
    <w:p>
      <w:pPr>
        <w:spacing w:after="0" w:line="6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4" w:lineRule="exact"/>
        <w:rPr>
          <w:sz w:val="20"/>
          <w:szCs w:val="20"/>
          <w:color w:val="auto"/>
        </w:rPr>
      </w:pPr>
    </w:p>
    <w:p>
      <w:pPr>
        <w:ind w:right="3079" w:firstLine="447"/>
        <w:spacing w:after="0" w:line="254"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 We incorporate by reference the documents listed below, each of which is filed under SEC File No. 000-06983, and any future filings made with the SEC under Sections 13(a), 14 or 15(d) of the Securities Exchange Act of 1934, as amended, prior to the sale of all the shares covered by this prospectus:</w:t>
      </w:r>
    </w:p>
    <w:p>
      <w:pPr>
        <w:spacing w:after="0" w:line="87" w:lineRule="exact"/>
        <w:rPr>
          <w:sz w:val="20"/>
          <w:szCs w:val="20"/>
          <w:color w:val="auto"/>
        </w:rPr>
      </w:pPr>
    </w:p>
    <w:p>
      <w:pPr>
        <w:ind w:left="800" w:hanging="361"/>
        <w:spacing w:after="0"/>
        <w:tabs>
          <w:tab w:leader="none" w:pos="8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10-K for the year ended December 31, 1998;</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reports on Form 10-Q for the</w:t>
      </w:r>
    </w:p>
    <w:p>
      <w:pPr>
        <w:spacing w:after="0" w:line="174"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779" w:right="1440" w:bottom="1440" w:gutter="0" w:footer="0" w:header="0"/>
        </w:sectPr>
      </w:pPr>
    </w:p>
    <w:bookmarkStart w:id="9" w:name="page10"/>
    <w:bookmarkEnd w:id="9"/>
    <w:p>
      <w:pPr>
        <w:ind w:left="800"/>
        <w:spacing w:after="0"/>
        <w:rPr>
          <w:sz w:val="20"/>
          <w:szCs w:val="20"/>
          <w:color w:val="auto"/>
        </w:rPr>
      </w:pPr>
      <w:r>
        <w:rPr>
          <w:rFonts w:ascii="Courier New" w:cs="Courier New" w:eastAsia="Courier New" w:hAnsi="Courier New"/>
          <w:sz w:val="15"/>
          <w:szCs w:val="15"/>
          <w:color w:val="auto"/>
        </w:rPr>
        <w:t>fiscal quarters ended March 31, 1999, June 30, 1999 and</w:t>
      </w:r>
    </w:p>
    <w:p>
      <w:pPr>
        <w:spacing w:after="0" w:line="3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September 30, 1999;</w:t>
      </w:r>
    </w:p>
    <w:p>
      <w:pPr>
        <w:spacing w:after="0" w:line="146" w:lineRule="exact"/>
        <w:rPr>
          <w:sz w:val="20"/>
          <w:szCs w:val="20"/>
          <w:color w:val="auto"/>
        </w:rPr>
      </w:pPr>
    </w:p>
    <w:p>
      <w:pPr>
        <w:ind w:left="800" w:right="2999" w:hanging="361"/>
        <w:spacing w:after="0" w:line="272" w:lineRule="auto"/>
        <w:tabs>
          <w:tab w:leader="none" w:pos="8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reports on Form 8-K dated December 23, 1999, December 22, 1999, December 13, 1999, November 16, 1999, November 16, 1999, November 16, 1999, November 2, 1999, October 12, 1999, August 9, 1999, July 7, 1999, May 26, 1999, May 26, 1999, May 4, 1999, April 7, 1999, March 22, 1999, March 9, 1999, March 9, 1999 and January 20, 1999; and</w:t>
      </w:r>
    </w:p>
    <w:p>
      <w:pPr>
        <w:spacing w:after="0" w:line="69" w:lineRule="exact"/>
        <w:rPr>
          <w:rFonts w:ascii="Courier New" w:cs="Courier New" w:eastAsia="Courier New" w:hAnsi="Courier New"/>
          <w:sz w:val="15"/>
          <w:szCs w:val="15"/>
          <w:color w:val="auto"/>
        </w:rPr>
      </w:pPr>
    </w:p>
    <w:p>
      <w:pPr>
        <w:ind w:left="800" w:right="3079" w:hanging="361"/>
        <w:spacing w:after="0" w:line="301" w:lineRule="auto"/>
        <w:tabs>
          <w:tab w:leader="none" w:pos="8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Class A Special Common Stock contained in the first amendment to our registration statement on Form 8-A/A dated July 16, 1996.</w:t>
      </w:r>
    </w:p>
    <w:p>
      <w:pPr>
        <w:spacing w:after="0" w:line="49" w:lineRule="exact"/>
        <w:rPr>
          <w:sz w:val="20"/>
          <w:szCs w:val="20"/>
          <w:color w:val="auto"/>
        </w:rPr>
      </w:pPr>
    </w:p>
    <w:p>
      <w:pPr>
        <w:jc w:val="both"/>
        <w:ind w:right="3439" w:firstLine="447"/>
        <w:spacing w:after="0" w:line="301" w:lineRule="auto"/>
        <w:rPr>
          <w:sz w:val="20"/>
          <w:szCs w:val="20"/>
          <w:color w:val="auto"/>
        </w:rPr>
      </w:pPr>
      <w:r>
        <w:rPr>
          <w:rFonts w:ascii="Courier New" w:cs="Courier New" w:eastAsia="Courier New" w:hAnsi="Courier New"/>
          <w:sz w:val="15"/>
          <w:szCs w:val="15"/>
          <w:color w:val="auto"/>
        </w:rPr>
        <w:t>We will provide free copies of any of those documents, if you write or telephone us at: 1500 Market Street, Philadelphia, Pennsylvania 19102-2148, (215) 665-1700.</w:t>
      </w:r>
    </w:p>
    <w:p>
      <w:pPr>
        <w:spacing w:after="0" w:line="49"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779" w:right="1440" w:bottom="1440" w:gutter="0" w:footer="0" w:header="0"/>
        </w:sectPr>
      </w:pPr>
    </w:p>
    <w:bookmarkStart w:id="10" w:name="page11"/>
    <w:bookmarkEnd w:id="10"/>
    <w:p>
      <w:pPr>
        <w:jc w:val="center"/>
        <w:ind w:right="2919"/>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ind w:left="440"/>
        <w:spacing w:after="0"/>
        <w:tabs>
          <w:tab w:leader="none" w:pos="132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4" w:lineRule="exact"/>
        <w:rPr>
          <w:sz w:val="20"/>
          <w:szCs w:val="20"/>
          <w:color w:val="auto"/>
        </w:rPr>
      </w:pPr>
    </w:p>
    <w:p>
      <w:pPr>
        <w:ind w:right="3079" w:firstLine="447"/>
        <w:spacing w:after="0" w:line="301" w:lineRule="auto"/>
        <w:rPr>
          <w:sz w:val="20"/>
          <w:szCs w:val="20"/>
          <w:color w:val="auto"/>
        </w:rPr>
      </w:pPr>
      <w:r>
        <w:rPr>
          <w:rFonts w:ascii="Courier New" w:cs="Courier New" w:eastAsia="Courier New" w:hAnsi="Courier New"/>
          <w:sz w:val="15"/>
          <w:szCs w:val="15"/>
          <w:color w:val="auto"/>
        </w:rPr>
        <w:t>The following is a statement of estimated expenses to be paid by Comcast Corporation (the "Registrant") in connection with the issuance and distribution of the securities being registered.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SEC registration fee.......................................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845,139</w:t>
            </w:r>
          </w:p>
        </w:tc>
        <w:tc>
          <w:tcPr>
            <w:tcW w:w="0" w:type="dxa"/>
            <w:vAlign w:val="bottom"/>
          </w:tcPr>
          <w:p>
            <w:pPr>
              <w:spacing w:after="0"/>
              <w:rPr>
                <w:sz w:val="1"/>
                <w:szCs w:val="1"/>
                <w:color w:val="auto"/>
              </w:rPr>
            </w:pPr>
          </w:p>
        </w:tc>
      </w:tr>
      <w:tr>
        <w:trPr>
          <w:trHeight w:val="172"/>
        </w:trPr>
        <w:tc>
          <w:tcPr>
            <w:tcW w:w="5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Printing and engraving expenses............................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75,000</w:t>
            </w:r>
          </w:p>
        </w:tc>
        <w:tc>
          <w:tcPr>
            <w:tcW w:w="0" w:type="dxa"/>
            <w:vAlign w:val="bottom"/>
          </w:tcPr>
          <w:p>
            <w:pPr>
              <w:spacing w:after="0"/>
              <w:rPr>
                <w:sz w:val="1"/>
                <w:szCs w:val="1"/>
                <w:color w:val="auto"/>
              </w:rPr>
            </w:pPr>
          </w:p>
        </w:tc>
      </w:tr>
      <w:tr>
        <w:trPr>
          <w:trHeight w:val="172"/>
        </w:trPr>
        <w:tc>
          <w:tcPr>
            <w:tcW w:w="5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Legal fees and expenses of Comcast.........................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0" w:type="dxa"/>
            <w:vAlign w:val="bottom"/>
          </w:tcPr>
          <w:p>
            <w:pPr>
              <w:spacing w:after="0"/>
              <w:rPr>
                <w:sz w:val="1"/>
                <w:szCs w:val="1"/>
                <w:color w:val="auto"/>
              </w:rPr>
            </w:pPr>
          </w:p>
        </w:tc>
      </w:tr>
      <w:tr>
        <w:trPr>
          <w:trHeight w:val="172"/>
        </w:trPr>
        <w:tc>
          <w:tcPr>
            <w:tcW w:w="5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Accountants' fees and expenses.............................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c>
          <w:tcPr>
            <w:tcW w:w="0" w:type="dxa"/>
            <w:vAlign w:val="bottom"/>
          </w:tcPr>
          <w:p>
            <w:pPr>
              <w:spacing w:after="0"/>
              <w:rPr>
                <w:sz w:val="1"/>
                <w:szCs w:val="1"/>
                <w:color w:val="auto"/>
              </w:rPr>
            </w:pPr>
          </w:p>
        </w:tc>
      </w:tr>
      <w:tr>
        <w:trPr>
          <w:trHeight w:val="172"/>
        </w:trPr>
        <w:tc>
          <w:tcPr>
            <w:tcW w:w="5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Miscellaneous..............................................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4,861</w:t>
            </w:r>
          </w:p>
        </w:tc>
        <w:tc>
          <w:tcPr>
            <w:tcW w:w="0" w:type="dxa"/>
            <w:vAlign w:val="bottom"/>
          </w:tcPr>
          <w:p>
            <w:pPr>
              <w:spacing w:after="0"/>
              <w:rPr>
                <w:sz w:val="1"/>
                <w:szCs w:val="1"/>
                <w:color w:val="auto"/>
              </w:rPr>
            </w:pPr>
          </w:p>
        </w:tc>
      </w:tr>
      <w:tr>
        <w:trPr>
          <w:trHeight w:val="172"/>
        </w:trPr>
        <w:tc>
          <w:tcPr>
            <w:tcW w:w="53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2"/>
        </w:trPr>
        <w:tc>
          <w:tcPr>
            <w:tcW w:w="53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c>
          <w:tcPr>
            <w:tcW w:w="0" w:type="dxa"/>
            <w:vAlign w:val="bottom"/>
          </w:tcPr>
          <w:p>
            <w:pPr>
              <w:spacing w:after="0"/>
              <w:rPr>
                <w:sz w:val="1"/>
                <w:szCs w:val="1"/>
                <w:color w:val="auto"/>
              </w:rPr>
            </w:pPr>
          </w:p>
        </w:tc>
      </w:tr>
      <w:tr>
        <w:trPr>
          <w:trHeight w:val="252"/>
        </w:trPr>
        <w:tc>
          <w:tcPr>
            <w:tcW w:w="5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4" w:lineRule="exact"/>
        <w:rPr>
          <w:sz w:val="20"/>
          <w:szCs w:val="20"/>
          <w:color w:val="auto"/>
        </w:rPr>
      </w:pPr>
    </w:p>
    <w:p>
      <w:pPr>
        <w:ind w:right="2999" w:firstLine="447"/>
        <w:spacing w:after="0" w:line="281" w:lineRule="auto"/>
        <w:rPr>
          <w:sz w:val="20"/>
          <w:szCs w:val="20"/>
          <w:color w:val="auto"/>
        </w:rPr>
      </w:pPr>
      <w:r>
        <w:rPr>
          <w:rFonts w:ascii="Courier New" w:cs="Courier New" w:eastAsia="Courier New" w:hAnsi="Courier New"/>
          <w:sz w:val="15"/>
          <w:szCs w:val="15"/>
          <w:color w:val="auto"/>
        </w:rPr>
        <w:t>Sections 1741 through 1750 of Subchapter C, Chapter 17, of the Pennsylvania Business Corporation Law of 1988 (the "BCL") contain provisions for mandatory and discretionary indemnification of a corporation's directors, officers and other personnel, and related matters.</w:t>
      </w:r>
    </w:p>
    <w:p>
      <w:pPr>
        <w:spacing w:after="0" w:line="65" w:lineRule="exact"/>
        <w:rPr>
          <w:sz w:val="20"/>
          <w:szCs w:val="20"/>
          <w:color w:val="auto"/>
        </w:rPr>
      </w:pPr>
    </w:p>
    <w:p>
      <w:pPr>
        <w:ind w:right="2999" w:firstLine="447"/>
        <w:spacing w:after="0" w:line="250" w:lineRule="auto"/>
        <w:rPr>
          <w:sz w:val="20"/>
          <w:szCs w:val="20"/>
          <w:color w:val="auto"/>
        </w:rPr>
      </w:pPr>
      <w:r>
        <w:rPr>
          <w:rFonts w:ascii="Courier New" w:cs="Courier New" w:eastAsia="Courier New" w:hAnsi="Courier New"/>
          <w:sz w:val="15"/>
          <w:szCs w:val="15"/>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is mandatory to the extent that the director, officer, employee or agent has been successful on the merits or otherwise in defense of any action or proceeding relating to third-party or derivative actions if the appropriate standards of conduct are met.</w:t>
      </w:r>
    </w:p>
    <w:p>
      <w:pPr>
        <w:spacing w:after="0" w:line="93" w:lineRule="exact"/>
        <w:rPr>
          <w:sz w:val="20"/>
          <w:szCs w:val="20"/>
          <w:color w:val="auto"/>
        </w:rPr>
      </w:pPr>
    </w:p>
    <w:p>
      <w:pPr>
        <w:ind w:right="3159" w:firstLine="447"/>
        <w:spacing w:after="0" w:line="288" w:lineRule="auto"/>
        <w:rPr>
          <w:sz w:val="20"/>
          <w:szCs w:val="20"/>
          <w:color w:val="auto"/>
        </w:rPr>
      </w:pPr>
      <w:r>
        <w:rPr>
          <w:rFonts w:ascii="Courier New" w:cs="Courier New" w:eastAsia="Courier New" w:hAnsi="Courier New"/>
          <w:sz w:val="14"/>
          <w:szCs w:val="14"/>
          <w:color w:val="auto"/>
        </w:rPr>
        <w:t>Section 1742 provides for indemnification in derivative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 that the court deems proper.</w:t>
      </w:r>
    </w:p>
    <w:p>
      <w:pPr>
        <w:spacing w:after="0" w:line="63" w:lineRule="exact"/>
        <w:rPr>
          <w:sz w:val="20"/>
          <w:szCs w:val="20"/>
          <w:color w:val="auto"/>
        </w:rPr>
      </w:pPr>
    </w:p>
    <w:p>
      <w:pPr>
        <w:ind w:right="3079" w:firstLine="447"/>
        <w:spacing w:after="0" w:line="280" w:lineRule="auto"/>
        <w:rPr>
          <w:sz w:val="20"/>
          <w:szCs w:val="20"/>
          <w:color w:val="auto"/>
        </w:rPr>
      </w:pPr>
      <w:r>
        <w:rPr>
          <w:rFonts w:ascii="Courier New" w:cs="Courier New" w:eastAsia="Courier New" w:hAnsi="Courier New"/>
          <w:sz w:val="14"/>
          <w:szCs w:val="14"/>
          <w:color w:val="auto"/>
        </w:rPr>
        <w:t>Section 1744 provides that, unless ordered by a court, any indemnification under Sections 1741 or 1742 shall be made by the corporation as authorized in the specific case upon a determination that the representative met the applicable standard of conduct set forth in those sections and such determination shall be made by the board of directors by majority vote of a quorum of directors not parties to the action or proceeding; if a quorum is not obtainable or if obtainable and a majority of disinterested directors so directs, by independent legal counsel; or by the stockholders.</w:t>
      </w:r>
    </w:p>
    <w:p>
      <w:pPr>
        <w:spacing w:after="0" w:line="68" w:lineRule="exact"/>
        <w:rPr>
          <w:sz w:val="20"/>
          <w:szCs w:val="20"/>
          <w:color w:val="auto"/>
        </w:rPr>
      </w:pPr>
    </w:p>
    <w:p>
      <w:pPr>
        <w:ind w:right="3159" w:firstLine="447"/>
        <w:spacing w:after="0" w:line="266" w:lineRule="auto"/>
        <w:rPr>
          <w:sz w:val="20"/>
          <w:szCs w:val="20"/>
          <w:color w:val="auto"/>
        </w:rPr>
      </w:pPr>
      <w:r>
        <w:rPr>
          <w:rFonts w:ascii="Courier New" w:cs="Courier New" w:eastAsia="Courier New" w:hAnsi="Courier New"/>
          <w:sz w:val="15"/>
          <w:szCs w:val="15"/>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w:t>
      </w:r>
    </w:p>
    <w:p>
      <w:pPr>
        <w:spacing w:after="0" w:line="75" w:lineRule="exact"/>
        <w:rPr>
          <w:sz w:val="20"/>
          <w:szCs w:val="20"/>
          <w:color w:val="auto"/>
        </w:rPr>
      </w:pPr>
    </w:p>
    <w:p>
      <w:pPr>
        <w:ind w:right="2999" w:firstLine="447"/>
        <w:spacing w:after="0" w:line="257" w:lineRule="auto"/>
        <w:rPr>
          <w:sz w:val="20"/>
          <w:szCs w:val="20"/>
          <w:color w:val="auto"/>
        </w:rPr>
      </w:pPr>
      <w:r>
        <w:rPr>
          <w:rFonts w:ascii="Courier New" w:cs="Courier New" w:eastAsia="Courier New" w:hAnsi="Courier New"/>
          <w:sz w:val="15"/>
          <w:szCs w:val="15"/>
          <w:color w:val="auto"/>
        </w:rPr>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 indemnification or advancement of expenses may be entitled under any by-law, agreement, vote of stockholders or disinterested directors or otherwise, both as to action in his official capacity and as to action in another capacity while holding that office.</w:t>
      </w:r>
    </w:p>
    <w:p>
      <w:pPr>
        <w:spacing w:after="0" w:line="8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139"/>
          </w:cols>
          <w:pgMar w:left="320" w:top="607" w:right="1440" w:bottom="1440" w:gutter="0" w:footer="0" w:header="0"/>
        </w:sectPr>
      </w:pPr>
    </w:p>
    <w:bookmarkStart w:id="11" w:name="page12"/>
    <w:bookmarkEnd w:id="11"/>
    <w:p>
      <w:pPr>
        <w:ind w:left="8" w:right="2999" w:firstLine="447"/>
        <w:spacing w:after="0" w:line="272" w:lineRule="auto"/>
        <w:rPr>
          <w:sz w:val="20"/>
          <w:szCs w:val="20"/>
          <w:color w:val="auto"/>
        </w:rPr>
      </w:pPr>
      <w:r>
        <w:rPr>
          <w:rFonts w:ascii="Courier New" w:cs="Courier New" w:eastAsia="Courier New" w:hAnsi="Courier New"/>
          <w:sz w:val="15"/>
          <w:szCs w:val="15"/>
          <w:color w:val="auto"/>
        </w:rPr>
        <w:t>Section 1747 also grants a corporation the power to purchase and maintain insurance on behalf of any director or officer against any liability incurred by him in his capacity as officer or director, whether or not the corporation would have the power to indemnify him against the liability under this Subchapter of the BCL.</w:t>
      </w:r>
    </w:p>
    <w:p>
      <w:pPr>
        <w:spacing w:after="0" w:line="70" w:lineRule="exact"/>
        <w:rPr>
          <w:sz w:val="20"/>
          <w:szCs w:val="20"/>
          <w:color w:val="auto"/>
        </w:rPr>
      </w:pPr>
    </w:p>
    <w:p>
      <w:pPr>
        <w:ind w:left="8" w:right="3439" w:firstLine="447"/>
        <w:spacing w:after="0" w:line="281" w:lineRule="auto"/>
        <w:rPr>
          <w:sz w:val="20"/>
          <w:szCs w:val="20"/>
          <w:color w:val="auto"/>
        </w:rPr>
      </w:pPr>
      <w:r>
        <w:rPr>
          <w:rFonts w:ascii="Courier New" w:cs="Courier New" w:eastAsia="Courier New" w:hAnsi="Courier New"/>
          <w:sz w:val="15"/>
          <w:szCs w:val="15"/>
          <w:color w:val="auto"/>
        </w:rPr>
        <w:t>Sections 1748 and 1749 extend the indemnification and advancement of expenses provisions contained in Sections 1741-1750 of the BCL to successor corporations in fundamental changes and to representatives serving as fiduciaries of employee benefit plans.</w:t>
      </w:r>
    </w:p>
    <w:p>
      <w:pPr>
        <w:spacing w:after="0" w:line="65" w:lineRule="exact"/>
        <w:rPr>
          <w:sz w:val="20"/>
          <w:szCs w:val="20"/>
          <w:color w:val="auto"/>
        </w:rPr>
      </w:pPr>
    </w:p>
    <w:p>
      <w:pPr>
        <w:ind w:left="8" w:right="2999" w:firstLine="447"/>
        <w:spacing w:after="0" w:line="272" w:lineRule="auto"/>
        <w:rPr>
          <w:sz w:val="20"/>
          <w:szCs w:val="20"/>
          <w:color w:val="auto"/>
        </w:rPr>
      </w:pPr>
      <w:r>
        <w:rPr>
          <w:rFonts w:ascii="Courier New" w:cs="Courier New" w:eastAsia="Courier New" w:hAnsi="Courier New"/>
          <w:sz w:val="15"/>
          <w:szCs w:val="15"/>
          <w:color w:val="auto"/>
        </w:rPr>
        <w:t>Section 1750 provides that the indemnification and advancement of expenses provided by, or granted pursuant to, Sections 1741-1750 of the BCL shall, unless otherwise provided when authorized or ratified, continue as to a person who has ceased to be a director, officer, employee or agent and shall inure to the benefit of the heirs and personal representative of such person.</w:t>
      </w:r>
    </w:p>
    <w:p>
      <w:pPr>
        <w:spacing w:after="0" w:line="70" w:lineRule="exact"/>
        <w:rPr>
          <w:sz w:val="20"/>
          <w:szCs w:val="20"/>
          <w:color w:val="auto"/>
        </w:rPr>
      </w:pPr>
    </w:p>
    <w:p>
      <w:pPr>
        <w:ind w:left="8" w:right="2999" w:firstLine="447"/>
        <w:spacing w:after="0" w:line="281" w:lineRule="auto"/>
        <w:rPr>
          <w:sz w:val="20"/>
          <w:szCs w:val="20"/>
          <w:color w:val="auto"/>
        </w:rPr>
      </w:pPr>
      <w:r>
        <w:rPr>
          <w:rFonts w:ascii="Courier New" w:cs="Courier New" w:eastAsia="Courier New" w:hAnsi="Courier New"/>
          <w:sz w:val="15"/>
          <w:szCs w:val="15"/>
          <w:color w:val="auto"/>
        </w:rPr>
        <w:t>For information regarding provisions under which a director or officer of the Registrant may be insured or indemnified in any manner against any liability which he may incur in his capacity as such, reference is made to Article VII of the Registrant's By-Laws.</w:t>
      </w:r>
    </w:p>
    <w:p>
      <w:pPr>
        <w:spacing w:after="0" w:line="65"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16.</w:t>
        <w:tab/>
        <w:t>Exhibits</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following exhibits are filed as part of the registration statement:</w:t>
      </w:r>
    </w:p>
    <w:p>
      <w:pPr>
        <w:spacing w:after="0" w:line="200" w:lineRule="exact"/>
        <w:rPr>
          <w:sz w:val="20"/>
          <w:szCs w:val="20"/>
          <w:color w:val="auto"/>
        </w:rPr>
      </w:pPr>
    </w:p>
    <w:p>
      <w:pPr>
        <w:spacing w:after="0" w:line="318"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Exhibit</w:t>
      </w:r>
    </w:p>
    <w:p>
      <w:pPr>
        <w:spacing w:after="0" w:line="30" w:lineRule="exact"/>
        <w:rPr>
          <w:sz w:val="20"/>
          <w:szCs w:val="20"/>
          <w:color w:val="auto"/>
        </w:rPr>
      </w:pPr>
    </w:p>
    <w:p>
      <w:pPr>
        <w:ind w:left="448"/>
        <w:spacing w:after="0"/>
        <w:tabs>
          <w:tab w:leader="none" w:pos="1508"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2" w:lineRule="exact"/>
        <w:rPr>
          <w:sz w:val="20"/>
          <w:szCs w:val="20"/>
          <w:color w:val="auto"/>
        </w:rPr>
      </w:pPr>
    </w:p>
    <w:p>
      <w:pPr>
        <w:ind w:left="448"/>
        <w:spacing w:after="0"/>
        <w:tabs>
          <w:tab w:leader="none" w:pos="150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46" w:lineRule="exact"/>
        <w:rPr>
          <w:sz w:val="20"/>
          <w:szCs w:val="20"/>
          <w:color w:val="auto"/>
        </w:rPr>
      </w:pPr>
    </w:p>
    <w:p>
      <w:pPr>
        <w:ind w:left="628"/>
        <w:spacing w:after="0"/>
        <w:tabs>
          <w:tab w:leader="none" w:pos="1508"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Opinion of Arthur R. Block, Esquire.</w:t>
      </w:r>
    </w:p>
    <w:p>
      <w:pPr>
        <w:spacing w:after="0" w:line="174" w:lineRule="exact"/>
        <w:rPr>
          <w:sz w:val="20"/>
          <w:szCs w:val="20"/>
          <w:color w:val="auto"/>
        </w:rPr>
      </w:pPr>
    </w:p>
    <w:p>
      <w:pPr>
        <w:ind w:left="528"/>
        <w:spacing w:after="0"/>
        <w:tabs>
          <w:tab w:leader="none" w:pos="1508"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Deloitte &amp; Touche LLP.</w:t>
      </w:r>
    </w:p>
    <w:p>
      <w:pPr>
        <w:spacing w:after="0" w:line="174" w:lineRule="exact"/>
        <w:rPr>
          <w:sz w:val="20"/>
          <w:szCs w:val="20"/>
          <w:color w:val="auto"/>
        </w:rPr>
      </w:pPr>
    </w:p>
    <w:p>
      <w:pPr>
        <w:ind w:left="528"/>
        <w:spacing w:after="0"/>
        <w:tabs>
          <w:tab w:leader="none" w:pos="1508"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KPMG LLP.</w:t>
      </w:r>
    </w:p>
    <w:p>
      <w:pPr>
        <w:spacing w:after="0" w:line="174" w:lineRule="exact"/>
        <w:rPr>
          <w:sz w:val="20"/>
          <w:szCs w:val="20"/>
          <w:color w:val="auto"/>
        </w:rPr>
      </w:pPr>
    </w:p>
    <w:p>
      <w:pPr>
        <w:ind w:left="528"/>
        <w:spacing w:after="0"/>
        <w:tabs>
          <w:tab w:leader="none" w:pos="1508"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4"/>
          <w:szCs w:val="14"/>
          <w:color w:val="auto"/>
        </w:rPr>
        <w:t>Consent of Arthur R. Block, Esquire (included in Exhibit 5.1).</w:t>
      </w:r>
    </w:p>
    <w:p>
      <w:pPr>
        <w:spacing w:after="0" w:line="174" w:lineRule="exact"/>
        <w:rPr>
          <w:sz w:val="20"/>
          <w:szCs w:val="20"/>
          <w:color w:val="auto"/>
        </w:rPr>
      </w:pPr>
    </w:p>
    <w:p>
      <w:pPr>
        <w:ind w:left="528"/>
        <w:spacing w:after="0"/>
        <w:tabs>
          <w:tab w:leader="none" w:pos="1508"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Power of Attorney.</w:t>
      </w:r>
    </w:p>
    <w:p>
      <w:pPr>
        <w:spacing w:after="0" w:line="346" w:lineRule="exact"/>
        <w:rPr>
          <w:sz w:val="20"/>
          <w:szCs w:val="20"/>
          <w:color w:val="auto"/>
        </w:rPr>
      </w:pPr>
    </w:p>
    <w:p>
      <w:pPr>
        <w:ind w:left="8" w:right="8179" w:hanging="8"/>
        <w:spacing w:after="0" w:line="486" w:lineRule="auto"/>
        <w:tabs>
          <w:tab w:leader="none" w:pos="18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Item 17. Undertakings</w:t>
      </w:r>
    </w:p>
    <w:p>
      <w:pPr>
        <w:ind w:left="888" w:hanging="441"/>
        <w:spacing w:after="0"/>
        <w:tabs>
          <w:tab w:leader="none" w:pos="888"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4" w:lineRule="exact"/>
        <w:rPr>
          <w:rFonts w:ascii="Courier New" w:cs="Courier New" w:eastAsia="Courier New" w:hAnsi="Courier New"/>
          <w:sz w:val="15"/>
          <w:szCs w:val="15"/>
          <w:color w:val="auto"/>
        </w:rPr>
      </w:pPr>
    </w:p>
    <w:p>
      <w:pPr>
        <w:ind w:left="8" w:right="2999" w:firstLine="887"/>
        <w:spacing w:after="0" w:line="255" w:lineRule="auto"/>
        <w:tabs>
          <w:tab w:leader="none" w:pos="1261"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 (i) 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 (iii) to include any material information with respect to the plan of distribution not previously disclosed in the registration statement or any material change to such information in the registration statement;</w:t>
      </w:r>
    </w:p>
    <w:p>
      <w:pPr>
        <w:spacing w:after="0" w:line="87" w:lineRule="exact"/>
        <w:rPr>
          <w:sz w:val="20"/>
          <w:szCs w:val="20"/>
          <w:color w:val="auto"/>
        </w:rPr>
      </w:pPr>
    </w:p>
    <w:p>
      <w:pPr>
        <w:ind w:left="8" w:right="3079"/>
        <w:spacing w:after="0" w:line="266" w:lineRule="auto"/>
        <w:rPr>
          <w:sz w:val="20"/>
          <w:szCs w:val="20"/>
          <w:color w:val="auto"/>
        </w:rPr>
      </w:pPr>
      <w:r>
        <w:rPr>
          <w:rFonts w:ascii="Courier New" w:cs="Courier New" w:eastAsia="Courier New" w:hAnsi="Courier New"/>
          <w:sz w:val="15"/>
          <w:szCs w:val="15"/>
          <w:color w:val="auto"/>
        </w:rPr>
        <w:t>provided, however, that paragraphs (a)(1)(i) and (a)(1)(ii) do not apply if the information required to be included in a post-effective amendment by those paragraphs is contained in periodic reports filed with or furnished to the Securities and Exchange Commission by the Registrant pursuant to Section 13 or 15(d) of the Securities Exchange Act of 1934 that are incorporated by reference in the registration statement.</w:t>
      </w:r>
    </w:p>
    <w:p>
      <w:pPr>
        <w:spacing w:after="0" w:line="75" w:lineRule="exact"/>
        <w:rPr>
          <w:sz w:val="20"/>
          <w:szCs w:val="20"/>
          <w:color w:val="auto"/>
        </w:rPr>
      </w:pPr>
    </w:p>
    <w:p>
      <w:pPr>
        <w:ind w:left="8" w:right="2999" w:firstLine="887"/>
        <w:spacing w:after="0" w:line="272" w:lineRule="auto"/>
        <w:tabs>
          <w:tab w:leader="none" w:pos="126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147"/>
          </w:cols>
          <w:pgMar w:left="312" w:top="779" w:right="1440" w:bottom="1440" w:gutter="0" w:footer="0" w:header="0"/>
        </w:sectPr>
      </w:pPr>
    </w:p>
    <w:bookmarkStart w:id="12" w:name="page13"/>
    <w:bookmarkEnd w:id="12"/>
    <w:p>
      <w:pPr>
        <w:jc w:val="both"/>
        <w:ind w:left="-439" w:right="2999" w:firstLine="887"/>
        <w:spacing w:after="0" w:line="301" w:lineRule="auto"/>
        <w:tabs>
          <w:tab w:leader="none" w:pos="813"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48" w:lineRule="exact"/>
        <w:rPr>
          <w:rFonts w:ascii="Courier New" w:cs="Courier New" w:eastAsia="Courier New" w:hAnsi="Courier New"/>
          <w:sz w:val="15"/>
          <w:szCs w:val="15"/>
          <w:color w:val="auto"/>
        </w:rPr>
      </w:pPr>
    </w:p>
    <w:p>
      <w:pPr>
        <w:ind w:left="-439" w:right="2999" w:firstLine="439"/>
        <w:spacing w:after="0" w:line="257" w:lineRule="auto"/>
        <w:tabs>
          <w:tab w:leader="none" w:pos="36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3" w:lineRule="exact"/>
        <w:rPr>
          <w:rFonts w:ascii="Courier New" w:cs="Courier New" w:eastAsia="Courier New" w:hAnsi="Courier New"/>
          <w:sz w:val="15"/>
          <w:szCs w:val="15"/>
          <w:color w:val="auto"/>
        </w:rPr>
      </w:pPr>
    </w:p>
    <w:p>
      <w:pPr>
        <w:ind w:left="-439" w:right="2999" w:firstLine="439"/>
        <w:spacing w:after="0" w:line="250" w:lineRule="auto"/>
        <w:tabs>
          <w:tab w:leader="none" w:pos="36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93" w:lineRule="exact"/>
        <w:rPr>
          <w:sz w:val="20"/>
          <w:szCs w:val="20"/>
          <w:color w:val="auto"/>
        </w:rPr>
      </w:pPr>
    </w:p>
    <w:p>
      <w:pPr>
        <w:ind w:left="2961"/>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9700"/>
          </w:cols>
          <w:pgMar w:left="759" w:top="779" w:right="1440" w:bottom="1440" w:gutter="0" w:footer="0" w:header="0"/>
        </w:sectPr>
      </w:pPr>
    </w:p>
    <w:bookmarkStart w:id="13" w:name="page14"/>
    <w:bookmarkEnd w:id="13"/>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346" w:lineRule="exact"/>
        <w:rPr>
          <w:sz w:val="20"/>
          <w:szCs w:val="20"/>
          <w:color w:val="auto"/>
        </w:rPr>
      </w:pPr>
    </w:p>
    <w:p>
      <w:pPr>
        <w:jc w:val="both"/>
        <w:ind w:right="2999" w:firstLine="447"/>
        <w:spacing w:after="0" w:line="295" w:lineRule="auto"/>
        <w:rPr>
          <w:sz w:val="20"/>
          <w:szCs w:val="20"/>
          <w:color w:val="auto"/>
        </w:rPr>
      </w:pPr>
      <w:r>
        <w:rPr>
          <w:rFonts w:ascii="Courier New" w:cs="Courier New" w:eastAsia="Courier New" w:hAnsi="Courier New"/>
          <w:sz w:val="14"/>
          <w:szCs w:val="14"/>
          <w:color w:val="auto"/>
        </w:rPr>
        <w:t>Pursuant to the requirements of the Securities Act of 1933, as amended, the Registrant certifies that it has reasonable grounds to believe that it meets all the requirements for filing on Form S-3 and has duly caused this Amendment No. 2 to be signed on its behalf by the undersigned, thereunto duly authorized, in the city of Philadelphia, Pennsylvania on the 14th day of January, 2000.</w:t>
      </w:r>
    </w:p>
    <w:p>
      <w:pPr>
        <w:spacing w:after="0" w:line="230"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COMCAST CORPORATION</w:t>
      </w:r>
    </w:p>
    <w:p>
      <w:pPr>
        <w:spacing w:after="0" w:line="34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By: /s/ John R. Alchin</w:t>
      </w:r>
    </w:p>
    <w:p>
      <w:pPr>
        <w:spacing w:after="0" w:line="3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John R. Alchin, Senior Vice President and</w:t>
      </w:r>
    </w:p>
    <w:p>
      <w:pPr>
        <w:spacing w:after="0" w:line="1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Treasurer</w:t>
      </w:r>
    </w:p>
    <w:p>
      <w:pPr>
        <w:spacing w:after="0" w:line="200" w:lineRule="exact"/>
        <w:rPr>
          <w:sz w:val="20"/>
          <w:szCs w:val="20"/>
          <w:color w:val="auto"/>
        </w:rPr>
      </w:pPr>
    </w:p>
    <w:p>
      <w:pPr>
        <w:spacing w:after="0" w:line="290" w:lineRule="exact"/>
        <w:rPr>
          <w:sz w:val="20"/>
          <w:szCs w:val="20"/>
          <w:color w:val="auto"/>
        </w:rPr>
      </w:pPr>
    </w:p>
    <w:p>
      <w:pPr>
        <w:ind w:right="3339" w:firstLine="447"/>
        <w:spacing w:after="0" w:line="301"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Amendment No. 2 has been signed below by the following persons in the capacities indicated and on the 14th day of January, 2000.</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40" w:type="dxa"/>
            <w:vAlign w:val="bottom"/>
          </w:tcPr>
          <w:p>
            <w:pPr>
              <w:ind w:left="880"/>
              <w:spacing w:after="0"/>
              <w:rPr>
                <w:sz w:val="20"/>
                <w:szCs w:val="20"/>
                <w:color w:val="auto"/>
              </w:rPr>
            </w:pPr>
            <w:r>
              <w:rPr>
                <w:rFonts w:ascii="Courier New" w:cs="Courier New" w:eastAsia="Courier New" w:hAnsi="Courier New"/>
                <w:sz w:val="15"/>
                <w:szCs w:val="15"/>
                <w:color w:val="auto"/>
              </w:rPr>
              <w:t>Signature</w:t>
            </w:r>
          </w:p>
        </w:tc>
        <w:tc>
          <w:tcPr>
            <w:tcW w:w="3500" w:type="dxa"/>
            <w:vAlign w:val="bottom"/>
          </w:tcPr>
          <w:p>
            <w:pPr>
              <w:ind w:left="1520"/>
              <w:spacing w:after="0"/>
              <w:rPr>
                <w:sz w:val="20"/>
                <w:szCs w:val="20"/>
                <w:color w:val="auto"/>
              </w:rPr>
            </w:pPr>
            <w:r>
              <w:rPr>
                <w:rFonts w:ascii="Courier New" w:cs="Courier New" w:eastAsia="Courier New" w:hAnsi="Courier New"/>
                <w:sz w:val="15"/>
                <w:szCs w:val="15"/>
                <w:color w:val="auto"/>
              </w:rPr>
              <w:t>Title</w:t>
            </w:r>
          </w:p>
        </w:tc>
        <w:tc>
          <w:tcPr>
            <w:tcW w:w="0" w:type="dxa"/>
            <w:vAlign w:val="bottom"/>
          </w:tcPr>
          <w:p>
            <w:pPr>
              <w:spacing w:after="0"/>
              <w:rPr>
                <w:sz w:val="1"/>
                <w:szCs w:val="1"/>
                <w:color w:val="auto"/>
              </w:rPr>
            </w:pPr>
          </w:p>
        </w:tc>
      </w:tr>
      <w:tr>
        <w:trPr>
          <w:trHeight w:val="252"/>
        </w:trPr>
        <w:tc>
          <w:tcPr>
            <w:tcW w:w="294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15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4"/>
        </w:trPr>
        <w:tc>
          <w:tcPr>
            <w:tcW w:w="29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5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Chairman of the Board of Directors</w:t>
            </w:r>
          </w:p>
        </w:tc>
        <w:tc>
          <w:tcPr>
            <w:tcW w:w="0" w:type="dxa"/>
            <w:vAlign w:val="bottom"/>
          </w:tcPr>
          <w:p>
            <w:pPr>
              <w:spacing w:after="0"/>
              <w:rPr>
                <w:sz w:val="1"/>
                <w:szCs w:val="1"/>
                <w:color w:val="auto"/>
              </w:rPr>
            </w:pPr>
          </w:p>
        </w:tc>
      </w:tr>
      <w:tr>
        <w:trPr>
          <w:trHeight w:val="172"/>
        </w:trPr>
        <w:tc>
          <w:tcPr>
            <w:tcW w:w="2940" w:type="dxa"/>
            <w:vAlign w:val="bottom"/>
            <w:vMerge w:val="restart"/>
          </w:tcPr>
          <w:p>
            <w:pPr>
              <w:spacing w:after="0"/>
              <w:rPr>
                <w:sz w:val="20"/>
                <w:szCs w:val="20"/>
                <w:color w:val="auto"/>
              </w:rPr>
            </w:pPr>
            <w:r>
              <w:rPr>
                <w:rFonts w:ascii="Courier New" w:cs="Courier New" w:eastAsia="Courier New" w:hAnsi="Courier New"/>
                <w:sz w:val="27"/>
                <w:szCs w:val="27"/>
                <w:color w:val="auto"/>
                <w:w w:val="72"/>
                <w:vertAlign w:val="subscript"/>
              </w:rPr>
              <w:t>Ralph</w:t>
            </w:r>
            <w:r>
              <w:rPr>
                <w:rFonts w:ascii="Courier New" w:cs="Courier New" w:eastAsia="Courier New" w:hAnsi="Courier New"/>
                <w:sz w:val="14"/>
                <w:szCs w:val="14"/>
                <w:color w:val="auto"/>
                <w:w w:val="72"/>
              </w:rPr>
              <w:t>------------------------------</w:t>
            </w:r>
            <w:r>
              <w:rPr>
                <w:rFonts w:ascii="Courier New" w:cs="Courier New" w:eastAsia="Courier New" w:hAnsi="Courier New"/>
                <w:sz w:val="27"/>
                <w:szCs w:val="27"/>
                <w:color w:val="auto"/>
                <w:w w:val="72"/>
                <w:vertAlign w:val="subscript"/>
              </w:rPr>
              <w:t>J.Roberts</w:t>
            </w:r>
          </w:p>
        </w:tc>
        <w:tc>
          <w:tcPr>
            <w:tcW w:w="3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2940" w:type="dxa"/>
            <w:vAlign w:val="bottom"/>
            <w:vMerge w:val="continue"/>
          </w:tcPr>
          <w:p>
            <w:pPr>
              <w:spacing w:after="0"/>
              <w:rPr>
                <w:sz w:val="23"/>
                <w:szCs w:val="23"/>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and Director</w:t>
            </w:r>
          </w:p>
        </w:tc>
        <w:tc>
          <w:tcPr>
            <w:tcW w:w="0" w:type="dxa"/>
            <w:vAlign w:val="bottom"/>
          </w:tcPr>
          <w:p>
            <w:pPr>
              <w:spacing w:after="0"/>
              <w:rPr>
                <w:sz w:val="1"/>
                <w:szCs w:val="1"/>
                <w:color w:val="auto"/>
              </w:rPr>
            </w:pPr>
          </w:p>
        </w:tc>
      </w:tr>
      <w:tr>
        <w:trPr>
          <w:trHeight w:val="422"/>
        </w:trPr>
        <w:tc>
          <w:tcPr>
            <w:tcW w:w="29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5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Vice Chairman and Director</w:t>
            </w:r>
          </w:p>
        </w:tc>
        <w:tc>
          <w:tcPr>
            <w:tcW w:w="0" w:type="dxa"/>
            <w:vAlign w:val="bottom"/>
          </w:tcPr>
          <w:p>
            <w:pPr>
              <w:spacing w:after="0"/>
              <w:rPr>
                <w:sz w:val="1"/>
                <w:szCs w:val="1"/>
                <w:color w:val="auto"/>
              </w:rPr>
            </w:pPr>
          </w:p>
        </w:tc>
      </w:tr>
      <w:tr>
        <w:trPr>
          <w:trHeight w:val="252"/>
        </w:trPr>
        <w:tc>
          <w:tcPr>
            <w:tcW w:w="2940" w:type="dxa"/>
            <w:vAlign w:val="bottom"/>
            <w:vMerge w:val="restart"/>
          </w:tcPr>
          <w:p>
            <w:pPr>
              <w:spacing w:after="0"/>
              <w:rPr>
                <w:sz w:val="20"/>
                <w:szCs w:val="20"/>
                <w:color w:val="auto"/>
              </w:rPr>
            </w:pPr>
            <w:r>
              <w:rPr>
                <w:rFonts w:ascii="Courier New" w:cs="Courier New" w:eastAsia="Courier New" w:hAnsi="Courier New"/>
                <w:sz w:val="27"/>
                <w:szCs w:val="27"/>
                <w:color w:val="auto"/>
                <w:w w:val="70"/>
                <w:vertAlign w:val="subscript"/>
              </w:rPr>
              <w:t>Julian</w:t>
            </w:r>
            <w:r>
              <w:rPr>
                <w:rFonts w:ascii="Courier New" w:cs="Courier New" w:eastAsia="Courier New" w:hAnsi="Courier New"/>
                <w:sz w:val="14"/>
                <w:szCs w:val="14"/>
                <w:color w:val="auto"/>
                <w:w w:val="70"/>
              </w:rPr>
              <w:t>------------------------------</w:t>
            </w:r>
            <w:r>
              <w:rPr>
                <w:rFonts w:ascii="Courier New" w:cs="Courier New" w:eastAsia="Courier New" w:hAnsi="Courier New"/>
                <w:sz w:val="27"/>
                <w:szCs w:val="27"/>
                <w:color w:val="auto"/>
                <w:w w:val="70"/>
                <w:vertAlign w:val="subscript"/>
              </w:rPr>
              <w:t>A.Brodsky</w:t>
            </w:r>
          </w:p>
        </w:tc>
        <w:tc>
          <w:tcPr>
            <w:tcW w:w="3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940" w:type="dxa"/>
            <w:vAlign w:val="bottom"/>
            <w:vMerge w:val="continue"/>
          </w:tcPr>
          <w:p>
            <w:pPr>
              <w:spacing w:after="0"/>
              <w:rPr>
                <w:sz w:val="16"/>
                <w:szCs w:val="16"/>
                <w:color w:val="auto"/>
              </w:rPr>
            </w:pP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2"/>
        </w:trPr>
        <w:tc>
          <w:tcPr>
            <w:tcW w:w="29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5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President (Principal Executive</w:t>
            </w:r>
          </w:p>
        </w:tc>
        <w:tc>
          <w:tcPr>
            <w:tcW w:w="0" w:type="dxa"/>
            <w:vAlign w:val="bottom"/>
          </w:tcPr>
          <w:p>
            <w:pPr>
              <w:spacing w:after="0"/>
              <w:rPr>
                <w:sz w:val="1"/>
                <w:szCs w:val="1"/>
                <w:color w:val="auto"/>
              </w:rPr>
            </w:pPr>
          </w:p>
        </w:tc>
      </w:tr>
      <w:tr>
        <w:trPr>
          <w:trHeight w:val="172"/>
        </w:trPr>
        <w:tc>
          <w:tcPr>
            <w:tcW w:w="2940" w:type="dxa"/>
            <w:vAlign w:val="bottom"/>
            <w:vMerge w:val="restart"/>
          </w:tcPr>
          <w:p>
            <w:pPr>
              <w:spacing w:after="0"/>
              <w:rPr>
                <w:sz w:val="20"/>
                <w:szCs w:val="20"/>
                <w:color w:val="auto"/>
              </w:rPr>
            </w:pPr>
            <w:r>
              <w:rPr>
                <w:rFonts w:ascii="Courier New" w:cs="Courier New" w:eastAsia="Courier New" w:hAnsi="Courier New"/>
                <w:sz w:val="27"/>
                <w:szCs w:val="27"/>
                <w:color w:val="auto"/>
                <w:w w:val="72"/>
                <w:vertAlign w:val="subscript"/>
              </w:rPr>
              <w:t>Brian</w:t>
            </w:r>
            <w:r>
              <w:rPr>
                <w:rFonts w:ascii="Courier New" w:cs="Courier New" w:eastAsia="Courier New" w:hAnsi="Courier New"/>
                <w:sz w:val="14"/>
                <w:szCs w:val="14"/>
                <w:color w:val="auto"/>
                <w:w w:val="72"/>
              </w:rPr>
              <w:t>------------------------------</w:t>
            </w:r>
            <w:r>
              <w:rPr>
                <w:rFonts w:ascii="Courier New" w:cs="Courier New" w:eastAsia="Courier New" w:hAnsi="Courier New"/>
                <w:sz w:val="27"/>
                <w:szCs w:val="27"/>
                <w:color w:val="auto"/>
                <w:w w:val="72"/>
                <w:vertAlign w:val="subscript"/>
              </w:rPr>
              <w:t>L.Roberts</w:t>
            </w:r>
          </w:p>
        </w:tc>
        <w:tc>
          <w:tcPr>
            <w:tcW w:w="3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2940" w:type="dxa"/>
            <w:vAlign w:val="bottom"/>
            <w:vMerge w:val="continue"/>
          </w:tcPr>
          <w:p>
            <w:pPr>
              <w:spacing w:after="0"/>
              <w:rPr>
                <w:sz w:val="23"/>
                <w:szCs w:val="23"/>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Officer) and Director</w:t>
            </w:r>
          </w:p>
        </w:tc>
        <w:tc>
          <w:tcPr>
            <w:tcW w:w="0" w:type="dxa"/>
            <w:vAlign w:val="bottom"/>
          </w:tcPr>
          <w:p>
            <w:pPr>
              <w:spacing w:after="0"/>
              <w:rPr>
                <w:sz w:val="1"/>
                <w:szCs w:val="1"/>
                <w:color w:val="auto"/>
              </w:rPr>
            </w:pPr>
          </w:p>
        </w:tc>
      </w:tr>
      <w:tr>
        <w:trPr>
          <w:trHeight w:val="422"/>
        </w:trPr>
        <w:tc>
          <w:tcPr>
            <w:tcW w:w="29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5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Executive Vice President</w:t>
            </w:r>
          </w:p>
        </w:tc>
        <w:tc>
          <w:tcPr>
            <w:tcW w:w="0" w:type="dxa"/>
            <w:vAlign w:val="bottom"/>
          </w:tcPr>
          <w:p>
            <w:pPr>
              <w:spacing w:after="0"/>
              <w:rPr>
                <w:sz w:val="1"/>
                <w:szCs w:val="1"/>
                <w:color w:val="auto"/>
              </w:rPr>
            </w:pPr>
          </w:p>
        </w:tc>
      </w:tr>
      <w:tr>
        <w:trPr>
          <w:trHeight w:val="172"/>
        </w:trPr>
        <w:tc>
          <w:tcPr>
            <w:tcW w:w="2940" w:type="dxa"/>
            <w:vAlign w:val="bottom"/>
            <w:vMerge w:val="restart"/>
          </w:tcPr>
          <w:p>
            <w:pPr>
              <w:spacing w:after="0"/>
              <w:rPr>
                <w:sz w:val="20"/>
                <w:szCs w:val="20"/>
                <w:color w:val="auto"/>
              </w:rPr>
            </w:pPr>
            <w:r>
              <w:rPr>
                <w:rFonts w:ascii="Courier New" w:cs="Courier New" w:eastAsia="Courier New" w:hAnsi="Courier New"/>
                <w:sz w:val="27"/>
                <w:szCs w:val="27"/>
                <w:color w:val="auto"/>
                <w:w w:val="70"/>
                <w:vertAlign w:val="subscript"/>
              </w:rPr>
              <w:t>Lawrence</w:t>
            </w:r>
            <w:r>
              <w:rPr>
                <w:rFonts w:ascii="Courier New" w:cs="Courier New" w:eastAsia="Courier New" w:hAnsi="Courier New"/>
                <w:sz w:val="14"/>
                <w:szCs w:val="14"/>
                <w:color w:val="auto"/>
                <w:w w:val="70"/>
              </w:rPr>
              <w:t>------------------------------</w:t>
            </w:r>
            <w:r>
              <w:rPr>
                <w:rFonts w:ascii="Courier New" w:cs="Courier New" w:eastAsia="Courier New" w:hAnsi="Courier New"/>
                <w:sz w:val="27"/>
                <w:szCs w:val="27"/>
                <w:color w:val="auto"/>
                <w:w w:val="70"/>
                <w:vertAlign w:val="subscript"/>
              </w:rPr>
              <w:t>S.Smith</w:t>
            </w:r>
          </w:p>
        </w:tc>
        <w:tc>
          <w:tcPr>
            <w:tcW w:w="3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2940" w:type="dxa"/>
            <w:vAlign w:val="bottom"/>
            <w:vMerge w:val="continue"/>
          </w:tcPr>
          <w:p>
            <w:pPr>
              <w:spacing w:after="0"/>
              <w:rPr>
                <w:sz w:val="23"/>
                <w:szCs w:val="23"/>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(Principal Accounting Officer)</w:t>
            </w:r>
          </w:p>
        </w:tc>
        <w:tc>
          <w:tcPr>
            <w:tcW w:w="0" w:type="dxa"/>
            <w:vAlign w:val="bottom"/>
          </w:tcPr>
          <w:p>
            <w:pPr>
              <w:spacing w:after="0"/>
              <w:rPr>
                <w:sz w:val="1"/>
                <w:szCs w:val="1"/>
                <w:color w:val="auto"/>
              </w:rPr>
            </w:pPr>
          </w:p>
        </w:tc>
      </w:tr>
      <w:tr>
        <w:trPr>
          <w:trHeight w:val="422"/>
        </w:trPr>
        <w:tc>
          <w:tcPr>
            <w:tcW w:w="2940" w:type="dxa"/>
            <w:vAlign w:val="bottom"/>
          </w:tcPr>
          <w:p>
            <w:pPr>
              <w:spacing w:after="0"/>
              <w:rPr>
                <w:sz w:val="20"/>
                <w:szCs w:val="20"/>
                <w:color w:val="auto"/>
              </w:rPr>
            </w:pPr>
            <w:r>
              <w:rPr>
                <w:rFonts w:ascii="Courier New" w:cs="Courier New" w:eastAsia="Courier New" w:hAnsi="Courier New"/>
                <w:sz w:val="15"/>
                <w:szCs w:val="15"/>
                <w:color w:val="auto"/>
              </w:rPr>
              <w:t>/s/ John R. Alchin</w:t>
            </w:r>
          </w:p>
        </w:tc>
        <w:tc>
          <w:tcPr>
            <w:tcW w:w="35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w w:val="99"/>
              </w:rPr>
              <w:t>Senior Vice President and Treasurer</w:t>
            </w:r>
          </w:p>
        </w:tc>
        <w:tc>
          <w:tcPr>
            <w:tcW w:w="0" w:type="dxa"/>
            <w:vAlign w:val="bottom"/>
          </w:tcPr>
          <w:p>
            <w:pPr>
              <w:spacing w:after="0"/>
              <w:rPr>
                <w:sz w:val="1"/>
                <w:szCs w:val="1"/>
                <w:color w:val="auto"/>
              </w:rPr>
            </w:pPr>
          </w:p>
        </w:tc>
      </w:tr>
      <w:tr>
        <w:trPr>
          <w:trHeight w:val="172"/>
        </w:trPr>
        <w:tc>
          <w:tcPr>
            <w:tcW w:w="2940" w:type="dxa"/>
            <w:vAlign w:val="bottom"/>
            <w:vMerge w:val="restart"/>
          </w:tcPr>
          <w:p>
            <w:pPr>
              <w:spacing w:after="0"/>
              <w:rPr>
                <w:sz w:val="20"/>
                <w:szCs w:val="20"/>
                <w:color w:val="auto"/>
              </w:rPr>
            </w:pPr>
            <w:r>
              <w:rPr>
                <w:rFonts w:ascii="Courier New" w:cs="Courier New" w:eastAsia="Courier New" w:hAnsi="Courier New"/>
                <w:sz w:val="29"/>
                <w:szCs w:val="29"/>
                <w:color w:val="auto"/>
                <w:w w:val="71"/>
                <w:vertAlign w:val="subscript"/>
              </w:rPr>
              <w:t>John</w:t>
            </w:r>
            <w:r>
              <w:rPr>
                <w:rFonts w:ascii="Courier New" w:cs="Courier New" w:eastAsia="Courier New" w:hAnsi="Courier New"/>
                <w:sz w:val="15"/>
                <w:szCs w:val="15"/>
                <w:color w:val="auto"/>
                <w:w w:val="71"/>
              </w:rPr>
              <w:t>------------------------------</w:t>
            </w:r>
            <w:r>
              <w:rPr>
                <w:rFonts w:ascii="Courier New" w:cs="Courier New" w:eastAsia="Courier New" w:hAnsi="Courier New"/>
                <w:sz w:val="29"/>
                <w:szCs w:val="29"/>
                <w:color w:val="auto"/>
                <w:w w:val="71"/>
                <w:vertAlign w:val="subscript"/>
              </w:rPr>
              <w:t>R.Alchin</w:t>
            </w:r>
          </w:p>
        </w:tc>
        <w:tc>
          <w:tcPr>
            <w:tcW w:w="3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2940" w:type="dxa"/>
            <w:vAlign w:val="bottom"/>
            <w:vMerge w:val="continue"/>
          </w:tcPr>
          <w:p>
            <w:pPr>
              <w:spacing w:after="0"/>
              <w:rPr>
                <w:sz w:val="23"/>
                <w:szCs w:val="23"/>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(Principal Financial Officer)</w:t>
            </w:r>
          </w:p>
        </w:tc>
        <w:tc>
          <w:tcPr>
            <w:tcW w:w="0" w:type="dxa"/>
            <w:vAlign w:val="bottom"/>
          </w:tcPr>
          <w:p>
            <w:pPr>
              <w:spacing w:after="0"/>
              <w:rPr>
                <w:sz w:val="1"/>
                <w:szCs w:val="1"/>
                <w:color w:val="auto"/>
              </w:rPr>
            </w:pPr>
          </w:p>
        </w:tc>
      </w:tr>
      <w:tr>
        <w:trPr>
          <w:trHeight w:val="422"/>
        </w:trPr>
        <w:tc>
          <w:tcPr>
            <w:tcW w:w="29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5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52"/>
        </w:trPr>
        <w:tc>
          <w:tcPr>
            <w:tcW w:w="2940" w:type="dxa"/>
            <w:vAlign w:val="bottom"/>
            <w:vMerge w:val="restart"/>
          </w:tcPr>
          <w:p>
            <w:pPr>
              <w:spacing w:after="0"/>
              <w:rPr>
                <w:sz w:val="20"/>
                <w:szCs w:val="20"/>
                <w:color w:val="auto"/>
              </w:rPr>
            </w:pPr>
            <w:r>
              <w:rPr>
                <w:rFonts w:ascii="Courier New" w:cs="Courier New" w:eastAsia="Courier New" w:hAnsi="Courier New"/>
                <w:sz w:val="25"/>
                <w:szCs w:val="25"/>
                <w:color w:val="auto"/>
                <w:w w:val="70"/>
                <w:vertAlign w:val="subscript"/>
              </w:rPr>
              <w:t>Gustave</w:t>
            </w: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G.Amsterdam</w:t>
            </w:r>
          </w:p>
        </w:tc>
        <w:tc>
          <w:tcPr>
            <w:tcW w:w="3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940" w:type="dxa"/>
            <w:vAlign w:val="bottom"/>
            <w:vMerge w:val="continue"/>
          </w:tcPr>
          <w:p>
            <w:pPr>
              <w:spacing w:after="0"/>
              <w:rPr>
                <w:sz w:val="16"/>
                <w:szCs w:val="16"/>
                <w:color w:val="auto"/>
              </w:rPr>
            </w:pP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2"/>
        </w:trPr>
        <w:tc>
          <w:tcPr>
            <w:tcW w:w="2940" w:type="dxa"/>
            <w:vAlign w:val="bottom"/>
          </w:tcPr>
          <w:p>
            <w:pPr>
              <w:spacing w:after="0"/>
              <w:rPr>
                <w:sz w:val="24"/>
                <w:szCs w:val="24"/>
                <w:color w:val="auto"/>
              </w:rPr>
            </w:pPr>
          </w:p>
        </w:tc>
        <w:tc>
          <w:tcPr>
            <w:tcW w:w="3500" w:type="dxa"/>
            <w:vAlign w:val="bottom"/>
          </w:tcPr>
          <w:p>
            <w:pPr>
              <w:ind w:left="460"/>
              <w:spacing w:after="0"/>
              <w:rPr>
                <w:sz w:val="20"/>
                <w:szCs w:val="20"/>
                <w:color w:val="auto"/>
              </w:rPr>
            </w:pPr>
            <w:r>
              <w:rPr>
                <w:rFonts w:ascii="Courier New" w:cs="Courier New" w:eastAsia="Courier New" w:hAnsi="Courier New"/>
                <w:sz w:val="15"/>
                <w:szCs w:val="15"/>
                <w:color w:val="auto"/>
              </w:rPr>
              <w:t>II-4</w:t>
            </w:r>
          </w:p>
        </w:tc>
        <w:tc>
          <w:tcPr>
            <w:tcW w:w="0" w:type="dxa"/>
            <w:vAlign w:val="bottom"/>
          </w:tcPr>
          <w:p>
            <w:pPr>
              <w:spacing w:after="0"/>
              <w:rPr>
                <w:sz w:val="1"/>
                <w:szCs w:val="1"/>
                <w:color w:val="auto"/>
              </w:rPr>
            </w:pPr>
          </w:p>
        </w:tc>
      </w:tr>
    </w:tbl>
    <w:p>
      <w:pPr>
        <w:sectPr>
          <w:pgSz w:w="11900" w:h="16838" w:orient="portrait"/>
          <w:cols w:equalWidth="0" w:num="1">
            <w:col w:w="10139"/>
          </w:cols>
          <w:pgMar w:left="320" w:top="779" w:right="1440" w:bottom="1440" w:gutter="0" w:footer="0" w:header="0"/>
        </w:sectPr>
      </w:pPr>
    </w:p>
    <w:bookmarkStart w:id="14" w:name="page15"/>
    <w:bookmarkEnd w:id="14"/>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2"/>
        </w:trPr>
        <w:tc>
          <w:tcPr>
            <w:tcW w:w="3040" w:type="dxa"/>
            <w:vAlign w:val="bottom"/>
          </w:tcPr>
          <w:p>
            <w:pPr>
              <w:ind w:left="880"/>
              <w:spacing w:after="0"/>
              <w:rPr>
                <w:sz w:val="20"/>
                <w:szCs w:val="20"/>
                <w:color w:val="auto"/>
              </w:rPr>
            </w:pPr>
            <w:r>
              <w:rPr>
                <w:rFonts w:ascii="Courier New" w:cs="Courier New" w:eastAsia="Courier New" w:hAnsi="Courier New"/>
                <w:sz w:val="15"/>
                <w:szCs w:val="15"/>
                <w:color w:val="auto"/>
              </w:rPr>
              <w:t>Signature</w:t>
            </w:r>
          </w:p>
        </w:tc>
        <w:tc>
          <w:tcPr>
            <w:tcW w:w="1880" w:type="dxa"/>
            <w:vAlign w:val="bottom"/>
          </w:tcPr>
          <w:p>
            <w:pPr>
              <w:ind w:left="1420"/>
              <w:spacing w:after="0"/>
              <w:rPr>
                <w:sz w:val="20"/>
                <w:szCs w:val="20"/>
                <w:color w:val="auto"/>
              </w:rPr>
            </w:pPr>
            <w:r>
              <w:rPr>
                <w:rFonts w:ascii="Courier New" w:cs="Courier New" w:eastAsia="Courier New" w:hAnsi="Courier New"/>
                <w:sz w:val="15"/>
                <w:szCs w:val="15"/>
                <w:color w:val="auto"/>
                <w:w w:val="97"/>
              </w:rPr>
              <w:t>Title</w:t>
            </w:r>
          </w:p>
        </w:tc>
        <w:tc>
          <w:tcPr>
            <w:tcW w:w="0" w:type="dxa"/>
            <w:vAlign w:val="bottom"/>
          </w:tcPr>
          <w:p>
            <w:pPr>
              <w:spacing w:after="0"/>
              <w:rPr>
                <w:sz w:val="1"/>
                <w:szCs w:val="1"/>
                <w:color w:val="auto"/>
              </w:rPr>
            </w:pPr>
          </w:p>
        </w:tc>
      </w:tr>
      <w:tr>
        <w:trPr>
          <w:trHeight w:val="252"/>
        </w:trPr>
        <w:tc>
          <w:tcPr>
            <w:tcW w:w="304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ind w:left="142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436"/>
        </w:trPr>
        <w:tc>
          <w:tcPr>
            <w:tcW w:w="30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Director</w:t>
            </w:r>
          </w:p>
        </w:tc>
        <w:tc>
          <w:tcPr>
            <w:tcW w:w="0" w:type="dxa"/>
            <w:vAlign w:val="bottom"/>
          </w:tcPr>
          <w:p>
            <w:pPr>
              <w:spacing w:after="0"/>
              <w:rPr>
                <w:sz w:val="1"/>
                <w:szCs w:val="1"/>
                <w:color w:val="auto"/>
              </w:rPr>
            </w:pPr>
          </w:p>
        </w:tc>
      </w:tr>
      <w:tr>
        <w:trPr>
          <w:trHeight w:val="252"/>
        </w:trPr>
        <w:tc>
          <w:tcPr>
            <w:tcW w:w="3040" w:type="dxa"/>
            <w:vAlign w:val="bottom"/>
            <w:vMerge w:val="restart"/>
          </w:tcPr>
          <w:p>
            <w:pPr>
              <w:spacing w:after="0"/>
              <w:rPr>
                <w:sz w:val="20"/>
                <w:szCs w:val="20"/>
                <w:color w:val="auto"/>
              </w:rPr>
            </w:pPr>
            <w:r>
              <w:rPr>
                <w:rFonts w:ascii="Courier New" w:cs="Courier New" w:eastAsia="Courier New" w:hAnsi="Courier New"/>
                <w:sz w:val="26"/>
                <w:szCs w:val="26"/>
                <w:color w:val="auto"/>
                <w:w w:val="70"/>
                <w:vertAlign w:val="subscript"/>
              </w:rPr>
              <w:t>Sheldon</w:t>
            </w: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M.Bonovitz</w:t>
            </w:r>
          </w:p>
        </w:tc>
        <w:tc>
          <w:tcPr>
            <w:tcW w:w="1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3040" w:type="dxa"/>
            <w:vAlign w:val="bottom"/>
            <w:vMerge w:val="continue"/>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0" w:lineRule="exact"/>
        <w:rPr>
          <w:sz w:val="20"/>
          <w:szCs w:val="20"/>
          <w:color w:val="auto"/>
        </w:rPr>
      </w:pPr>
    </w:p>
    <w:p>
      <w:pPr>
        <w:ind w:left="188" w:hanging="188"/>
        <w:spacing w:after="0"/>
        <w:tabs>
          <w:tab w:leader="none" w:pos="18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Joseph L. Castle II</w:t>
      </w:r>
    </w:p>
    <w:p>
      <w:pPr>
        <w:spacing w:after="0" w:line="2"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Director</w:t>
      </w: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0" w:lineRule="exact"/>
        <w:rPr>
          <w:sz w:val="20"/>
          <w:szCs w:val="20"/>
          <w:color w:val="auto"/>
        </w:rPr>
      </w:pPr>
    </w:p>
    <w:p>
      <w:pPr>
        <w:ind w:left="188" w:hanging="188"/>
        <w:spacing w:after="0"/>
        <w:tabs>
          <w:tab w:leader="none" w:pos="18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Bernard C. Watson</w:t>
      </w:r>
    </w:p>
    <w:p>
      <w:pPr>
        <w:spacing w:after="0" w:line="2"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Director</w:t>
      </w: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0" w:lineRule="exact"/>
        <w:rPr>
          <w:sz w:val="20"/>
          <w:szCs w:val="20"/>
          <w:color w:val="auto"/>
        </w:rPr>
      </w:pPr>
    </w:p>
    <w:p>
      <w:pPr>
        <w:ind w:left="188" w:hanging="188"/>
        <w:spacing w:after="0"/>
        <w:tabs>
          <w:tab w:leader="none" w:pos="18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Irving A. Wechsler</w:t>
      </w:r>
    </w:p>
    <w:p>
      <w:pPr>
        <w:spacing w:after="0" w:line="2"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Director</w:t>
      </w: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0" w:lineRule="exact"/>
        <w:rPr>
          <w:sz w:val="20"/>
          <w:szCs w:val="20"/>
          <w:color w:val="auto"/>
        </w:rPr>
      </w:pPr>
    </w:p>
    <w:p>
      <w:pPr>
        <w:ind w:left="8"/>
        <w:spacing w:after="0"/>
        <w:tabs>
          <w:tab w:leader="none" w:pos="328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Anne Wexler</w:t>
      </w: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 /s/ John R. Alchin</w:t>
      </w:r>
    </w:p>
    <w:p>
      <w:pPr>
        <w:spacing w:after="0" w:line="30"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John R. Alchin,</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Attorney-in-Fact</w:t>
      </w:r>
    </w:p>
    <w:p>
      <w:pPr>
        <w:spacing w:after="0" w:line="1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147"/>
          </w:cols>
          <w:pgMar w:left="312" w:top="779"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52"/>
        </w:trPr>
        <w:tc>
          <w:tcPr>
            <w:tcW w:w="1380" w:type="dxa"/>
            <w:vAlign w:val="bottom"/>
          </w:tcPr>
          <w:p>
            <w:pPr>
              <w:spacing w:after="0"/>
              <w:rPr>
                <w:sz w:val="21"/>
                <w:szCs w:val="21"/>
                <w:color w:val="auto"/>
              </w:rPr>
            </w:pPr>
          </w:p>
        </w:tc>
        <w:tc>
          <w:tcPr>
            <w:tcW w:w="5760" w:type="dxa"/>
            <w:vAlign w:val="bottom"/>
          </w:tcPr>
          <w:p>
            <w:pPr>
              <w:ind w:left="1660"/>
              <w:spacing w:after="0"/>
              <w:rPr>
                <w:sz w:val="20"/>
                <w:szCs w:val="20"/>
                <w:color w:val="auto"/>
              </w:rPr>
            </w:pPr>
            <w:r>
              <w:rPr>
                <w:rFonts w:ascii="Courier New" w:cs="Courier New" w:eastAsia="Courier New" w:hAnsi="Courier New"/>
                <w:sz w:val="15"/>
                <w:szCs w:val="15"/>
                <w:color w:val="auto"/>
              </w:rPr>
              <w:t>EXHIBIT INDEX</w:t>
            </w:r>
          </w:p>
        </w:tc>
      </w:tr>
      <w:tr>
        <w:trPr>
          <w:trHeight w:val="436"/>
        </w:trPr>
        <w:tc>
          <w:tcPr>
            <w:tcW w:w="138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Document</w:t>
            </w:r>
          </w:p>
        </w:tc>
      </w:tr>
      <w:tr>
        <w:trPr>
          <w:trHeight w:val="252"/>
        </w:trPr>
        <w:tc>
          <w:tcPr>
            <w:tcW w:w="13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7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344"/>
        </w:trPr>
        <w:tc>
          <w:tcPr>
            <w:tcW w:w="138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Opinion of Arthur R. Block, Esquire.</w:t>
            </w:r>
          </w:p>
        </w:tc>
      </w:tr>
      <w:tr>
        <w:trPr>
          <w:trHeight w:val="344"/>
        </w:trPr>
        <w:tc>
          <w:tcPr>
            <w:tcW w:w="138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Consent of Deloitte &amp; Touche LLP.</w:t>
            </w:r>
          </w:p>
        </w:tc>
      </w:tr>
      <w:tr>
        <w:trPr>
          <w:trHeight w:val="344"/>
        </w:trPr>
        <w:tc>
          <w:tcPr>
            <w:tcW w:w="138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Consent of KPMG LLP.</w:t>
            </w:r>
          </w:p>
        </w:tc>
      </w:tr>
      <w:tr>
        <w:trPr>
          <w:trHeight w:val="344"/>
        </w:trPr>
        <w:tc>
          <w:tcPr>
            <w:tcW w:w="1380" w:type="dxa"/>
            <w:vAlign w:val="bottom"/>
          </w:tcPr>
          <w:p>
            <w:pPr>
              <w:spacing w:after="0"/>
              <w:rPr>
                <w:sz w:val="20"/>
                <w:szCs w:val="20"/>
                <w:color w:val="auto"/>
              </w:rPr>
            </w:pPr>
            <w:r>
              <w:rPr>
                <w:rFonts w:ascii="Courier New" w:cs="Courier New" w:eastAsia="Courier New" w:hAnsi="Courier New"/>
                <w:sz w:val="15"/>
                <w:szCs w:val="15"/>
                <w:color w:val="auto"/>
              </w:rPr>
              <w:t>23.3</w:t>
            </w: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w w:val="98"/>
              </w:rPr>
              <w:t>Consent of Arthur R. Block, Esquire (included in Exhibit 5.1).</w:t>
            </w:r>
          </w:p>
        </w:tc>
      </w:tr>
      <w:tr>
        <w:trPr>
          <w:trHeight w:val="344"/>
        </w:trPr>
        <w:tc>
          <w:tcPr>
            <w:tcW w:w="138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Power of Attorney.</w:t>
            </w: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Previously filed.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E-1</w:t>
      </w:r>
    </w:p>
    <w:p>
      <w:pPr>
        <w:sectPr>
          <w:pgSz w:w="11900" w:h="16838" w:orient="portrait"/>
          <w:cols w:equalWidth="0" w:num="1">
            <w:col w:w="10139"/>
          </w:cols>
          <w:pgMar w:left="320" w:top="951" w:right="1440" w:bottom="1440" w:gutter="0" w:footer="0" w:header="0"/>
        </w:sectPr>
      </w:pPr>
    </w:p>
    <w:bookmarkStart w:id="16" w:name="page17"/>
    <w:bookmarkEnd w:id="16"/>
    <w:p>
      <w:pPr>
        <w:jc w:val="right"/>
        <w:ind w:right="2999"/>
        <w:spacing w:after="0"/>
        <w:rPr>
          <w:sz w:val="20"/>
          <w:szCs w:val="20"/>
          <w:color w:val="auto"/>
        </w:rPr>
      </w:pPr>
      <w:r>
        <w:rPr>
          <w:rFonts w:ascii="Courier New" w:cs="Courier New" w:eastAsia="Courier New" w:hAnsi="Courier New"/>
          <w:sz w:val="15"/>
          <w:szCs w:val="15"/>
          <w:color w:val="auto"/>
        </w:rPr>
        <w:t>Exhibit 5.1</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[LETTERHEAD OF 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January 14, 2000</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 Market Street</w:t>
      </w:r>
    </w:p>
    <w:p>
      <w:pPr>
        <w:spacing w:after="0" w:line="2"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5"/>
          <w:szCs w:val="15"/>
          <w:color w:val="auto"/>
        </w:rPr>
        <w:t>Philadelphia, PA</w:t>
      </w:r>
      <w:r>
        <w:rPr>
          <w:sz w:val="20"/>
          <w:szCs w:val="20"/>
          <w:color w:val="auto"/>
        </w:rPr>
        <w:tab/>
      </w:r>
      <w:r>
        <w:rPr>
          <w:rFonts w:ascii="Courier New" w:cs="Courier New" w:eastAsia="Courier New" w:hAnsi="Courier New"/>
          <w:sz w:val="14"/>
          <w:szCs w:val="14"/>
          <w:color w:val="auto"/>
        </w:rPr>
        <w:t>19102-2148</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346" w:lineRule="exact"/>
        <w:rPr>
          <w:sz w:val="20"/>
          <w:szCs w:val="20"/>
          <w:color w:val="auto"/>
        </w:rPr>
      </w:pPr>
    </w:p>
    <w:p>
      <w:pPr>
        <w:ind w:right="2999" w:firstLine="716"/>
        <w:spacing w:after="0" w:line="259" w:lineRule="auto"/>
        <w:rPr>
          <w:sz w:val="20"/>
          <w:szCs w:val="20"/>
          <w:color w:val="auto"/>
        </w:rPr>
      </w:pPr>
      <w:r>
        <w:rPr>
          <w:rFonts w:ascii="Courier New" w:cs="Courier New" w:eastAsia="Courier New" w:hAnsi="Courier New"/>
          <w:sz w:val="15"/>
          <w:szCs w:val="15"/>
          <w:color w:val="auto"/>
        </w:rPr>
        <w:t>I am Senior Deputy General Counsel and Vice President of Comcast Corporation, a Pennsylvania corporation (the "Company"). I have acted as counsel to the Company in connection with the Company's Registration Statement on Form S-3 (No. 333-92509) (the "Registration Statement") filed with the Securities and Exchange Commission pursuant to the Securities Act of 1933, as amended, for the registration of the resale by certain selling shareholders named therein and their permitted transferees of up to 72,837,586 shares (the "Shares") of Class A Special Common Stock, $1.00 par value, of the Company.</w:t>
      </w:r>
    </w:p>
    <w:p>
      <w:pPr>
        <w:spacing w:after="0" w:line="254" w:lineRule="exact"/>
        <w:rPr>
          <w:sz w:val="20"/>
          <w:szCs w:val="20"/>
          <w:color w:val="auto"/>
        </w:rPr>
      </w:pPr>
    </w:p>
    <w:p>
      <w:pPr>
        <w:ind w:right="2999" w:firstLine="716"/>
        <w:spacing w:after="0" w:line="281" w:lineRule="auto"/>
        <w:rPr>
          <w:sz w:val="20"/>
          <w:szCs w:val="20"/>
          <w:color w:val="auto"/>
        </w:rPr>
      </w:pPr>
      <w:r>
        <w:rPr>
          <w:rFonts w:ascii="Courier New" w:cs="Courier New" w:eastAsia="Courier New" w:hAnsi="Courier New"/>
          <w:sz w:val="15"/>
          <w:szCs w:val="15"/>
          <w:color w:val="auto"/>
        </w:rPr>
        <w:t>I have examined originals or copies, certified or otherwise identified to my satisfaction, of such documents, corporate records, certificates of public officials and other instruments as I have deemed necessary for the purposes of rendering this opinion.</w:t>
      </w:r>
    </w:p>
    <w:p>
      <w:pPr>
        <w:spacing w:after="0" w:line="6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On the basis of the foregoing, I am of the opinion that:</w:t>
      </w:r>
    </w:p>
    <w:p>
      <w:pPr>
        <w:spacing w:after="0" w:line="174" w:lineRule="exact"/>
        <w:rPr>
          <w:sz w:val="20"/>
          <w:szCs w:val="20"/>
          <w:color w:val="auto"/>
        </w:rPr>
      </w:pPr>
    </w:p>
    <w:p>
      <w:pPr>
        <w:ind w:right="3079" w:firstLine="708"/>
        <w:spacing w:after="0" w:line="262" w:lineRule="auto"/>
        <w:tabs>
          <w:tab w:leader="none" w:pos="98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have been duly authorized and, assuming the due execution and delivery of certificates representing the Shares, when issued and delivered in accordance with the terms of the Agreement and Plan of Merger dated as of November 16, 1999 among the Company, Comcast LCI Holdings, Inc., Lenfest Communications, Inc. and the stockholders named therein, the Shares will be validly issued, fully paid and non-assessable, and the issuance thereof is not subject to any preemptive or similar right.</w:t>
      </w:r>
    </w:p>
    <w:p>
      <w:pPr>
        <w:spacing w:after="0" w:line="78" w:lineRule="exact"/>
        <w:rPr>
          <w:sz w:val="20"/>
          <w:szCs w:val="20"/>
          <w:color w:val="auto"/>
        </w:rPr>
      </w:pPr>
    </w:p>
    <w:p>
      <w:pPr>
        <w:ind w:right="2999" w:firstLine="716"/>
        <w:spacing w:after="0" w:line="301" w:lineRule="auto"/>
        <w:rPr>
          <w:sz w:val="20"/>
          <w:szCs w:val="20"/>
          <w:color w:val="auto"/>
        </w:rPr>
      </w:pPr>
      <w:r>
        <w:rPr>
          <w:rFonts w:ascii="Courier New" w:cs="Courier New" w:eastAsia="Courier New" w:hAnsi="Courier New"/>
          <w:sz w:val="15"/>
          <w:szCs w:val="15"/>
          <w:color w:val="auto"/>
        </w:rPr>
        <w:t>I am a member of the Bar of the Commonwealth of Pennsylvania and the foregoing opinion is limited to the laws of the Commonwealth of Pennsylvania and the federal laws of the United States of America.</w:t>
      </w:r>
    </w:p>
    <w:p>
      <w:pPr>
        <w:spacing w:after="0" w:line="49" w:lineRule="exact"/>
        <w:rPr>
          <w:sz w:val="20"/>
          <w:szCs w:val="20"/>
          <w:color w:val="auto"/>
        </w:rPr>
      </w:pPr>
    </w:p>
    <w:p>
      <w:pPr>
        <w:ind w:right="3079" w:firstLine="716"/>
        <w:spacing w:after="0" w:line="281" w:lineRule="auto"/>
        <w:rPr>
          <w:sz w:val="20"/>
          <w:szCs w:val="20"/>
          <w:color w:val="auto"/>
        </w:rPr>
      </w:pPr>
      <w:r>
        <w:rPr>
          <w:rFonts w:ascii="Courier New" w:cs="Courier New" w:eastAsia="Courier New" w:hAnsi="Courier New"/>
          <w:sz w:val="15"/>
          <w:szCs w:val="15"/>
          <w:color w:val="auto"/>
        </w:rPr>
        <w:t>I hereby consent to the filing of this opinion as an exhibit to the Registration Statement. In addition, I consent to the reference to me under the caption "Legal Matters" in the prospectus contained in the Registration Statement.</w:t>
      </w:r>
    </w:p>
    <w:p>
      <w:pPr>
        <w:spacing w:after="0" w:line="65"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Very truly yours,</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/s/ Arthur R. Block</w:t>
      </w:r>
    </w:p>
    <w:p>
      <w:pPr>
        <w:spacing w:after="0" w:line="30"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Arthur R. Block</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Senior Deputy General Counsel</w:t>
      </w:r>
    </w:p>
    <w:p>
      <w:pPr>
        <w:spacing w:after="0" w:line="1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E-2</w:t>
      </w:r>
    </w:p>
    <w:p>
      <w:pPr>
        <w:sectPr>
          <w:pgSz w:w="11900" w:h="16838" w:orient="portrait"/>
          <w:cols w:equalWidth="0" w:num="1">
            <w:col w:w="10139"/>
          </w:cols>
          <w:pgMar w:left="320" w:top="286" w:right="1440" w:bottom="1440" w:gutter="0" w:footer="0" w:header="0"/>
        </w:sectPr>
      </w:pPr>
    </w:p>
    <w:bookmarkStart w:id="17" w:name="page18"/>
    <w:bookmarkEnd w:id="17"/>
    <w:p>
      <w:pPr>
        <w:jc w:val="right"/>
        <w:ind w:right="2999"/>
        <w:spacing w:after="0"/>
        <w:rPr>
          <w:sz w:val="20"/>
          <w:szCs w:val="20"/>
          <w:color w:val="auto"/>
        </w:rPr>
      </w:pPr>
      <w:r>
        <w:rPr>
          <w:rFonts w:ascii="Courier New" w:cs="Courier New" w:eastAsia="Courier New" w:hAnsi="Courier New"/>
          <w:sz w:val="15"/>
          <w:szCs w:val="15"/>
          <w:color w:val="auto"/>
        </w:rPr>
        <w:t>Exhibit 23.1</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INDEPENDENT AUDITORS' CONSENT</w:t>
      </w:r>
    </w:p>
    <w:p>
      <w:pPr>
        <w:spacing w:after="0" w:line="346" w:lineRule="exact"/>
        <w:rPr>
          <w:sz w:val="20"/>
          <w:szCs w:val="20"/>
          <w:color w:val="auto"/>
        </w:rPr>
      </w:pPr>
    </w:p>
    <w:p>
      <w:pPr>
        <w:ind w:right="2999" w:firstLine="537"/>
        <w:spacing w:after="0" w:line="266" w:lineRule="auto"/>
        <w:rPr>
          <w:sz w:val="20"/>
          <w:szCs w:val="20"/>
          <w:color w:val="auto"/>
        </w:rPr>
      </w:pPr>
      <w:r>
        <w:rPr>
          <w:rFonts w:ascii="Courier New" w:cs="Courier New" w:eastAsia="Courier New" w:hAnsi="Courier New"/>
          <w:sz w:val="15"/>
          <w:szCs w:val="15"/>
          <w:color w:val="auto"/>
        </w:rPr>
        <w:t>We consent to the incorporation by reference in Amendment No. 2 to Registration Statement No. 333-92509 of Comcast Corporation and its subsidiaries on Form S-3 of our reports dated February 22, 1999, appearing in the Annual Report on Form 10-K of Comcast Corporation and its subsidiaries for the year ended December 31, 1998 and to the reference to us under the heading "Experts" in the Prospectus, which is part of this Registration Statement.</w:t>
      </w:r>
    </w:p>
    <w:p>
      <w:pPr>
        <w:spacing w:after="0" w:line="24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tab/>
        <w:t>Deloitte &amp; Touche LLP</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14, 2000</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E-3</w:t>
      </w:r>
    </w:p>
    <w:p>
      <w:pPr>
        <w:sectPr>
          <w:pgSz w:w="11900" w:h="16838" w:orient="portrait"/>
          <w:cols w:equalWidth="0" w:num="1">
            <w:col w:w="10139"/>
          </w:cols>
          <w:pgMar w:left="320" w:top="113" w:right="1440" w:bottom="1440" w:gutter="0" w:footer="0" w:header="0"/>
        </w:sectPr>
      </w:pPr>
    </w:p>
    <w:bookmarkStart w:id="18" w:name="page19"/>
    <w:bookmarkEnd w:id="18"/>
    <w:p>
      <w:pPr>
        <w:jc w:val="right"/>
        <w:ind w:right="2999"/>
        <w:spacing w:after="0"/>
        <w:rPr>
          <w:sz w:val="20"/>
          <w:szCs w:val="20"/>
          <w:color w:val="auto"/>
        </w:rPr>
      </w:pPr>
      <w:r>
        <w:rPr>
          <w:rFonts w:ascii="Courier New" w:cs="Courier New" w:eastAsia="Courier New" w:hAnsi="Courier New"/>
          <w:sz w:val="15"/>
          <w:szCs w:val="15"/>
          <w:color w:val="auto"/>
        </w:rPr>
        <w:t>Exhibit 23.2</w:t>
      </w:r>
    </w:p>
    <w:p>
      <w:pPr>
        <w:spacing w:after="0" w:line="346"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4" w:lineRule="exact"/>
        <w:rPr>
          <w:sz w:val="20"/>
          <w:szCs w:val="20"/>
          <w:color w:val="auto"/>
        </w:rPr>
      </w:pPr>
    </w:p>
    <w:p>
      <w:pPr>
        <w:ind w:right="2999" w:firstLine="447"/>
        <w:spacing w:after="0" w:line="255"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on Form S-3 of Comcast Corporation (File No. 333-92509) of our report dated February 3, 1999, with respect to the consolidated balance sheets of QVC, Inc. and subsidiaries as of December 31, 1998 and 1997, and the related consolidated statements of operations and comprehensive income, shareholders' equity, and cash flows for each of the years in the three-year period ended December 31, 1998 (such consolidated financial statements are not separately presented herein), which report is included as an exhibit to the Form 10-K of Comcast Corporation for the year ended December 31, 1998. We also consent to the reference to us under the heading "Experts" in the Prospectus.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LLP</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14, 2000</w:t>
      </w: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E-1</w:t>
      </w:r>
    </w:p>
    <w:sectPr>
      <w:pgSz w:w="11900" w:h="16838" w:orient="portrait"/>
      <w:cols w:equalWidth="0" w:num="1">
        <w:col w:w="10139"/>
      </w:cols>
      <w:pgMar w:left="320" w:top="1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212"/>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o"/>
      <w:numFmt w:val="bullet"/>
      <w:start w:val="1"/>
    </w:lvl>
  </w:abstractNum>
  <w:abstractNum w:abstractNumId="4">
    <w:nsid w:val="4DB127F8"/>
    <w:multiLevelType w:val="hybridMultilevel"/>
    <w:lvl w:ilvl="0">
      <w:lvlJc w:val="left"/>
      <w:lvlText w:val="o"/>
      <w:numFmt w:val="bullet"/>
      <w:start w:val="1"/>
    </w:lvl>
  </w:abstractNum>
  <w:abstractNum w:abstractNumId="5">
    <w:nsid w:val="216231B"/>
    <w:multiLevelType w:val="hybridMultilevel"/>
    <w:lvl w:ilvl="0">
      <w:lvlJc w:val="left"/>
      <w:lvlText w:val="o"/>
      <w:numFmt w:val="bullet"/>
      <w:start w:val="1"/>
    </w:lvl>
  </w:abstractNum>
  <w:abstractNum w:abstractNumId="6">
    <w:nsid w:val="1F16E9E8"/>
    <w:multiLevelType w:val="hybridMultilevel"/>
    <w:lvl w:ilvl="0">
      <w:lvlJc w:val="left"/>
      <w:lvlText w:val="o"/>
      <w:numFmt w:val="bullet"/>
      <w:start w:val="1"/>
    </w:lvl>
  </w:abstractNum>
  <w:abstractNum w:abstractNumId="7">
    <w:nsid w:val="1190CDE7"/>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abstractNum>
  <w:abstractNum w:abstractNumId="8">
    <w:nsid w:val="66EF438D"/>
    <w:multiLevelType w:val="hybridMultilevel"/>
    <w:lvl w:ilvl="0">
      <w:lvlJc w:val="left"/>
      <w:lvlText w:val="(%1)"/>
      <w:numFmt w:val="decimal"/>
      <w:start w:val="2"/>
    </w:lvl>
  </w:abstractNum>
  <w:abstractNum w:abstractNumId="9">
    <w:nsid w:val="140E0F76"/>
    <w:multiLevelType w:val="hybridMultilevel"/>
    <w:lvl w:ilvl="0">
      <w:lvlJc w:val="left"/>
      <w:lvlText w:val="%1"/>
      <w:numFmt w:val="lowerLetter"/>
      <w:start w:val="1"/>
    </w:lvl>
    <w:lvl w:ilvl="1">
      <w:lvlJc w:val="left"/>
      <w:lvlText w:val="(%2)"/>
      <w:numFmt w:val="decimal"/>
      <w:start w:val="3"/>
    </w:lvl>
  </w:abstractNum>
  <w:abstractNum w:abstractNumId="10">
    <w:nsid w:val="3352255A"/>
    <w:multiLevelType w:val="hybridMultilevel"/>
    <w:lvl w:ilvl="0">
      <w:lvlJc w:val="left"/>
      <w:lvlText w:val="(%1)"/>
      <w:numFmt w:val="lowerLetter"/>
      <w:start w:val="2"/>
    </w:lvl>
    <w:lvl w:ilvl="1">
      <w:lvlJc w:val="left"/>
      <w:lvlText w:val="%2"/>
      <w:numFmt w:val="decimal"/>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2020-10-07T16:25:15Z</dcterms:created>
  <dcterms:modified xsi:type="dcterms:W3CDTF">2020-10-07T16:25:15Z</dcterms:modified>
</cp:coreProperties>
</file>