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118110</wp:posOffset>
            </wp:positionV>
            <wp:extent cx="293306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0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June 30, 2011, there were 2,089,624,288 shares of our Class A common stock, 650,044,422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140" w:type="dxa"/>
            <w:vAlign w:val="bottom"/>
            <w:gridSpan w:val="17"/>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7020" w:type="dxa"/>
            <w:vAlign w:val="bottom"/>
            <w:gridSpan w:val="11"/>
          </w:tcPr>
          <w:p>
            <w:pPr>
              <w:spacing w:after="0"/>
              <w:rPr>
                <w:sz w:val="12"/>
                <w:szCs w:val="12"/>
                <w:color w:val="auto"/>
              </w:rPr>
            </w:pPr>
          </w:p>
        </w:tc>
        <w:tc>
          <w:tcPr>
            <w:tcW w:w="1260" w:type="dxa"/>
            <w:vAlign w:val="bottom"/>
          </w:tcPr>
          <w:p>
            <w:pPr>
              <w:jc w:val="right"/>
              <w:spacing w:after="0" w:line="14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June 30, 2011 and December 31, 2010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40" w:type="dxa"/>
            <w:vAlign w:val="bottom"/>
            <w:tcBorders>
              <w:top w:val="single" w:sz="8" w:color="0000EE"/>
            </w:tcBorders>
            <w:gridSpan w:val="10"/>
          </w:tcPr>
          <w:p>
            <w:pPr>
              <w:spacing w:after="0" w:line="129" w:lineRule="exact"/>
              <w:rPr>
                <w:rFonts w:ascii="Arial" w:cs="Arial" w:eastAsia="Arial" w:hAnsi="Arial"/>
                <w:sz w:val="14"/>
                <w:szCs w:val="14"/>
                <w:color w:val="0000EE"/>
                <w:w w:val="85"/>
              </w:rPr>
            </w:pPr>
            <w:hyperlink w:anchor="page4">
              <w:r>
                <w:rPr>
                  <w:rFonts w:ascii="Arial" w:cs="Arial" w:eastAsia="Arial" w:hAnsi="Arial"/>
                  <w:sz w:val="14"/>
                  <w:szCs w:val="14"/>
                  <w:color w:val="0000EE"/>
                  <w:w w:val="85"/>
                </w:rPr>
                <w:t>Condensed Consolidated Statement of Income for the Three and Six Months Ended June 30, 2011</w:t>
              </w:r>
            </w:hyperlink>
          </w:p>
        </w:tc>
        <w:tc>
          <w:tcPr>
            <w:tcW w:w="2920" w:type="dxa"/>
            <w:vAlign w:val="bottom"/>
            <w:gridSpan w:val="5"/>
          </w:tcPr>
          <w:p>
            <w:pPr>
              <w:ind w:left="100"/>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and 2010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w w:val="95"/>
              </w:rPr>
            </w:pPr>
            <w:hyperlink w:anchor="page5">
              <w:r>
                <w:rPr>
                  <w:rFonts w:ascii="Arial" w:cs="Arial" w:eastAsia="Arial" w:hAnsi="Arial"/>
                  <w:sz w:val="14"/>
                  <w:szCs w:val="14"/>
                  <w:color w:val="0000EE"/>
                  <w:w w:val="95"/>
                </w:rPr>
                <w:t>Condensed Consolidated Statement of Comprehensive Income for the Three and Six Months Ended June 30, 2011 and 2010 (Unaudited)</w:t>
              </w:r>
            </w:hyperlink>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18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Six Months Ended June 30, 2011 and 2010 (Unaudited)</w:t>
              </w:r>
            </w:hyperlink>
          </w:p>
        </w:tc>
        <w:tc>
          <w:tcPr>
            <w:tcW w:w="1220" w:type="dxa"/>
            <w:vAlign w:val="bottom"/>
            <w:tcBorders>
              <w:top w:val="single" w:sz="8" w:color="0000EE"/>
            </w:tcBorders>
            <w:gridSpan w:val="3"/>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160" w:type="dxa"/>
            <w:vAlign w:val="bottom"/>
            <w:gridSpan w:val="15"/>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Six Months Ended June 30, 2011 and 2010 (Unaudited)</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54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620" w:type="dxa"/>
            <w:vAlign w:val="bottom"/>
            <w:gridSpan w:val="2"/>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8"/>
          </w:tcPr>
          <w:p>
            <w:pPr>
              <w:spacing w:after="0" w:line="129" w:lineRule="exact"/>
              <w:rPr>
                <w:rFonts w:ascii="Arial" w:cs="Arial" w:eastAsia="Arial" w:hAnsi="Arial"/>
                <w:sz w:val="14"/>
                <w:szCs w:val="14"/>
                <w:color w:val="0000EE"/>
                <w:w w:val="89"/>
              </w:rPr>
            </w:pPr>
            <w:hyperlink w:anchor="page39">
              <w:r>
                <w:rPr>
                  <w:rFonts w:ascii="Arial" w:cs="Arial" w:eastAsia="Arial" w:hAnsi="Arial"/>
                  <w:sz w:val="14"/>
                  <w:szCs w:val="14"/>
                  <w:color w:val="0000EE"/>
                  <w:w w:val="89"/>
                </w:rPr>
                <w:t>Management’s Discussion and Analysis of Financial Condition and</w:t>
              </w:r>
            </w:hyperlink>
          </w:p>
        </w:tc>
        <w:tc>
          <w:tcPr>
            <w:tcW w:w="4460" w:type="dxa"/>
            <w:vAlign w:val="bottom"/>
            <w:gridSpan w:val="7"/>
          </w:tcPr>
          <w:p>
            <w:pPr>
              <w:spacing w:after="0" w:line="129" w:lineRule="exact"/>
              <w:rPr>
                <w:rFonts w:ascii="Arial" w:cs="Arial" w:eastAsia="Arial" w:hAnsi="Arial"/>
                <w:sz w:val="14"/>
                <w:szCs w:val="14"/>
                <w:color w:val="0000EE"/>
              </w:rPr>
            </w:pPr>
            <w:hyperlink w:anchor="page39">
              <w:r>
                <w:rPr>
                  <w:rFonts w:ascii="Arial" w:cs="Arial" w:eastAsia="Arial" w:hAnsi="Arial"/>
                  <w:sz w:val="14"/>
                  <w:szCs w:val="14"/>
                  <w:color w:val="0000EE"/>
                </w:rPr>
                <w:t>Results of Operations</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60">
              <w:r>
                <w:rPr>
                  <w:rFonts w:ascii="Arial" w:cs="Arial" w:eastAsia="Arial" w:hAnsi="Arial"/>
                  <w:sz w:val="14"/>
                  <w:szCs w:val="14"/>
                  <w:color w:val="0000EE"/>
                </w:rPr>
                <w:t>Quantitative and Qualitative Disclosures About Market Risk</w:t>
              </w:r>
            </w:hyperlink>
          </w:p>
        </w:tc>
        <w:tc>
          <w:tcPr>
            <w:tcW w:w="3300" w:type="dxa"/>
            <w:vAlign w:val="bottom"/>
            <w:gridSpan w:val="6"/>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61">
              <w:r>
                <w:rPr>
                  <w:rFonts w:ascii="Arial" w:cs="Arial" w:eastAsia="Arial" w:hAnsi="Arial"/>
                  <w:sz w:val="14"/>
                  <w:szCs w:val="14"/>
                  <w:color w:val="0000EE"/>
                </w:rPr>
                <w:t>Controls and Procedures</w:t>
              </w:r>
            </w:hyperlink>
          </w:p>
        </w:tc>
        <w:tc>
          <w:tcPr>
            <w:tcW w:w="4880" w:type="dxa"/>
            <w:vAlign w:val="bottom"/>
            <w:gridSpan w:val="8"/>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2"/>
          </w:tcPr>
          <w:p>
            <w:pPr>
              <w:spacing w:after="0"/>
              <w:rPr>
                <w:sz w:val="11"/>
                <w:szCs w:val="11"/>
                <w:color w:val="auto"/>
              </w:rPr>
            </w:pPr>
          </w:p>
        </w:tc>
        <w:tc>
          <w:tcPr>
            <w:tcW w:w="1920" w:type="dxa"/>
            <w:vAlign w:val="bottom"/>
          </w:tcPr>
          <w:p>
            <w:pPr>
              <w:spacing w:after="0"/>
              <w:rPr>
                <w:sz w:val="11"/>
                <w:szCs w:val="11"/>
                <w:color w:val="auto"/>
              </w:rPr>
            </w:pPr>
          </w:p>
        </w:tc>
        <w:tc>
          <w:tcPr>
            <w:tcW w:w="4900" w:type="dxa"/>
            <w:vAlign w:val="bottom"/>
            <w:gridSpan w:val="9"/>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160" w:type="dxa"/>
            <w:vAlign w:val="bottom"/>
            <w:gridSpan w:val="15"/>
          </w:tcPr>
          <w:p>
            <w:pPr>
              <w:spacing w:after="0" w:line="148" w:lineRule="exact"/>
              <w:rPr>
                <w:rFonts w:ascii="Arial" w:cs="Arial" w:eastAsia="Arial" w:hAnsi="Arial"/>
                <w:sz w:val="14"/>
                <w:szCs w:val="14"/>
                <w:color w:val="0000EE"/>
              </w:rPr>
            </w:pPr>
            <w:hyperlink w:anchor="page61">
              <w:r>
                <w:rPr>
                  <w:rFonts w:ascii="Arial" w:cs="Arial" w:eastAsia="Arial" w:hAnsi="Arial"/>
                  <w:sz w:val="14"/>
                  <w:szCs w:val="14"/>
                  <w:color w:val="0000EE"/>
                </w:rPr>
                <w:t>Legal Proceedings</w:t>
              </w:r>
            </w:hyperlink>
          </w:p>
        </w:tc>
        <w:tc>
          <w:tcPr>
            <w:tcW w:w="1260" w:type="dxa"/>
            <w:vAlign w:val="bottom"/>
          </w:tcPr>
          <w:p>
            <w:pPr>
              <w:jc w:val="right"/>
              <w:spacing w:after="0" w:line="148"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61">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900" w:type="dxa"/>
            <w:vAlign w:val="bottom"/>
            <w:gridSpan w:val="9"/>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62">
              <w:r>
                <w:rPr>
                  <w:rFonts w:ascii="Arial" w:cs="Arial" w:eastAsia="Arial" w:hAnsi="Arial"/>
                  <w:sz w:val="14"/>
                  <w:szCs w:val="14"/>
                  <w:color w:val="0000EE"/>
                  <w:w w:val="82"/>
                </w:rPr>
                <w:t>Unregistered</w:t>
              </w:r>
            </w:hyperlink>
          </w:p>
        </w:tc>
        <w:tc>
          <w:tcPr>
            <w:tcW w:w="7480" w:type="dxa"/>
            <w:vAlign w:val="bottom"/>
            <w:gridSpan w:val="13"/>
          </w:tcPr>
          <w:p>
            <w:pPr>
              <w:ind w:left="60"/>
              <w:spacing w:after="0" w:line="129" w:lineRule="exact"/>
              <w:rPr>
                <w:rFonts w:ascii="Arial" w:cs="Arial" w:eastAsia="Arial" w:hAnsi="Arial"/>
                <w:sz w:val="14"/>
                <w:szCs w:val="14"/>
                <w:color w:val="0000EE"/>
              </w:rPr>
            </w:pPr>
            <w:hyperlink w:anchor="page62">
              <w:r>
                <w:rPr>
                  <w:rFonts w:ascii="Arial" w:cs="Arial" w:eastAsia="Arial" w:hAnsi="Arial"/>
                  <w:sz w:val="14"/>
                  <w:szCs w:val="14"/>
                  <w:color w:val="0000EE"/>
                </w:rPr>
                <w:t>Sales of Equity Securities and Use of Proceeds</w:t>
              </w:r>
            </w:hyperlink>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63">
              <w:r>
                <w:rPr>
                  <w:rFonts w:ascii="Arial" w:cs="Arial" w:eastAsia="Arial" w:hAnsi="Arial"/>
                  <w:sz w:val="14"/>
                  <w:szCs w:val="14"/>
                  <w:color w:val="0000EE"/>
                </w:rPr>
                <w:t>Exhibits</w:t>
              </w:r>
            </w:hyperlink>
          </w:p>
        </w:tc>
        <w:tc>
          <w:tcPr>
            <w:tcW w:w="4900" w:type="dxa"/>
            <w:vAlign w:val="bottom"/>
            <w:gridSpan w:val="9"/>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64">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jc w:val="right"/>
              <w:spacing w:after="0" w:line="12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is for the three and six months ended June 30, 2011.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as “we,” “us” and “our;” and Comcast Holdings Corporation as “Comcast Holdings.”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technology and consumer behavior may adversely affect our businesses and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future results of operations</w:t>
      </w:r>
    </w:p>
    <w:p>
      <w:pPr>
        <w:spacing w:after="0" w:line="14" w:lineRule="exact"/>
        <w:rPr>
          <w:rFonts w:ascii="Arial" w:cs="Arial" w:eastAsia="Arial" w:hAnsi="Arial"/>
          <w:sz w:val="14"/>
          <w:szCs w:val="14"/>
          <w:color w:val="auto"/>
        </w:rPr>
      </w:pPr>
    </w:p>
    <w:p>
      <w:pPr>
        <w:ind w:left="1020" w:right="1260" w:hanging="215"/>
        <w:spacing w:after="0" w:line="281" w:lineRule="auto"/>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a result of the NBCUniversal transaction, our businesses are subject to the conditions set forth in the NBCUniversal Order and the NBCUniversal Consent Decree, and there can be no assurance that these conditions will not have an adverse effect on our businesses and results of operations</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results of operations and financial condition</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technology, as well as key properties, and a disruption, failure or destruction of such networks, systems, technology or properties may disrupt our business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our own employees or sports leagues, may disrupt our operations and adversely affect our business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face a significant withdrawal liability if we withdraw from multiemployer pension plans or be required to make additional contributions under such plans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other risk factors that are described in our Annual Report on Form 10-K for the year ended December 31,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color w:val="auto"/>
                <w:w w:val="81"/>
              </w:rPr>
              <w:t>June 30,</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7"/>
              </w:rPr>
              <w:t>December 31,</w:t>
            </w:r>
          </w:p>
        </w:tc>
      </w:tr>
      <w:tr>
        <w:trPr>
          <w:trHeight w:val="159"/>
        </w:trPr>
        <w:tc>
          <w:tcPr>
            <w:tcW w:w="92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280" w:type="dxa"/>
            <w:vAlign w:val="bottom"/>
          </w:tcPr>
          <w:p>
            <w:pPr>
              <w:spacing w:after="0"/>
              <w:rPr>
                <w:sz w:val="13"/>
                <w:szCs w:val="13"/>
                <w:color w:val="auto"/>
              </w:rPr>
            </w:pPr>
          </w:p>
        </w:tc>
        <w:tc>
          <w:tcPr>
            <w:tcW w:w="820" w:type="dxa"/>
            <w:vAlign w:val="bottom"/>
          </w:tcPr>
          <w:p>
            <w:pPr>
              <w:jc w:val="right"/>
              <w:ind w:right="353"/>
              <w:spacing w:after="0" w:line="159"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1,997</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5,984</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4,156</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1,855</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955</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1,242</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925</w:t>
            </w: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8,350</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8,886</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5,106</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10,829</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6,670</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24,619</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23,515</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59,442</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59,442</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26,919</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14,958</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17,391</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3,431</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2,126</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1,172</w:t>
            </w: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w w:val="86"/>
              </w:rPr>
              <w:t>154,782</w:t>
            </w:r>
          </w:p>
        </w:tc>
        <w:tc>
          <w:tcPr>
            <w:tcW w:w="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2"/>
              </w:rPr>
              <w:t>118,534</w:t>
            </w:r>
          </w:p>
        </w:tc>
      </w:tr>
      <w:tr>
        <w:trPr>
          <w:trHeight w:val="309"/>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4,838</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3,291</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1,235</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5,274</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3,143</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1,350</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1,800</w:t>
            </w: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12,697</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8,234</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38,209</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29,615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29,477</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28,246</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11,985</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7,862</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15,509</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2"/>
              </w:rPr>
              <w:t>Class A common stock, $0.01 par value—authorized, 7,500,000,000 shares; issued, 2,455,085,038 and 2,437,281,651;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outstanding, 2,089,624,288 and 2,071,820,901</w:t>
            </w:r>
          </w:p>
        </w:tc>
        <w:tc>
          <w:tcPr>
            <w:tcW w:w="28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89"/>
              </w:rPr>
              <w:t>Class A Special common stock, $0.01 par value—authorized, 7,500,000,000 shares; issued, 720,979,186 and 766,168,658;</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outstanding, 650,044,422 and 695,233,894</w:t>
            </w: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41,301</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39,780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12,932</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12,158</w:t>
            </w: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(7,517)</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46,643</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44,354</w:t>
            </w: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262</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46,905</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44,434</w:t>
            </w: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w w:val="86"/>
              </w:rPr>
              <w:t>154,782</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118,534</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393"/>
              <w:spacing w:after="0"/>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495"/>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7"/>
              </w:rPr>
              <w:t>14,333</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9,525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26,461</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9,532</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5,788</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w w:val="83"/>
              </w:rPr>
              <w:t>17,594</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1,411</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248</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7"/>
              </w:rPr>
              <w:t>11,395</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7,447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83"/>
              </w:rPr>
              <w:t>21,299</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14,714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2,078</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5,162</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w w:val="91"/>
              </w:rPr>
              <w:t>(1,226)</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(26)</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(604)</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(1,146)</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1,474</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4"/>
              </w:rPr>
              <w:t>(1,014)</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(588)</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1"/>
              </w:rPr>
              <w:t>(1,610)</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42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886</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1,022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884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1,965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0.37</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0.31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0.71</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w w:val="99"/>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35"/>
              <w:spacing w:after="0"/>
              <w:rPr>
                <w:sz w:val="20"/>
                <w:szCs w:val="20"/>
                <w:color w:val="auto"/>
              </w:rPr>
            </w:pPr>
            <w:r>
              <w:rPr>
                <w:rFonts w:ascii="Arial" w:cs="Arial" w:eastAsia="Arial" w:hAnsi="Arial"/>
                <w:sz w:val="18"/>
                <w:szCs w:val="18"/>
                <w:b w:val="1"/>
                <w:bCs w:val="1"/>
                <w:color w:val="auto"/>
              </w:rPr>
              <w:t>0.37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73"/>
              <w:spacing w:after="0"/>
              <w:rPr>
                <w:sz w:val="20"/>
                <w:szCs w:val="20"/>
                <w:color w:val="auto"/>
              </w:rPr>
            </w:pPr>
            <w:r>
              <w:rPr>
                <w:rFonts w:ascii="Arial" w:cs="Arial" w:eastAsia="Arial" w:hAnsi="Arial"/>
                <w:sz w:val="18"/>
                <w:szCs w:val="18"/>
                <w:b w:val="1"/>
                <w:bCs w:val="1"/>
                <w:color w:val="auto"/>
              </w:rPr>
              <w:t>0.31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5"/>
              <w:spacing w:after="0"/>
              <w:rPr>
                <w:sz w:val="20"/>
                <w:szCs w:val="20"/>
                <w:color w:val="auto"/>
              </w:rPr>
            </w:pPr>
            <w:r>
              <w:rPr>
                <w:rFonts w:ascii="Arial" w:cs="Arial" w:eastAsia="Arial" w:hAnsi="Arial"/>
                <w:sz w:val="18"/>
                <w:szCs w:val="18"/>
                <w:b w:val="1"/>
                <w:bCs w:val="1"/>
                <w:color w:val="auto"/>
              </w:rPr>
              <w:t>0.70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Dividends declared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w w:val="87"/>
              </w:rPr>
              <w:t>0.1125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83"/>
              </w:rPr>
              <w:t>0.0945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0.225</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0.189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300" w:type="dxa"/>
            <w:vAlign w:val="bottom"/>
            <w:gridSpan w:val="3"/>
          </w:tcPr>
          <w:p>
            <w:pPr>
              <w:jc w:val="right"/>
              <w:ind w:right="434"/>
              <w:spacing w:after="0"/>
              <w:rPr>
                <w:sz w:val="20"/>
                <w:szCs w:val="20"/>
                <w:color w:val="auto"/>
              </w:rPr>
            </w:pPr>
            <w:r>
              <w:rPr>
                <w:rFonts w:ascii="Arial" w:cs="Arial" w:eastAsia="Arial" w:hAnsi="Arial"/>
                <w:sz w:val="14"/>
                <w:szCs w:val="14"/>
                <w:color w:val="auto"/>
              </w:rPr>
              <w:t>Three Months Ended</w:t>
            </w:r>
          </w:p>
        </w:tc>
        <w:tc>
          <w:tcPr>
            <w:tcW w:w="1920" w:type="dxa"/>
            <w:vAlign w:val="bottom"/>
            <w:gridSpan w:val="2"/>
          </w:tcPr>
          <w:p>
            <w:pPr>
              <w:jc w:val="right"/>
              <w:ind w:right="31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2010</w:t>
            </w:r>
          </w:p>
        </w:tc>
        <w:tc>
          <w:tcPr>
            <w:tcW w:w="124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14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$ 1,367</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886</w:t>
            </w:r>
          </w:p>
        </w:tc>
        <w:tc>
          <w:tcPr>
            <w:tcW w:w="12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$ 2,406</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$ 1,765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w w:val="95"/>
              </w:rPr>
              <w:t>Unrealized gains (losses) on marketable securities, net of deferred taxes of $–, $–, $(3) and $–</w:t>
            </w:r>
          </w:p>
        </w:tc>
        <w:tc>
          <w:tcPr>
            <w:tcW w:w="144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7"/>
              <w:spacing w:after="0"/>
              <w:rPr>
                <w:sz w:val="20"/>
                <w:szCs w:val="20"/>
                <w:color w:val="auto"/>
              </w:rPr>
            </w:pPr>
            <w:r>
              <w:rPr>
                <w:rFonts w:ascii="Arial" w:cs="Arial" w:eastAsia="Arial" w:hAnsi="Arial"/>
                <w:sz w:val="18"/>
                <w:szCs w:val="18"/>
                <w:color w:val="auto"/>
              </w:rPr>
              <w:t>5</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w w:val="98"/>
              </w:rPr>
              <w:t>Deferred gains (losses) on cash flow hedges, net of deferred taxes of $4, $24, $(2) and $24</w:t>
            </w:r>
          </w:p>
        </w:tc>
        <w:tc>
          <w:tcPr>
            <w:tcW w:w="14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(42)</w:t>
            </w:r>
          </w:p>
        </w:tc>
        <w:tc>
          <w:tcPr>
            <w:tcW w:w="12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2</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2"/>
              </w:rPr>
              <w:t>Realized (gains) losses on marketable securities, net of deferred taxes of $1, $–, $5 and $–</w:t>
            </w:r>
          </w:p>
        </w:tc>
        <w:tc>
          <w:tcPr>
            <w:tcW w:w="14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(9)</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w w:val="92"/>
              </w:rPr>
              <w:t>Realized (gains) losses on cash flow hedges, net of deferred taxes of $(1), $(2), $6 and $(3)</w:t>
            </w:r>
          </w:p>
        </w:tc>
        <w:tc>
          <w:tcPr>
            <w:tcW w:w="1440" w:type="dxa"/>
            <w:vAlign w:val="bottom"/>
          </w:tcPr>
          <w:p>
            <w:pPr>
              <w:jc w:val="right"/>
              <w:ind w:right="397"/>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3</w:t>
            </w:r>
          </w:p>
        </w:tc>
        <w:tc>
          <w:tcPr>
            <w:tcW w:w="1240" w:type="dxa"/>
            <w:vAlign w:val="bottom"/>
          </w:tcPr>
          <w:p>
            <w:pPr>
              <w:jc w:val="right"/>
              <w:ind w:right="337"/>
              <w:spacing w:after="0"/>
              <w:rPr>
                <w:sz w:val="20"/>
                <w:szCs w:val="20"/>
                <w:color w:val="auto"/>
              </w:rPr>
            </w:pPr>
            <w:r>
              <w:rPr>
                <w:rFonts w:ascii="Arial" w:cs="Arial" w:eastAsia="Arial" w:hAnsi="Arial"/>
                <w:sz w:val="18"/>
                <w:szCs w:val="18"/>
                <w:color w:val="auto"/>
              </w:rPr>
              <w:t>(10)</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$1, $–, $(1)– and $–</w:t>
            </w:r>
          </w:p>
        </w:tc>
        <w:tc>
          <w:tcPr>
            <w:tcW w:w="14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(4)</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w:t>
            </w:r>
          </w:p>
        </w:tc>
        <w:tc>
          <w:tcPr>
            <w:tcW w:w="144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4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1,357</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847</w:t>
            </w:r>
          </w:p>
        </w:tc>
        <w:tc>
          <w:tcPr>
            <w:tcW w:w="12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2,400</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440" w:type="dxa"/>
            <w:vAlign w:val="bottom"/>
          </w:tcPr>
          <w:p>
            <w:pPr>
              <w:jc w:val="right"/>
              <w:ind w:right="337"/>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240" w:type="dxa"/>
            <w:vAlign w:val="bottom"/>
          </w:tcPr>
          <w:p>
            <w:pPr>
              <w:jc w:val="right"/>
              <w:ind w:right="337"/>
              <w:spacing w:after="0"/>
              <w:rPr>
                <w:sz w:val="20"/>
                <w:szCs w:val="20"/>
                <w:color w:val="auto"/>
              </w:rPr>
            </w:pPr>
            <w:r>
              <w:rPr>
                <w:rFonts w:ascii="Arial" w:cs="Arial" w:eastAsia="Arial" w:hAnsi="Arial"/>
                <w:sz w:val="18"/>
                <w:szCs w:val="18"/>
                <w:color w:val="auto"/>
              </w:rPr>
              <w:t>(441)</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4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44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b w:val="1"/>
                <w:bCs w:val="1"/>
                <w:color w:val="auto"/>
              </w:rPr>
              <w:t>$ 1,014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845</w:t>
            </w: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b w:val="1"/>
                <w:bCs w:val="1"/>
                <w:color w:val="auto"/>
              </w:rPr>
              <w:t>$ 1,959</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$ 1,710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2"/>
          </w:tcPr>
          <w:p>
            <w:pPr>
              <w:jc w:val="right"/>
              <w:ind w:right="33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4"/>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2011</w:t>
            </w:r>
          </w:p>
        </w:tc>
        <w:tc>
          <w:tcPr>
            <w:tcW w:w="11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$ 6,956</w:t>
            </w:r>
          </w:p>
        </w:tc>
        <w:tc>
          <w:tcPr>
            <w:tcW w:w="11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$ 5,332</w:t>
            </w: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(2,377)</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net of cash acquired</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(5,660)</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Proceeds from sales of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(8,286)</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(2,555)</w:t>
            </w: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741</w:t>
            </w:r>
          </w:p>
        </w:tc>
        <w:tc>
          <w:tcPr>
            <w:tcW w:w="11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Proceeds from 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repayments of debt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(1,764)</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(1,050)</w:t>
            </w: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Dividends paid</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(572)</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163</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(2,657)</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580</w:t>
            </w:r>
          </w:p>
        </w:tc>
        <w:tc>
          <w:tcPr>
            <w:tcW w:w="0" w:type="dxa"/>
            <w:vAlign w:val="bottom"/>
          </w:tcPr>
          <w:p>
            <w:pPr>
              <w:spacing w:after="0"/>
              <w:rPr>
                <w:sz w:val="1"/>
                <w:szCs w:val="1"/>
                <w:color w:val="auto"/>
              </w:rPr>
            </w:pPr>
          </w:p>
        </w:tc>
      </w:tr>
      <w:tr>
        <w:trPr>
          <w:trHeight w:val="210"/>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(3,987)</w:t>
            </w:r>
          </w:p>
        </w:tc>
        <w:tc>
          <w:tcPr>
            <w:tcW w:w="11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$ 1,997</w:t>
            </w:r>
          </w:p>
        </w:tc>
        <w:tc>
          <w:tcPr>
            <w:tcW w:w="11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$ 4,028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900" w:type="dxa"/>
            <w:vAlign w:val="bottom"/>
            <w:gridSpan w:val="3"/>
          </w:tcPr>
          <w:p>
            <w:pPr>
              <w:ind w:left="120"/>
              <w:spacing w:after="0"/>
              <w:rPr>
                <w:sz w:val="20"/>
                <w:szCs w:val="20"/>
                <w:color w:val="auto"/>
              </w:rPr>
            </w:pPr>
            <w:r>
              <w:rPr>
                <w:rFonts w:ascii="Arial" w:cs="Arial" w:eastAsia="Arial" w:hAnsi="Arial"/>
                <w:sz w:val="14"/>
                <w:szCs w:val="14"/>
                <w:color w:val="auto"/>
                <w:w w:val="95"/>
              </w:rPr>
              <w:t>Redeemable</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color w:val="auto"/>
                <w:w w:val="89"/>
              </w:rPr>
              <w:t>Common Stock</w:t>
            </w:r>
          </w:p>
        </w:tc>
        <w:tc>
          <w:tcPr>
            <w:tcW w:w="46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86"/>
              </w:rPr>
              <w:t>Treasury</w:t>
            </w:r>
          </w:p>
        </w:tc>
        <w:tc>
          <w:tcPr>
            <w:tcW w:w="1120" w:type="dxa"/>
            <w:vAlign w:val="bottom"/>
            <w:gridSpan w:val="3"/>
          </w:tcPr>
          <w:p>
            <w:pPr>
              <w:jc w:val="center"/>
              <w:ind w:left="1"/>
              <w:spacing w:after="0"/>
              <w:rPr>
                <w:sz w:val="20"/>
                <w:szCs w:val="20"/>
                <w:color w:val="auto"/>
              </w:rPr>
            </w:pPr>
            <w:r>
              <w:rPr>
                <w:rFonts w:ascii="Arial" w:cs="Arial" w:eastAsia="Arial" w:hAnsi="Arial"/>
                <w:sz w:val="14"/>
                <w:szCs w:val="14"/>
                <w:color w:val="auto"/>
                <w:w w:val="88"/>
              </w:rPr>
              <w:t>Accumulated</w:t>
            </w:r>
          </w:p>
        </w:tc>
        <w:tc>
          <w:tcPr>
            <w:tcW w:w="280" w:type="dxa"/>
            <w:vAlign w:val="bottom"/>
          </w:tcPr>
          <w:p>
            <w:pPr>
              <w:spacing w:after="0"/>
              <w:rPr>
                <w:sz w:val="14"/>
                <w:szCs w:val="14"/>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8"/>
              </w:rPr>
              <w:t>Non-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center"/>
              <w:ind w:right="200"/>
              <w:spacing w:after="0" w:line="115" w:lineRule="exact"/>
              <w:rPr>
                <w:sz w:val="20"/>
                <w:szCs w:val="20"/>
                <w:color w:val="auto"/>
              </w:rPr>
            </w:pPr>
            <w:r>
              <w:rPr>
                <w:rFonts w:ascii="Arial" w:cs="Arial" w:eastAsia="Arial" w:hAnsi="Arial"/>
                <w:sz w:val="12"/>
                <w:szCs w:val="12"/>
                <w:color w:val="auto"/>
              </w:rPr>
              <w:t>Non-</w:t>
            </w: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jc w:val="center"/>
              <w:ind w:right="280"/>
              <w:spacing w:after="0" w:line="115" w:lineRule="exact"/>
              <w:rPr>
                <w:sz w:val="20"/>
                <w:szCs w:val="20"/>
                <w:color w:val="auto"/>
              </w:rPr>
            </w:pPr>
            <w:r>
              <w:rPr>
                <w:rFonts w:ascii="Arial" w:cs="Arial" w:eastAsia="Arial" w:hAnsi="Arial"/>
                <w:sz w:val="12"/>
                <w:szCs w:val="12"/>
                <w:color w:val="auto"/>
                <w:w w:val="99"/>
              </w:rPr>
              <w:t>Other</w:t>
            </w:r>
          </w:p>
        </w:tc>
        <w:tc>
          <w:tcPr>
            <w:tcW w:w="2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controlling</w:t>
            </w:r>
          </w:p>
        </w:tc>
        <w:tc>
          <w:tcPr>
            <w:tcW w:w="2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Paid-In</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Retained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5"/>
              </w:rPr>
              <w:t>Comprehensive</w:t>
            </w:r>
          </w:p>
        </w:tc>
        <w:tc>
          <w:tcPr>
            <w:tcW w:w="8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controlling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Interests</w:t>
            </w:r>
          </w:p>
        </w:tc>
        <w:tc>
          <w:tcPr>
            <w:tcW w:w="280" w:type="dxa"/>
            <w:vAlign w:val="bottom"/>
            <w:tcBorders>
              <w:right w:val="single" w:sz="8" w:color="auto"/>
            </w:tcBorders>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color w:val="auto"/>
              </w:rPr>
              <w:t>A</w:t>
            </w: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A Special</w:t>
            </w:r>
          </w:p>
        </w:tc>
        <w:tc>
          <w:tcPr>
            <w:tcW w:w="460" w:type="dxa"/>
            <w:vAlign w:val="bottom"/>
          </w:tcPr>
          <w:p>
            <w:pPr>
              <w:jc w:val="center"/>
              <w:spacing w:after="0"/>
              <w:rPr>
                <w:sz w:val="20"/>
                <w:szCs w:val="20"/>
                <w:color w:val="auto"/>
              </w:rPr>
            </w:pPr>
            <w:r>
              <w:rPr>
                <w:rFonts w:ascii="Arial" w:cs="Arial" w:eastAsia="Arial" w:hAnsi="Arial"/>
                <w:sz w:val="14"/>
                <w:szCs w:val="14"/>
                <w:color w:val="auto"/>
                <w:w w:val="85"/>
              </w:rPr>
              <w:t>B</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Capital</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Earnings</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3"/>
              </w:rPr>
              <w:t>Cost</w:t>
            </w: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87"/>
              </w:rPr>
              <w:t>Income (Loss)</w:t>
            </w:r>
          </w:p>
        </w:tc>
        <w:tc>
          <w:tcPr>
            <w:tcW w:w="860" w:type="dxa"/>
            <w:vAlign w:val="bottom"/>
            <w:gridSpan w:val="3"/>
          </w:tcPr>
          <w:p>
            <w:pPr>
              <w:ind w:left="240"/>
              <w:spacing w:after="0"/>
              <w:rPr>
                <w:sz w:val="20"/>
                <w:szCs w:val="20"/>
                <w:color w:val="auto"/>
              </w:rPr>
            </w:pPr>
            <w:r>
              <w:rPr>
                <w:rFonts w:ascii="Arial" w:cs="Arial" w:eastAsia="Arial" w:hAnsi="Arial"/>
                <w:sz w:val="14"/>
                <w:szCs w:val="14"/>
                <w:color w:val="auto"/>
              </w:rPr>
              <w:t>Interests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2010</w:t>
            </w:r>
          </w:p>
        </w:tc>
        <w:tc>
          <w:tcPr>
            <w:tcW w:w="2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right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8</w:t>
            </w: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$40,247</w:t>
            </w:r>
          </w:p>
        </w:tc>
        <w:tc>
          <w:tcPr>
            <w:tcW w:w="100" w:type="dxa"/>
            <w:vAlign w:val="bottom"/>
            <w:tcBorders>
              <w:top w:val="single" w:sz="8" w:color="E5E5E5"/>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Borders>
              <w:top w:val="single" w:sz="8" w:color="E5E5E5"/>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80"/>
              </w:rPr>
              <w:t>$(7,517)</w:t>
            </w:r>
          </w:p>
        </w:tc>
        <w:tc>
          <w:tcPr>
            <w:tcW w:w="100" w:type="dxa"/>
            <w:vAlign w:val="bottom"/>
            <w:tcBorders>
              <w:top w:val="single" w:sz="8" w:color="E5E5E5"/>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E5E5E5"/>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$42,811</w:t>
            </w:r>
          </w:p>
        </w:tc>
        <w:tc>
          <w:tcPr>
            <w:tcW w:w="100" w:type="dxa"/>
            <w:vAlign w:val="bottom"/>
            <w:tcBorders>
              <w:top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8"/>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w w:val="89"/>
              </w:rPr>
              <w:t>Repurchases and retirements of common</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tcBorders>
              <w:right w:val="single" w:sz="8" w:color="auto"/>
            </w:tcBorders>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(407)</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(193)</w:t>
            </w: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(532)</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8"/>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w w:val="94"/>
              </w:rPr>
              <w:t>Sale (purchase) of subsidiary shares to</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(from) noncontrolling interests, net</w:t>
            </w:r>
          </w:p>
        </w:tc>
        <w:tc>
          <w:tcPr>
            <w:tcW w:w="220" w:type="dxa"/>
            <w:vAlign w:val="bottom"/>
            <w:shd w:val="clear" w:color="auto" w:fill="E5E5E5"/>
          </w:tcPr>
          <w:p>
            <w:pPr>
              <w:spacing w:after="0"/>
              <w:rPr>
                <w:sz w:val="19"/>
                <w:szCs w:val="19"/>
                <w:color w:val="auto"/>
              </w:rPr>
            </w:pPr>
          </w:p>
        </w:tc>
        <w:tc>
          <w:tcPr>
            <w:tcW w:w="6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(20)</w:t>
            </w:r>
          </w:p>
        </w:tc>
        <w:tc>
          <w:tcPr>
            <w:tcW w:w="280" w:type="dxa"/>
            <w:vAlign w:val="bottom"/>
            <w:tcBorders>
              <w:right w:val="single" w:sz="8" w:color="auto"/>
            </w:tcBorders>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w:t>
            </w:r>
          </w:p>
        </w:tc>
        <w:tc>
          <w:tcPr>
            <w:tcW w:w="7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2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1,750</w:t>
            </w:r>
          </w:p>
        </w:tc>
        <w:tc>
          <w:tcPr>
            <w:tcW w:w="7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145</w:t>
            </w:r>
          </w:p>
        </w:tc>
        <w:tc>
          <w:tcPr>
            <w:tcW w:w="2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8</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$39,982</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$ 11,026</w:t>
            </w: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5"/>
              </w:rPr>
              <w:t>$(7,517)</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(86)</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$43,524</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143</w:t>
            </w:r>
          </w:p>
        </w:tc>
        <w:tc>
          <w:tcPr>
            <w:tcW w:w="28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w:t>
            </w:r>
          </w:p>
        </w:tc>
        <w:tc>
          <w:tcPr>
            <w:tcW w:w="4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$39,780</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$12,158</w:t>
            </w:r>
          </w:p>
        </w:tc>
        <w:tc>
          <w:tcPr>
            <w:tcW w:w="820" w:type="dxa"/>
            <w:vAlign w:val="bottom"/>
            <w:gridSpan w:val="2"/>
            <w:shd w:val="clear" w:color="auto" w:fill="E5E5E5"/>
          </w:tcPr>
          <w:p>
            <w:pPr>
              <w:ind w:left="160"/>
              <w:spacing w:after="0"/>
              <w:rPr>
                <w:sz w:val="20"/>
                <w:szCs w:val="20"/>
                <w:color w:val="auto"/>
              </w:rPr>
            </w:pPr>
            <w:r>
              <w:rPr>
                <w:rFonts w:ascii="Arial" w:cs="Arial" w:eastAsia="Arial" w:hAnsi="Arial"/>
                <w:sz w:val="18"/>
                <w:szCs w:val="18"/>
                <w:color w:val="auto"/>
                <w:w w:val="95"/>
              </w:rPr>
              <w:t>$(7,517)</w:t>
            </w:r>
          </w:p>
        </w:tc>
        <w:tc>
          <w:tcPr>
            <w:tcW w:w="3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8"/>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w w:val="89"/>
              </w:rPr>
              <w:t>Repurchases and retirements of common</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tcBorders>
              <w:right w:val="single" w:sz="8" w:color="auto"/>
            </w:tcBorders>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4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(514)</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(535)</w:t>
            </w: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(621)</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NBCUniversal transaction</w:t>
            </w:r>
          </w:p>
        </w:tc>
        <w:tc>
          <w:tcPr>
            <w:tcW w:w="220" w:type="dxa"/>
            <w:vAlign w:val="bottom"/>
            <w:shd w:val="clear" w:color="auto" w:fill="E5E5E5"/>
          </w:tcPr>
          <w:p>
            <w:pPr>
              <w:spacing w:after="0"/>
              <w:rPr>
                <w:sz w:val="18"/>
                <w:szCs w:val="18"/>
                <w:color w:val="auto"/>
              </w:rPr>
            </w:pPr>
          </w:p>
        </w:tc>
        <w:tc>
          <w:tcPr>
            <w:tcW w:w="6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15,166</w:t>
            </w:r>
          </w:p>
        </w:tc>
        <w:tc>
          <w:tcPr>
            <w:tcW w:w="28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1,692</w:t>
            </w: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2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8"/>
        </w:trPr>
        <w:tc>
          <w:tcPr>
            <w:tcW w:w="2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362</w:t>
            </w:r>
          </w:p>
        </w:tc>
        <w:tc>
          <w:tcPr>
            <w:tcW w:w="28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1,965</w:t>
            </w:r>
          </w:p>
        </w:tc>
        <w:tc>
          <w:tcPr>
            <w:tcW w:w="7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15,509</w:t>
            </w:r>
          </w:p>
        </w:tc>
        <w:tc>
          <w:tcPr>
            <w:tcW w:w="28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$41,301</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$12,932</w:t>
            </w: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5"/>
              </w:rPr>
              <w:t>$(7,517)</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(105)</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$46,905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We also evaluated events or transactions that occurred after the balance sheet date through the issuance date of these condensed consolidated financial statements to determine if financial statement recognition or additional disclosure is required. The consolidated results of operations for the interim periods presented are not necessarily indicative of results for the full year.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On January 28, 2011, we closed our transaction with General Electric Company (“GE”) in which we acquired control of the businesses of NBC Universal, Inc. (now named NBCUniversal Media, LLC (“NBCUniversal”)), a leading media and entertainment company that develops, produces and distributes entertainment, news and information, sports and other content to global audiences. NBCUniversal’s results of operations from January 29 through June 30, 2011 are included in our consolidated results of operations. See Note 4 for additional information on the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82" w:lineRule="exact"/>
        <w:rPr>
          <w:sz w:val="20"/>
          <w:szCs w:val="20"/>
          <w:color w:val="auto"/>
        </w:rPr>
      </w:pPr>
    </w:p>
    <w:p>
      <w:pPr>
        <w:ind w:right="1480"/>
        <w:spacing w:after="0" w:line="352" w:lineRule="auto"/>
        <w:rPr>
          <w:sz w:val="20"/>
          <w:szCs w:val="20"/>
          <w:color w:val="auto"/>
        </w:rPr>
      </w:pPr>
      <w:r>
        <w:rPr>
          <w:rFonts w:ascii="Arial" w:cs="Arial" w:eastAsia="Arial" w:hAnsi="Arial"/>
          <w:sz w:val="18"/>
          <w:szCs w:val="18"/>
          <w:color w:val="auto"/>
        </w:rPr>
        <w:t xml:space="preserve">The accounting policies described below became significant to our business as a result of the NBCUniversal transaction on January 28, 2011. </w:t>
      </w:r>
      <w:r>
        <w:rPr>
          <w:rFonts w:ascii="Arial" w:cs="Arial" w:eastAsia="Arial" w:hAnsi="Arial"/>
          <w:sz w:val="18"/>
          <w:szCs w:val="18"/>
          <w:b w:val="1"/>
          <w:bCs w:val="1"/>
          <w:color w:val="auto"/>
        </w:rPr>
        <w:t>Use of Estimates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NBCUniversal transaction, we have performed a preliminary allocation of purchase price to the assets and liabilities of the businesses acquired using preliminary estimates. The estimates are subject to change as discussed in Note 4. Estimates are also used when accounting for various items, including capitalized film and television costs, amortization of owned and acquired programming, participation and residual payments, and estimates of DVD returns and customer incentives. Actual results could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capitalize film and television production costs, including direct costs, production overhead, print costs, development costs and interest. We amortize capitalized film and television production costs, as well as accrue costs associated with participation and residual payments, on an individual production basis using the ratio of the current period’s actual revenue to the estimated total remaining gross revenue from all sources, which is referred to as ultimate revenue. Estimates of total revenue and total costs are based on anticipated release patterns, public acceptance and historical results for similar productions. We state unamortized film and television costs at the lower of unamortized cost or fair value. We do not capitalize costs related to film exploitation, which are primarily costs associated with the marketing and distribution of film and television programming.</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state acquired film and television libraries at the lower of unamortized cost or fair value. In determining the estimated lives and method of amortization, we generally use the method and the life that most closely follow the undiscounted cash flows over the estimated life of the asset.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capitalize the costs to license programming content, including rights to multiyear live-event sports programming, at the earlier of the programming acquisition or when the license period begins and the content is available for use. We amortize capitalized programming costs as the associated programs are broadcast. We amortize multiyear, live-event sports programming rights using the ratio of the current period’s actual direct revenue to the estimated total remaining direct revenue or based on the contract terms.</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state the cost of acquired programming at the lower of unamortized cost or net realizable value on a program-by-program, package, channel or daypart basis. A daypart is defined as an aggregation of programs broadcast during a particular time of day or programs of a similar type. Acquired programming used by our cable programming networks is tested on a channel basis for impairment, whereas the programming for the NBC and Telemundo broadcast networks is tested on a daypart basis. If we determine that the estimates of future cash flows are insufficient or there is no plan to broadcast certain programming, we will recognize an impairment charge in other operating costs and expenses.</w:t>
      </w:r>
    </w:p>
    <w:p>
      <w:pPr>
        <w:spacing w:after="0" w:line="2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enter into arrangements with third parties to jointly finance and distribute many of our film productions. These arrangements, which are referred to as cofinancing arrangements, can take various forms. In most cases, the form of the arrangement involves the grant of an economic interest in a film to a third-party investor. The number of investors and the terms of these arrangements can also vary, although in most cases an investor assumes the full risk for the portion of the film acquired in these arrangements. We account for our proceeds under these arrangements as a reduction to our capitalized film costs. In these arrangements, the investor owns an undivided copyright interest in the film and, therefore, in each period we record either a charge or benefit to operating costs and expenses to reflect the estimate of the third-party investor’s interest in the profit or loss of the film. The estimate of the third-party investor’s interest in the profit or loss of a film is determined by reference to the ratio of actual revenue earned to date in relation to the ultimate revenue expected to be recognized over a film’s useful life.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additional information on our film and television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 revenue from the theatrical distribution of films when films are exhibited. We recognize revenue from the licensing of film and television productions when the content is available for use by the licensee, and when certain other conditions are met. When license fees are contracted as part cash and part advertising time, we recognize the advertising time component when the advertising units are aired. We recognize revenue from home entertainment units, net of estimated returns and customer incentives, on the date that units are delivered to and made available for sale by retailers.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from advance theme park ticket sales when the tickets are used. For nonexpiring, multiday or annual passes, we recognize revenue over the period of benefit based on estimated usage patterns that are derived from historical experience. We recognize revenue from corporate sponsors at the theme parks over the period of the applicable contract.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enter into nonmonetary exchanges of advertising units for other advertising units, products or services. Advertising units exchanged for advertising units are recorded at the fair value of advertising units provided and recognized when aired. Advertising units exchanged for products or services are recorded at the fair value of the goods or services received or advertising units provided. Advertising units provided are recognized when aired, and costs are recognized in the period the products or services are used.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Functional currencies are determined based on entity-specific economic and management indicators. We translate the assets and liabilities of our foreign subsidiaries where the functional currency is the local currency, primarily the euro and the British pound, into U.S. dollars at the exchange rate in effect at the balance sheet date. We translate revenue and expenses using average exchange rates prevailing during the period. The related translation adjustments are recorded as a component of accumulated other comprehensive income (loss).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Reclassifications have been made to the prior year’s condensed consolidated balance sheet to programming rights, other current assets, film and television costs, other intangible assets, net and other noncurrent assets, net to adjust to classifications used in the current period as a result of the acquisition of the NBCUniversal businesses.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six months ended June 30, 2011 excludes approximately 52 million and 43 million, respectively, of potential common shares related to our share-based compensation plans, because the inclusion of the potential common shares would have had an antidilutive effect. For the three and six months ended June 30, 2010, diluted EPS excluded approximately 195 million and 194 million, respectively, of potential common shares.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4"/>
                <w:szCs w:val="14"/>
                <w:color w:val="auto"/>
                <w:w w:val="88"/>
              </w:rPr>
              <w:t>Three Months Ended June 30</w:t>
            </w: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40"/>
              <w:spacing w:after="0" w:line="142" w:lineRule="exact"/>
              <w:rPr>
                <w:sz w:val="20"/>
                <w:szCs w:val="20"/>
                <w:color w:val="auto"/>
              </w:rPr>
            </w:pPr>
            <w:r>
              <w:rPr>
                <w:rFonts w:ascii="Arial" w:cs="Arial" w:eastAsia="Arial" w:hAnsi="Arial"/>
                <w:sz w:val="14"/>
                <w:szCs w:val="14"/>
                <w:color w:val="auto"/>
                <w:w w:val="83"/>
              </w:rPr>
              <w:t>2011</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4940" w:type="dxa"/>
            <w:vAlign w:val="bottom"/>
          </w:tcPr>
          <w:p>
            <w:pPr>
              <w:spacing w:after="0"/>
              <w:rPr>
                <w:sz w:val="11"/>
                <w:szCs w:val="11"/>
                <w:color w:val="auto"/>
              </w:rPr>
            </w:pPr>
          </w:p>
        </w:tc>
        <w:tc>
          <w:tcPr>
            <w:tcW w:w="1200" w:type="dxa"/>
            <w:vAlign w:val="bottom"/>
            <w:gridSpan w:val="2"/>
          </w:tcPr>
          <w:p>
            <w:pPr>
              <w:jc w:val="center"/>
              <w:ind w:left="304"/>
              <w:spacing w:after="0" w:line="131" w:lineRule="exact"/>
              <w:rPr>
                <w:sz w:val="20"/>
                <w:szCs w:val="20"/>
                <w:color w:val="auto"/>
              </w:rPr>
            </w:pPr>
            <w:r>
              <w:rPr>
                <w:rFonts w:ascii="Arial" w:cs="Arial" w:eastAsia="Arial" w:hAnsi="Arial"/>
                <w:sz w:val="14"/>
                <w:szCs w:val="14"/>
                <w:color w:val="auto"/>
                <w:w w:val="86"/>
              </w:rPr>
              <w:t>Net Income</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jc w:val="right"/>
              <w:ind w:right="316"/>
              <w:spacing w:after="0" w:line="131" w:lineRule="exact"/>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4940" w:type="dxa"/>
            <w:vAlign w:val="bottom"/>
          </w:tcPr>
          <w:p>
            <w:pPr>
              <w:spacing w:after="0"/>
              <w:rPr>
                <w:sz w:val="12"/>
                <w:szCs w:val="12"/>
                <w:color w:val="auto"/>
              </w:rPr>
            </w:pPr>
          </w:p>
        </w:tc>
        <w:tc>
          <w:tcPr>
            <w:tcW w:w="1200" w:type="dxa"/>
            <w:vAlign w:val="bottom"/>
            <w:gridSpan w:val="2"/>
          </w:tcPr>
          <w:p>
            <w:pPr>
              <w:jc w:val="center"/>
              <w:ind w:left="304"/>
              <w:spacing w:after="0" w:line="149" w:lineRule="exact"/>
              <w:rPr>
                <w:sz w:val="20"/>
                <w:szCs w:val="20"/>
                <w:color w:val="auto"/>
              </w:rPr>
            </w:pPr>
            <w:r>
              <w:rPr>
                <w:rFonts w:ascii="Arial" w:cs="Arial" w:eastAsia="Arial" w:hAnsi="Arial"/>
                <w:sz w:val="14"/>
                <w:szCs w:val="14"/>
                <w:color w:val="auto"/>
                <w:w w:val="90"/>
              </w:rPr>
              <w:t>Attributable to</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2"/>
          </w:tcPr>
          <w:p>
            <w:pPr>
              <w:jc w:val="right"/>
              <w:ind w:right="236"/>
              <w:spacing w:after="0" w:line="149" w:lineRule="exact"/>
              <w:rPr>
                <w:sz w:val="20"/>
                <w:szCs w:val="20"/>
                <w:color w:val="auto"/>
              </w:rPr>
            </w:pPr>
            <w:r>
              <w:rPr>
                <w:rFonts w:ascii="Arial" w:cs="Arial" w:eastAsia="Arial" w:hAnsi="Arial"/>
                <w:sz w:val="14"/>
                <w:szCs w:val="14"/>
                <w:color w:val="auto"/>
              </w:rPr>
              <w:t>Attributable to</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3"/>
              </w:rPr>
              <w:t>Comcast</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Per Share</w:t>
            </w:r>
          </w:p>
        </w:tc>
        <w:tc>
          <w:tcPr>
            <w:tcW w:w="12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Comcast</w:t>
            </w:r>
          </w:p>
        </w:tc>
        <w:tc>
          <w:tcPr>
            <w:tcW w:w="92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49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00" w:type="dxa"/>
            <w:vAlign w:val="bottom"/>
            <w:tcBorders>
              <w:bottom w:val="single" w:sz="8" w:color="auto"/>
            </w:tcBorders>
            <w:gridSpan w:val="2"/>
          </w:tcPr>
          <w:p>
            <w:pPr>
              <w:jc w:val="center"/>
              <w:ind w:left="304"/>
              <w:spacing w:after="0" w:line="159" w:lineRule="exact"/>
              <w:rPr>
                <w:sz w:val="20"/>
                <w:szCs w:val="20"/>
                <w:color w:val="auto"/>
              </w:rPr>
            </w:pPr>
            <w:r>
              <w:rPr>
                <w:rFonts w:ascii="Arial" w:cs="Arial" w:eastAsia="Arial" w:hAnsi="Arial"/>
                <w:sz w:val="14"/>
                <w:szCs w:val="14"/>
                <w:color w:val="auto"/>
                <w:w w:val="90"/>
              </w:rPr>
              <w:t>Corporation</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9" w:lineRule="exact"/>
              <w:rPr>
                <w:sz w:val="20"/>
                <w:szCs w:val="20"/>
                <w:color w:val="auto"/>
              </w:rPr>
            </w:pPr>
            <w:r>
              <w:rPr>
                <w:rFonts w:ascii="Arial" w:cs="Arial" w:eastAsia="Arial" w:hAnsi="Arial"/>
                <w:sz w:val="14"/>
                <w:szCs w:val="14"/>
                <w:color w:val="auto"/>
                <w:w w:val="99"/>
              </w:rPr>
              <w:t>Shares</w:t>
            </w:r>
          </w:p>
        </w:tc>
        <w:tc>
          <w:tcPr>
            <w:tcW w:w="980" w:type="dxa"/>
            <w:vAlign w:val="bottom"/>
            <w:tcBorders>
              <w:bottom w:val="single" w:sz="8" w:color="auto"/>
            </w:tcBorders>
            <w:gridSpan w:val="3"/>
          </w:tcPr>
          <w:p>
            <w:pPr>
              <w:ind w:left="140"/>
              <w:spacing w:after="0" w:line="159" w:lineRule="exact"/>
              <w:rPr>
                <w:sz w:val="20"/>
                <w:szCs w:val="20"/>
                <w:color w:val="auto"/>
              </w:rPr>
            </w:pPr>
            <w:r>
              <w:rPr>
                <w:rFonts w:ascii="Arial" w:cs="Arial" w:eastAsia="Arial" w:hAnsi="Arial"/>
                <w:sz w:val="14"/>
                <w:szCs w:val="14"/>
                <w:color w:val="auto"/>
              </w:rPr>
              <w:t>Amount</w:t>
            </w:r>
          </w:p>
        </w:tc>
        <w:tc>
          <w:tcPr>
            <w:tcW w:w="1240" w:type="dxa"/>
            <w:vAlign w:val="bottom"/>
            <w:tcBorders>
              <w:bottom w:val="single" w:sz="8" w:color="auto"/>
            </w:tcBorders>
            <w:gridSpan w:val="2"/>
          </w:tcPr>
          <w:p>
            <w:pPr>
              <w:jc w:val="right"/>
              <w:ind w:right="296"/>
              <w:spacing w:after="0" w:line="159" w:lineRule="exact"/>
              <w:rPr>
                <w:sz w:val="20"/>
                <w:szCs w:val="20"/>
                <w:color w:val="auto"/>
              </w:rPr>
            </w:pPr>
            <w:r>
              <w:rPr>
                <w:rFonts w:ascii="Arial" w:cs="Arial" w:eastAsia="Arial" w:hAnsi="Arial"/>
                <w:sz w:val="14"/>
                <w:szCs w:val="14"/>
                <w:color w:val="auto"/>
              </w:rPr>
              <w:t>Corporation</w:t>
            </w:r>
          </w:p>
        </w:tc>
        <w:tc>
          <w:tcPr>
            <w:tcW w:w="920" w:type="dxa"/>
            <w:vAlign w:val="bottom"/>
            <w:tcBorders>
              <w:bottom w:val="single" w:sz="8" w:color="auto"/>
            </w:tcBorders>
          </w:tcPr>
          <w:p>
            <w:pPr>
              <w:jc w:val="right"/>
              <w:ind w:right="26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ind w:left="300"/>
              <w:spacing w:after="0"/>
              <w:rPr>
                <w:sz w:val="20"/>
                <w:szCs w:val="20"/>
                <w:color w:val="auto"/>
              </w:rPr>
            </w:pPr>
            <w:r>
              <w:rPr>
                <w:rFonts w:ascii="Arial" w:cs="Arial" w:eastAsia="Arial" w:hAnsi="Arial"/>
                <w:sz w:val="18"/>
                <w:szCs w:val="18"/>
                <w:color w:val="auto"/>
                <w:w w:val="84"/>
              </w:rPr>
              <w:t>1,022</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2,759</w:t>
            </w:r>
          </w:p>
        </w:tc>
        <w:tc>
          <w:tcPr>
            <w:tcW w:w="2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ind w:left="60"/>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884</w:t>
            </w:r>
          </w:p>
        </w:tc>
        <w:tc>
          <w:tcPr>
            <w:tcW w:w="92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2,816</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0.31</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89"/>
              </w:rPr>
              <w:t>Assumed exercise or issuance of shares relating to stock plans</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0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Diluted EPS attributable to Comcast Corporation shareholders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4"/>
              </w:rPr>
              <w:t>1,022</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b w:val="1"/>
                <w:bCs w:val="1"/>
                <w:color w:val="auto"/>
              </w:rPr>
              <w:t>2,789</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0.37</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884</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b w:val="1"/>
                <w:bCs w:val="1"/>
                <w:color w:val="auto"/>
              </w:rPr>
              <w:t>2,822</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0.31</w:t>
            </w:r>
          </w:p>
        </w:tc>
      </w:tr>
      <w:tr>
        <w:trPr>
          <w:trHeight w:val="216"/>
        </w:trPr>
        <w:tc>
          <w:tcPr>
            <w:tcW w:w="4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Six Months Ended June 30</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142"/>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4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jc w:val="center"/>
              <w:ind w:left="182"/>
              <w:spacing w:after="0" w:line="131" w:lineRule="exact"/>
              <w:rPr>
                <w:sz w:val="20"/>
                <w:szCs w:val="20"/>
                <w:color w:val="auto"/>
              </w:rPr>
            </w:pPr>
            <w:r>
              <w:rPr>
                <w:rFonts w:ascii="Arial" w:cs="Arial" w:eastAsia="Arial" w:hAnsi="Arial"/>
                <w:sz w:val="14"/>
                <w:szCs w:val="14"/>
                <w:color w:val="auto"/>
                <w:w w:val="86"/>
              </w:rPr>
              <w:t>Net Income</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jc w:val="right"/>
              <w:ind w:right="156"/>
              <w:spacing w:after="0" w:line="131" w:lineRule="exact"/>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left="182"/>
              <w:spacing w:after="0" w:line="149" w:lineRule="exact"/>
              <w:rPr>
                <w:sz w:val="20"/>
                <w:szCs w:val="20"/>
                <w:color w:val="auto"/>
              </w:rPr>
            </w:pPr>
            <w:r>
              <w:rPr>
                <w:rFonts w:ascii="Arial" w:cs="Arial" w:eastAsia="Arial" w:hAnsi="Arial"/>
                <w:sz w:val="14"/>
                <w:szCs w:val="14"/>
                <w:color w:val="auto"/>
                <w:w w:val="90"/>
              </w:rPr>
              <w:t>Attributable to</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Attributable to</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left="182"/>
              <w:spacing w:after="0" w:line="149" w:lineRule="exact"/>
              <w:rPr>
                <w:sz w:val="20"/>
                <w:szCs w:val="20"/>
                <w:color w:val="auto"/>
              </w:rPr>
            </w:pPr>
            <w:r>
              <w:rPr>
                <w:rFonts w:ascii="Arial" w:cs="Arial" w:eastAsia="Arial" w:hAnsi="Arial"/>
                <w:sz w:val="14"/>
                <w:szCs w:val="14"/>
                <w:color w:val="auto"/>
                <w:w w:val="83"/>
              </w:rPr>
              <w:t>Comcast</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Per Share</w:t>
            </w:r>
          </w:p>
        </w:tc>
        <w:tc>
          <w:tcPr>
            <w:tcW w:w="420" w:type="dxa"/>
            <w:vAlign w:val="bottom"/>
          </w:tcPr>
          <w:p>
            <w:pPr>
              <w:spacing w:after="0"/>
              <w:rPr>
                <w:sz w:val="12"/>
                <w:szCs w:val="12"/>
                <w:color w:val="auto"/>
              </w:rPr>
            </w:pPr>
          </w:p>
        </w:tc>
        <w:tc>
          <w:tcPr>
            <w:tcW w:w="820" w:type="dxa"/>
            <w:vAlign w:val="bottom"/>
          </w:tcPr>
          <w:p>
            <w:pPr>
              <w:jc w:val="right"/>
              <w:ind w:right="236"/>
              <w:spacing w:after="0" w:line="149" w:lineRule="exact"/>
              <w:rPr>
                <w:sz w:val="20"/>
                <w:szCs w:val="20"/>
                <w:color w:val="auto"/>
              </w:rPr>
            </w:pPr>
            <w:r>
              <w:rPr>
                <w:rFonts w:ascii="Arial" w:cs="Arial" w:eastAsia="Arial" w:hAnsi="Arial"/>
                <w:sz w:val="14"/>
                <w:szCs w:val="14"/>
                <w:color w:val="auto"/>
                <w:w w:val="86"/>
              </w:rPr>
              <w:t>Comcast</w:t>
            </w:r>
          </w:p>
        </w:tc>
        <w:tc>
          <w:tcPr>
            <w:tcW w:w="92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49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left="182"/>
              <w:spacing w:after="0" w:line="159" w:lineRule="exact"/>
              <w:rPr>
                <w:sz w:val="20"/>
                <w:szCs w:val="20"/>
                <w:color w:val="auto"/>
              </w:rPr>
            </w:pPr>
            <w:r>
              <w:rPr>
                <w:rFonts w:ascii="Arial" w:cs="Arial" w:eastAsia="Arial" w:hAnsi="Arial"/>
                <w:sz w:val="14"/>
                <w:szCs w:val="14"/>
                <w:color w:val="auto"/>
                <w:w w:val="90"/>
              </w:rPr>
              <w:t>Corporation</w:t>
            </w:r>
          </w:p>
        </w:tc>
        <w:tc>
          <w:tcPr>
            <w:tcW w:w="900" w:type="dxa"/>
            <w:vAlign w:val="bottom"/>
            <w:tcBorders>
              <w:bottom w:val="single" w:sz="8" w:color="auto"/>
            </w:tcBorders>
          </w:tcPr>
          <w:p>
            <w:pPr>
              <w:jc w:val="right"/>
              <w:ind w:right="40"/>
              <w:spacing w:after="0" w:line="159" w:lineRule="exact"/>
              <w:rPr>
                <w:sz w:val="20"/>
                <w:szCs w:val="20"/>
                <w:color w:val="auto"/>
              </w:rPr>
            </w:pPr>
            <w:r>
              <w:rPr>
                <w:rFonts w:ascii="Arial" w:cs="Arial" w:eastAsia="Arial" w:hAnsi="Arial"/>
                <w:sz w:val="14"/>
                <w:szCs w:val="14"/>
                <w:color w:val="auto"/>
              </w:rPr>
              <w:t>Shares</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120"/>
              <w:spacing w:after="0" w:line="159" w:lineRule="exact"/>
              <w:rPr>
                <w:sz w:val="20"/>
                <w:szCs w:val="20"/>
                <w:color w:val="auto"/>
              </w:rPr>
            </w:pPr>
            <w:r>
              <w:rPr>
                <w:rFonts w:ascii="Arial" w:cs="Arial" w:eastAsia="Arial" w:hAnsi="Arial"/>
                <w:sz w:val="14"/>
                <w:szCs w:val="14"/>
                <w:color w:val="auto"/>
              </w:rPr>
              <w:t>Amount</w:t>
            </w:r>
          </w:p>
        </w:tc>
        <w:tc>
          <w:tcPr>
            <w:tcW w:w="1240" w:type="dxa"/>
            <w:vAlign w:val="bottom"/>
            <w:tcBorders>
              <w:bottom w:val="single" w:sz="8" w:color="auto"/>
            </w:tcBorders>
            <w:gridSpan w:val="2"/>
          </w:tcPr>
          <w:p>
            <w:pPr>
              <w:jc w:val="right"/>
              <w:ind w:right="136"/>
              <w:spacing w:after="0" w:line="159" w:lineRule="exact"/>
              <w:rPr>
                <w:sz w:val="20"/>
                <w:szCs w:val="20"/>
                <w:color w:val="auto"/>
              </w:rPr>
            </w:pPr>
            <w:r>
              <w:rPr>
                <w:rFonts w:ascii="Arial" w:cs="Arial" w:eastAsia="Arial" w:hAnsi="Arial"/>
                <w:sz w:val="14"/>
                <w:szCs w:val="14"/>
                <w:color w:val="auto"/>
              </w:rPr>
              <w:t>Corporation</w:t>
            </w:r>
          </w:p>
        </w:tc>
        <w:tc>
          <w:tcPr>
            <w:tcW w:w="92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1,965</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2,765</w:t>
            </w:r>
          </w:p>
        </w:tc>
        <w:tc>
          <w:tcPr>
            <w:tcW w:w="260" w:type="dxa"/>
            <w:vAlign w:val="bottom"/>
            <w:shd w:val="clear" w:color="auto" w:fill="E5E5E5"/>
          </w:tcPr>
          <w:p>
            <w:pPr>
              <w:spacing w:after="0"/>
              <w:rPr>
                <w:sz w:val="18"/>
                <w:szCs w:val="18"/>
                <w:color w:val="auto"/>
              </w:rPr>
            </w:pPr>
          </w:p>
        </w:tc>
        <w:tc>
          <w:tcPr>
            <w:tcW w:w="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6"/>
              </w:rPr>
              <w:t>0.71</w:t>
            </w:r>
          </w:p>
        </w:tc>
        <w:tc>
          <w:tcPr>
            <w:tcW w:w="420" w:type="dxa"/>
            <w:vAlign w:val="bottom"/>
            <w:shd w:val="clear" w:color="auto" w:fill="E5E5E5"/>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1,750</w:t>
            </w:r>
          </w:p>
        </w:tc>
        <w:tc>
          <w:tcPr>
            <w:tcW w:w="92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2,823</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0.62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89"/>
              </w:rPr>
              <w:t>Assumed exercise or issuance of shares relating to stock plans</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Diluted EPS attributable to Comcast Corporation shareholders</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1,965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6"/>
              </w:rPr>
              <w:t>0.70</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1,750</w:t>
            </w: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2,830</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0.62</w:t>
            </w:r>
          </w:p>
        </w:tc>
      </w:tr>
      <w:tr>
        <w:trPr>
          <w:trHeight w:val="363"/>
        </w:trPr>
        <w:tc>
          <w:tcPr>
            <w:tcW w:w="4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jc w:val="center"/>
              <w:ind w:right="82"/>
              <w:spacing w:after="0"/>
              <w:rPr>
                <w:sz w:val="20"/>
                <w:szCs w:val="20"/>
                <w:color w:val="auto"/>
              </w:rPr>
            </w:pPr>
            <w:r>
              <w:rPr>
                <w:rFonts w:ascii="Arial" w:cs="Arial" w:eastAsia="Arial" w:hAnsi="Arial"/>
                <w:sz w:val="18"/>
                <w:szCs w:val="18"/>
                <w:color w:val="auto"/>
                <w:w w:val="99"/>
              </w:rPr>
              <w:t>9</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existing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investments and related assets. We contributed our national cable programming networks, our regional sports and news networks, certain of our Internet businesses, including DailyCandy and Fandango, and other related assets (the “Comcast Content Business”). The combination of these businesses creates a leading media and entertainment company capable of providing entertainment, news, sports and other content to a global audience across many platforms. In addition to contributing the Comcast Content Business, we made a cash payment to GE of $6.2 billion, which included transaction-related costs. We expect to receive tax benefits related to the transaction and have agreed to share with GE certain of these future tax benefits as they are realized.</w:t>
      </w:r>
    </w:p>
    <w:p>
      <w:pPr>
        <w:spacing w:after="0" w:line="28"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 connection with the NBCUniversal transaction, NBCUniversal issued $9.1 billion of senior debt securities with maturities ranging from 2014 to 2041 and repaid approximately $1.7 billion of existing debt during 2010. Prior to the closing, NBCUniversal made a cash distribution of approximately $7.4 billion to GE.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operating agreement of NBCUniversal Holdings, during the six month period beginning July 28, 2014, GE has the right to cause NBCUniversal Holdings to redeem, in cash, half of GE’s interest in NBCUniversal Holdings, and we would have the immediate right to purchase the remainder of GE’s interest. If, however, we elect not to exercise this right, during the six month period beginning January 28, 2018, GE has the right to cause NBCUniversal Holdings to redeem GE’s remaining interest, if any. If GE does not exercise its first redemption right, during the six month period beginning January 28, 2016, we have the right to purchase half of GE’s interest in NBCUniversal Holdings, and during the six month period beginning January 28, 2019, we have the right to purchase GE’s remaining interest, if any, in NBCUniversal Holdings. The purchase price to be paid in connection with any purchase or redemption described in this paragraph will be equal to the ownership percentage being acquired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to the extent NBCUniversal Holdings cannot fund the redemptions, with amounts not used in the first redemption to be available for the second redemption.</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In the event that GE makes a registration request in accordance with certain registration rights that are granted to it under the operating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now control NBCUniversal Holdings, we have applied acquisition accounting to the NBCUniversal contributed businesses and their results of operations are included in our consolidated results of operations following the acquisition date. The net assets of the NBCUniversal contributed businesses were recorded at their estimated fair value using Level 3 inputs (see Note 10 for an explanation of Level 3 inputs). In valuing acquired assets and liabilities, fair value estimates are based on, but are not limited to, future expected cash flows, market rate assumptions for contractual obligations, actuarial assumptions for benefit plans and appropriate discount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rates. The Comcast Content Business continues at its historical or carry-over basis. GE’s interest in NBCUniversal Holdings is recorded as a redeemable noncontrolling interest in our consolidated financial statements due to the redemption provisions outlined above. GE’s redeemable noncontrolling interest has been recorded at fair value for the portion attributable to the net assets we acquired, and at historical cost for the portion attributable to the Comcast Content Business. The estimated values are not yet final and are subject to change, and the changes could be significant. We will finalize the amounts recognized as soon as possible as we obtain the information necessary to complete the analysis, but no later than one year from the acquisition date.</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preliminary fair value of the consideration transferred and the preliminary allocation of purchase price to the assets and liabilities of the NBCUniversal businesses acquired as a result of the NBCUniversal transaction.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 Transferred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Cash</w:t>
            </w:r>
          </w:p>
        </w:tc>
        <w:tc>
          <w:tcPr>
            <w:tcW w:w="1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6,127</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Fair value of 49% of the Comcast Content Business</w:t>
            </w:r>
          </w:p>
        </w:tc>
        <w:tc>
          <w:tcPr>
            <w:tcW w:w="17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4,278</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Fair value of contingent consideration</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639</w:t>
            </w:r>
          </w:p>
        </w:tc>
      </w:tr>
      <w:tr>
        <w:trPr>
          <w:trHeight w:val="216"/>
        </w:trPr>
        <w:tc>
          <w:tcPr>
            <w:tcW w:w="20" w:type="dxa"/>
            <w:vAlign w:val="bottom"/>
          </w:tcPr>
          <w:p>
            <w:pPr>
              <w:spacing w:after="0"/>
              <w:rPr>
                <w:sz w:val="18"/>
                <w:szCs w:val="18"/>
                <w:color w:val="auto"/>
              </w:rPr>
            </w:pPr>
          </w:p>
        </w:tc>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redeemable noncontrolling interest associated with net assets acquired</w:t>
            </w:r>
          </w:p>
        </w:tc>
        <w:tc>
          <w:tcPr>
            <w:tcW w:w="1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13,032</w:t>
            </w:r>
          </w:p>
        </w:tc>
      </w:tr>
      <w:tr>
        <w:trPr>
          <w:trHeight w:val="217"/>
        </w:trPr>
        <w:tc>
          <w:tcPr>
            <w:tcW w:w="20" w:type="dxa"/>
            <w:vAlign w:val="bottom"/>
          </w:tcPr>
          <w:p>
            <w:pPr>
              <w:spacing w:after="0"/>
              <w:rPr>
                <w:sz w:val="18"/>
                <w:szCs w:val="18"/>
                <w:color w:val="auto"/>
              </w:rPr>
            </w:pPr>
          </w:p>
        </w:tc>
        <w:tc>
          <w:tcPr>
            <w:tcW w:w="9040" w:type="dxa"/>
            <w:vAlign w:val="bottom"/>
            <w:tcBorders>
              <w:bottom w:val="single" w:sz="8" w:color="auto"/>
            </w:tcBorders>
            <w:shd w:val="clear" w:color="auto" w:fill="E5E5E5"/>
          </w:tcPr>
          <w:p>
            <w:pPr>
              <w:spacing w:after="0"/>
              <w:rPr>
                <w:sz w:val="18"/>
                <w:szCs w:val="18"/>
                <w:color w:val="auto"/>
              </w:rPr>
            </w:pPr>
          </w:p>
        </w:tc>
        <w:tc>
          <w:tcPr>
            <w:tcW w:w="1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3"/>
              </w:rPr>
              <w:t>24,076</w:t>
            </w:r>
          </w:p>
        </w:tc>
      </w:tr>
      <w:tr>
        <w:trPr>
          <w:trHeight w:val="403"/>
        </w:trPr>
        <w:tc>
          <w:tcPr>
            <w:tcW w:w="20" w:type="dxa"/>
            <w:vAlign w:val="bottom"/>
          </w:tcPr>
          <w:p>
            <w:pPr>
              <w:spacing w:after="0"/>
              <w:rPr>
                <w:sz w:val="24"/>
                <w:szCs w:val="24"/>
                <w:color w:val="auto"/>
              </w:rPr>
            </w:pPr>
          </w:p>
        </w:tc>
        <w:tc>
          <w:tcPr>
            <w:tcW w:w="9040" w:type="dxa"/>
            <w:vAlign w:val="bottom"/>
          </w:tcPr>
          <w:p>
            <w:pPr>
              <w:ind w:left="4000"/>
              <w:spacing w:after="0"/>
              <w:rPr>
                <w:sz w:val="20"/>
                <w:szCs w:val="20"/>
                <w:color w:val="auto"/>
              </w:rPr>
            </w:pPr>
            <w:r>
              <w:rPr>
                <w:rFonts w:ascii="Arial" w:cs="Arial" w:eastAsia="Arial" w:hAnsi="Arial"/>
                <w:sz w:val="18"/>
                <w:szCs w:val="18"/>
                <w:b w:val="1"/>
                <w:bCs w:val="1"/>
                <w:color w:val="auto"/>
              </w:rPr>
              <w:t>Preliminary Allocation of Purchase Price</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9"/>
        </w:trPr>
        <w:tc>
          <w:tcPr>
            <w:tcW w:w="9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Film and television costs (see Note 5)</w:t>
            </w:r>
          </w:p>
        </w:tc>
        <w:tc>
          <w:tcPr>
            <w:tcW w:w="1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5,126</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Investments (see Note 6)</w:t>
            </w:r>
          </w:p>
        </w:tc>
        <w:tc>
          <w:tcPr>
            <w:tcW w:w="17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3,848</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(see Note 14)</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Intangible assets, net (see Note 7)</w:t>
            </w:r>
          </w:p>
        </w:tc>
        <w:tc>
          <w:tcPr>
            <w:tcW w:w="2360" w:type="dxa"/>
            <w:vAlign w:val="bottom"/>
            <w:gridSpan w:val="2"/>
          </w:tcPr>
          <w:p>
            <w:pPr>
              <w:jc w:val="right"/>
              <w:ind w:right="12"/>
              <w:spacing w:after="0"/>
              <w:rPr>
                <w:sz w:val="20"/>
                <w:szCs w:val="20"/>
                <w:color w:val="auto"/>
              </w:rPr>
            </w:pPr>
            <w:r>
              <w:rPr>
                <w:rFonts w:ascii="Arial" w:cs="Arial" w:eastAsia="Arial" w:hAnsi="Arial"/>
                <w:sz w:val="18"/>
                <w:szCs w:val="18"/>
                <w:color w:val="auto"/>
              </w:rPr>
              <w:t>14,376</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1"/>
              </w:rPr>
              <w:t>(1,241)</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Long-term debt (see Note 8)</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(9,115)</w:t>
            </w:r>
          </w:p>
        </w:tc>
      </w:tr>
      <w:tr>
        <w:trPr>
          <w:trHeight w:val="216"/>
        </w:trPr>
        <w:tc>
          <w:tcPr>
            <w:tcW w:w="20" w:type="dxa"/>
            <w:vAlign w:val="bottom"/>
          </w:tcPr>
          <w:p>
            <w:pPr>
              <w:spacing w:after="0"/>
              <w:rPr>
                <w:sz w:val="18"/>
                <w:szCs w:val="18"/>
                <w:color w:val="auto"/>
              </w:rPr>
            </w:pPr>
          </w:p>
        </w:tc>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 liabilities</w:t>
            </w:r>
          </w:p>
        </w:tc>
        <w:tc>
          <w:tcPr>
            <w:tcW w:w="17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noncurrent assets and liabilities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(2,548)</w:t>
            </w:r>
          </w:p>
        </w:tc>
      </w:tr>
      <w:tr>
        <w:trPr>
          <w:trHeight w:val="216"/>
        </w:trPr>
        <w:tc>
          <w:tcPr>
            <w:tcW w:w="20" w:type="dxa"/>
            <w:vAlign w:val="bottom"/>
          </w:tcPr>
          <w:p>
            <w:pPr>
              <w:spacing w:after="0"/>
              <w:rPr>
                <w:sz w:val="18"/>
                <w:szCs w:val="18"/>
                <w:color w:val="auto"/>
              </w:rPr>
            </w:pPr>
          </w:p>
        </w:tc>
        <w:tc>
          <w:tcPr>
            <w:tcW w:w="9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 acquired (see Note 11)</w:t>
            </w:r>
          </w:p>
        </w:tc>
        <w:tc>
          <w:tcPr>
            <w:tcW w:w="17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(188)</w:t>
            </w:r>
          </w:p>
        </w:tc>
      </w:tr>
      <w:tr>
        <w:trPr>
          <w:trHeight w:val="210"/>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Fair value of identifiable net assets acquired</w:t>
            </w:r>
          </w:p>
        </w:tc>
        <w:tc>
          <w:tcPr>
            <w:tcW w:w="2360" w:type="dxa"/>
            <w:vAlign w:val="bottom"/>
            <w:gridSpan w:val="2"/>
          </w:tcPr>
          <w:p>
            <w:pPr>
              <w:jc w:val="right"/>
              <w:ind w:right="12"/>
              <w:spacing w:after="0"/>
              <w:rPr>
                <w:sz w:val="20"/>
                <w:szCs w:val="20"/>
                <w:color w:val="auto"/>
              </w:rPr>
            </w:pPr>
            <w:r>
              <w:rPr>
                <w:rFonts w:ascii="Arial" w:cs="Arial" w:eastAsia="Arial" w:hAnsi="Arial"/>
                <w:sz w:val="18"/>
                <w:szCs w:val="18"/>
                <w:color w:val="auto"/>
              </w:rPr>
              <w:t>12,121</w:t>
            </w:r>
          </w:p>
        </w:tc>
      </w:tr>
      <w:tr>
        <w:trPr>
          <w:trHeight w:val="216"/>
        </w:trPr>
        <w:tc>
          <w:tcPr>
            <w:tcW w:w="20" w:type="dxa"/>
            <w:vAlign w:val="bottom"/>
          </w:tcPr>
          <w:p>
            <w:pPr>
              <w:spacing w:after="0"/>
              <w:rPr>
                <w:sz w:val="18"/>
                <w:szCs w:val="18"/>
                <w:color w:val="auto"/>
              </w:rPr>
            </w:pPr>
          </w:p>
        </w:tc>
        <w:tc>
          <w:tcPr>
            <w:tcW w:w="9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Goodwill</w:t>
            </w:r>
          </w:p>
        </w:tc>
        <w:tc>
          <w:tcPr>
            <w:tcW w:w="17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3"/>
              </w:rPr>
              <w:t>11,955</w:t>
            </w:r>
          </w:p>
        </w:tc>
      </w:tr>
      <w:tr>
        <w:trPr>
          <w:trHeight w:val="217"/>
        </w:trPr>
        <w:tc>
          <w:tcPr>
            <w:tcW w:w="20" w:type="dxa"/>
            <w:vAlign w:val="bottom"/>
          </w:tcPr>
          <w:p>
            <w:pPr>
              <w:spacing w:after="0"/>
              <w:rPr>
                <w:sz w:val="18"/>
                <w:szCs w:val="18"/>
                <w:color w:val="auto"/>
              </w:rPr>
            </w:pPr>
          </w:p>
        </w:tc>
        <w:tc>
          <w:tcPr>
            <w:tcW w:w="90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$24,076</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responsible for the tax matters for both NBCUniversal Holdings and NBCUniversal, including the filing of returns and the administering of any proceedings with taxing authorities. For U.S. federal income tax purposes, NBCUniversal Holdings is treated as a partnership and NBCUniversal is disregarded as an entity separate from NBCUniversal Holdings. Accordingly, neither NBCUniversal Holdings nor NBCUniversal and its subsidiaries will incur any material current or deferred U.S. federal income taxes. NBCUniversal Holdings and NBCUniversal and its subsidiaries are, however, expected to incur current and deferred income taxes in a limited number of states and localities. In addition, NBCUniversal’s foreign subsidiaries are expected to incur current and deferred foreign income taxes. GE has indemnified us and NBCUniversal Holdings for any income tax liability attributable to the historical NBCUniversal businesses for periods prior to the acquisition date. We have also indemnified GE and NBCUniversal Holdings for any income tax liability attributable to the Comcast Content Business for periods prior to the acquisition date.</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NBCUniversal recognized net deferred income tax liabilities of $69 million in the preliminary allocation of purchase price related primarily to acquired intangible assets in state and foreign jurisdictions. In addition, Comcast recognized $460 million of deferred tax liabilities in connection with GE acquiring an indirect noncontrolling interest in the Comcast Content Business in exchange for our acquisition of a portion of our interest in NBCUniversal Holdings. Because we maintained control of the Comcast Content Business, the excess of fair value received over historical carrying value and the related tax impact were recorded in additional paid-in capital.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agreed to share with GE certain tax benefits as they are realized, related to the form and structure of the transaction. These payments to GE are contingent on us realizing tax benefits in the future and are accounted for as contingent consideration. We have recorded $639 million in other current and noncurrent liabilities in our acquisition accounting based on the present value of the expected future payments to 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closing of the NBCUniversal transaction, our provision for income taxes includes a federal and state tax provision on our allocable share of the earnings of NBCUniversal Holdings and NBCUniversal, as well as the state, local and foreign tax provisions of NBCUniversal Holdings and NBCUniversal, adjusted for any foreign tax credits.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Goodwill consists primarily of intangible assets that do not qualify for separate recognition, including assembled workforce, noncontractual relationships and agreements between us and NBCUniversal. Because our allocation of purchase price and estimated values of identifiable assets and liabilities are not yet final, the amount of total goodwill and the amount of goodwill expected to be deductible for tax purposes are not yet final and are subject to change.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Expenses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incurred significant transaction costs directly related to the NBCUniversal transaction. The incremental expenses related to legal, accounting and valuation services, and investment banking fees are included in operating costs and expenses. We also incurred certain financing costs and other shared costs with GE associated with NBCUniversal’s debt facilities that were entered into in December 2009 and with the issuance of NBCUniversal’s senior notes in 2010, which are included in other income (expense), net and interest expense.</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during the three and six months ended June 30, 2011, NBCUniversal incurred transaction-related costs associated with severance and other related compensation charges, which are included in operating costs and expenses.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amounts related to these expenses included in our consolidated statement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3"/>
          </w:tcPr>
          <w:p>
            <w:pPr>
              <w:jc w:val="right"/>
              <w:ind w:right="575"/>
              <w:spacing w:after="0"/>
              <w:rPr>
                <w:sz w:val="20"/>
                <w:szCs w:val="20"/>
                <w:color w:val="auto"/>
              </w:rPr>
            </w:pPr>
            <w:r>
              <w:rPr>
                <w:rFonts w:ascii="Arial" w:cs="Arial" w:eastAsia="Arial" w:hAnsi="Arial"/>
                <w:sz w:val="14"/>
                <w:szCs w:val="14"/>
                <w:color w:val="auto"/>
                <w:w w:val="99"/>
              </w:rPr>
              <w:t>Three Months Ended</w:t>
            </w:r>
          </w:p>
        </w:tc>
        <w:tc>
          <w:tcPr>
            <w:tcW w:w="440" w:type="dxa"/>
            <w:vAlign w:val="bottom"/>
          </w:tcPr>
          <w:p>
            <w:pPr>
              <w:spacing w:after="0"/>
              <w:rPr>
                <w:sz w:val="14"/>
                <w:szCs w:val="14"/>
                <w:color w:val="auto"/>
              </w:rPr>
            </w:pPr>
          </w:p>
        </w:tc>
        <w:tc>
          <w:tcPr>
            <w:tcW w:w="1740" w:type="dxa"/>
            <w:vAlign w:val="bottom"/>
            <w:gridSpan w:val="3"/>
          </w:tcPr>
          <w:p>
            <w:pPr>
              <w:jc w:val="right"/>
              <w:ind w:right="37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73"/>
        </w:trPr>
        <w:tc>
          <w:tcPr>
            <w:tcW w:w="6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92"/>
              </w:rPr>
              <w:t>June 30</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92"/>
              </w:rPr>
              <w:t>June 30</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jc w:val="right"/>
              <w:ind w:right="117"/>
              <w:spacing w:after="0" w:line="142" w:lineRule="exact"/>
              <w:rPr>
                <w:sz w:val="20"/>
                <w:szCs w:val="20"/>
                <w:color w:val="auto"/>
              </w:rPr>
            </w:pPr>
            <w:r>
              <w:rPr>
                <w:rFonts w:ascii="Arial" w:cs="Arial" w:eastAsia="Arial" w:hAnsi="Arial"/>
                <w:sz w:val="14"/>
                <w:szCs w:val="14"/>
                <w:color w:val="auto"/>
                <w:w w:val="83"/>
              </w:rPr>
              <w:t>2011</w:t>
            </w:r>
          </w:p>
        </w:tc>
        <w:tc>
          <w:tcPr>
            <w:tcW w:w="720" w:type="dxa"/>
            <w:vAlign w:val="bottom"/>
          </w:tcPr>
          <w:p>
            <w:pPr>
              <w:spacing w:after="0"/>
              <w:rPr>
                <w:sz w:val="12"/>
                <w:szCs w:val="12"/>
                <w:color w:val="auto"/>
              </w:rPr>
            </w:pPr>
          </w:p>
        </w:tc>
        <w:tc>
          <w:tcPr>
            <w:tcW w:w="780" w:type="dxa"/>
            <w:vAlign w:val="bottom"/>
          </w:tcPr>
          <w:p>
            <w:pPr>
              <w:jc w:val="right"/>
              <w:ind w:right="395"/>
              <w:spacing w:after="0" w:line="142" w:lineRule="exact"/>
              <w:rPr>
                <w:sz w:val="20"/>
                <w:szCs w:val="20"/>
                <w:color w:val="auto"/>
              </w:rPr>
            </w:pPr>
            <w:r>
              <w:rPr>
                <w:rFonts w:ascii="Arial" w:cs="Arial" w:eastAsia="Arial" w:hAnsi="Arial"/>
                <w:sz w:val="14"/>
                <w:szCs w:val="14"/>
                <w:color w:val="auto"/>
                <w:w w:val="89"/>
              </w:rPr>
              <w:t>2010</w:t>
            </w:r>
          </w:p>
        </w:tc>
        <w:tc>
          <w:tcPr>
            <w:tcW w:w="440" w:type="dxa"/>
            <w:vAlign w:val="bottom"/>
          </w:tcPr>
          <w:p>
            <w:pPr>
              <w:spacing w:after="0"/>
              <w:rPr>
                <w:sz w:val="12"/>
                <w:szCs w:val="12"/>
                <w:color w:val="auto"/>
              </w:rPr>
            </w:pPr>
          </w:p>
        </w:tc>
        <w:tc>
          <w:tcPr>
            <w:tcW w:w="500" w:type="dxa"/>
            <w:vAlign w:val="bottom"/>
          </w:tcPr>
          <w:p>
            <w:pPr>
              <w:jc w:val="right"/>
              <w:ind w:right="117"/>
              <w:spacing w:after="0" w:line="142" w:lineRule="exact"/>
              <w:rPr>
                <w:sz w:val="20"/>
                <w:szCs w:val="20"/>
                <w:color w:val="auto"/>
              </w:rPr>
            </w:pPr>
            <w:r>
              <w:rPr>
                <w:rFonts w:ascii="Arial" w:cs="Arial" w:eastAsia="Arial" w:hAnsi="Arial"/>
                <w:sz w:val="14"/>
                <w:szCs w:val="14"/>
                <w:color w:val="auto"/>
                <w:w w:val="89"/>
              </w:rPr>
              <w:t>2011</w:t>
            </w:r>
          </w:p>
        </w:tc>
        <w:tc>
          <w:tcPr>
            <w:tcW w:w="72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Transaction costs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22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Transaction-related costs</w:t>
            </w:r>
          </w:p>
        </w:tc>
        <w:tc>
          <w:tcPr>
            <w:tcW w:w="6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7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7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35</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7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59</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129</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Actual and Pro Forma Information</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consolidated revenue for the three months ended June 30, 2011 and from January 29, 2011 through June 30, 2011 included $4.1 billion and $6.3 billion, respectively, from the NBCUniversal contributed businesses. Our consolidated net income (loss) attributable to Comcast Corporation for the three months ended June 30, 2011 and from January 29, 2011 through June 30, 2011 included $236 million and $228 million, respectively, from the NBCUniversal contributed businesses.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NBCUniversal transaction had occurred on January 1, 2010. This information is based on historical results of operations, adjusted for the allocation of purchase price and other acquisition accounting adjustments, and is not necessarily indicative of what the results would have been had we operated the business since January 1, 2010. No pro forma adjustments have been made for our incremental transaction costs or other transaction-related costs.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Actual</w:t>
            </w:r>
          </w:p>
        </w:tc>
        <w:tc>
          <w:tcPr>
            <w:tcW w:w="4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Pro Forma</w:t>
            </w:r>
          </w:p>
        </w:tc>
        <w:tc>
          <w:tcPr>
            <w:tcW w:w="500" w:type="dxa"/>
            <w:vAlign w:val="bottom"/>
          </w:tcPr>
          <w:p>
            <w:pPr>
              <w:spacing w:after="0"/>
              <w:rPr>
                <w:sz w:val="14"/>
                <w:szCs w:val="14"/>
                <w:color w:val="auto"/>
              </w:rPr>
            </w:pPr>
          </w:p>
        </w:tc>
        <w:tc>
          <w:tcPr>
            <w:tcW w:w="1180" w:type="dxa"/>
            <w:vAlign w:val="bottom"/>
            <w:gridSpan w:val="2"/>
          </w:tcPr>
          <w:p>
            <w:pPr>
              <w:ind w:left="500"/>
              <w:spacing w:after="0"/>
              <w:rPr>
                <w:sz w:val="20"/>
                <w:szCs w:val="20"/>
                <w:color w:val="auto"/>
              </w:rPr>
            </w:pPr>
            <w:r>
              <w:rPr>
                <w:rFonts w:ascii="Arial" w:cs="Arial" w:eastAsia="Arial" w:hAnsi="Arial"/>
                <w:sz w:val="14"/>
                <w:szCs w:val="14"/>
                <w:color w:val="auto"/>
                <w:w w:val="99"/>
              </w:rPr>
              <w:t>Pro Forma</w:t>
            </w:r>
          </w:p>
        </w:tc>
        <w:tc>
          <w:tcPr>
            <w:tcW w:w="660" w:type="dxa"/>
            <w:vAlign w:val="bottom"/>
          </w:tcPr>
          <w:p>
            <w:pPr>
              <w:spacing w:after="0"/>
              <w:rPr>
                <w:sz w:val="14"/>
                <w:szCs w:val="14"/>
                <w:color w:val="auto"/>
              </w:rPr>
            </w:pPr>
          </w:p>
        </w:tc>
      </w:tr>
      <w:tr>
        <w:trPr>
          <w:trHeight w:val="131"/>
        </w:trPr>
        <w:tc>
          <w:tcPr>
            <w:tcW w:w="60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gridSpan w:val="4"/>
          </w:tcPr>
          <w:p>
            <w:pPr>
              <w:jc w:val="right"/>
              <w:ind w:right="576"/>
              <w:spacing w:after="0" w:line="131" w:lineRule="exact"/>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3"/>
          </w:tcPr>
          <w:p>
            <w:pPr>
              <w:jc w:val="right"/>
              <w:ind w:right="472"/>
              <w:spacing w:after="0" w:line="131" w:lineRule="exact"/>
              <w:rPr>
                <w:sz w:val="20"/>
                <w:szCs w:val="20"/>
                <w:color w:val="auto"/>
              </w:rPr>
            </w:pPr>
            <w:r>
              <w:rPr>
                <w:rFonts w:ascii="Arial" w:cs="Arial" w:eastAsia="Arial" w:hAnsi="Arial"/>
                <w:sz w:val="14"/>
                <w:szCs w:val="14"/>
                <w:color w:val="auto"/>
              </w:rPr>
              <w:t>Six Months Ended</w:t>
            </w:r>
          </w:p>
        </w:tc>
      </w:tr>
      <w:tr>
        <w:trPr>
          <w:trHeight w:val="159"/>
        </w:trPr>
        <w:tc>
          <w:tcPr>
            <w:tcW w:w="600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54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June 30, 2011</w:t>
            </w:r>
          </w:p>
        </w:tc>
        <w:tc>
          <w:tcPr>
            <w:tcW w:w="154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June 30, 2010</w:t>
            </w:r>
          </w:p>
        </w:tc>
        <w:tc>
          <w:tcPr>
            <w:tcW w:w="12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June 30, 2011</w:t>
            </w:r>
          </w:p>
        </w:tc>
        <w:tc>
          <w:tcPr>
            <w:tcW w:w="106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92"/>
              </w:rPr>
              <w:t>June 30, 2010</w:t>
            </w:r>
          </w:p>
        </w:tc>
      </w:tr>
      <w:tr>
        <w:trPr>
          <w:trHeight w:val="210"/>
        </w:trPr>
        <w:tc>
          <w:tcPr>
            <w:tcW w:w="6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14,333</w:t>
            </w:r>
          </w:p>
        </w:tc>
        <w:tc>
          <w:tcPr>
            <w:tcW w:w="380" w:type="dxa"/>
            <w:vAlign w:val="bottom"/>
            <w:tcBorders>
              <w:top w:val="single" w:sz="8" w:color="E5E5E5"/>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13,103</w:t>
            </w:r>
          </w:p>
        </w:tc>
        <w:tc>
          <w:tcPr>
            <w:tcW w:w="380" w:type="dxa"/>
            <w:vAlign w:val="bottom"/>
            <w:tcBorders>
              <w:top w:val="single" w:sz="8" w:color="E5E5E5"/>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27,622</w:t>
            </w:r>
          </w:p>
        </w:tc>
        <w:tc>
          <w:tcPr>
            <w:tcW w:w="4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8"/>
              </w:rPr>
              <w:t>26,411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1,367</w:t>
            </w:r>
          </w:p>
        </w:tc>
        <w:tc>
          <w:tcPr>
            <w:tcW w:w="380" w:type="dxa"/>
            <w:vAlign w:val="bottom"/>
          </w:tcPr>
          <w:p>
            <w:pPr>
              <w:spacing w:after="0"/>
              <w:rPr>
                <w:sz w:val="18"/>
                <w:szCs w:val="18"/>
                <w:color w:val="auto"/>
              </w:rPr>
            </w:pP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1,211</w:t>
            </w:r>
          </w:p>
        </w:tc>
        <w:tc>
          <w:tcPr>
            <w:tcW w:w="38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8"/>
              <w:spacing w:after="0"/>
              <w:rPr>
                <w:sz w:val="20"/>
                <w:szCs w:val="20"/>
                <w:color w:val="auto"/>
              </w:rPr>
            </w:pPr>
            <w:r>
              <w:rPr>
                <w:rFonts w:ascii="Arial" w:cs="Arial" w:eastAsia="Arial" w:hAnsi="Arial"/>
                <w:sz w:val="18"/>
                <w:szCs w:val="18"/>
                <w:color w:val="auto"/>
              </w:rPr>
              <w:t>2,358</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1,973</w:t>
            </w:r>
          </w:p>
        </w:tc>
      </w:tr>
      <w:tr>
        <w:trPr>
          <w:trHeight w:val="216"/>
        </w:trPr>
        <w:tc>
          <w:tcPr>
            <w:tcW w:w="600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1,022</w:t>
            </w: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940</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1,900</w:t>
            </w:r>
          </w:p>
        </w:tc>
        <w:tc>
          <w:tcPr>
            <w:tcW w:w="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1,708</w:t>
            </w:r>
          </w:p>
        </w:tc>
      </w:tr>
      <w:tr>
        <w:trPr>
          <w:trHeight w:val="208"/>
        </w:trPr>
        <w:tc>
          <w:tcPr>
            <w:tcW w:w="600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6000" w:type="dxa"/>
            <w:vAlign w:val="bottom"/>
          </w:tcPr>
          <w:p>
            <w:pPr>
              <w:ind w:left="220"/>
              <w:spacing w:after="0"/>
              <w:rPr>
                <w:sz w:val="20"/>
                <w:szCs w:val="20"/>
                <w:color w:val="auto"/>
              </w:rPr>
            </w:pPr>
            <w:r>
              <w:rPr>
                <w:rFonts w:ascii="Arial" w:cs="Arial" w:eastAsia="Arial" w:hAnsi="Arial"/>
                <w:sz w:val="18"/>
                <w:szCs w:val="18"/>
                <w:color w:val="auto"/>
              </w:rPr>
              <w:t>Corporation shareholders</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0.37</w:t>
            </w:r>
          </w:p>
        </w:tc>
        <w:tc>
          <w:tcPr>
            <w:tcW w:w="380" w:type="dxa"/>
            <w:vAlign w:val="bottom"/>
          </w:tcPr>
          <w:p>
            <w:pPr>
              <w:spacing w:after="0"/>
              <w:rPr>
                <w:sz w:val="19"/>
                <w:szCs w:val="19"/>
                <w:color w:val="auto"/>
              </w:rPr>
            </w:pP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0.33</w:t>
            </w:r>
          </w:p>
        </w:tc>
        <w:tc>
          <w:tcPr>
            <w:tcW w:w="38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8"/>
              <w:spacing w:after="0"/>
              <w:rPr>
                <w:sz w:val="20"/>
                <w:szCs w:val="20"/>
                <w:color w:val="auto"/>
              </w:rPr>
            </w:pPr>
            <w:r>
              <w:rPr>
                <w:rFonts w:ascii="Arial" w:cs="Arial" w:eastAsia="Arial" w:hAnsi="Arial"/>
                <w:sz w:val="18"/>
                <w:szCs w:val="18"/>
                <w:color w:val="auto"/>
              </w:rPr>
              <w:t>0.69</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0.61</w:t>
            </w:r>
          </w:p>
        </w:tc>
      </w:tr>
      <w:tr>
        <w:trPr>
          <w:trHeight w:val="210"/>
        </w:trPr>
        <w:tc>
          <w:tcPr>
            <w:tcW w:w="6000" w:type="dxa"/>
            <w:vAlign w:val="bottom"/>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23"/>
        </w:trPr>
        <w:tc>
          <w:tcPr>
            <w:tcW w:w="6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shareholders</w:t>
            </w:r>
          </w:p>
        </w:tc>
        <w:tc>
          <w:tcPr>
            <w:tcW w:w="46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0.37</w:t>
            </w:r>
          </w:p>
        </w:tc>
        <w:tc>
          <w:tcPr>
            <w:tcW w:w="380" w:type="dxa"/>
            <w:vAlign w:val="bottom"/>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0.33</w:t>
            </w:r>
          </w:p>
        </w:tc>
        <w:tc>
          <w:tcPr>
            <w:tcW w:w="380" w:type="dxa"/>
            <w:vAlign w:val="bottom"/>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color w:val="auto"/>
              </w:rPr>
              <w:t>0.68</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0.60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960" w:type="dxa"/>
            <w:vAlign w:val="bottom"/>
          </w:tcPr>
          <w:p>
            <w:pPr>
              <w:jc w:val="right"/>
              <w:ind w:right="315"/>
              <w:spacing w:after="0"/>
              <w:rPr>
                <w:sz w:val="20"/>
                <w:szCs w:val="20"/>
                <w:color w:val="auto"/>
              </w:rPr>
            </w:pPr>
            <w:r>
              <w:rPr>
                <w:rFonts w:ascii="Arial" w:cs="Arial" w:eastAsia="Arial" w:hAnsi="Arial"/>
                <w:sz w:val="14"/>
                <w:szCs w:val="14"/>
                <w:color w:val="auto"/>
              </w:rPr>
              <w:t>June 30,</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62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tcPr>
          <w:p>
            <w:pPr>
              <w:jc w:val="right"/>
              <w:ind w:right="415"/>
              <w:spacing w:after="0" w:line="159" w:lineRule="exact"/>
              <w:rPr>
                <w:sz w:val="20"/>
                <w:szCs w:val="20"/>
                <w:color w:val="auto"/>
              </w:rPr>
            </w:pPr>
            <w:r>
              <w:rPr>
                <w:rFonts w:ascii="Arial" w:cs="Arial" w:eastAsia="Arial" w:hAnsi="Arial"/>
                <w:sz w:val="14"/>
                <w:szCs w:val="14"/>
                <w:color w:val="auto"/>
              </w:rPr>
              <w:t>2011</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9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tcPr>
          <w:p>
            <w:pPr>
              <w:jc w:val="right"/>
              <w:ind w:right="295"/>
              <w:spacing w:after="0"/>
              <w:rPr>
                <w:sz w:val="20"/>
                <w:szCs w:val="20"/>
                <w:color w:val="auto"/>
              </w:rPr>
            </w:pPr>
            <w:r>
              <w:rPr>
                <w:rFonts w:ascii="Arial" w:cs="Arial" w:eastAsia="Arial" w:hAnsi="Arial"/>
                <w:sz w:val="18"/>
                <w:szCs w:val="18"/>
                <w:color w:val="auto"/>
              </w:rPr>
              <w:t>$1,761</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9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97</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In-production and in-development</w:t>
            </w:r>
          </w:p>
        </w:tc>
        <w:tc>
          <w:tcPr>
            <w:tcW w:w="39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1,095</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624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2,953</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Television Costs:</w:t>
            </w:r>
          </w:p>
        </w:tc>
        <w:tc>
          <w:tcPr>
            <w:tcW w:w="3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1,114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94</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Completed, not released</w:t>
            </w:r>
          </w:p>
        </w:tc>
        <w:tc>
          <w:tcPr>
            <w:tcW w:w="396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In-production and in-development</w:t>
            </w:r>
          </w:p>
        </w:tc>
        <w:tc>
          <w:tcPr>
            <w:tcW w:w="39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223</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43</w:t>
            </w:r>
          </w:p>
        </w:tc>
      </w:tr>
      <w:tr>
        <w:trPr>
          <w:trHeight w:val="210"/>
        </w:trPr>
        <w:tc>
          <w:tcPr>
            <w:tcW w:w="6240" w:type="dxa"/>
            <w:vAlign w:val="bottom"/>
          </w:tcPr>
          <w:p>
            <w:pPr>
              <w:spacing w:after="0"/>
              <w:rPr>
                <w:sz w:val="18"/>
                <w:szCs w:val="18"/>
                <w:color w:val="auto"/>
              </w:rPr>
            </w:pPr>
          </w:p>
        </w:tc>
        <w:tc>
          <w:tcPr>
            <w:tcW w:w="3960" w:type="dxa"/>
            <w:vAlign w:val="bottom"/>
          </w:tcPr>
          <w:p>
            <w:pPr>
              <w:jc w:val="right"/>
              <w:ind w:right="295"/>
              <w:spacing w:after="0"/>
              <w:rPr>
                <w:sz w:val="20"/>
                <w:szCs w:val="20"/>
                <w:color w:val="auto"/>
              </w:rPr>
            </w:pPr>
            <w:r>
              <w:rPr>
                <w:rFonts w:ascii="Arial" w:cs="Arial" w:eastAsia="Arial" w:hAnsi="Arial"/>
                <w:sz w:val="18"/>
                <w:szCs w:val="18"/>
                <w:color w:val="auto"/>
              </w:rPr>
              <w:t>1,337</w:t>
            </w:r>
          </w:p>
        </w:tc>
        <w:tc>
          <w:tcPr>
            <w:tcW w:w="5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137</w:t>
            </w:r>
          </w:p>
        </w:tc>
      </w:tr>
      <w:tr>
        <w:trPr>
          <w:trHeight w:val="216"/>
        </w:trPr>
        <w:tc>
          <w:tcPr>
            <w:tcW w:w="6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Programming rights, less amortization</w:t>
            </w:r>
          </w:p>
        </w:tc>
        <w:tc>
          <w:tcPr>
            <w:tcW w:w="39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1,771</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445</w:t>
            </w:r>
          </w:p>
        </w:tc>
      </w:tr>
      <w:tr>
        <w:trPr>
          <w:trHeight w:val="210"/>
        </w:trPr>
        <w:tc>
          <w:tcPr>
            <w:tcW w:w="6240" w:type="dxa"/>
            <w:vAlign w:val="bottom"/>
          </w:tcPr>
          <w:p>
            <w:pPr>
              <w:spacing w:after="0"/>
              <w:rPr>
                <w:sz w:val="18"/>
                <w:szCs w:val="18"/>
                <w:color w:val="auto"/>
              </w:rPr>
            </w:pPr>
          </w:p>
        </w:tc>
        <w:tc>
          <w:tcPr>
            <w:tcW w:w="3960" w:type="dxa"/>
            <w:vAlign w:val="bottom"/>
          </w:tcPr>
          <w:p>
            <w:pPr>
              <w:jc w:val="right"/>
              <w:ind w:right="295"/>
              <w:spacing w:after="0"/>
              <w:rPr>
                <w:sz w:val="20"/>
                <w:szCs w:val="20"/>
                <w:color w:val="auto"/>
              </w:rPr>
            </w:pPr>
            <w:r>
              <w:rPr>
                <w:rFonts w:ascii="Arial" w:cs="Arial" w:eastAsia="Arial" w:hAnsi="Arial"/>
                <w:sz w:val="18"/>
                <w:szCs w:val="18"/>
                <w:color w:val="auto"/>
              </w:rPr>
              <w:t>6,061</w:t>
            </w:r>
          </w:p>
        </w:tc>
        <w:tc>
          <w:tcPr>
            <w:tcW w:w="52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582</w:t>
            </w:r>
          </w:p>
        </w:tc>
      </w:tr>
      <w:tr>
        <w:trPr>
          <w:trHeight w:val="216"/>
        </w:trPr>
        <w:tc>
          <w:tcPr>
            <w:tcW w:w="6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portion of programming rights</w:t>
            </w:r>
          </w:p>
        </w:tc>
        <w:tc>
          <w:tcPr>
            <w:tcW w:w="396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955</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122</w:t>
            </w:r>
          </w:p>
        </w:tc>
      </w:tr>
      <w:tr>
        <w:trPr>
          <w:trHeight w:val="217"/>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Film and television costs</w:t>
            </w:r>
          </w:p>
        </w:tc>
        <w:tc>
          <w:tcPr>
            <w:tcW w:w="39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$5,106</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460</w:t>
            </w: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amounts as of June 30, 2011 include the film and television costs acquired in connection with the closing of the NBCUniversal transaction at fair value as of January 28, 2011, less accumulated amortization following the acquisition date. The capitalized programming costs of the Comcast Content Business are reflected at their historical cost, less accumulated amortization for both periods presented.</w:t>
      </w:r>
    </w:p>
    <w:p>
      <w:pPr>
        <w:spacing w:after="0" w:line="4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June 30, 2011, acquired film and television libraries had remaining unamortized costs of approximately $1.3 billion. For the three and six months ended June 30, 2011, amortization of acquired film and television libraries included in operating costs and expenses totaled $47 million and $80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5240" w:type="dxa"/>
            <w:vAlign w:val="bottom"/>
            <w:gridSpan w:val="2"/>
          </w:tcPr>
          <w:p>
            <w:pPr>
              <w:jc w:val="right"/>
              <w:ind w:right="29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50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5"/>
              <w:spacing w:after="0" w:line="159" w:lineRule="exact"/>
              <w:rPr>
                <w:sz w:val="20"/>
                <w:szCs w:val="20"/>
                <w:color w:val="auto"/>
              </w:rPr>
            </w:pPr>
            <w:r>
              <w:rPr>
                <w:rFonts w:ascii="Arial" w:cs="Arial" w:eastAsia="Arial" w:hAnsi="Arial"/>
                <w:sz w:val="14"/>
                <w:szCs w:val="14"/>
                <w:color w:val="auto"/>
                <w:w w:val="96"/>
              </w:rPr>
              <w:t>2011</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4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3,343</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2,815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444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Arial" w:cs="Arial" w:eastAsia="Arial" w:hAnsi="Arial"/>
                <w:sz w:val="18"/>
                <w:szCs w:val="18"/>
                <w:color w:val="auto"/>
              </w:rPr>
              <w:t>2,053</w:t>
            </w:r>
          </w:p>
        </w:tc>
        <w:tc>
          <w:tcPr>
            <w:tcW w:w="4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2,193</w:t>
            </w:r>
          </w:p>
        </w:tc>
      </w:tr>
      <w:tr>
        <w:trPr>
          <w:trHeight w:val="216"/>
        </w:trPr>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4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1,754</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1,743</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Acquired NBCUniversal investments</w:t>
            </w:r>
          </w:p>
        </w:tc>
        <w:tc>
          <w:tcPr>
            <w:tcW w:w="4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3,743</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10"/>
        </w:trPr>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4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w w:val="83"/>
              </w:rPr>
              <w:t>10,893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6,751</w:t>
            </w:r>
          </w:p>
        </w:tc>
      </w:tr>
      <w:tr>
        <w:trPr>
          <w:trHeight w:val="216"/>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4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64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81</w:t>
            </w:r>
          </w:p>
        </w:tc>
      </w:tr>
      <w:tr>
        <w:trPr>
          <w:trHeight w:val="217"/>
        </w:trPr>
        <w:tc>
          <w:tcPr>
            <w:tcW w:w="5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4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w w:val="83"/>
              </w:rPr>
              <w:t>10,829</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6,670</w:t>
            </w:r>
          </w:p>
        </w:tc>
      </w:tr>
      <w:tr>
        <w:trPr>
          <w:trHeight w:val="363"/>
        </w:trPr>
        <w:tc>
          <w:tcPr>
            <w:tcW w:w="5000" w:type="dxa"/>
            <w:vAlign w:val="bottom"/>
          </w:tcPr>
          <w:p>
            <w:pPr>
              <w:spacing w:after="0"/>
              <w:rPr>
                <w:sz w:val="24"/>
                <w:szCs w:val="24"/>
                <w:color w:val="auto"/>
              </w:rPr>
            </w:pPr>
          </w:p>
        </w:tc>
        <w:tc>
          <w:tcPr>
            <w:tcW w:w="4440" w:type="dxa"/>
            <w:vAlign w:val="bottom"/>
          </w:tcPr>
          <w:p>
            <w:pPr>
              <w:jc w:val="right"/>
              <w:ind w:right="3537"/>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Investments acquired in connection with the NBCUniversal transaction primarily include equity method investments in A&amp;E Television Networks, LLC (16%); Universal City Development Partners (“UCDP”) (50%) (see Note 18), which consists of the ownership and operation of two theme parks in Orlando, Florida; The Weather Channel (25%); and MSNBC.com (50%); and cost method investments, primarily in Hulu (32%). See Note 4 for additional information on the NBCUniversal transaction.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9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3"/>
              </w:rPr>
              <w:t>2011</w:t>
            </w:r>
          </w:p>
        </w:tc>
        <w:tc>
          <w:tcPr>
            <w:tcW w:w="7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w w:val="83"/>
              </w:rPr>
              <w:t>2010</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2011</w:t>
            </w: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21</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w w:val="98"/>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226</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535</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70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(452)</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68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6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 and Other Intangible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presents our goodwill attributable to our Cable Communications segment (previously our Cable Segment), the Comcast Content Business (now included in the new NBCUniversal segments) and Corporate and Other, as well as the total goodwill attributable to the NBCUniversal acquired businesses. See Note 17 for additional information on our segments.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vMerge w:val="restart"/>
          </w:tcPr>
          <w:p>
            <w:pPr>
              <w:jc w:val="right"/>
              <w:ind w:right="316"/>
              <w:spacing w:after="0"/>
              <w:rPr>
                <w:sz w:val="20"/>
                <w:szCs w:val="20"/>
                <w:color w:val="auto"/>
              </w:rPr>
            </w:pPr>
            <w:r>
              <w:rPr>
                <w:rFonts w:ascii="Arial" w:cs="Arial" w:eastAsia="Arial" w:hAnsi="Arial"/>
                <w:sz w:val="14"/>
                <w:szCs w:val="14"/>
                <w:color w:val="auto"/>
              </w:rPr>
              <w:t>Cable</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0"/>
              </w:rPr>
              <w:t>NBCUniversal</w:t>
            </w:r>
          </w:p>
        </w:tc>
        <w:tc>
          <w:tcPr>
            <w:tcW w:w="1080" w:type="dxa"/>
            <w:vAlign w:val="bottom"/>
            <w:tcBorders>
              <w:bottom w:val="single" w:sz="8" w:color="auto"/>
            </w:tcBorders>
          </w:tcPr>
          <w:p>
            <w:pPr>
              <w:spacing w:after="0"/>
              <w:rPr>
                <w:sz w:val="14"/>
                <w:szCs w:val="14"/>
                <w:color w:val="auto"/>
              </w:rPr>
            </w:pPr>
          </w:p>
        </w:tc>
        <w:tc>
          <w:tcPr>
            <w:tcW w:w="1800" w:type="dxa"/>
            <w:vAlign w:val="bottom"/>
            <w:gridSpan w:val="2"/>
            <w:vMerge w:val="restart"/>
          </w:tcPr>
          <w:p>
            <w:pPr>
              <w:ind w:left="660"/>
              <w:spacing w:after="0"/>
              <w:rPr>
                <w:sz w:val="20"/>
                <w:szCs w:val="20"/>
                <w:color w:val="auto"/>
              </w:rPr>
            </w:pPr>
            <w:r>
              <w:rPr>
                <w:rFonts w:ascii="Arial" w:cs="Arial" w:eastAsia="Arial" w:hAnsi="Arial"/>
                <w:sz w:val="14"/>
                <w:szCs w:val="14"/>
                <w:color w:val="auto"/>
              </w:rPr>
              <w:t>Corporate and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20" w:type="dxa"/>
            <w:vAlign w:val="bottom"/>
            <w:gridSpan w:val="2"/>
          </w:tcPr>
          <w:p>
            <w:pPr>
              <w:ind w:left="660"/>
              <w:spacing w:after="0" w:line="131" w:lineRule="exact"/>
              <w:rPr>
                <w:sz w:val="20"/>
                <w:szCs w:val="20"/>
                <w:color w:val="auto"/>
              </w:rPr>
            </w:pPr>
            <w:r>
              <w:rPr>
                <w:rFonts w:ascii="Arial" w:cs="Arial" w:eastAsia="Arial" w:hAnsi="Arial"/>
                <w:sz w:val="14"/>
                <w:szCs w:val="14"/>
                <w:color w:val="auto"/>
                <w:w w:val="86"/>
              </w:rPr>
              <w:t>Comcast Content</w:t>
            </w:r>
          </w:p>
        </w:tc>
        <w:tc>
          <w:tcPr>
            <w:tcW w:w="860" w:type="dxa"/>
            <w:vAlign w:val="bottom"/>
          </w:tcPr>
          <w:p>
            <w:pPr>
              <w:spacing w:after="0"/>
              <w:rPr>
                <w:sz w:val="11"/>
                <w:szCs w:val="11"/>
                <w:color w:val="auto"/>
              </w:rPr>
            </w:pPr>
          </w:p>
        </w:tc>
        <w:tc>
          <w:tcPr>
            <w:tcW w:w="1080" w:type="dxa"/>
            <w:vAlign w:val="bottom"/>
          </w:tcPr>
          <w:p>
            <w:pPr>
              <w:jc w:val="right"/>
              <w:ind w:right="176"/>
              <w:spacing w:after="0" w:line="131" w:lineRule="exact"/>
              <w:rPr>
                <w:sz w:val="20"/>
                <w:szCs w:val="20"/>
                <w:color w:val="auto"/>
              </w:rPr>
            </w:pPr>
            <w:r>
              <w:rPr>
                <w:rFonts w:ascii="Arial" w:cs="Arial" w:eastAsia="Arial" w:hAnsi="Arial"/>
                <w:sz w:val="14"/>
                <w:szCs w:val="14"/>
                <w:color w:val="auto"/>
                <w:w w:val="90"/>
              </w:rPr>
              <w:t>NBCUniversal</w:t>
            </w:r>
          </w:p>
        </w:tc>
        <w:tc>
          <w:tcPr>
            <w:tcW w:w="180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000" w:type="dxa"/>
            <w:vAlign w:val="bottom"/>
            <w:tcBorders>
              <w:bottom w:val="single" w:sz="8" w:color="auto"/>
            </w:tcBorders>
            <w:gridSpan w:val="2"/>
          </w:tcPr>
          <w:p>
            <w:pPr>
              <w:ind w:left="980"/>
              <w:spacing w:after="0" w:line="159" w:lineRule="exact"/>
              <w:rPr>
                <w:sz w:val="20"/>
                <w:szCs w:val="20"/>
                <w:color w:val="auto"/>
              </w:rPr>
            </w:pPr>
            <w:r>
              <w:rPr>
                <w:rFonts w:ascii="Arial" w:cs="Arial" w:eastAsia="Arial" w:hAnsi="Arial"/>
                <w:sz w:val="14"/>
                <w:szCs w:val="14"/>
                <w:color w:val="auto"/>
                <w:w w:val="95"/>
              </w:rPr>
              <w:t>Communications</w:t>
            </w:r>
          </w:p>
        </w:tc>
        <w:tc>
          <w:tcPr>
            <w:tcW w:w="8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94"/>
              </w:rPr>
              <w:t>Business</w:t>
            </w:r>
          </w:p>
        </w:tc>
        <w:tc>
          <w:tcPr>
            <w:tcW w:w="1940" w:type="dxa"/>
            <w:vAlign w:val="bottom"/>
            <w:tcBorders>
              <w:bottom w:val="single" w:sz="8" w:color="auto"/>
            </w:tcBorders>
            <w:gridSpan w:val="2"/>
          </w:tcPr>
          <w:p>
            <w:pPr>
              <w:ind w:left="720"/>
              <w:spacing w:after="0" w:line="159" w:lineRule="exact"/>
              <w:rPr>
                <w:sz w:val="20"/>
                <w:szCs w:val="20"/>
                <w:color w:val="auto"/>
              </w:rPr>
            </w:pPr>
            <w:r>
              <w:rPr>
                <w:rFonts w:ascii="Arial" w:cs="Arial" w:eastAsia="Arial" w:hAnsi="Arial"/>
                <w:sz w:val="14"/>
                <w:szCs w:val="14"/>
                <w:color w:val="auto"/>
                <w:w w:val="91"/>
              </w:rPr>
              <w:t>Acquired Businesses</w:t>
            </w:r>
          </w:p>
        </w:tc>
        <w:tc>
          <w:tcPr>
            <w:tcW w:w="8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6"/>
              <w:spacing w:after="0" w:line="159" w:lineRule="exact"/>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0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2010</w:t>
            </w:r>
          </w:p>
        </w:tc>
        <w:tc>
          <w:tcPr>
            <w:tcW w:w="1180" w:type="dxa"/>
            <w:vAlign w:val="bottom"/>
            <w:shd w:val="clear" w:color="auto" w:fill="E5E5E5"/>
          </w:tcPr>
          <w:p>
            <w:pPr>
              <w:ind w:left="9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12,207</w:t>
            </w:r>
          </w:p>
        </w:tc>
        <w:tc>
          <w:tcPr>
            <w:tcW w:w="80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2,564</w:t>
            </w:r>
          </w:p>
        </w:tc>
        <w:tc>
          <w:tcPr>
            <w:tcW w:w="86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187</w:t>
            </w:r>
          </w:p>
        </w:tc>
        <w:tc>
          <w:tcPr>
            <w:tcW w:w="10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Acquisitions</w:t>
            </w:r>
          </w:p>
        </w:tc>
        <w:tc>
          <w:tcPr>
            <w:tcW w:w="118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11,959</w:t>
            </w:r>
          </w:p>
        </w:tc>
        <w:tc>
          <w:tcPr>
            <w:tcW w:w="820" w:type="dxa"/>
            <w:vAlign w:val="bottom"/>
          </w:tcPr>
          <w:p>
            <w:pPr>
              <w:spacing w:after="0"/>
              <w:rPr>
                <w:sz w:val="18"/>
                <w:szCs w:val="18"/>
                <w:color w:val="auto"/>
              </w:rPr>
            </w:pPr>
          </w:p>
        </w:tc>
        <w:tc>
          <w:tcPr>
            <w:tcW w:w="9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11,959</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Settlements and adjustments</w:t>
            </w:r>
          </w:p>
        </w:tc>
        <w:tc>
          <w:tcPr>
            <w:tcW w:w="11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2011</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12,208</w:t>
            </w: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w:t>
            </w:r>
          </w:p>
        </w:tc>
        <w:tc>
          <w:tcPr>
            <w:tcW w:w="8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11,960</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187</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$26,919</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goodwill for the six months ended June 30, 2011 is primarily related to the closing of the NBCUniversal transaction on January 28, 2011. The preliminary allocation of purchase price to the assets and liabilities of the NBCUniversal businesses acquired, and the allocation of goodwill among reporting segments, are not complete and are subject to change. We expect the majority of the goodwill will be related to our Cable Networks segment. See Note 4 for additional information on the NBCUniversal transaction.</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carrying amount of goodwill at both June 30, 2011 and December 31, 2010 includes accumulated impairments of $76 million within our Cable Networks segment.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40" w:type="dxa"/>
            <w:vAlign w:val="bottom"/>
            <w:vMerge w:val="restart"/>
          </w:tcPr>
          <w:p>
            <w:pPr>
              <w:jc w:val="right"/>
              <w:ind w:right="20"/>
              <w:spacing w:after="0"/>
              <w:rPr>
                <w:sz w:val="20"/>
                <w:szCs w:val="20"/>
                <w:color w:val="auto"/>
              </w:rPr>
            </w:pPr>
            <w:r>
              <w:rPr>
                <w:rFonts w:ascii="Arial" w:cs="Arial" w:eastAsia="Arial" w:hAnsi="Arial"/>
                <w:sz w:val="14"/>
                <w:szCs w:val="14"/>
                <w:color w:val="auto"/>
              </w:rPr>
              <w:t>Original Useful Life</w:t>
            </w: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w w:val="94"/>
              </w:rPr>
              <w:t>June 30, 2011</w:t>
            </w: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86"/>
              </w:rPr>
              <w:t>December 31, 2010</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1480" w:type="dxa"/>
            <w:vAlign w:val="bottom"/>
            <w:gridSpan w:val="2"/>
          </w:tcPr>
          <w:p>
            <w:pPr>
              <w:ind w:left="400"/>
              <w:spacing w:after="0" w:line="131" w:lineRule="exact"/>
              <w:rPr>
                <w:sz w:val="20"/>
                <w:szCs w:val="20"/>
                <w:color w:val="auto"/>
              </w:rPr>
            </w:pPr>
            <w:r>
              <w:rPr>
                <w:rFonts w:ascii="Arial" w:cs="Arial" w:eastAsia="Arial" w:hAnsi="Arial"/>
                <w:sz w:val="14"/>
                <w:szCs w:val="14"/>
                <w:color w:val="auto"/>
              </w:rPr>
              <w:t>Gross Carrying</w:t>
            </w:r>
          </w:p>
        </w:tc>
        <w:tc>
          <w:tcPr>
            <w:tcW w:w="1080" w:type="dxa"/>
            <w:vAlign w:val="bottom"/>
            <w:gridSpan w:val="2"/>
          </w:tcPr>
          <w:p>
            <w:pPr>
              <w:ind w:left="240"/>
              <w:spacing w:after="0" w:line="131" w:lineRule="exact"/>
              <w:rPr>
                <w:sz w:val="20"/>
                <w:szCs w:val="20"/>
                <w:color w:val="auto"/>
              </w:rPr>
            </w:pPr>
            <w:r>
              <w:rPr>
                <w:rFonts w:ascii="Arial" w:cs="Arial" w:eastAsia="Arial" w:hAnsi="Arial"/>
                <w:sz w:val="14"/>
                <w:szCs w:val="14"/>
                <w:color w:val="auto"/>
              </w:rPr>
              <w:t>Accumulated</w:t>
            </w:r>
          </w:p>
        </w:tc>
        <w:tc>
          <w:tcPr>
            <w:tcW w:w="420" w:type="dxa"/>
            <w:vAlign w:val="bottom"/>
          </w:tcPr>
          <w:p>
            <w:pPr>
              <w:spacing w:after="0"/>
              <w:rPr>
                <w:sz w:val="11"/>
                <w:szCs w:val="11"/>
                <w:color w:val="auto"/>
              </w:rPr>
            </w:pPr>
          </w:p>
        </w:tc>
        <w:tc>
          <w:tcPr>
            <w:tcW w:w="1480" w:type="dxa"/>
            <w:vAlign w:val="bottom"/>
            <w:gridSpan w:val="2"/>
          </w:tcPr>
          <w:p>
            <w:pPr>
              <w:ind w:left="400"/>
              <w:spacing w:after="0" w:line="131" w:lineRule="exact"/>
              <w:rPr>
                <w:sz w:val="20"/>
                <w:szCs w:val="20"/>
                <w:color w:val="auto"/>
              </w:rPr>
            </w:pPr>
            <w:r>
              <w:rPr>
                <w:rFonts w:ascii="Arial" w:cs="Arial" w:eastAsia="Arial" w:hAnsi="Arial"/>
                <w:sz w:val="14"/>
                <w:szCs w:val="14"/>
                <w:color w:val="auto"/>
              </w:rPr>
              <w:t>Gross Carrying</w:t>
            </w:r>
          </w:p>
        </w:tc>
        <w:tc>
          <w:tcPr>
            <w:tcW w:w="1080" w:type="dxa"/>
            <w:vAlign w:val="bottom"/>
            <w:gridSpan w:val="2"/>
          </w:tcPr>
          <w:p>
            <w:pPr>
              <w:ind w:left="240"/>
              <w:spacing w:after="0" w:line="131"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59"/>
        </w:trPr>
        <w:tc>
          <w:tcPr>
            <w:tcW w:w="384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2040" w:type="dxa"/>
            <w:vAlign w:val="bottom"/>
          </w:tcPr>
          <w:p>
            <w:pPr>
              <w:jc w:val="right"/>
              <w:ind w:right="120"/>
              <w:spacing w:after="0" w:line="159" w:lineRule="exact"/>
              <w:rPr>
                <w:sz w:val="20"/>
                <w:szCs w:val="20"/>
                <w:color w:val="auto"/>
              </w:rPr>
            </w:pPr>
            <w:r>
              <w:rPr>
                <w:rFonts w:ascii="Arial" w:cs="Arial" w:eastAsia="Arial" w:hAnsi="Arial"/>
                <w:sz w:val="14"/>
                <w:szCs w:val="14"/>
                <w:color w:val="auto"/>
              </w:rPr>
              <w:t>at June 30, 2011</w:t>
            </w:r>
          </w:p>
        </w:tc>
        <w:tc>
          <w:tcPr>
            <w:tcW w:w="540" w:type="dxa"/>
            <w:vAlign w:val="bottom"/>
          </w:tcPr>
          <w:p>
            <w:pPr>
              <w:spacing w:after="0"/>
              <w:rPr>
                <w:sz w:val="13"/>
                <w:szCs w:val="13"/>
                <w:color w:val="auto"/>
              </w:rPr>
            </w:pPr>
          </w:p>
        </w:tc>
        <w:tc>
          <w:tcPr>
            <w:tcW w:w="940" w:type="dxa"/>
            <w:vAlign w:val="bottom"/>
          </w:tcPr>
          <w:p>
            <w:pPr>
              <w:jc w:val="right"/>
              <w:ind w:right="359"/>
              <w:spacing w:after="0" w:line="159" w:lineRule="exact"/>
              <w:rPr>
                <w:sz w:val="20"/>
                <w:szCs w:val="20"/>
                <w:color w:val="auto"/>
              </w:rPr>
            </w:pPr>
            <w:r>
              <w:rPr>
                <w:rFonts w:ascii="Arial" w:cs="Arial" w:eastAsia="Arial" w:hAnsi="Arial"/>
                <w:sz w:val="14"/>
                <w:szCs w:val="14"/>
                <w:color w:val="auto"/>
                <w:w w:val="99"/>
              </w:rPr>
              <w:t>Amount</w:t>
            </w:r>
          </w:p>
        </w:tc>
        <w:tc>
          <w:tcPr>
            <w:tcW w:w="150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Amortization</w:t>
            </w:r>
          </w:p>
        </w:tc>
        <w:tc>
          <w:tcPr>
            <w:tcW w:w="540" w:type="dxa"/>
            <w:vAlign w:val="bottom"/>
          </w:tcPr>
          <w:p>
            <w:pPr>
              <w:spacing w:after="0"/>
              <w:rPr>
                <w:sz w:val="13"/>
                <w:szCs w:val="13"/>
                <w:color w:val="auto"/>
              </w:rPr>
            </w:pPr>
          </w:p>
        </w:tc>
        <w:tc>
          <w:tcPr>
            <w:tcW w:w="940" w:type="dxa"/>
            <w:vAlign w:val="bottom"/>
          </w:tcPr>
          <w:p>
            <w:pPr>
              <w:jc w:val="right"/>
              <w:ind w:right="359"/>
              <w:spacing w:after="0" w:line="159" w:lineRule="exact"/>
              <w:rPr>
                <w:sz w:val="20"/>
                <w:szCs w:val="20"/>
                <w:color w:val="auto"/>
              </w:rPr>
            </w:pPr>
            <w:r>
              <w:rPr>
                <w:rFonts w:ascii="Arial" w:cs="Arial" w:eastAsia="Arial" w:hAnsi="Arial"/>
                <w:sz w:val="14"/>
                <w:szCs w:val="14"/>
                <w:color w:val="auto"/>
                <w:w w:val="99"/>
              </w:rPr>
              <w:t>Amount</w:t>
            </w:r>
          </w:p>
        </w:tc>
        <w:tc>
          <w:tcPr>
            <w:tcW w:w="108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intangible assets</w:t>
            </w:r>
          </w:p>
        </w:tc>
        <w:tc>
          <w:tcPr>
            <w:tcW w:w="204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2-25 years</w:t>
            </w:r>
          </w:p>
        </w:tc>
        <w:tc>
          <w:tcPr>
            <w:tcW w:w="54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8,996</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(5,738)</w:t>
            </w:r>
          </w:p>
        </w:tc>
        <w:tc>
          <w:tcPr>
            <w:tcW w:w="420" w:type="dxa"/>
            <w:vAlign w:val="bottom"/>
            <w:tcBorders>
              <w:top w:val="single" w:sz="8" w:color="E5E5E5"/>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12,271</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1"/>
              </w:rPr>
              <w:t>(8,840)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Acquired NBCUniversal intangible assets:</w:t>
            </w: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Finite-lived intangible assets</w:t>
            </w:r>
          </w:p>
        </w:tc>
        <w:tc>
          <w:tcPr>
            <w:tcW w:w="20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4-19 years</w:t>
            </w: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11,312</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(279)</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Indefinite-lived intangible assets</w:t>
            </w:r>
          </w:p>
        </w:tc>
        <w:tc>
          <w:tcPr>
            <w:tcW w:w="20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N/A</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3,100</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E5E5E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b w:val="1"/>
                <w:bCs w:val="1"/>
                <w:color w:val="auto"/>
              </w:rPr>
              <w:t>23,408</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(6,017)</w:t>
            </w:r>
          </w:p>
        </w:tc>
        <w:tc>
          <w:tcPr>
            <w:tcW w:w="42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b w:val="1"/>
                <w:bCs w:val="1"/>
                <w:color w:val="auto"/>
              </w:rPr>
              <w:t>12,271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1"/>
              </w:rPr>
              <w:t>(8,840)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decrease in the gross carrying amount and accumulated amortization of other intangible assets for the six months ended June 30, 2011 was due to the write-off of fully amortized customer relationship and other intangible assets.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 assets recorded as a result of the NBCUniversal transaction include finite-lived intangible assets, primarily relationships with advertisers and multichannel video providers, and indefinite-lived intangible assets, primarily trade names and Federal Communications Commission licenses. See Note 4 for additional information on the NBCUniversal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2011, our debt had an estimated fair value of $43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NBCUniversal issued $9.1 billion principal amount of senior debt securities during 2010 in connection with the NBCUniversal transaction. In accordance with acquisition accounting, the senior debt securities were recorded at fair value based on interest rates available to us for debt with similar terms and remaining maturities as of January 28, 2011. The table below presents the carrying value of these senior debt securities included in our balance sheet as of June 30, 2011.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June 30,</w:t>
            </w:r>
          </w:p>
        </w:tc>
      </w:tr>
      <w:tr>
        <w:trPr>
          <w:trHeight w:val="159"/>
        </w:trPr>
        <w:tc>
          <w:tcPr>
            <w:tcW w:w="54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04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color w:val="auto"/>
              </w:rPr>
              <w:t>Interest Rate</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4"/>
              <w:spacing w:after="0" w:line="159" w:lineRule="exact"/>
              <w:rPr>
                <w:sz w:val="20"/>
                <w:szCs w:val="20"/>
                <w:color w:val="auto"/>
              </w:rPr>
            </w:pPr>
            <w:r>
              <w:rPr>
                <w:rFonts w:ascii="Arial" w:cs="Arial" w:eastAsia="Arial" w:hAnsi="Arial"/>
                <w:sz w:val="14"/>
                <w:szCs w:val="14"/>
                <w:color w:val="auto"/>
                <w:w w:val="83"/>
              </w:rPr>
              <w:t>2011</w:t>
            </w:r>
          </w:p>
        </w:tc>
      </w:tr>
      <w:tr>
        <w:trPr>
          <w:trHeight w:val="210"/>
        </w:trPr>
        <w:tc>
          <w:tcPr>
            <w:tcW w:w="5480" w:type="dxa"/>
            <w:vAlign w:val="bottom"/>
            <w:shd w:val="clear" w:color="auto" w:fill="E5E5E5"/>
          </w:tcPr>
          <w:p>
            <w:pPr>
              <w:spacing w:after="0"/>
              <w:rPr>
                <w:sz w:val="20"/>
                <w:szCs w:val="20"/>
                <w:color w:val="auto"/>
              </w:rPr>
            </w:pPr>
            <w:r>
              <w:rPr>
                <w:rFonts w:ascii="Arial" w:cs="Arial" w:eastAsia="Arial" w:hAnsi="Arial"/>
                <w:sz w:val="18"/>
                <w:szCs w:val="18"/>
                <w:color w:val="auto"/>
              </w:rPr>
              <w:t>Senior notes due 2014</w:t>
            </w:r>
          </w:p>
        </w:tc>
        <w:tc>
          <w:tcPr>
            <w:tcW w:w="504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2.100%</w:t>
            </w:r>
          </w:p>
        </w:tc>
        <w:tc>
          <w:tcPr>
            <w:tcW w:w="400" w:type="dxa"/>
            <w:vAlign w:val="bottom"/>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903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Senior notes due 2015</w:t>
            </w:r>
          </w:p>
        </w:tc>
        <w:tc>
          <w:tcPr>
            <w:tcW w:w="5040" w:type="dxa"/>
            <w:vAlign w:val="bottom"/>
          </w:tcPr>
          <w:p>
            <w:pPr>
              <w:jc w:val="right"/>
              <w:ind w:right="215"/>
              <w:spacing w:after="0"/>
              <w:rPr>
                <w:sz w:val="20"/>
                <w:szCs w:val="20"/>
                <w:color w:val="auto"/>
              </w:rPr>
            </w:pPr>
            <w:r>
              <w:rPr>
                <w:rFonts w:ascii="Arial" w:cs="Arial" w:eastAsia="Arial" w:hAnsi="Arial"/>
                <w:sz w:val="18"/>
                <w:szCs w:val="18"/>
                <w:color w:val="auto"/>
              </w:rPr>
              <w:t>3.650%</w:t>
            </w:r>
          </w:p>
        </w:tc>
        <w:tc>
          <w:tcPr>
            <w:tcW w:w="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1,032</w:t>
            </w:r>
          </w:p>
        </w:tc>
      </w:tr>
      <w:tr>
        <w:trPr>
          <w:trHeight w:val="216"/>
        </w:trPr>
        <w:tc>
          <w:tcPr>
            <w:tcW w:w="5480" w:type="dxa"/>
            <w:vAlign w:val="bottom"/>
            <w:shd w:val="clear" w:color="auto" w:fill="E5E5E5"/>
          </w:tcPr>
          <w:p>
            <w:pPr>
              <w:spacing w:after="0"/>
              <w:rPr>
                <w:sz w:val="20"/>
                <w:szCs w:val="20"/>
                <w:color w:val="auto"/>
              </w:rPr>
            </w:pPr>
            <w:r>
              <w:rPr>
                <w:rFonts w:ascii="Arial" w:cs="Arial" w:eastAsia="Arial" w:hAnsi="Arial"/>
                <w:sz w:val="18"/>
                <w:szCs w:val="18"/>
                <w:color w:val="auto"/>
              </w:rPr>
              <w:t>Senior notes due 2016</w:t>
            </w:r>
          </w:p>
        </w:tc>
        <w:tc>
          <w:tcPr>
            <w:tcW w:w="504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2.875%</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988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Senior notes due 2020</w:t>
            </w:r>
          </w:p>
        </w:tc>
        <w:tc>
          <w:tcPr>
            <w:tcW w:w="5040" w:type="dxa"/>
            <w:vAlign w:val="bottom"/>
          </w:tcPr>
          <w:p>
            <w:pPr>
              <w:jc w:val="right"/>
              <w:ind w:right="215"/>
              <w:spacing w:after="0"/>
              <w:rPr>
                <w:sz w:val="20"/>
                <w:szCs w:val="20"/>
                <w:color w:val="auto"/>
              </w:rPr>
            </w:pPr>
            <w:r>
              <w:rPr>
                <w:rFonts w:ascii="Arial" w:cs="Arial" w:eastAsia="Arial" w:hAnsi="Arial"/>
                <w:sz w:val="18"/>
                <w:szCs w:val="18"/>
                <w:color w:val="auto"/>
              </w:rPr>
              <w:t>5.150%</w:t>
            </w:r>
          </w:p>
        </w:tc>
        <w:tc>
          <w:tcPr>
            <w:tcW w:w="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2,063</w:t>
            </w:r>
          </w:p>
        </w:tc>
      </w:tr>
      <w:tr>
        <w:trPr>
          <w:trHeight w:val="216"/>
        </w:trPr>
        <w:tc>
          <w:tcPr>
            <w:tcW w:w="5480" w:type="dxa"/>
            <w:vAlign w:val="bottom"/>
            <w:shd w:val="clear" w:color="auto" w:fill="E5E5E5"/>
          </w:tcPr>
          <w:p>
            <w:pPr>
              <w:spacing w:after="0"/>
              <w:rPr>
                <w:sz w:val="20"/>
                <w:szCs w:val="20"/>
                <w:color w:val="auto"/>
              </w:rPr>
            </w:pPr>
            <w:r>
              <w:rPr>
                <w:rFonts w:ascii="Arial" w:cs="Arial" w:eastAsia="Arial" w:hAnsi="Arial"/>
                <w:sz w:val="18"/>
                <w:szCs w:val="18"/>
                <w:color w:val="auto"/>
              </w:rPr>
              <w:t>Senior notes due 2021</w:t>
            </w:r>
          </w:p>
        </w:tc>
        <w:tc>
          <w:tcPr>
            <w:tcW w:w="504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4.375%</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1,937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Senior notes due 2040</w:t>
            </w:r>
          </w:p>
        </w:tc>
        <w:tc>
          <w:tcPr>
            <w:tcW w:w="5040" w:type="dxa"/>
            <w:vAlign w:val="bottom"/>
          </w:tcPr>
          <w:p>
            <w:pPr>
              <w:jc w:val="right"/>
              <w:ind w:right="215"/>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1,033</w:t>
            </w:r>
          </w:p>
        </w:tc>
      </w:tr>
      <w:tr>
        <w:trPr>
          <w:trHeight w:val="216"/>
        </w:trPr>
        <w:tc>
          <w:tcPr>
            <w:tcW w:w="5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Senior notes due 2041</w:t>
            </w:r>
          </w:p>
        </w:tc>
        <w:tc>
          <w:tcPr>
            <w:tcW w:w="504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5.950%</w:t>
            </w:r>
          </w:p>
        </w:tc>
        <w:tc>
          <w:tcPr>
            <w:tcW w:w="4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4"/>
              </w:rPr>
              <w:t>1,176</w:t>
            </w:r>
          </w:p>
        </w:tc>
      </w:tr>
      <w:tr>
        <w:trPr>
          <w:trHeight w:val="217"/>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4"/>
              </w:rPr>
              <w:t>9,132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Revolving Bank Credit Facility</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Effective with the closing of the NBCUniversal transaction on January 28, 2011, NBCUniversal has a revolving credit facility with a syndicate of banks that may be used for general corporate purposes. In June 2011, NBCUniversal amended its revolving credit facility, which increased the size of the facility to $1.5 billion from $750 million, reduced the interest rate payable under the facility and extended the maturity of the loan commitment to June 2016 from January 2014. As of June 30, 2011, the credit facility remained undrawn. See Note 18 for additional information on the NBCUniversal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January 2011, we repaid $1 billion principal amount of 6.75% notes due at maturity. In March 2011, we repaid $750 million principal amount of 5.5% notes due at maturity.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2011, we issued $750 million face amount of commercial paper, net of repayments.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Derivative Financial Instruments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 We do not engage in any speculative or leveraged derivative transactions. All derivative transactions must comply with the derivatives policy approved by our Board of Directors. Derivative financial instruments are recorded in our consolidated balance sheet at fair value. We formally document, at inception of the hedging relationship, derivative financial instruments designated to hedge the exposure to changes in the fair value of a recognized asset or liability or an unrecognized firm commitment (“fair value hedge”) or the exposure to changes in cash flows of a forecasted transaction (“cash flow hedge”), and we evaluate them for effectiveness at the time they are designated, as well as throughout the hedging period.</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our exposure to fluctuations in interest rates by using derivative financial instruments such as interest rate exchange agreements (“swaps”) and interest rate lock agreements (“rate locks”). We sometimes enter into rate locks or collars to hedge the risk that the cash flows related to the interest payments on an anticipated issuance or assumption of fixed-rate debt may be adversely affected by interest rate fluctuations.</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manage our exposure to foreign exchange risk related to NBCUniversal’s recognized balance sheet amounts in foreign currency and foreign currency denominated production costs and rights, as well as international content-related revenue and royalties, by using foreign exchange contracts such as forward contracts and currency options. We manage our exposure to foreign exchange risk related to our foreign currency denominated borrowings by using cross-currency swap agreements, effectively converting these borrowings to U.S. dollar denominated borrowings.</w:t>
      </w:r>
    </w:p>
    <w:p>
      <w:pPr>
        <w:spacing w:after="0" w:line="18"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We manage our exposure to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June 30, 2011 and December 31, 2010, neither we nor any of the counterparties were required to post collateral under the terms of the agreements.</w:t>
      </w:r>
    </w:p>
    <w:p>
      <w:pPr>
        <w:spacing w:after="0" w:line="5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As of June 30, 2011, our derivative financial instruments designated as hedges included (i) our interest rate swap agreements, which are recorded to other current or noncurrent assets, (ii) certain of our foreign exchange contracts, which are recorded to other current assets or accrued expenses and other current liabilities,</w:t>
      </w:r>
    </w:p>
    <w:p>
      <w:pPr>
        <w:ind w:firstLine="8"/>
        <w:spacing w:after="0" w:line="261"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cross-currency swap agreements, which are recorded to other noncurrent liabilities, and (iv) the derivative component of one of our prepaid forward sale agreements, which is recorded to other noncurrent liabilities.</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2011, our derivative financial instruments not designated as hedges were (i) certain of our foreign exchange contracts, which are recorded to other current assets or accrued expenses and other current liabilities, (ii) the derivative component of our indexed debt instruments (our ZONES debt), which is recorded to long-term debt, and (iii) the derivative components of certain of our prepaid forward sale agreements, which are recorded to other current and noncurrent liabilities.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additional information on the fair values of our derivative financial instruments as of June 30, 2011 and December 31, 2010.</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of Gain (Loss) Recognized in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6"/>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9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color w:val="auto"/>
                <w:w w:val="83"/>
              </w:rPr>
              <w:t>2011</w:t>
            </w:r>
          </w:p>
        </w:tc>
        <w:tc>
          <w:tcPr>
            <w:tcW w:w="7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color w:val="auto"/>
                <w:w w:val="83"/>
              </w:rPr>
              <w:t>2010</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color w:val="auto"/>
                <w:w w:val="89"/>
              </w:rPr>
              <w:t>2011</w:t>
            </w: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Interest Income (Expense):</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Interest rate swap agreements (fixed to variable)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74</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6"/>
              <w:spacing w:after="0"/>
              <w:rPr>
                <w:sz w:val="20"/>
                <w:szCs w:val="20"/>
                <w:color w:val="auto"/>
              </w:rPr>
            </w:pPr>
            <w:r>
              <w:rPr>
                <w:rFonts w:ascii="Arial" w:cs="Arial" w:eastAsia="Arial" w:hAnsi="Arial"/>
                <w:sz w:val="18"/>
                <w:szCs w:val="18"/>
                <w:color w:val="auto"/>
              </w:rPr>
              <w:t>90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29</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Long-term debt—interest rate swap agreements (fixed to variable)</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(90)</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Investment Income (Loss):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9"/>
              </w:rPr>
              <w:t>Mark to market adjustments on derivative component of prepaid forward sale</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60" w:type="dxa"/>
            <w:vAlign w:val="bottom"/>
            <w:shd w:val="clear" w:color="auto" w:fill="E5E5E5"/>
          </w:tcPr>
          <w:p>
            <w:pPr>
              <w:ind w:left="660"/>
              <w:spacing w:after="0"/>
              <w:rPr>
                <w:sz w:val="20"/>
                <w:szCs w:val="20"/>
                <w:color w:val="auto"/>
              </w:rPr>
            </w:pPr>
            <w:r>
              <w:rPr>
                <w:rFonts w:ascii="Arial" w:cs="Arial" w:eastAsia="Arial" w:hAnsi="Arial"/>
                <w:sz w:val="18"/>
                <w:szCs w:val="18"/>
                <w:color w:val="auto"/>
              </w:rPr>
              <w:t>agreement</w:t>
            </w:r>
          </w:p>
        </w:tc>
        <w:tc>
          <w:tcPr>
            <w:tcW w:w="680" w:type="dxa"/>
            <w:vAlign w:val="bottom"/>
            <w:shd w:val="clear" w:color="auto" w:fill="E5E5E5"/>
          </w:tcPr>
          <w:p>
            <w:pPr>
              <w:spacing w:after="0"/>
              <w:rPr>
                <w:sz w:val="19"/>
                <w:szCs w:val="19"/>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9"/>
                <w:szCs w:val="19"/>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E5E5E5"/>
          </w:tcPr>
          <w:p>
            <w:pPr>
              <w:spacing w:after="0"/>
              <w:rPr>
                <w:sz w:val="19"/>
                <w:szCs w:val="19"/>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3"/>
              </w:rPr>
              <w:t>Unrealized gains (losses) on securities underlying prepaid forward sale agreement</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Gain (loss) on fair value hedging relationships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4</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6</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During the period from January 29, 2011 through June 30, 2011, NBCUniversal entered into fixed to variable swaps on $750 million principal amount of NBCUniversal senior debt securities with maturities ranging from 2014 to 2016. These fixed to variable swaps are designated as effective fair value hedges.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2011 and December 31, 2010, the fair value of our prepaid forward sale agreement designated as a fair value hedge was a liability of $37 million and $29 million,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Pretax Amount of Gain (Loss) Recognized in Accumulated Other Comprehensive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2"/>
          </w:tcPr>
          <w:p>
            <w:pPr>
              <w:jc w:val="center"/>
              <w:ind w:left="42"/>
              <w:spacing w:after="0"/>
              <w:rPr>
                <w:sz w:val="20"/>
                <w:szCs w:val="20"/>
                <w:color w:val="auto"/>
              </w:rPr>
            </w:pPr>
            <w:r>
              <w:rPr>
                <w:rFonts w:ascii="Arial" w:cs="Arial" w:eastAsia="Arial" w:hAnsi="Arial"/>
                <w:sz w:val="14"/>
                <w:szCs w:val="14"/>
                <w:color w:val="auto"/>
                <w:w w:val="87"/>
              </w:rPr>
              <w:t>Three Months Ended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3"/>
        </w:trPr>
        <w:tc>
          <w:tcPr>
            <w:tcW w:w="56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color w:val="auto"/>
                <w:w w:val="80"/>
              </w:rPr>
              <w:t>June 30</w:t>
            </w: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37"/>
              <w:spacing w:after="0" w:line="143" w:lineRule="exact"/>
              <w:rPr>
                <w:sz w:val="20"/>
                <w:szCs w:val="20"/>
                <w:color w:val="auto"/>
              </w:rPr>
            </w:pPr>
            <w:r>
              <w:rPr>
                <w:rFonts w:ascii="Arial" w:cs="Arial" w:eastAsia="Arial" w:hAnsi="Arial"/>
                <w:sz w:val="14"/>
                <w:szCs w:val="14"/>
                <w:color w:val="auto"/>
              </w:rPr>
              <w:t>2011</w:t>
            </w:r>
          </w:p>
        </w:tc>
        <w:tc>
          <w:tcPr>
            <w:tcW w:w="10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0"/>
              <w:spacing w:after="0" w:line="143" w:lineRule="exact"/>
              <w:rPr>
                <w:sz w:val="20"/>
                <w:szCs w:val="20"/>
                <w:color w:val="auto"/>
              </w:rPr>
            </w:pPr>
            <w:r>
              <w:rPr>
                <w:rFonts w:ascii="Arial" w:cs="Arial" w:eastAsia="Arial" w:hAnsi="Arial"/>
                <w:sz w:val="14"/>
                <w:szCs w:val="14"/>
                <w:color w:val="auto"/>
                <w:w w:val="83"/>
              </w:rPr>
              <w:t>2010</w:t>
            </w:r>
          </w:p>
        </w:tc>
        <w:tc>
          <w:tcPr>
            <w:tcW w:w="660" w:type="dxa"/>
            <w:vAlign w:val="bottom"/>
            <w:tcBorders>
              <w:bottom w:val="single" w:sz="8" w:color="auto"/>
            </w:tcBorders>
          </w:tcPr>
          <w:p>
            <w:pPr>
              <w:spacing w:after="0"/>
              <w:rPr>
                <w:sz w:val="12"/>
                <w:szCs w:val="12"/>
                <w:color w:val="auto"/>
              </w:rPr>
            </w:pPr>
          </w:p>
        </w:tc>
      </w:tr>
      <w:tr>
        <w:trPr>
          <w:trHeight w:val="131"/>
        </w:trPr>
        <w:tc>
          <w:tcPr>
            <w:tcW w:w="5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8"/>
              </w:rPr>
              <w:t>Foreign</w:t>
            </w:r>
          </w:p>
        </w:tc>
        <w:tc>
          <w:tcPr>
            <w:tcW w:w="1020" w:type="dxa"/>
            <w:vAlign w:val="bottom"/>
          </w:tcPr>
          <w:p>
            <w:pPr>
              <w:spacing w:after="0"/>
              <w:rPr>
                <w:sz w:val="11"/>
                <w:szCs w:val="11"/>
                <w:color w:val="auto"/>
              </w:rPr>
            </w:pPr>
          </w:p>
        </w:tc>
        <w:tc>
          <w:tcPr>
            <w:tcW w:w="72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Interest</w:t>
            </w:r>
          </w:p>
        </w:tc>
        <w:tc>
          <w:tcPr>
            <w:tcW w:w="10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8"/>
              </w:rPr>
              <w:t>Foreign</w:t>
            </w:r>
          </w:p>
        </w:tc>
        <w:tc>
          <w:tcPr>
            <w:tcW w:w="660" w:type="dxa"/>
            <w:vAlign w:val="bottom"/>
          </w:tcPr>
          <w:p>
            <w:pPr>
              <w:spacing w:after="0"/>
              <w:rPr>
                <w:sz w:val="11"/>
                <w:szCs w:val="11"/>
                <w:color w:val="auto"/>
              </w:rPr>
            </w:pPr>
          </w:p>
        </w:tc>
      </w:tr>
      <w:tr>
        <w:trPr>
          <w:trHeight w:val="149"/>
        </w:trPr>
        <w:tc>
          <w:tcPr>
            <w:tcW w:w="5660" w:type="dxa"/>
            <w:vAlign w:val="bottom"/>
          </w:tcPr>
          <w:p>
            <w:pPr>
              <w:spacing w:after="0"/>
              <w:rPr>
                <w:sz w:val="12"/>
                <w:szCs w:val="12"/>
                <w:color w:val="auto"/>
              </w:rPr>
            </w:pPr>
          </w:p>
        </w:tc>
        <w:tc>
          <w:tcPr>
            <w:tcW w:w="13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Interest Rate</w:t>
            </w:r>
          </w:p>
        </w:tc>
        <w:tc>
          <w:tcPr>
            <w:tcW w:w="10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Exchange</w:t>
            </w:r>
          </w:p>
        </w:tc>
        <w:tc>
          <w:tcPr>
            <w:tcW w:w="1020" w:type="dxa"/>
            <w:vAlign w:val="bottom"/>
          </w:tcPr>
          <w:p>
            <w:pPr>
              <w:spacing w:after="0"/>
              <w:rPr>
                <w:sz w:val="12"/>
                <w:szCs w:val="12"/>
                <w:color w:val="auto"/>
              </w:rPr>
            </w:pP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Rate</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Exchange</w:t>
            </w:r>
          </w:p>
        </w:tc>
        <w:tc>
          <w:tcPr>
            <w:tcW w:w="660" w:type="dxa"/>
            <w:vAlign w:val="bottom"/>
          </w:tcPr>
          <w:p>
            <w:pPr>
              <w:spacing w:after="0"/>
              <w:rPr>
                <w:sz w:val="12"/>
                <w:szCs w:val="12"/>
                <w:color w:val="auto"/>
              </w:rPr>
            </w:pPr>
          </w:p>
        </w:tc>
      </w:tr>
      <w:tr>
        <w:trPr>
          <w:trHeight w:val="159"/>
        </w:trPr>
        <w:tc>
          <w:tcPr>
            <w:tcW w:w="5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9" w:lineRule="exact"/>
              <w:rPr>
                <w:sz w:val="20"/>
                <w:szCs w:val="20"/>
                <w:color w:val="auto"/>
              </w:rPr>
            </w:pPr>
            <w:r>
              <w:rPr>
                <w:rFonts w:ascii="Arial" w:cs="Arial" w:eastAsia="Arial" w:hAnsi="Arial"/>
                <w:sz w:val="14"/>
                <w:szCs w:val="14"/>
                <w:color w:val="auto"/>
              </w:rPr>
              <w:t>Risk</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37"/>
              <w:spacing w:after="0" w:line="159" w:lineRule="exact"/>
              <w:rPr>
                <w:sz w:val="20"/>
                <w:szCs w:val="20"/>
                <w:color w:val="auto"/>
              </w:rPr>
            </w:pPr>
            <w:r>
              <w:rPr>
                <w:rFonts w:ascii="Arial" w:cs="Arial" w:eastAsia="Arial" w:hAnsi="Arial"/>
                <w:sz w:val="14"/>
                <w:szCs w:val="14"/>
                <w:color w:val="auto"/>
                <w:w w:val="87"/>
              </w:rPr>
              <w:t>Risk</w:t>
            </w:r>
          </w:p>
        </w:tc>
        <w:tc>
          <w:tcPr>
            <w:tcW w:w="1020" w:type="dxa"/>
            <w:vAlign w:val="bottom"/>
            <w:tcBorders>
              <w:bottom w:val="single" w:sz="8" w:color="auto"/>
            </w:tcBorders>
          </w:tcPr>
          <w:p>
            <w:pPr>
              <w:jc w:val="right"/>
              <w:ind w:right="362"/>
              <w:spacing w:after="0" w:line="159" w:lineRule="exact"/>
              <w:rPr>
                <w:sz w:val="20"/>
                <w:szCs w:val="20"/>
                <w:color w:val="auto"/>
              </w:rPr>
            </w:pPr>
            <w:r>
              <w:rPr>
                <w:rFonts w:ascii="Arial" w:cs="Arial" w:eastAsia="Arial" w:hAnsi="Arial"/>
                <w:sz w:val="14"/>
                <w:szCs w:val="14"/>
                <w:color w:val="auto"/>
              </w:rPr>
              <w:t>Total</w:t>
            </w:r>
          </w:p>
        </w:tc>
        <w:tc>
          <w:tcPr>
            <w:tcW w:w="720" w:type="dxa"/>
            <w:vAlign w:val="bottom"/>
            <w:tcBorders>
              <w:bottom w:val="single" w:sz="8" w:color="auto"/>
            </w:tcBorders>
            <w:gridSpan w:val="2"/>
          </w:tcPr>
          <w:p>
            <w:pPr>
              <w:ind w:left="160"/>
              <w:spacing w:after="0" w:line="159" w:lineRule="exact"/>
              <w:rPr>
                <w:sz w:val="20"/>
                <w:szCs w:val="20"/>
                <w:color w:val="auto"/>
              </w:rPr>
            </w:pPr>
            <w:r>
              <w:rPr>
                <w:rFonts w:ascii="Arial" w:cs="Arial" w:eastAsia="Arial" w:hAnsi="Arial"/>
                <w:sz w:val="14"/>
                <w:szCs w:val="14"/>
                <w:color w:val="auto"/>
              </w:rPr>
              <w:t>Risk</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80"/>
              <w:spacing w:after="0" w:line="159" w:lineRule="exact"/>
              <w:rPr>
                <w:sz w:val="20"/>
                <w:szCs w:val="20"/>
                <w:color w:val="auto"/>
              </w:rPr>
            </w:pPr>
            <w:r>
              <w:rPr>
                <w:rFonts w:ascii="Arial" w:cs="Arial" w:eastAsia="Arial" w:hAnsi="Arial"/>
                <w:sz w:val="14"/>
                <w:szCs w:val="14"/>
                <w:color w:val="auto"/>
                <w:w w:val="87"/>
              </w:rPr>
              <w:t>Risk</w:t>
            </w:r>
          </w:p>
        </w:tc>
        <w:tc>
          <w:tcPr>
            <w:tcW w:w="66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5660" w:type="dxa"/>
            <w:vAlign w:val="bottom"/>
            <w:shd w:val="clear" w:color="auto" w:fill="E5E5E5"/>
          </w:tcPr>
          <w:p>
            <w:pPr>
              <w:spacing w:after="0"/>
              <w:rPr>
                <w:sz w:val="20"/>
                <w:szCs w:val="20"/>
                <w:color w:val="auto"/>
              </w:rPr>
            </w:pPr>
            <w:r>
              <w:rPr>
                <w:rFonts w:ascii="Arial" w:cs="Arial" w:eastAsia="Arial" w:hAnsi="Arial"/>
                <w:sz w:val="18"/>
                <w:szCs w:val="18"/>
                <w:color w:val="auto"/>
              </w:rPr>
              <w:t>Deferred gain (loss) recognized</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E5E5E5"/>
          </w:tcPr>
          <w:p>
            <w:pPr>
              <w:jc w:val="right"/>
              <w:ind w:right="282"/>
              <w:spacing w:after="0"/>
              <w:rPr>
                <w:sz w:val="20"/>
                <w:szCs w:val="20"/>
                <w:color w:val="auto"/>
              </w:rPr>
            </w:pPr>
            <w:r>
              <w:rPr>
                <w:rFonts w:ascii="Arial" w:cs="Arial" w:eastAsia="Arial" w:hAnsi="Arial"/>
                <w:sz w:val="18"/>
                <w:szCs w:val="18"/>
                <w:color w:val="auto"/>
              </w:rPr>
              <w:t>$(13)</w:t>
            </w:r>
          </w:p>
        </w:tc>
        <w:tc>
          <w:tcPr>
            <w:tcW w:w="2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(66)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(gain) loss reclassified to income</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w:t>
            </w:r>
          </w:p>
        </w:tc>
      </w:tr>
      <w:tr>
        <w:trPr>
          <w:trHeight w:val="217"/>
        </w:trPr>
        <w:tc>
          <w:tcPr>
            <w:tcW w:w="5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change in accumulated other comprehensive income</w:t>
            </w:r>
          </w:p>
        </w:tc>
        <w:tc>
          <w:tcPr>
            <w:tcW w:w="54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5</w:t>
            </w:r>
          </w:p>
        </w:tc>
        <w:tc>
          <w:tcPr>
            <w:tcW w:w="3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(15)</w:t>
            </w:r>
          </w:p>
        </w:tc>
        <w:tc>
          <w:tcPr>
            <w:tcW w:w="1020" w:type="dxa"/>
            <w:vAlign w:val="bottom"/>
            <w:tcBorders>
              <w:bottom w:val="single" w:sz="8" w:color="auto"/>
            </w:tcBorders>
            <w:shd w:val="clear" w:color="auto" w:fill="E5E5E5"/>
          </w:tcPr>
          <w:p>
            <w:pPr>
              <w:jc w:val="right"/>
              <w:ind w:right="282"/>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4</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(66)</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$(62)</w:t>
            </w:r>
          </w:p>
        </w:tc>
      </w:tr>
      <w:tr>
        <w:trPr>
          <w:trHeight w:val="205"/>
        </w:trPr>
        <w:tc>
          <w:tcPr>
            <w:tcW w:w="5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gridSpan w:val="2"/>
          </w:tcPr>
          <w:p>
            <w:pPr>
              <w:jc w:val="center"/>
              <w:ind w:left="62"/>
              <w:spacing w:after="0"/>
              <w:rPr>
                <w:sz w:val="20"/>
                <w:szCs w:val="20"/>
                <w:color w:val="auto"/>
              </w:rPr>
            </w:pPr>
            <w:r>
              <w:rPr>
                <w:rFonts w:ascii="Arial" w:cs="Arial" w:eastAsia="Arial" w:hAnsi="Arial"/>
                <w:sz w:val="14"/>
                <w:szCs w:val="14"/>
                <w:color w:val="auto"/>
                <w:w w:val="87"/>
              </w:rPr>
              <w:t>Six Months Ended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73"/>
        </w:trPr>
        <w:tc>
          <w:tcPr>
            <w:tcW w:w="56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color w:val="auto"/>
                <w:w w:val="80"/>
              </w:rPr>
              <w:t>June 30</w:t>
            </w: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37"/>
              <w:spacing w:after="0" w:line="143" w:lineRule="exact"/>
              <w:rPr>
                <w:sz w:val="20"/>
                <w:szCs w:val="20"/>
                <w:color w:val="auto"/>
              </w:rPr>
            </w:pPr>
            <w:r>
              <w:rPr>
                <w:rFonts w:ascii="Arial" w:cs="Arial" w:eastAsia="Arial" w:hAnsi="Arial"/>
                <w:sz w:val="14"/>
                <w:szCs w:val="14"/>
                <w:color w:val="auto"/>
              </w:rPr>
              <w:t>2011</w:t>
            </w:r>
          </w:p>
        </w:tc>
        <w:tc>
          <w:tcPr>
            <w:tcW w:w="10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0"/>
              <w:spacing w:after="0" w:line="143" w:lineRule="exact"/>
              <w:rPr>
                <w:sz w:val="20"/>
                <w:szCs w:val="20"/>
                <w:color w:val="auto"/>
              </w:rPr>
            </w:pPr>
            <w:r>
              <w:rPr>
                <w:rFonts w:ascii="Arial" w:cs="Arial" w:eastAsia="Arial" w:hAnsi="Arial"/>
                <w:sz w:val="14"/>
                <w:szCs w:val="14"/>
                <w:color w:val="auto"/>
                <w:w w:val="83"/>
              </w:rPr>
              <w:t>2010</w:t>
            </w:r>
          </w:p>
        </w:tc>
        <w:tc>
          <w:tcPr>
            <w:tcW w:w="660" w:type="dxa"/>
            <w:vAlign w:val="bottom"/>
            <w:tcBorders>
              <w:bottom w:val="single" w:sz="8" w:color="auto"/>
            </w:tcBorders>
          </w:tcPr>
          <w:p>
            <w:pPr>
              <w:spacing w:after="0"/>
              <w:rPr>
                <w:sz w:val="12"/>
                <w:szCs w:val="12"/>
                <w:color w:val="auto"/>
              </w:rPr>
            </w:pPr>
          </w:p>
        </w:tc>
      </w:tr>
      <w:tr>
        <w:trPr>
          <w:trHeight w:val="131"/>
        </w:trPr>
        <w:tc>
          <w:tcPr>
            <w:tcW w:w="5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8"/>
              </w:rPr>
              <w:t>Foreign</w:t>
            </w:r>
          </w:p>
        </w:tc>
        <w:tc>
          <w:tcPr>
            <w:tcW w:w="1020" w:type="dxa"/>
            <w:vAlign w:val="bottom"/>
          </w:tcPr>
          <w:p>
            <w:pPr>
              <w:spacing w:after="0"/>
              <w:rPr>
                <w:sz w:val="11"/>
                <w:szCs w:val="11"/>
                <w:color w:val="auto"/>
              </w:rPr>
            </w:pPr>
          </w:p>
        </w:tc>
        <w:tc>
          <w:tcPr>
            <w:tcW w:w="72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Interest</w:t>
            </w:r>
          </w:p>
        </w:tc>
        <w:tc>
          <w:tcPr>
            <w:tcW w:w="10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8"/>
              </w:rPr>
              <w:t>Foreign</w:t>
            </w:r>
          </w:p>
        </w:tc>
        <w:tc>
          <w:tcPr>
            <w:tcW w:w="660" w:type="dxa"/>
            <w:vAlign w:val="bottom"/>
          </w:tcPr>
          <w:p>
            <w:pPr>
              <w:spacing w:after="0"/>
              <w:rPr>
                <w:sz w:val="11"/>
                <w:szCs w:val="11"/>
                <w:color w:val="auto"/>
              </w:rPr>
            </w:pPr>
          </w:p>
        </w:tc>
      </w:tr>
      <w:tr>
        <w:trPr>
          <w:trHeight w:val="149"/>
        </w:trPr>
        <w:tc>
          <w:tcPr>
            <w:tcW w:w="5660" w:type="dxa"/>
            <w:vAlign w:val="bottom"/>
          </w:tcPr>
          <w:p>
            <w:pPr>
              <w:spacing w:after="0"/>
              <w:rPr>
                <w:sz w:val="12"/>
                <w:szCs w:val="12"/>
                <w:color w:val="auto"/>
              </w:rPr>
            </w:pPr>
          </w:p>
        </w:tc>
        <w:tc>
          <w:tcPr>
            <w:tcW w:w="13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Interest Rate</w:t>
            </w:r>
          </w:p>
        </w:tc>
        <w:tc>
          <w:tcPr>
            <w:tcW w:w="10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Exchange</w:t>
            </w:r>
          </w:p>
        </w:tc>
        <w:tc>
          <w:tcPr>
            <w:tcW w:w="1020" w:type="dxa"/>
            <w:vAlign w:val="bottom"/>
          </w:tcPr>
          <w:p>
            <w:pPr>
              <w:spacing w:after="0"/>
              <w:rPr>
                <w:sz w:val="12"/>
                <w:szCs w:val="12"/>
                <w:color w:val="auto"/>
              </w:rPr>
            </w:pP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Rate</w:t>
            </w: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Exchange</w:t>
            </w:r>
          </w:p>
        </w:tc>
        <w:tc>
          <w:tcPr>
            <w:tcW w:w="660" w:type="dxa"/>
            <w:vAlign w:val="bottom"/>
          </w:tcPr>
          <w:p>
            <w:pPr>
              <w:spacing w:after="0"/>
              <w:rPr>
                <w:sz w:val="12"/>
                <w:szCs w:val="12"/>
                <w:color w:val="auto"/>
              </w:rPr>
            </w:pPr>
          </w:p>
        </w:tc>
      </w:tr>
      <w:tr>
        <w:trPr>
          <w:trHeight w:val="159"/>
        </w:trPr>
        <w:tc>
          <w:tcPr>
            <w:tcW w:w="5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9" w:lineRule="exact"/>
              <w:rPr>
                <w:sz w:val="20"/>
                <w:szCs w:val="20"/>
                <w:color w:val="auto"/>
              </w:rPr>
            </w:pPr>
            <w:r>
              <w:rPr>
                <w:rFonts w:ascii="Arial" w:cs="Arial" w:eastAsia="Arial" w:hAnsi="Arial"/>
                <w:sz w:val="14"/>
                <w:szCs w:val="14"/>
                <w:color w:val="auto"/>
              </w:rPr>
              <w:t>Risk</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37"/>
              <w:spacing w:after="0" w:line="159" w:lineRule="exact"/>
              <w:rPr>
                <w:sz w:val="20"/>
                <w:szCs w:val="20"/>
                <w:color w:val="auto"/>
              </w:rPr>
            </w:pPr>
            <w:r>
              <w:rPr>
                <w:rFonts w:ascii="Arial" w:cs="Arial" w:eastAsia="Arial" w:hAnsi="Arial"/>
                <w:sz w:val="14"/>
                <w:szCs w:val="14"/>
                <w:color w:val="auto"/>
                <w:w w:val="87"/>
              </w:rPr>
              <w:t>Risk</w:t>
            </w:r>
          </w:p>
        </w:tc>
        <w:tc>
          <w:tcPr>
            <w:tcW w:w="1020" w:type="dxa"/>
            <w:vAlign w:val="bottom"/>
            <w:tcBorders>
              <w:bottom w:val="single" w:sz="8" w:color="auto"/>
            </w:tcBorders>
          </w:tcPr>
          <w:p>
            <w:pPr>
              <w:jc w:val="right"/>
              <w:ind w:right="362"/>
              <w:spacing w:after="0" w:line="159" w:lineRule="exact"/>
              <w:rPr>
                <w:sz w:val="20"/>
                <w:szCs w:val="20"/>
                <w:color w:val="auto"/>
              </w:rPr>
            </w:pPr>
            <w:r>
              <w:rPr>
                <w:rFonts w:ascii="Arial" w:cs="Arial" w:eastAsia="Arial" w:hAnsi="Arial"/>
                <w:sz w:val="14"/>
                <w:szCs w:val="14"/>
                <w:color w:val="auto"/>
              </w:rPr>
              <w:t>Total</w:t>
            </w:r>
          </w:p>
        </w:tc>
        <w:tc>
          <w:tcPr>
            <w:tcW w:w="720" w:type="dxa"/>
            <w:vAlign w:val="bottom"/>
            <w:tcBorders>
              <w:bottom w:val="single" w:sz="8" w:color="auto"/>
            </w:tcBorders>
            <w:gridSpan w:val="2"/>
          </w:tcPr>
          <w:p>
            <w:pPr>
              <w:ind w:left="160"/>
              <w:spacing w:after="0" w:line="159" w:lineRule="exact"/>
              <w:rPr>
                <w:sz w:val="20"/>
                <w:szCs w:val="20"/>
                <w:color w:val="auto"/>
              </w:rPr>
            </w:pPr>
            <w:r>
              <w:rPr>
                <w:rFonts w:ascii="Arial" w:cs="Arial" w:eastAsia="Arial" w:hAnsi="Arial"/>
                <w:sz w:val="14"/>
                <w:szCs w:val="14"/>
                <w:color w:val="auto"/>
              </w:rPr>
              <w:t>Risk</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80"/>
              <w:spacing w:after="0" w:line="159" w:lineRule="exact"/>
              <w:rPr>
                <w:sz w:val="20"/>
                <w:szCs w:val="20"/>
                <w:color w:val="auto"/>
              </w:rPr>
            </w:pPr>
            <w:r>
              <w:rPr>
                <w:rFonts w:ascii="Arial" w:cs="Arial" w:eastAsia="Arial" w:hAnsi="Arial"/>
                <w:sz w:val="14"/>
                <w:szCs w:val="14"/>
                <w:color w:val="auto"/>
                <w:w w:val="87"/>
              </w:rPr>
              <w:t>Risk</w:t>
            </w:r>
          </w:p>
        </w:tc>
        <w:tc>
          <w:tcPr>
            <w:tcW w:w="660" w:type="dxa"/>
            <w:vAlign w:val="bottom"/>
            <w:tcBorders>
              <w:bottom w:val="single" w:sz="8" w:color="auto"/>
            </w:tcBorders>
          </w:tcPr>
          <w:p>
            <w:pPr>
              <w:jc w:val="right"/>
              <w:ind w:right="57"/>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5660" w:type="dxa"/>
            <w:vAlign w:val="bottom"/>
            <w:shd w:val="clear" w:color="auto" w:fill="E5E5E5"/>
          </w:tcPr>
          <w:p>
            <w:pPr>
              <w:spacing w:after="0"/>
              <w:rPr>
                <w:sz w:val="20"/>
                <w:szCs w:val="20"/>
                <w:color w:val="auto"/>
              </w:rPr>
            </w:pPr>
            <w:r>
              <w:rPr>
                <w:rFonts w:ascii="Arial" w:cs="Arial" w:eastAsia="Arial" w:hAnsi="Arial"/>
                <w:sz w:val="18"/>
                <w:szCs w:val="18"/>
                <w:color w:val="auto"/>
              </w:rPr>
              <w:t>Deferred gain (loss) recognized</w:t>
            </w:r>
          </w:p>
        </w:tc>
        <w:tc>
          <w:tcPr>
            <w:tcW w:w="54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4</w:t>
            </w:r>
          </w:p>
        </w:tc>
        <w:tc>
          <w:tcPr>
            <w:tcW w:w="1020" w:type="dxa"/>
            <w:vAlign w:val="bottom"/>
            <w:shd w:val="clear" w:color="auto" w:fill="E5E5E5"/>
          </w:tcPr>
          <w:p>
            <w:pPr>
              <w:jc w:val="right"/>
              <w:ind w:right="322"/>
              <w:spacing w:after="0"/>
              <w:rPr>
                <w:sz w:val="20"/>
                <w:szCs w:val="20"/>
                <w:color w:val="auto"/>
              </w:rPr>
            </w:pPr>
            <w:r>
              <w:rPr>
                <w:rFonts w:ascii="Arial" w:cs="Arial" w:eastAsia="Arial" w:hAnsi="Arial"/>
                <w:sz w:val="18"/>
                <w:szCs w:val="18"/>
                <w:color w:val="auto"/>
              </w:rPr>
              <w:t>$  4</w:t>
            </w:r>
          </w:p>
        </w:tc>
        <w:tc>
          <w:tcPr>
            <w:tcW w:w="2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(66)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(gain) loss reclassified to income</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(27)</w:t>
            </w: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w:t>
            </w:r>
          </w:p>
        </w:tc>
      </w:tr>
      <w:tr>
        <w:trPr>
          <w:trHeight w:val="217"/>
        </w:trPr>
        <w:tc>
          <w:tcPr>
            <w:tcW w:w="5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change in accumulated other comprehensive income</w:t>
            </w:r>
          </w:p>
        </w:tc>
        <w:tc>
          <w:tcPr>
            <w:tcW w:w="54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11</w:t>
            </w:r>
          </w:p>
        </w:tc>
        <w:tc>
          <w:tcPr>
            <w:tcW w:w="3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(23)</w:t>
            </w:r>
          </w:p>
        </w:tc>
        <w:tc>
          <w:tcPr>
            <w:tcW w:w="1020" w:type="dxa"/>
            <w:vAlign w:val="bottom"/>
            <w:tcBorders>
              <w:bottom w:val="single" w:sz="8" w:color="auto"/>
            </w:tcBorders>
            <w:shd w:val="clear" w:color="auto" w:fill="E5E5E5"/>
          </w:tcPr>
          <w:p>
            <w:pPr>
              <w:jc w:val="right"/>
              <w:ind w:right="282"/>
              <w:spacing w:after="0"/>
              <w:rPr>
                <w:sz w:val="20"/>
                <w:szCs w:val="20"/>
                <w:color w:val="auto"/>
              </w:rPr>
            </w:pPr>
            <w:r>
              <w:rPr>
                <w:rFonts w:ascii="Arial" w:cs="Arial" w:eastAsia="Arial" w:hAnsi="Arial"/>
                <w:sz w:val="18"/>
                <w:szCs w:val="18"/>
                <w:b w:val="1"/>
                <w:bCs w:val="1"/>
                <w:color w:val="auto"/>
              </w:rPr>
              <w:t>$(12)</w:t>
            </w:r>
          </w:p>
        </w:tc>
        <w:tc>
          <w:tcPr>
            <w:tcW w:w="2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8</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(66)</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$(58)</w:t>
            </w:r>
          </w:p>
        </w:tc>
      </w:tr>
    </w:tbl>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rate risk deferred losses relate to interest rate lock agreements entered into to fix the interest rates of certain of our debt obligations in advance of their issuance. Unless we retire this debt early, these unrealized losses will be reclassified as an adjustment to interest expense, primarily through 2022, in the period in which the related interest expense is recognized in earnings. As of June 30, 2011, we expect $23 million of unrealized losses, $15 million net of deferred taxes, to be reclassified as an adjustment to interest expense over the next 12 months. The foreign exchange risk deferred losses for the three and six months ended June 30, 2011 relate to cross-currency swap agreements on foreign currency denominated debt due in 2029 and foreign exchange contracts with initial maturities generally not exceeding one year and up to 18 months in certain circumstances. As of June 30, 2011, the fair value of the foreign exchange contracts related to NBCUniversal operations that were designated as cash flow hedges was a liability of $2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Ineffectiveness related to our cash flow hedges was not material for the three and six months ended June 30, 2011 or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Financial Instruments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of Gain (Loss) Recognized in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6"/>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9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8"/>
              </w:rPr>
              <w:t>June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color w:val="auto"/>
                <w:w w:val="83"/>
              </w:rPr>
              <w:t>2011</w:t>
            </w:r>
          </w:p>
        </w:tc>
        <w:tc>
          <w:tcPr>
            <w:tcW w:w="7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color w:val="auto"/>
                <w:w w:val="83"/>
              </w:rPr>
              <w:t>2010</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color w:val="auto"/>
                <w:w w:val="89"/>
              </w:rPr>
              <w:t>2011</w:t>
            </w: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Mark to market adjustments on foreign exchange contracts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Investment Income (Loss):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60" w:type="dxa"/>
            <w:vAlign w:val="bottom"/>
          </w:tcPr>
          <w:p>
            <w:pPr>
              <w:ind w:left="440"/>
              <w:spacing w:after="0"/>
              <w:rPr>
                <w:sz w:val="20"/>
                <w:szCs w:val="20"/>
                <w:color w:val="auto"/>
              </w:rPr>
            </w:pPr>
            <w:r>
              <w:rPr>
                <w:rFonts w:ascii="Arial" w:cs="Arial" w:eastAsia="Arial" w:hAnsi="Arial"/>
                <w:sz w:val="18"/>
                <w:szCs w:val="18"/>
                <w:color w:val="auto"/>
                <w:w w:val="99"/>
              </w:rPr>
              <w:t>Mark to market adjustments on derivative component of prepaid forward sale</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660"/>
              <w:spacing w:after="0"/>
              <w:rPr>
                <w:sz w:val="20"/>
                <w:szCs w:val="20"/>
                <w:color w:val="auto"/>
              </w:rPr>
            </w:pPr>
            <w:r>
              <w:rPr>
                <w:rFonts w:ascii="Arial" w:cs="Arial" w:eastAsia="Arial" w:hAnsi="Arial"/>
                <w:sz w:val="18"/>
                <w:szCs w:val="18"/>
                <w:color w:val="auto"/>
              </w:rPr>
              <w:t>agreements</w:t>
            </w: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w:t>
            </w:r>
          </w:p>
        </w:tc>
        <w:tc>
          <w:tcPr>
            <w:tcW w:w="700" w:type="dxa"/>
            <w:vAlign w:val="bottom"/>
          </w:tcPr>
          <w:p>
            <w:pPr>
              <w:spacing w:after="0"/>
              <w:rPr>
                <w:sz w:val="19"/>
                <w:szCs w:val="19"/>
                <w:color w:val="auto"/>
              </w:rPr>
            </w:pPr>
          </w:p>
        </w:tc>
        <w:tc>
          <w:tcPr>
            <w:tcW w:w="780" w:type="dxa"/>
            <w:vAlign w:val="bottom"/>
          </w:tcPr>
          <w:p>
            <w:pPr>
              <w:jc w:val="right"/>
              <w:ind w:right="276"/>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7"/>
        </w:trPr>
        <w:tc>
          <w:tcPr>
            <w:tcW w:w="65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1"/>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218</w:t>
            </w:r>
          </w:p>
        </w:tc>
        <w:tc>
          <w:tcPr>
            <w:tcW w:w="7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522</w:t>
            </w: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Mark to market adjustments on derivative component of ZONES</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gain (loss)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41</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78</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2011, foreign exchange contracts related to NBCUniversal operations that were not designated had a total notional value of $1.2 billion. The notional amount is a measure of the activity related to our risk exposure and does not represent the amount of our exposure to credit loss or market loss, or reflect the gains or losses associated with the exposures and transactions that the foreign exchange contracts are intended to offset. The amounts ultimately realized upon settlement of these derivative financial instruments, together with the gains and losses on the underlying exposures, will depend on actual market conditions during the remaining life of the derivative financial instruments.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in the marketplace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112"/>
              <w:spacing w:after="0" w:line="159" w:lineRule="exact"/>
              <w:rPr>
                <w:sz w:val="20"/>
                <w:szCs w:val="20"/>
                <w:color w:val="auto"/>
              </w:rPr>
            </w:pPr>
            <w:r>
              <w:rPr>
                <w:rFonts w:ascii="Arial" w:cs="Arial" w:eastAsia="Arial" w:hAnsi="Arial"/>
                <w:sz w:val="14"/>
                <w:szCs w:val="14"/>
                <w:color w:val="auto"/>
                <w:w w:val="94"/>
              </w:rPr>
              <w:t>Fair Value as of June 30, 2011</w:t>
            </w: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color w:val="auto"/>
              </w:rPr>
              <w:t>Level 1</w:t>
            </w:r>
          </w:p>
        </w:tc>
        <w:tc>
          <w:tcPr>
            <w:tcW w:w="104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color w:val="auto"/>
              </w:rPr>
              <w:t>Level 2</w:t>
            </w:r>
          </w:p>
        </w:tc>
        <w:tc>
          <w:tcPr>
            <w:tcW w:w="98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w w:val="83"/>
              </w:rPr>
              <w:t>Total</w:t>
            </w: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6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Trading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3,216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3,216</w:t>
            </w: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147</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Equity warrants</w:t>
            </w:r>
          </w:p>
        </w:tc>
        <w:tc>
          <w:tcPr>
            <w:tcW w:w="5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4"/>
              </w:rPr>
              <w:t>3,342</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269</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4"/>
              </w:rPr>
              <w:t>3,633</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ZONES</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5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1,473</w:t>
            </w:r>
          </w:p>
        </w:tc>
        <w:tc>
          <w:tcPr>
            <w:tcW w:w="42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1,473</w:t>
            </w:r>
          </w:p>
        </w:tc>
        <w:tc>
          <w:tcPr>
            <w:tcW w:w="4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6240" w:type="dxa"/>
            <w:vAlign w:val="bottom"/>
            <w:shd w:val="clear" w:color="auto" w:fill="E5E5E5"/>
          </w:tcPr>
          <w:p>
            <w:pPr>
              <w:spacing w:after="0"/>
              <w:rPr>
                <w:sz w:val="20"/>
                <w:szCs w:val="20"/>
                <w:color w:val="auto"/>
              </w:rPr>
            </w:pPr>
            <w:r>
              <w:rPr>
                <w:rFonts w:ascii="Arial" w:cs="Arial" w:eastAsia="Arial" w:hAnsi="Arial"/>
                <w:sz w:val="18"/>
                <w:szCs w:val="18"/>
                <w:color w:val="auto"/>
              </w:rPr>
              <w:t>Cross-currency swap agreements</w:t>
            </w:r>
          </w:p>
        </w:tc>
        <w:tc>
          <w:tcPr>
            <w:tcW w:w="5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23</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23</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4"/>
              </w:rPr>
              <w:t>1,517</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4"/>
              </w:rPr>
              <w:t>1,517</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financial instruments included in Level 3 primarily consist of available-for-sale securities that we acquired in connection with the NBCUniversal transaction. These investments are initially recorded at cost and remeasured to fair value on a recurring basis at the end of each period using unobservable inputs, which include company-specific fundamentals and other third-party transactions. We did not incur any other-than-temporary impairments for these investments in the periods presented. The changes in our Level 3 financial instruments were not material for the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Noncontrolling Interests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NBCUniversal transaction in January 2011, GE obtained a 49% indirect noncontrolling interest in the Comcast Content Business in exchange for a portion of our interest in NBCUniversal Holdings. The difference between the fair value received and the historical carrying value of the noncontrolling interest in the Comcast Content Business resulted in an increase of approximately $1.7 billion, net of taxes, to additional paid-in capital of Comcast Corporation.</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GE’s 49% interest in NBCUniversal Holdings is recorded as a redeemable noncontrolling interest in our consolidated financial statements due to the redemption provisions discussed in Note 4, with an initial value based on fair value for the portion attributable to the net assets we acquired, and based on our historical cost for the portion attributable to the Comcast Content Business. GE’s redeemable noncontrolling interest is adjusted for its 49% interest in NBCUniversal Holdings’ and NBCUniversal’s earnings and changes in other comprehensive income, as well as for other capital transactions attributable to GE.</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2010, we acquired all of the noncontrolling interest of one of our technology ventures, which had a carrying value of approximately $20 million, for approximately $9 million. The difference between the amount paid and the carrying value of the noncontrolling interest resulted in an increase of approximately $11 million to additional paid-in capital of Comcast Corporation.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from or to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140" w:type="dxa"/>
            <w:vAlign w:val="bottom"/>
            <w:gridSpan w:val="2"/>
          </w:tcPr>
          <w:p>
            <w:pPr>
              <w:jc w:val="right"/>
              <w:ind w:right="3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0"/>
              <w:spacing w:after="0" w:line="159" w:lineRule="exact"/>
              <w:rPr>
                <w:sz w:val="20"/>
                <w:szCs w:val="20"/>
                <w:color w:val="auto"/>
              </w:rPr>
            </w:pPr>
            <w:r>
              <w:rPr>
                <w:rFonts w:ascii="Arial" w:cs="Arial" w:eastAsia="Arial" w:hAnsi="Arial"/>
                <w:sz w:val="14"/>
                <w:szCs w:val="14"/>
                <w:color w:val="auto"/>
                <w:w w:val="88"/>
              </w:rPr>
              <w:t>June 30</w:t>
            </w:r>
          </w:p>
        </w:tc>
        <w:tc>
          <w:tcPr>
            <w:tcW w:w="0" w:type="dxa"/>
            <w:vAlign w:val="bottom"/>
          </w:tcPr>
          <w:p>
            <w:pPr>
              <w:spacing w:after="0"/>
              <w:rPr>
                <w:sz w:val="1"/>
                <w:szCs w:val="1"/>
                <w:color w:val="auto"/>
              </w:rPr>
            </w:pPr>
          </w:p>
        </w:tc>
      </w:tr>
      <w:tr>
        <w:trPr>
          <w:trHeight w:val="142"/>
        </w:trPr>
        <w:tc>
          <w:tcPr>
            <w:tcW w:w="92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color w:val="auto"/>
              </w:rPr>
              <w:t>2011</w:t>
            </w:r>
          </w:p>
        </w:tc>
        <w:tc>
          <w:tcPr>
            <w:tcW w:w="11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$ 1,965</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$ 1,750</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Increase in Comcast Corporation additional paid-in capital resulting from the sale of noncontrolling interest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1,692</w:t>
            </w:r>
          </w:p>
        </w:tc>
        <w:tc>
          <w:tcPr>
            <w:tcW w:w="114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Changes from net income attributable to Comcast Corporation and transfers from (to) noncontrolling interests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$ 3,657</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$ 1,761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Postretirement, Pension and Other Employee Benefit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Employee Benefit Plans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close of the NBCUniversal transaction on January 28, 2011, NBCUniversal established new employee benefit plans for its U.S. employees, including defined benefit pension plans and postretirement medical and life insurance plans. Additionally, NBCUniversal assumed certain liabilities related to its obligation to reimburse GE for amounts paid by GE for specified employee benefits and insurance programs that GE will continue to administer. NBCUniversal’s defined benefit pension plans for NBCUniversal employees (the “qualified plan”) and executives (the “nonqualified plan”) provide a lifetime income benefit based on an individual’s length of service and related compensation. The nonqualified plan gives credit to eligible participants for service provided prior to the close of the NBCUniversal transaction to the extent that participants did not vest in a supplemental pension plan sponsored by GE. The qualified plan is closed to new participants. The postretirement medical and life insurance benefit plans that were established provide continued coverage to employees eligible to receive such benefits and give credit for service provided prior to the closing of the NBCUniversal transaction. Certain covered employees also retain the right, upon retirement, to elect to participate in corresponding plans sponsored by GE. To the extent our employees make such elections, NBCUniversal will reimburse GE for any amounts due. We did not, however, assume any obligation for benefits due to employees who were retired at the closing of the NBCUniversal transaction and were eligible to receive benefits under GE’s postretirement medical and life insurance programs.</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funds the nonqualified plan and the postretirement medical and life insurance plans on a pay-as-you-go basis. NBCUniversal expects to contribute approximately $8 million in 2011 to fund these benefits, which includes estimated payments to GE for NBCUniversal’s obligation associated with GE’s supplemental pension plan. NBCUniversal does not plan to fund its qualified defined benefit plan until the second quarter of 2012, at which time it expects to fund it in the amount of approximately $100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condensed information on the NBCUniversal pension and postretirement benefit plans.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246"/>
              <w:spacing w:after="0"/>
              <w:rPr>
                <w:sz w:val="20"/>
                <w:szCs w:val="20"/>
                <w:color w:val="auto"/>
              </w:rPr>
            </w:pPr>
            <w:r>
              <w:rPr>
                <w:rFonts w:ascii="Arial" w:cs="Arial" w:eastAsia="Arial" w:hAnsi="Arial"/>
                <w:sz w:val="14"/>
                <w:szCs w:val="14"/>
                <w:color w:val="auto"/>
                <w:w w:val="87"/>
              </w:rPr>
              <w:t>Three Months Ended</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306"/>
              <w:spacing w:after="0"/>
              <w:rPr>
                <w:sz w:val="20"/>
                <w:szCs w:val="20"/>
                <w:color w:val="auto"/>
              </w:rPr>
            </w:pPr>
            <w:r>
              <w:rPr>
                <w:rFonts w:ascii="Arial" w:cs="Arial" w:eastAsia="Arial" w:hAnsi="Arial"/>
                <w:sz w:val="14"/>
                <w:szCs w:val="14"/>
                <w:color w:val="auto"/>
                <w:w w:val="87"/>
              </w:rPr>
              <w:t>Six Months Ended</w:t>
            </w:r>
          </w:p>
        </w:tc>
        <w:tc>
          <w:tcPr>
            <w:tcW w:w="220" w:type="dxa"/>
            <w:vAlign w:val="bottom"/>
          </w:tcPr>
          <w:p>
            <w:pPr>
              <w:spacing w:after="0"/>
              <w:rPr>
                <w:sz w:val="14"/>
                <w:szCs w:val="14"/>
                <w:color w:val="auto"/>
              </w:rPr>
            </w:pPr>
          </w:p>
        </w:tc>
      </w:tr>
      <w:tr>
        <w:trPr>
          <w:trHeight w:val="173"/>
        </w:trPr>
        <w:tc>
          <w:tcPr>
            <w:tcW w:w="56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color w:val="auto"/>
                <w:w w:val="85"/>
              </w:rPr>
              <w:t>June 30, 2011</w:t>
            </w: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86"/>
              <w:spacing w:after="0"/>
              <w:rPr>
                <w:sz w:val="20"/>
                <w:szCs w:val="20"/>
                <w:color w:val="auto"/>
              </w:rPr>
            </w:pPr>
            <w:r>
              <w:rPr>
                <w:rFonts w:ascii="Arial" w:cs="Arial" w:eastAsia="Arial" w:hAnsi="Arial"/>
                <w:sz w:val="14"/>
                <w:szCs w:val="14"/>
                <w:color w:val="auto"/>
                <w:w w:val="83"/>
              </w:rPr>
              <w:t>June 30, 2011</w:t>
            </w:r>
          </w:p>
        </w:tc>
        <w:tc>
          <w:tcPr>
            <w:tcW w:w="220" w:type="dxa"/>
            <w:vAlign w:val="bottom"/>
            <w:tcBorders>
              <w:bottom w:val="single" w:sz="8" w:color="auto"/>
            </w:tcBorders>
          </w:tcPr>
          <w:p>
            <w:pPr>
              <w:spacing w:after="0"/>
              <w:rPr>
                <w:sz w:val="15"/>
                <w:szCs w:val="15"/>
                <w:color w:val="auto"/>
              </w:rPr>
            </w:pPr>
          </w:p>
        </w:tc>
      </w:tr>
      <w:tr>
        <w:trPr>
          <w:trHeight w:val="132"/>
        </w:trPr>
        <w:tc>
          <w:tcPr>
            <w:tcW w:w="5620" w:type="dxa"/>
            <w:vAlign w:val="bottom"/>
          </w:tcPr>
          <w:p>
            <w:pPr>
              <w:spacing w:after="0"/>
              <w:rPr>
                <w:sz w:val="11"/>
                <w:szCs w:val="11"/>
                <w:color w:val="auto"/>
              </w:rPr>
            </w:pPr>
          </w:p>
        </w:tc>
        <w:tc>
          <w:tcPr>
            <w:tcW w:w="1180" w:type="dxa"/>
            <w:vAlign w:val="bottom"/>
            <w:gridSpan w:val="2"/>
          </w:tcPr>
          <w:p>
            <w:pPr>
              <w:ind w:left="740"/>
              <w:spacing w:after="0" w:line="132" w:lineRule="exact"/>
              <w:rPr>
                <w:sz w:val="20"/>
                <w:szCs w:val="20"/>
                <w:color w:val="auto"/>
              </w:rPr>
            </w:pPr>
            <w:r>
              <w:rPr>
                <w:rFonts w:ascii="Arial" w:cs="Arial" w:eastAsia="Arial" w:hAnsi="Arial"/>
                <w:sz w:val="14"/>
                <w:szCs w:val="14"/>
                <w:color w:val="auto"/>
                <w:w w:val="82"/>
              </w:rPr>
              <w:t>Pension</w:t>
            </w:r>
          </w:p>
        </w:tc>
        <w:tc>
          <w:tcPr>
            <w:tcW w:w="2040" w:type="dxa"/>
            <w:vAlign w:val="bottom"/>
            <w:gridSpan w:val="2"/>
          </w:tcPr>
          <w:p>
            <w:pPr>
              <w:ind w:left="820"/>
              <w:spacing w:after="0" w:line="132" w:lineRule="exact"/>
              <w:rPr>
                <w:sz w:val="20"/>
                <w:szCs w:val="20"/>
                <w:color w:val="auto"/>
              </w:rPr>
            </w:pPr>
            <w:r>
              <w:rPr>
                <w:rFonts w:ascii="Arial" w:cs="Arial" w:eastAsia="Arial" w:hAnsi="Arial"/>
                <w:sz w:val="14"/>
                <w:szCs w:val="14"/>
                <w:color w:val="auto"/>
              </w:rPr>
              <w:t>Postretirement</w:t>
            </w:r>
          </w:p>
        </w:tc>
        <w:tc>
          <w:tcPr>
            <w:tcW w:w="900" w:type="dxa"/>
            <w:vAlign w:val="bottom"/>
            <w:gridSpan w:val="2"/>
          </w:tcPr>
          <w:p>
            <w:pPr>
              <w:ind w:left="420"/>
              <w:spacing w:after="0" w:line="132" w:lineRule="exact"/>
              <w:rPr>
                <w:sz w:val="20"/>
                <w:szCs w:val="20"/>
                <w:color w:val="auto"/>
              </w:rPr>
            </w:pPr>
            <w:r>
              <w:rPr>
                <w:rFonts w:ascii="Arial" w:cs="Arial" w:eastAsia="Arial" w:hAnsi="Arial"/>
                <w:sz w:val="14"/>
                <w:szCs w:val="14"/>
                <w:color w:val="auto"/>
                <w:w w:val="90"/>
              </w:rPr>
              <w:t>Pension</w:t>
            </w:r>
          </w:p>
        </w:tc>
        <w:tc>
          <w:tcPr>
            <w:tcW w:w="1680" w:type="dxa"/>
            <w:vAlign w:val="bottom"/>
            <w:gridSpan w:val="2"/>
          </w:tcPr>
          <w:p>
            <w:pPr>
              <w:ind w:left="800"/>
              <w:spacing w:after="0" w:line="132" w:lineRule="exact"/>
              <w:rPr>
                <w:sz w:val="20"/>
                <w:szCs w:val="20"/>
                <w:color w:val="auto"/>
              </w:rPr>
            </w:pPr>
            <w:r>
              <w:rPr>
                <w:rFonts w:ascii="Arial" w:cs="Arial" w:eastAsia="Arial" w:hAnsi="Arial"/>
                <w:sz w:val="14"/>
                <w:szCs w:val="14"/>
                <w:color w:val="auto"/>
                <w:w w:val="94"/>
              </w:rPr>
              <w:t>Postretirement</w:t>
            </w:r>
          </w:p>
        </w:tc>
      </w:tr>
      <w:tr>
        <w:trPr>
          <w:trHeight w:val="159"/>
        </w:trPr>
        <w:tc>
          <w:tcPr>
            <w:tcW w:w="5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gridSpan w:val="2"/>
          </w:tcPr>
          <w:p>
            <w:pPr>
              <w:ind w:left="720"/>
              <w:spacing w:after="0" w:line="159" w:lineRule="exact"/>
              <w:rPr>
                <w:sz w:val="20"/>
                <w:szCs w:val="20"/>
                <w:color w:val="auto"/>
              </w:rPr>
            </w:pPr>
            <w:r>
              <w:rPr>
                <w:rFonts w:ascii="Arial" w:cs="Arial" w:eastAsia="Arial" w:hAnsi="Arial"/>
                <w:sz w:val="14"/>
                <w:szCs w:val="14"/>
                <w:color w:val="auto"/>
                <w:w w:val="86"/>
              </w:rPr>
              <w:t>Benefits</w:t>
            </w:r>
          </w:p>
        </w:tc>
        <w:tc>
          <w:tcPr>
            <w:tcW w:w="1500" w:type="dxa"/>
            <w:vAlign w:val="bottom"/>
            <w:tcBorders>
              <w:bottom w:val="single" w:sz="8" w:color="auto"/>
            </w:tcBorders>
          </w:tcPr>
          <w:p>
            <w:pPr>
              <w:ind w:left="1000"/>
              <w:spacing w:after="0" w:line="159" w:lineRule="exact"/>
              <w:rPr>
                <w:sz w:val="20"/>
                <w:szCs w:val="20"/>
                <w:color w:val="auto"/>
              </w:rPr>
            </w:pPr>
            <w:r>
              <w:rPr>
                <w:rFonts w:ascii="Arial" w:cs="Arial" w:eastAsia="Arial" w:hAnsi="Arial"/>
                <w:sz w:val="14"/>
                <w:szCs w:val="14"/>
                <w:color w:val="auto"/>
                <w:w w:val="94"/>
              </w:rPr>
              <w:t>Benefits</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w w:val="90"/>
              </w:rPr>
              <w:t>Benefits</w:t>
            </w:r>
          </w:p>
        </w:tc>
        <w:tc>
          <w:tcPr>
            <w:tcW w:w="1460" w:type="dxa"/>
            <w:vAlign w:val="bottom"/>
            <w:tcBorders>
              <w:bottom w:val="single" w:sz="8" w:color="auto"/>
            </w:tcBorders>
          </w:tcPr>
          <w:p>
            <w:pPr>
              <w:ind w:left="960"/>
              <w:spacing w:after="0" w:line="159" w:lineRule="exact"/>
              <w:rPr>
                <w:sz w:val="20"/>
                <w:szCs w:val="20"/>
                <w:color w:val="auto"/>
              </w:rPr>
            </w:pPr>
            <w:r>
              <w:rPr>
                <w:rFonts w:ascii="Arial" w:cs="Arial" w:eastAsia="Arial" w:hAnsi="Arial"/>
                <w:sz w:val="14"/>
                <w:szCs w:val="14"/>
                <w:color w:val="auto"/>
                <w:w w:val="94"/>
              </w:rPr>
              <w:t>Benefits</w:t>
            </w:r>
          </w:p>
        </w:tc>
        <w:tc>
          <w:tcPr>
            <w:tcW w:w="220" w:type="dxa"/>
            <w:vAlign w:val="bottom"/>
            <w:tcBorders>
              <w:bottom w:val="single" w:sz="8" w:color="auto"/>
            </w:tcBorders>
          </w:tcPr>
          <w:p>
            <w:pPr>
              <w:spacing w:after="0"/>
              <w:rPr>
                <w:sz w:val="13"/>
                <w:szCs w:val="13"/>
                <w:color w:val="auto"/>
              </w:rPr>
            </w:pPr>
          </w:p>
        </w:tc>
      </w:tr>
      <w:tr>
        <w:trPr>
          <w:trHeight w:val="210"/>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1500" w:type="dxa"/>
            <w:vAlign w:val="bottom"/>
            <w:shd w:val="clear" w:color="auto" w:fill="E5E5E5"/>
          </w:tcPr>
          <w:p>
            <w:pPr>
              <w:ind w:left="8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9"/>
              </w:rPr>
              <w:t>2</w:t>
            </w:r>
          </w:p>
        </w:tc>
        <w:tc>
          <w:tcPr>
            <w:tcW w:w="60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1460" w:type="dxa"/>
            <w:vAlign w:val="bottom"/>
            <w:shd w:val="clear" w:color="auto" w:fill="E5E5E5"/>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9"/>
              </w:rPr>
              <w:t>3</w:t>
            </w: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cost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2</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w:t>
            </w: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Pension</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Postretirement</w:t>
            </w:r>
          </w:p>
        </w:tc>
      </w:tr>
      <w:tr>
        <w:trPr>
          <w:trHeight w:val="159"/>
        </w:trPr>
        <w:tc>
          <w:tcPr>
            <w:tcW w:w="5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As of June 30, 2011 (in millions)</w:t>
            </w:r>
          </w:p>
        </w:tc>
        <w:tc>
          <w:tcPr>
            <w:tcW w:w="3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color w:val="auto"/>
              </w:rPr>
              <w:t>Benefits</w:t>
            </w: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line="159" w:lineRule="exact"/>
              <w:rPr>
                <w:sz w:val="20"/>
                <w:szCs w:val="20"/>
                <w:color w:val="auto"/>
              </w:rPr>
            </w:pPr>
            <w:r>
              <w:rPr>
                <w:rFonts w:ascii="Arial" w:cs="Arial" w:eastAsia="Arial" w:hAnsi="Arial"/>
                <w:sz w:val="14"/>
                <w:szCs w:val="14"/>
                <w:color w:val="auto"/>
                <w:w w:val="90"/>
              </w:rPr>
              <w:t>Benefits</w:t>
            </w:r>
          </w:p>
        </w:tc>
      </w:tr>
      <w:tr>
        <w:trPr>
          <w:trHeight w:val="210"/>
        </w:trPr>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Benefit obligation</w:t>
            </w:r>
          </w:p>
        </w:tc>
        <w:tc>
          <w:tcPr>
            <w:tcW w:w="3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542"/>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160</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3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02"/>
              <w:spacing w:after="0"/>
              <w:rPr>
                <w:sz w:val="20"/>
                <w:szCs w:val="20"/>
                <w:color w:val="auto"/>
              </w:rPr>
            </w:pPr>
            <w:r>
              <w:rPr>
                <w:rFonts w:ascii="Arial" w:cs="Arial" w:eastAsia="Arial" w:hAnsi="Arial"/>
                <w:sz w:val="18"/>
                <w:szCs w:val="18"/>
                <w:color w:val="auto"/>
                <w:w w:val="87"/>
              </w:rPr>
              <w:t>5.5% - 6.0%</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also established a U.S. defined contribution 401(k) plan with 100% matching employer contributions on the first 3.5% of pay plus additional contributions based on employee classification and management discretion. The related expense for the three and six months ended June 30, 2011 was $12 million and $21 million,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Other Employee Benefit Plans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condensed consolidated financial statements include the assets and liabilities of certain legacy NBCUniversal benefit plans, as well as the assets and liabilities for benefit plans of certain foreign subsidiaries. NBCUniversal also participates in various multiemployer pension plans covering some of their employees who are represented by labor unions. NBCUniversal makes periodic contributions to these plans in accordance with the terms of applicable collective bargaining agreements and laws, but does not sponsor or administer these plans.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Share-Based Compensation</w:t>
      </w:r>
    </w:p>
    <w:p>
      <w:pPr>
        <w:spacing w:after="0" w:line="8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March 2011, we granted 23.8 million stock options and 6.6 million RSUs related to our annual management grant program. The weighted-average fair values associated with these grants were $6.97 per stock option and $23.33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jc w:val="right"/>
              <w:ind w:right="49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60" w:type="dxa"/>
            <w:vAlign w:val="bottom"/>
            <w:gridSpan w:val="3"/>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8"/>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3"/>
              </w:rPr>
              <w:t>2011</w:t>
            </w:r>
          </w:p>
        </w:tc>
        <w:tc>
          <w:tcPr>
            <w:tcW w:w="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9"/>
              </w:rPr>
              <w:t>2010</w:t>
            </w: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9"/>
              </w:rPr>
              <w:t>2011</w:t>
            </w: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690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25</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740" w:type="dxa"/>
            <w:vAlign w:val="bottom"/>
          </w:tcPr>
          <w:p>
            <w:pPr>
              <w:jc w:val="right"/>
              <w:ind w:right="216"/>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60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2011, we had $373 million of unrecognized pretax compensation costs related to nonvested stock options and $380 million related to nonvested RSUs.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employee cost associated with participation in the employee stock purchase plan was satisfied with payroll deductions of approximately $13 million and $28 million for the three and six months ended June 30, 2011, respectively. For the three and six months ended June 30, 2010, the employee cost was $11 million and $26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Supplemental Financial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3680" w:type="dxa"/>
            <w:vAlign w:val="bottom"/>
          </w:tcPr>
          <w:p>
            <w:pPr>
              <w:jc w:val="right"/>
              <w:ind w:right="259"/>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6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680" w:type="dxa"/>
            <w:vAlign w:val="bottom"/>
            <w:tcBorders>
              <w:bottom w:val="single" w:sz="8" w:color="auto"/>
            </w:tcBorders>
          </w:tcPr>
          <w:p>
            <w:pPr>
              <w:jc w:val="right"/>
              <w:ind w:right="359"/>
              <w:spacing w:after="0" w:line="159" w:lineRule="exact"/>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6"/>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368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$4,629</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2,028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3680" w:type="dxa"/>
            <w:vAlign w:val="bottom"/>
          </w:tcPr>
          <w:p>
            <w:pPr>
              <w:jc w:val="right"/>
              <w:ind w:right="239"/>
              <w:spacing w:after="0"/>
              <w:rPr>
                <w:sz w:val="20"/>
                <w:szCs w:val="20"/>
                <w:color w:val="auto"/>
              </w:rPr>
            </w:pPr>
            <w:r>
              <w:rPr>
                <w:rFonts w:ascii="Arial" w:cs="Arial" w:eastAsia="Arial" w:hAnsi="Arial"/>
                <w:sz w:val="18"/>
                <w:szCs w:val="18"/>
                <w:color w:val="auto"/>
              </w:rPr>
              <w:t>285</w:t>
            </w:r>
          </w:p>
        </w:tc>
        <w:tc>
          <w:tcPr>
            <w:tcW w:w="48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3680" w:type="dxa"/>
            <w:vAlign w:val="bottom"/>
            <w:tcBorders>
              <w:bottom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rPr>
              <w:t>188</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173</w:t>
            </w:r>
          </w:p>
        </w:tc>
      </w:tr>
      <w:tr>
        <w:trPr>
          <w:trHeight w:val="217"/>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368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$4,156</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1,855</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returns and customer incentives are primarily attributable to our filmed entertainment segment.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our unbilled receivables related to long-term licensing arrangements included in our consolidated balance sheet as of June 30,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 and noncurrent unbilled receivables are recorded in receivables, net and other noncurrent assets, net,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7380" w:type="dxa"/>
            <w:vAlign w:val="bottom"/>
            <w:gridSpan w:val="2"/>
          </w:tcPr>
          <w:p>
            <w:pPr>
              <w:jc w:val="right"/>
              <w:ind w:right="17"/>
              <w:spacing w:after="0"/>
              <w:rPr>
                <w:sz w:val="20"/>
                <w:szCs w:val="20"/>
                <w:color w:val="auto"/>
              </w:rPr>
            </w:pPr>
            <w:r>
              <w:rPr>
                <w:rFonts w:ascii="Arial" w:cs="Arial" w:eastAsia="Arial" w:hAnsi="Arial"/>
                <w:sz w:val="14"/>
                <w:szCs w:val="14"/>
                <w:color w:val="auto"/>
              </w:rPr>
              <w:t>June 30,</w:t>
            </w:r>
          </w:p>
        </w:tc>
      </w:tr>
      <w:tr>
        <w:trPr>
          <w:trHeight w:val="159"/>
        </w:trPr>
        <w:tc>
          <w:tcPr>
            <w:tcW w:w="4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7"/>
              <w:spacing w:after="0" w:line="159" w:lineRule="exact"/>
              <w:rPr>
                <w:sz w:val="20"/>
                <w:szCs w:val="20"/>
                <w:color w:val="auto"/>
              </w:rPr>
            </w:pPr>
            <w:r>
              <w:rPr>
                <w:rFonts w:ascii="Arial" w:cs="Arial" w:eastAsia="Arial" w:hAnsi="Arial"/>
                <w:sz w:val="14"/>
                <w:szCs w:val="14"/>
                <w:color w:val="auto"/>
                <w:w w:val="76"/>
              </w:rPr>
              <w:t>2011</w:t>
            </w:r>
          </w:p>
        </w:tc>
      </w:tr>
      <w:tr>
        <w:trPr>
          <w:trHeight w:val="210"/>
        </w:trPr>
        <w:tc>
          <w:tcPr>
            <w:tcW w:w="4040" w:type="dxa"/>
            <w:vAlign w:val="bottom"/>
            <w:shd w:val="clear" w:color="auto" w:fill="E5E5E5"/>
          </w:tcPr>
          <w:p>
            <w:pPr>
              <w:spacing w:after="0"/>
              <w:rPr>
                <w:sz w:val="20"/>
                <w:szCs w:val="20"/>
                <w:color w:val="auto"/>
              </w:rPr>
            </w:pPr>
            <w:r>
              <w:rPr>
                <w:rFonts w:ascii="Arial" w:cs="Arial" w:eastAsia="Arial" w:hAnsi="Arial"/>
                <w:sz w:val="18"/>
                <w:szCs w:val="18"/>
                <w:color w:val="auto"/>
              </w:rPr>
              <w:t>Current</w:t>
            </w:r>
          </w:p>
        </w:tc>
        <w:tc>
          <w:tcPr>
            <w:tcW w:w="6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173</w:t>
            </w:r>
          </w:p>
        </w:tc>
      </w:tr>
      <w:tr>
        <w:trPr>
          <w:trHeight w:val="216"/>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net of imputed interest</w:t>
            </w:r>
          </w:p>
        </w:tc>
        <w:tc>
          <w:tcPr>
            <w:tcW w:w="6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613</w:t>
            </w:r>
          </w:p>
        </w:tc>
      </w:tr>
      <w:tr>
        <w:trPr>
          <w:trHeight w:val="217"/>
        </w:trPr>
        <w:tc>
          <w:tcPr>
            <w:tcW w:w="4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786</w:t>
            </w:r>
          </w:p>
        </w:tc>
      </w:tr>
      <w:tr>
        <w:trPr>
          <w:trHeight w:val="363"/>
        </w:trPr>
        <w:tc>
          <w:tcPr>
            <w:tcW w:w="4040" w:type="dxa"/>
            <w:vAlign w:val="bottom"/>
          </w:tcPr>
          <w:p>
            <w:pPr>
              <w:spacing w:after="0"/>
              <w:rPr>
                <w:sz w:val="24"/>
                <w:szCs w:val="24"/>
                <w:color w:val="auto"/>
              </w:rPr>
            </w:pPr>
          </w:p>
        </w:tc>
        <w:tc>
          <w:tcPr>
            <w:tcW w:w="6920" w:type="dxa"/>
            <w:vAlign w:val="bottom"/>
          </w:tcPr>
          <w:p>
            <w:pPr>
              <w:jc w:val="right"/>
              <w:ind w:right="5057"/>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and Equipment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color w:val="auto"/>
                <w:w w:val="93"/>
              </w:rPr>
              <w:t>June 30,</w:t>
            </w:r>
          </w:p>
        </w:tc>
        <w:tc>
          <w:tcPr>
            <w:tcW w:w="960" w:type="dxa"/>
            <w:vAlign w:val="bottom"/>
            <w:gridSpan w:val="3"/>
          </w:tcPr>
          <w:p>
            <w:pPr>
              <w:ind w:left="10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782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7"/>
              <w:spacing w:after="0" w:line="159" w:lineRule="exact"/>
              <w:rPr>
                <w:sz w:val="20"/>
                <w:szCs w:val="20"/>
                <w:color w:val="auto"/>
              </w:rPr>
            </w:pPr>
            <w:r>
              <w:rPr>
                <w:rFonts w:ascii="Arial" w:cs="Arial" w:eastAsia="Arial" w:hAnsi="Arial"/>
                <w:sz w:val="14"/>
                <w:szCs w:val="14"/>
                <w:color w:val="auto"/>
              </w:rPr>
              <w:t>2011</w:t>
            </w:r>
          </w:p>
        </w:tc>
        <w:tc>
          <w:tcPr>
            <w:tcW w:w="960" w:type="dxa"/>
            <w:vAlign w:val="bottom"/>
            <w:tcBorders>
              <w:bottom w:val="single" w:sz="8" w:color="auto"/>
            </w:tcBorders>
            <w:gridSpan w:val="3"/>
          </w:tcPr>
          <w:p>
            <w:pPr>
              <w:jc w:val="right"/>
              <w:ind w:right="253"/>
              <w:spacing w:after="0" w:line="15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w w:val="86"/>
              </w:rPr>
              <w:t>$57,075</w:t>
            </w:r>
          </w:p>
        </w:tc>
        <w:tc>
          <w:tcPr>
            <w:tcW w:w="3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w w:val="83"/>
              </w:rPr>
              <w:t>56,020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Acquired NBCUniversal property and equipment</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2,049</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59,124</w:t>
            </w:r>
          </w:p>
        </w:tc>
        <w:tc>
          <w:tcPr>
            <w:tcW w:w="380" w:type="dxa"/>
            <w:vAlign w:val="bottom"/>
            <w:shd w:val="clear" w:color="auto" w:fill="E5E5E5"/>
          </w:tcPr>
          <w:p>
            <w:pPr>
              <w:spacing w:after="0"/>
              <w:rPr>
                <w:sz w:val="18"/>
                <w:szCs w:val="18"/>
                <w:color w:val="auto"/>
              </w:rPr>
            </w:pPr>
          </w:p>
        </w:tc>
        <w:tc>
          <w:tcPr>
            <w:tcW w:w="58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w w:val="83"/>
              </w:rPr>
              <w:t>56,020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34,505</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w w:val="83"/>
              </w:rPr>
              <w:t>32,505</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Property and equipment, net</w:t>
            </w:r>
          </w:p>
        </w:tc>
        <w:tc>
          <w:tcPr>
            <w:tcW w:w="9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477"/>
              <w:spacing w:after="0"/>
              <w:rPr>
                <w:sz w:val="20"/>
                <w:szCs w:val="20"/>
                <w:color w:val="auto"/>
              </w:rPr>
            </w:pPr>
            <w:r>
              <w:rPr>
                <w:rFonts w:ascii="Arial" w:cs="Arial" w:eastAsia="Arial" w:hAnsi="Arial"/>
                <w:sz w:val="18"/>
                <w:szCs w:val="18"/>
                <w:b w:val="1"/>
                <w:bCs w:val="1"/>
                <w:color w:val="auto"/>
                <w:w w:val="86"/>
              </w:rPr>
              <w:t>$24,619</w:t>
            </w:r>
          </w:p>
        </w:tc>
        <w:tc>
          <w:tcPr>
            <w:tcW w:w="38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gridSpan w:val="2"/>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3"/>
              </w:rPr>
              <w:t>23,515</w:t>
            </w:r>
          </w:p>
        </w:tc>
        <w:tc>
          <w:tcPr>
            <w:tcW w:w="0" w:type="dxa"/>
            <w:vAlign w:val="bottom"/>
          </w:tcPr>
          <w:p>
            <w:pPr>
              <w:spacing w:after="0"/>
              <w:rPr>
                <w:sz w:val="1"/>
                <w:szCs w:val="1"/>
                <w:color w:val="auto"/>
              </w:rPr>
            </w:pPr>
          </w:p>
        </w:tc>
      </w:tr>
      <w:tr>
        <w:trPr>
          <w:trHeight w:val="403"/>
        </w:trPr>
        <w:tc>
          <w:tcPr>
            <w:tcW w:w="7820" w:type="dxa"/>
            <w:vAlign w:val="bottom"/>
            <w:gridSpan w:val="2"/>
          </w:tcPr>
          <w:p>
            <w:pPr>
              <w:jc w:val="center"/>
              <w:ind w:left="3514"/>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color w:val="auto"/>
              </w:rPr>
              <w:t>June 30,</w:t>
            </w:r>
          </w:p>
        </w:tc>
        <w:tc>
          <w:tcPr>
            <w:tcW w:w="38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782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57"/>
              <w:spacing w:after="0" w:line="159"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w w:val="83"/>
              </w:rPr>
              <w:t>2010</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  22</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ind w:left="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translation adjustments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9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(105)</w:t>
            </w:r>
          </w:p>
        </w:tc>
        <w:tc>
          <w:tcPr>
            <w:tcW w:w="3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403"/>
        </w:trPr>
        <w:tc>
          <w:tcPr>
            <w:tcW w:w="7820" w:type="dxa"/>
            <w:vAlign w:val="bottom"/>
            <w:gridSpan w:val="2"/>
          </w:tcPr>
          <w:p>
            <w:pPr>
              <w:jc w:val="center"/>
              <w:ind w:left="3534"/>
              <w:spacing w:after="0"/>
              <w:rPr>
                <w:sz w:val="20"/>
                <w:szCs w:val="20"/>
                <w:color w:val="auto"/>
              </w:rPr>
            </w:pPr>
            <w:r>
              <w:rPr>
                <w:rFonts w:ascii="Arial" w:cs="Arial" w:eastAsia="Arial" w:hAnsi="Arial"/>
                <w:sz w:val="18"/>
                <w:szCs w:val="18"/>
                <w:b w:val="1"/>
                <w:bCs w:val="1"/>
                <w:color w:val="auto"/>
                <w:w w:val="97"/>
              </w:rPr>
              <w:t>Operating Costs and Expenses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4"/>
                <w:szCs w:val="14"/>
                <w:color w:val="auto"/>
                <w:w w:val="99"/>
              </w:rPr>
              <w:t>Three Months Ended</w:t>
            </w:r>
          </w:p>
        </w:tc>
        <w:tc>
          <w:tcPr>
            <w:tcW w:w="2100" w:type="dxa"/>
            <w:vAlign w:val="bottom"/>
            <w:gridSpan w:val="4"/>
          </w:tcPr>
          <w:p>
            <w:pPr>
              <w:jc w:val="center"/>
              <w:ind w:left="257"/>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left="817"/>
              <w:spacing w:after="0" w:line="159" w:lineRule="exact"/>
              <w:rPr>
                <w:sz w:val="20"/>
                <w:szCs w:val="20"/>
                <w:color w:val="auto"/>
              </w:rPr>
            </w:pPr>
            <w:r>
              <w:rPr>
                <w:rFonts w:ascii="Arial" w:cs="Arial" w:eastAsia="Arial" w:hAnsi="Arial"/>
                <w:sz w:val="14"/>
                <w:szCs w:val="14"/>
                <w:color w:val="auto"/>
                <w:w w:val="84"/>
              </w:rPr>
              <w:t>June 30</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960" w:type="dxa"/>
            <w:vAlign w:val="bottom"/>
            <w:shd w:val="clear" w:color="auto" w:fill="E5E5E5"/>
          </w:tcPr>
          <w:p>
            <w:pPr>
              <w:jc w:val="right"/>
              <w:ind w:right="339"/>
              <w:spacing w:after="0"/>
              <w:rPr>
                <w:sz w:val="20"/>
                <w:szCs w:val="20"/>
                <w:color w:val="auto"/>
              </w:rPr>
            </w:pPr>
            <w:r>
              <w:rPr>
                <w:rFonts w:ascii="Arial" w:cs="Arial" w:eastAsia="Arial" w:hAnsi="Arial"/>
                <w:sz w:val="18"/>
                <w:szCs w:val="18"/>
                <w:color w:val="auto"/>
                <w:w w:val="86"/>
              </w:rPr>
              <w:t>$ 4,327</w:t>
            </w:r>
          </w:p>
        </w:tc>
        <w:tc>
          <w:tcPr>
            <w:tcW w:w="5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w w:val="86"/>
              </w:rPr>
              <w:t>$ 2,252</w:t>
            </w:r>
          </w:p>
        </w:tc>
        <w:tc>
          <w:tcPr>
            <w:tcW w:w="11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$ 7,602</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Cable Communications technical labor</w:t>
            </w:r>
          </w:p>
        </w:tc>
        <w:tc>
          <w:tcPr>
            <w:tcW w:w="960" w:type="dxa"/>
            <w:vAlign w:val="bottom"/>
          </w:tcPr>
          <w:p>
            <w:pPr>
              <w:jc w:val="right"/>
              <w:ind w:right="339"/>
              <w:spacing w:after="0"/>
              <w:rPr>
                <w:sz w:val="20"/>
                <w:szCs w:val="20"/>
                <w:color w:val="auto"/>
              </w:rPr>
            </w:pPr>
            <w:r>
              <w:rPr>
                <w:rFonts w:ascii="Arial" w:cs="Arial" w:eastAsia="Arial" w:hAnsi="Arial"/>
                <w:sz w:val="18"/>
                <w:szCs w:val="18"/>
                <w:color w:val="auto"/>
              </w:rPr>
              <w:t>558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1,142</w:t>
            </w:r>
          </w:p>
        </w:tc>
        <w:tc>
          <w:tcPr>
            <w:tcW w:w="380" w:type="dxa"/>
            <w:vAlign w:val="bottom"/>
          </w:tcPr>
          <w:p>
            <w:pPr>
              <w:spacing w:after="0"/>
              <w:rPr>
                <w:sz w:val="18"/>
                <w:szCs w:val="18"/>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Cable Communications customer service</w:t>
            </w:r>
          </w:p>
        </w:tc>
        <w:tc>
          <w:tcPr>
            <w:tcW w:w="960" w:type="dxa"/>
            <w:vAlign w:val="bottom"/>
            <w:shd w:val="clear" w:color="auto" w:fill="E5E5E5"/>
          </w:tcPr>
          <w:p>
            <w:pPr>
              <w:jc w:val="right"/>
              <w:ind w:right="339"/>
              <w:spacing w:after="0"/>
              <w:rPr>
                <w:sz w:val="20"/>
                <w:szCs w:val="20"/>
                <w:color w:val="auto"/>
              </w:rPr>
            </w:pPr>
            <w:r>
              <w:rPr>
                <w:rFonts w:ascii="Arial" w:cs="Arial" w:eastAsia="Arial" w:hAnsi="Arial"/>
                <w:sz w:val="18"/>
                <w:szCs w:val="18"/>
                <w:color w:val="auto"/>
              </w:rPr>
              <w:t>455</w:t>
            </w:r>
          </w:p>
        </w:tc>
        <w:tc>
          <w:tcPr>
            <w:tcW w:w="5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450</w:t>
            </w:r>
          </w:p>
        </w:tc>
        <w:tc>
          <w:tcPr>
            <w:tcW w:w="114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919</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Advertising, marketing and promotion</w:t>
            </w:r>
          </w:p>
        </w:tc>
        <w:tc>
          <w:tcPr>
            <w:tcW w:w="960" w:type="dxa"/>
            <w:vAlign w:val="bottom"/>
          </w:tcPr>
          <w:p>
            <w:pPr>
              <w:jc w:val="right"/>
              <w:ind w:right="339"/>
              <w:spacing w:after="0"/>
              <w:rPr>
                <w:sz w:val="20"/>
                <w:szCs w:val="20"/>
                <w:color w:val="auto"/>
              </w:rPr>
            </w:pPr>
            <w:r>
              <w:rPr>
                <w:rFonts w:ascii="Arial" w:cs="Arial" w:eastAsia="Arial" w:hAnsi="Arial"/>
                <w:sz w:val="18"/>
                <w:szCs w:val="18"/>
                <w:color w:val="auto"/>
              </w:rPr>
              <w:t>1,107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2,092</w:t>
            </w:r>
          </w:p>
        </w:tc>
        <w:tc>
          <w:tcPr>
            <w:tcW w:w="380" w:type="dxa"/>
            <w:vAlign w:val="bottom"/>
          </w:tcPr>
          <w:p>
            <w:pPr>
              <w:spacing w:after="0"/>
              <w:rPr>
                <w:sz w:val="18"/>
                <w:szCs w:val="18"/>
                <w:color w:val="auto"/>
              </w:rPr>
            </w:pPr>
          </w:p>
        </w:tc>
        <w:tc>
          <w:tcPr>
            <w:tcW w:w="580" w:type="dxa"/>
            <w:vAlign w:val="bottom"/>
            <w:gridSpan w:val="2"/>
          </w:tcPr>
          <w:p>
            <w:pPr>
              <w:jc w:val="right"/>
              <w:ind w:right="13"/>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E5E5E5"/>
          </w:tcPr>
          <w:p>
            <w:pPr>
              <w:jc w:val="right"/>
              <w:ind w:right="339"/>
              <w:spacing w:after="0"/>
              <w:rPr>
                <w:sz w:val="20"/>
                <w:szCs w:val="20"/>
                <w:color w:val="auto"/>
              </w:rPr>
            </w:pPr>
            <w:r>
              <w:rPr>
                <w:rFonts w:ascii="Arial" w:cs="Arial" w:eastAsia="Arial" w:hAnsi="Arial"/>
                <w:sz w:val="18"/>
                <w:szCs w:val="18"/>
                <w:color w:val="auto"/>
              </w:rPr>
              <w:t>3,085</w:t>
            </w:r>
          </w:p>
        </w:tc>
        <w:tc>
          <w:tcPr>
            <w:tcW w:w="5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1,951</w:t>
            </w:r>
          </w:p>
        </w:tc>
        <w:tc>
          <w:tcPr>
            <w:tcW w:w="114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5,839</w:t>
            </w:r>
          </w:p>
        </w:tc>
        <w:tc>
          <w:tcPr>
            <w:tcW w:w="3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gridSpan w:val="2"/>
            <w:shd w:val="clear" w:color="auto" w:fill="E5E5E5"/>
          </w:tcPr>
          <w:p>
            <w:pPr>
              <w:jc w:val="right"/>
              <w:ind w:right="13"/>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costs and expenses (excluding depreciation and amortization)</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b w:val="1"/>
                <w:bCs w:val="1"/>
                <w:color w:val="auto"/>
                <w:w w:val="86"/>
              </w:rPr>
              <w:t>$ 9,532</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$ 5,788</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$17,594</w:t>
            </w:r>
          </w:p>
        </w:tc>
        <w:tc>
          <w:tcPr>
            <w:tcW w:w="9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8"/>
                <w:szCs w:val="18"/>
                <w:b w:val="1"/>
                <w:bCs w:val="1"/>
                <w:color w:val="auto"/>
              </w:rPr>
              <w:t>$ 11,425</w:t>
            </w:r>
          </w:p>
        </w:tc>
        <w:tc>
          <w:tcPr>
            <w:tcW w:w="0" w:type="dxa"/>
            <w:vAlign w:val="bottom"/>
          </w:tcPr>
          <w:p>
            <w:pPr>
              <w:spacing w:after="0"/>
              <w:rPr>
                <w:sz w:val="1"/>
                <w:szCs w:val="1"/>
                <w:color w:val="auto"/>
              </w:rPr>
            </w:pPr>
          </w:p>
        </w:tc>
      </w:tr>
      <w:tr>
        <w:trPr>
          <w:trHeight w:val="282"/>
        </w:trPr>
        <w:tc>
          <w:tcPr>
            <w:tcW w:w="8780" w:type="dxa"/>
            <w:vAlign w:val="bottom"/>
            <w:gridSpan w:val="3"/>
          </w:tcPr>
          <w:p>
            <w:pPr>
              <w:spacing w:after="0"/>
              <w:rPr>
                <w:sz w:val="20"/>
                <w:szCs w:val="20"/>
                <w:color w:val="auto"/>
              </w:rPr>
            </w:pPr>
            <w:r>
              <w:rPr>
                <w:rFonts w:ascii="Arial" w:cs="Arial" w:eastAsia="Arial" w:hAnsi="Arial"/>
                <w:sz w:val="18"/>
                <w:szCs w:val="18"/>
                <w:color w:val="auto"/>
                <w:w w:val="89"/>
              </w:rPr>
              <w:t>Operating costs and expenses include amortization of film and television costs but exclude all other intangible amortization.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820" w:type="dxa"/>
            <w:vAlign w:val="bottom"/>
            <w:gridSpan w:val="2"/>
          </w:tcPr>
          <w:p>
            <w:pPr>
              <w:jc w:val="center"/>
              <w:ind w:left="353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4"/>
          </w:tcPr>
          <w:p>
            <w:pPr>
              <w:jc w:val="center"/>
              <w:ind w:left="177"/>
              <w:spacing w:after="0"/>
              <w:rPr>
                <w:sz w:val="20"/>
                <w:szCs w:val="20"/>
                <w:color w:val="auto"/>
              </w:rPr>
            </w:pPr>
            <w:r>
              <w:rPr>
                <w:rFonts w:ascii="Arial" w:cs="Arial" w:eastAsia="Arial" w:hAnsi="Arial"/>
                <w:sz w:val="14"/>
                <w:szCs w:val="14"/>
                <w:color w:val="auto"/>
                <w:w w:val="87"/>
              </w:rPr>
              <w:t>Six Months Ended</w:t>
            </w:r>
          </w:p>
        </w:tc>
        <w:tc>
          <w:tcPr>
            <w:tcW w:w="0" w:type="dxa"/>
            <w:vAlign w:val="bottom"/>
          </w:tcPr>
          <w:p>
            <w:pPr>
              <w:spacing w:after="0"/>
              <w:rPr>
                <w:sz w:val="1"/>
                <w:szCs w:val="1"/>
                <w:color w:val="auto"/>
              </w:rPr>
            </w:pPr>
          </w:p>
        </w:tc>
      </w:tr>
      <w:tr>
        <w:trPr>
          <w:trHeight w:val="159"/>
        </w:trPr>
        <w:tc>
          <w:tcPr>
            <w:tcW w:w="78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left="737"/>
              <w:spacing w:after="0" w:line="159" w:lineRule="exact"/>
              <w:rPr>
                <w:sz w:val="20"/>
                <w:szCs w:val="20"/>
                <w:color w:val="auto"/>
              </w:rPr>
            </w:pPr>
            <w:r>
              <w:rPr>
                <w:rFonts w:ascii="Arial" w:cs="Arial" w:eastAsia="Arial" w:hAnsi="Arial"/>
                <w:sz w:val="14"/>
                <w:szCs w:val="14"/>
                <w:color w:val="auto"/>
                <w:w w:val="84"/>
              </w:rPr>
              <w:t>June 30</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820" w:type="dxa"/>
            <w:vAlign w:val="bottom"/>
            <w:tcBorders>
              <w:bottom w:val="single" w:sz="8" w:color="auto"/>
            </w:tcBorders>
            <w:gridSpan w:val="2"/>
            <w:vMerge w:val="continue"/>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$ 2,406</w:t>
            </w:r>
          </w:p>
        </w:tc>
        <w:tc>
          <w:tcPr>
            <w:tcW w:w="960" w:type="dxa"/>
            <w:vAlign w:val="bottom"/>
            <w:gridSpan w:val="3"/>
            <w:shd w:val="clear" w:color="auto" w:fill="E5E5E5"/>
          </w:tcPr>
          <w:p>
            <w:pPr>
              <w:jc w:val="right"/>
              <w:ind w:right="13"/>
              <w:spacing w:after="0"/>
              <w:rPr>
                <w:sz w:val="20"/>
                <w:szCs w:val="20"/>
                <w:color w:val="auto"/>
              </w:rPr>
            </w:pPr>
            <w:r>
              <w:rPr>
                <w:rFonts w:ascii="Arial" w:cs="Arial" w:eastAsia="Arial" w:hAnsi="Arial"/>
                <w:sz w:val="18"/>
                <w:szCs w:val="18"/>
                <w:color w:val="auto"/>
              </w:rPr>
              <w:t>$ 1,765</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w w:val="89"/>
              </w:rPr>
              <w:t>Adjustments to reconcile net income from consolidated operations to net cash provided by operating activities: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3,705</w:t>
            </w:r>
          </w:p>
        </w:tc>
        <w:tc>
          <w:tcPr>
            <w:tcW w:w="380" w:type="dxa"/>
            <w:vAlign w:val="bottom"/>
            <w:shd w:val="clear" w:color="auto" w:fill="E5E5E5"/>
          </w:tcPr>
          <w:p>
            <w:pPr>
              <w:spacing w:after="0"/>
              <w:rPr>
                <w:sz w:val="18"/>
                <w:szCs w:val="18"/>
                <w:color w:val="auto"/>
              </w:rPr>
            </w:pPr>
          </w:p>
        </w:tc>
        <w:tc>
          <w:tcPr>
            <w:tcW w:w="580" w:type="dxa"/>
            <w:vAlign w:val="bottom"/>
            <w:gridSpan w:val="2"/>
            <w:shd w:val="clear" w:color="auto" w:fill="E5E5E5"/>
          </w:tcPr>
          <w:p>
            <w:pPr>
              <w:jc w:val="right"/>
              <w:ind w:right="13"/>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1,299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174</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Noncash interest expense (income), net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693</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receivables, net</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16"/>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Change in film and television costs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(1,678)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7"/>
        </w:trPr>
        <w:tc>
          <w:tcPr>
            <w:tcW w:w="78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$ 6,956</w:t>
            </w:r>
          </w:p>
        </w:tc>
        <w:tc>
          <w:tcPr>
            <w:tcW w:w="960" w:type="dxa"/>
            <w:vAlign w:val="bottom"/>
            <w:tcBorders>
              <w:bottom w:val="single" w:sz="8" w:color="auto"/>
            </w:tcBorders>
            <w:gridSpan w:val="3"/>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$ 5,332</w:t>
            </w:r>
          </w:p>
        </w:tc>
        <w:tc>
          <w:tcPr>
            <w:tcW w:w="0" w:type="dxa"/>
            <w:vAlign w:val="bottom"/>
          </w:tcPr>
          <w:p>
            <w:pPr>
              <w:spacing w:after="0"/>
              <w:rPr>
                <w:sz w:val="1"/>
                <w:szCs w:val="1"/>
                <w:color w:val="auto"/>
              </w:rPr>
            </w:pPr>
          </w:p>
        </w:tc>
      </w:tr>
      <w:tr>
        <w:trPr>
          <w:trHeight w:val="363"/>
        </w:trPr>
        <w:tc>
          <w:tcPr>
            <w:tcW w:w="7500" w:type="dxa"/>
            <w:vAlign w:val="bottom"/>
          </w:tcPr>
          <w:p>
            <w:pPr>
              <w:jc w:val="center"/>
              <w:ind w:left="3854"/>
              <w:spacing w:after="0"/>
              <w:rPr>
                <w:sz w:val="20"/>
                <w:szCs w:val="20"/>
                <w:color w:val="auto"/>
              </w:rPr>
            </w:pPr>
            <w:r>
              <w:rPr>
                <w:rFonts w:ascii="Arial" w:cs="Arial" w:eastAsia="Arial" w:hAnsi="Arial"/>
                <w:sz w:val="18"/>
                <w:szCs w:val="18"/>
                <w:color w:val="auto"/>
                <w:w w:val="99"/>
              </w:rPr>
              <w:t>22</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3"/>
          </w:tcPr>
          <w:p>
            <w:pPr>
              <w:jc w:val="right"/>
              <w:ind w:right="399"/>
              <w:spacing w:after="0"/>
              <w:rPr>
                <w:sz w:val="20"/>
                <w:szCs w:val="20"/>
                <w:color w:val="auto"/>
              </w:rPr>
            </w:pPr>
            <w:r>
              <w:rPr>
                <w:rFonts w:ascii="Arial" w:cs="Arial" w:eastAsia="Arial" w:hAnsi="Arial"/>
                <w:sz w:val="14"/>
                <w:szCs w:val="14"/>
                <w:color w:val="auto"/>
                <w:w w:val="94"/>
              </w:rPr>
              <w:t>Three Months Ended</w:t>
            </w:r>
          </w:p>
        </w:tc>
        <w:tc>
          <w:tcPr>
            <w:tcW w:w="340" w:type="dxa"/>
            <w:vAlign w:val="bottom"/>
          </w:tcPr>
          <w:p>
            <w:pPr>
              <w:spacing w:after="0"/>
              <w:rPr>
                <w:sz w:val="14"/>
                <w:szCs w:val="14"/>
                <w:color w:val="auto"/>
              </w:rPr>
            </w:pPr>
          </w:p>
        </w:tc>
        <w:tc>
          <w:tcPr>
            <w:tcW w:w="1520" w:type="dxa"/>
            <w:vAlign w:val="bottom"/>
            <w:gridSpan w:val="3"/>
          </w:tcPr>
          <w:p>
            <w:pPr>
              <w:jc w:val="right"/>
              <w:ind w:right="259"/>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9"/>
              <w:spacing w:after="0" w:line="159" w:lineRule="exact"/>
              <w:rPr>
                <w:sz w:val="20"/>
                <w:szCs w:val="20"/>
                <w:color w:val="auto"/>
              </w:rPr>
            </w:pPr>
            <w:r>
              <w:rPr>
                <w:rFonts w:ascii="Arial" w:cs="Arial" w:eastAsia="Arial" w:hAnsi="Arial"/>
                <w:sz w:val="14"/>
                <w:szCs w:val="14"/>
                <w:color w:val="auto"/>
                <w:w w:val="84"/>
              </w:rPr>
              <w:t>June 30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3"/>
              </w:rPr>
              <w:t>2011</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color w:val="auto"/>
                <w:w w:val="83"/>
              </w:rPr>
              <w:t>2010</w:t>
            </w: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w w:val="89"/>
              </w:rPr>
              <w:t>2011</w:t>
            </w: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1,197</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88"/>
              </w:rPr>
              <w:t>1,080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84"/>
              </w:rPr>
              <w:t>1,126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2011, we:</w:t>
      </w:r>
    </w:p>
    <w:p>
      <w:pPr>
        <w:spacing w:after="0" w:line="77" w:lineRule="exact"/>
        <w:rPr>
          <w:sz w:val="20"/>
          <w:szCs w:val="20"/>
          <w:color w:val="auto"/>
        </w:rPr>
      </w:pPr>
    </w:p>
    <w:p>
      <w:pPr>
        <w:ind w:left="1020" w:right="126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51% of NBCUniversal Holdings for cash and a 49% interest in the Comcast Content Business on January 28, 2011 (see Note 4 for additional information on the NBCUniversal transaction)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approximately $399 million of property and equipment and software that was accrued but unpaid, which is a noncash investing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a liability of approximately $309 million for a quarterly cash dividend of $0.1125 per common share paid in July 2011, which is a noncash financing activity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Receivables Monetization</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Through January 27, 2011, NBCUniversal monetized its trade accounts receivable through two programs established with GE and various GE subsidiaries. As a result of the closing of the NBCUniversal transaction on January 28, 2011, NBCUniversal terminated those programs and established new third-party monetization programs with a syndicate of banks, of which the primary relationship is with General Electric Capital Corporation, a subsidiary of GE.</w:t>
      </w:r>
    </w:p>
    <w:p>
      <w:pPr>
        <w:spacing w:after="0" w:line="1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account for receivables monetized through these programs as sales in accordance with the appropriate accounting guidance. We retain limited interests in the assets sold in the form of a receivable, which is funded by residual cash flows after the senior interests have been fully paid. The retained interest is recorded at its initial fair value, which includes a provision for estimated losses we expect to incur related to these interests. The accounts receivable we sold that underlie the retained interests are generally short-term in nature and, therefore, the fair value of the retained interests approximated their carrying value as of June 30, 2011.</w:t>
      </w:r>
    </w:p>
    <w:p>
      <w:pPr>
        <w:spacing w:after="0" w:line="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majority of the receivables monetized under the securitization programs, an affiliate of GE is responsible for servicing the receivables and remitting collections to the owner and the lenders. We perform this service on the affiliate’s behalf for a fee that is equal to the prevailing market rate for such services. As a result, no servicing asset or liability has been recorded in our condensed consolidated balance sheet as of June 30, 2011. The sub-servicing fees are a component of net loss on sale presented in the table below, which is included in other income (expense), net.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Services and Cash Flows on Transfers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6460" w:type="dxa"/>
            <w:vAlign w:val="bottom"/>
            <w:gridSpan w:val="2"/>
          </w:tcPr>
          <w:p>
            <w:pPr>
              <w:ind w:left="4640"/>
              <w:spacing w:after="0"/>
              <w:rPr>
                <w:sz w:val="20"/>
                <w:szCs w:val="20"/>
                <w:color w:val="auto"/>
              </w:rPr>
            </w:pPr>
            <w:r>
              <w:rPr>
                <w:rFonts w:ascii="Arial" w:cs="Arial" w:eastAsia="Arial" w:hAnsi="Arial"/>
                <w:sz w:val="14"/>
                <w:szCs w:val="14"/>
                <w:color w:val="auto"/>
              </w:rPr>
              <w:t>Three Months Ended</w:t>
            </w:r>
          </w:p>
        </w:tc>
        <w:tc>
          <w:tcPr>
            <w:tcW w:w="1760" w:type="dxa"/>
            <w:vAlign w:val="bottom"/>
            <w:gridSpan w:val="2"/>
          </w:tcPr>
          <w:p>
            <w:pPr>
              <w:ind w:left="640"/>
              <w:spacing w:after="0"/>
              <w:rPr>
                <w:sz w:val="20"/>
                <w:szCs w:val="20"/>
                <w:color w:val="auto"/>
              </w:rPr>
            </w:pPr>
            <w:r>
              <w:rPr>
                <w:rFonts w:ascii="Arial" w:cs="Arial" w:eastAsia="Arial" w:hAnsi="Arial"/>
                <w:sz w:val="14"/>
                <w:szCs w:val="14"/>
                <w:color w:val="auto"/>
                <w:w w:val="96"/>
              </w:rPr>
              <w:t>Six Months Ended</w:t>
            </w:r>
          </w:p>
        </w:tc>
      </w:tr>
      <w:tr>
        <w:trPr>
          <w:trHeight w:val="149"/>
        </w:trPr>
        <w:tc>
          <w:tcPr>
            <w:tcW w:w="32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20" w:type="dxa"/>
            <w:vAlign w:val="bottom"/>
          </w:tcPr>
          <w:p>
            <w:pPr>
              <w:jc w:val="right"/>
              <w:ind w:right="962"/>
              <w:spacing w:after="0" w:line="149" w:lineRule="exact"/>
              <w:rPr>
                <w:sz w:val="20"/>
                <w:szCs w:val="20"/>
                <w:color w:val="auto"/>
              </w:rPr>
            </w:pPr>
            <w:r>
              <w:rPr>
                <w:rFonts w:ascii="Arial" w:cs="Arial" w:eastAsia="Arial" w:hAnsi="Arial"/>
                <w:sz w:val="14"/>
                <w:szCs w:val="14"/>
                <w:color w:val="auto"/>
              </w:rPr>
              <w:t>June 30,</w:t>
            </w:r>
          </w:p>
        </w:tc>
        <w:tc>
          <w:tcPr>
            <w:tcW w:w="1760" w:type="dxa"/>
            <w:vAlign w:val="bottom"/>
            <w:gridSpan w:val="2"/>
          </w:tcPr>
          <w:p>
            <w:pPr>
              <w:jc w:val="right"/>
              <w:ind w:right="296"/>
              <w:spacing w:after="0" w:line="149" w:lineRule="exact"/>
              <w:rPr>
                <w:sz w:val="20"/>
                <w:szCs w:val="20"/>
                <w:color w:val="auto"/>
              </w:rPr>
            </w:pPr>
            <w:r>
              <w:rPr>
                <w:rFonts w:ascii="Arial" w:cs="Arial" w:eastAsia="Arial" w:hAnsi="Arial"/>
                <w:sz w:val="14"/>
                <w:szCs w:val="14"/>
                <w:color w:val="auto"/>
              </w:rPr>
              <w:t>June 30,</w:t>
            </w:r>
          </w:p>
        </w:tc>
      </w:tr>
      <w:tr>
        <w:trPr>
          <w:trHeight w:val="159"/>
        </w:trPr>
        <w:tc>
          <w:tcPr>
            <w:tcW w:w="3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8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042"/>
              <w:spacing w:after="0" w:line="159" w:lineRule="exact"/>
              <w:rPr>
                <w:sz w:val="20"/>
                <w:szCs w:val="20"/>
                <w:color w:val="auto"/>
              </w:rPr>
            </w:pPr>
            <w:r>
              <w:rPr>
                <w:rFonts w:ascii="Arial" w:cs="Arial" w:eastAsia="Arial" w:hAnsi="Arial"/>
                <w:sz w:val="14"/>
                <w:szCs w:val="14"/>
                <w:color w:val="auto"/>
              </w:rPr>
              <w:t>2011</w:t>
            </w:r>
          </w:p>
        </w:tc>
        <w:tc>
          <w:tcPr>
            <w:tcW w:w="1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3"/>
                <w:szCs w:val="13"/>
                <w:color w:val="auto"/>
              </w:rPr>
            </w:pPr>
          </w:p>
        </w:tc>
      </w:tr>
      <w:tr>
        <w:trPr>
          <w:trHeight w:val="210"/>
        </w:trPr>
        <w:tc>
          <w:tcPr>
            <w:tcW w:w="3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Effect on income from services</w:t>
            </w:r>
          </w:p>
        </w:tc>
        <w:tc>
          <w:tcPr>
            <w:tcW w:w="4840" w:type="dxa"/>
            <w:vAlign w:val="bottom"/>
            <w:shd w:val="clear" w:color="auto" w:fill="E5E5E5"/>
          </w:tcPr>
          <w:p>
            <w:pPr>
              <w:spacing w:after="0"/>
              <w:rPr>
                <w:sz w:val="18"/>
                <w:szCs w:val="18"/>
                <w:color w:val="auto"/>
              </w:rPr>
            </w:pPr>
          </w:p>
        </w:tc>
        <w:tc>
          <w:tcPr>
            <w:tcW w:w="162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Net loss on sale</w:t>
            </w:r>
          </w:p>
        </w:tc>
        <w:tc>
          <w:tcPr>
            <w:tcW w:w="4840" w:type="dxa"/>
            <w:vAlign w:val="bottom"/>
          </w:tcPr>
          <w:p>
            <w:pPr>
              <w:ind w:left="46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42"/>
              <w:spacing w:after="0"/>
              <w:rPr>
                <w:sz w:val="20"/>
                <w:szCs w:val="20"/>
                <w:color w:val="auto"/>
              </w:rPr>
            </w:pPr>
            <w:r>
              <w:rPr>
                <w:rFonts w:ascii="Arial" w:cs="Arial" w:eastAsia="Arial" w:hAnsi="Arial"/>
                <w:sz w:val="18"/>
                <w:szCs w:val="18"/>
                <w:color w:val="auto"/>
              </w:rPr>
              <w:t>(9)</w:t>
            </w:r>
          </w:p>
        </w:tc>
        <w:tc>
          <w:tcPr>
            <w:tcW w:w="1300" w:type="dxa"/>
            <w:vAlign w:val="bottom"/>
          </w:tcPr>
          <w:p>
            <w:pPr>
              <w:ind w:lef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Cash flows on transfers</w:t>
            </w:r>
          </w:p>
        </w:tc>
        <w:tc>
          <w:tcPr>
            <w:tcW w:w="4840" w:type="dxa"/>
            <w:vAlign w:val="bottom"/>
            <w:shd w:val="clear" w:color="auto" w:fill="E5E5E5"/>
          </w:tcPr>
          <w:p>
            <w:pPr>
              <w:spacing w:after="0"/>
              <w:rPr>
                <w:sz w:val="18"/>
                <w:szCs w:val="18"/>
                <w:color w:val="auto"/>
              </w:rPr>
            </w:pPr>
          </w:p>
        </w:tc>
        <w:tc>
          <w:tcPr>
            <w:tcW w:w="162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r>
      <w:tr>
        <w:trPr>
          <w:trHeight w:val="216"/>
        </w:trPr>
        <w:tc>
          <w:tcPr>
            <w:tcW w:w="3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 proceeds on new transfers</w:t>
            </w:r>
          </w:p>
        </w:tc>
        <w:tc>
          <w:tcPr>
            <w:tcW w:w="484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602"/>
              <w:spacing w:after="0"/>
              <w:rPr>
                <w:sz w:val="20"/>
                <w:szCs w:val="20"/>
                <w:color w:val="auto"/>
              </w:rPr>
            </w:pPr>
            <w:r>
              <w:rPr>
                <w:rFonts w:ascii="Arial" w:cs="Arial" w:eastAsia="Arial" w:hAnsi="Arial"/>
                <w:sz w:val="18"/>
                <w:szCs w:val="18"/>
                <w:color w:val="auto"/>
              </w:rPr>
              <w:t>50</w:t>
            </w:r>
          </w:p>
        </w:tc>
        <w:tc>
          <w:tcPr>
            <w:tcW w:w="13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(374)</w:t>
            </w:r>
          </w:p>
        </w:tc>
      </w:tr>
      <w:tr>
        <w:trPr>
          <w:trHeight w:val="397"/>
        </w:trPr>
        <w:tc>
          <w:tcPr>
            <w:tcW w:w="3200" w:type="dxa"/>
            <w:vAlign w:val="bottom"/>
          </w:tcPr>
          <w:p>
            <w:pPr>
              <w:spacing w:after="0"/>
              <w:rPr>
                <w:sz w:val="24"/>
                <w:szCs w:val="24"/>
                <w:color w:val="auto"/>
              </w:rPr>
            </w:pPr>
          </w:p>
        </w:tc>
        <w:tc>
          <w:tcPr>
            <w:tcW w:w="4840" w:type="dxa"/>
            <w:vAlign w:val="bottom"/>
          </w:tcPr>
          <w:p>
            <w:pPr>
              <w:jc w:val="center"/>
              <w:ind w:left="116"/>
              <w:spacing w:after="0"/>
              <w:rPr>
                <w:sz w:val="20"/>
                <w:szCs w:val="20"/>
                <w:color w:val="auto"/>
              </w:rPr>
            </w:pPr>
            <w:r>
              <w:rPr>
                <w:rFonts w:ascii="Arial" w:cs="Arial" w:eastAsia="Arial" w:hAnsi="Arial"/>
                <w:sz w:val="18"/>
                <w:szCs w:val="18"/>
                <w:b w:val="1"/>
                <w:bCs w:val="1"/>
                <w:color w:val="auto"/>
                <w:w w:val="97"/>
              </w:rPr>
              <w:t>Receivables Monetized and Retained Interest</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32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60" w:type="dxa"/>
            <w:vAlign w:val="bottom"/>
            <w:gridSpan w:val="2"/>
          </w:tcPr>
          <w:p>
            <w:pPr>
              <w:jc w:val="right"/>
              <w:ind w:right="16"/>
              <w:spacing w:after="0"/>
              <w:rPr>
                <w:sz w:val="20"/>
                <w:szCs w:val="20"/>
                <w:color w:val="auto"/>
              </w:rPr>
            </w:pPr>
            <w:r>
              <w:rPr>
                <w:rFonts w:ascii="Arial" w:cs="Arial" w:eastAsia="Arial" w:hAnsi="Arial"/>
                <w:sz w:val="14"/>
                <w:szCs w:val="14"/>
                <w:color w:val="auto"/>
              </w:rPr>
              <w:t>June 30,</w:t>
            </w:r>
          </w:p>
        </w:tc>
      </w:tr>
      <w:tr>
        <w:trPr>
          <w:trHeight w:val="159"/>
        </w:trPr>
        <w:tc>
          <w:tcPr>
            <w:tcW w:w="3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8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w w:val="76"/>
              </w:rPr>
              <w:t>2011</w:t>
            </w:r>
          </w:p>
        </w:tc>
      </w:tr>
      <w:tr>
        <w:trPr>
          <w:trHeight w:val="210"/>
        </w:trPr>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outstanding</w:t>
            </w:r>
          </w:p>
        </w:tc>
        <w:tc>
          <w:tcPr>
            <w:tcW w:w="4840" w:type="dxa"/>
            <w:vAlign w:val="bottom"/>
            <w:shd w:val="clear" w:color="auto" w:fill="E5E5E5"/>
          </w:tcPr>
          <w:p>
            <w:pPr>
              <w:spacing w:after="0"/>
              <w:rPr>
                <w:sz w:val="18"/>
                <w:szCs w:val="18"/>
                <w:color w:val="auto"/>
              </w:rPr>
            </w:pPr>
          </w:p>
        </w:tc>
        <w:tc>
          <w:tcPr>
            <w:tcW w:w="1620" w:type="dxa"/>
            <w:vAlign w:val="bottom"/>
            <w:shd w:val="clear" w:color="auto" w:fill="E5E5E5"/>
          </w:tcPr>
          <w:p>
            <w:pPr>
              <w:spacing w:after="0"/>
              <w:rPr>
                <w:sz w:val="18"/>
                <w:szCs w:val="18"/>
                <w:color w:val="auto"/>
              </w:rPr>
            </w:pPr>
          </w:p>
        </w:tc>
        <w:tc>
          <w:tcPr>
            <w:tcW w:w="1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870</w:t>
            </w:r>
          </w:p>
        </w:tc>
      </w:tr>
      <w:tr>
        <w:trPr>
          <w:trHeight w:val="216"/>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interest</w:t>
            </w:r>
          </w:p>
        </w:tc>
        <w:tc>
          <w:tcPr>
            <w:tcW w:w="48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223</w:t>
            </w:r>
          </w:p>
        </w:tc>
      </w:tr>
      <w:tr>
        <w:trPr>
          <w:trHeight w:val="356"/>
        </w:trPr>
        <w:tc>
          <w:tcPr>
            <w:tcW w:w="3200" w:type="dxa"/>
            <w:vAlign w:val="bottom"/>
          </w:tcPr>
          <w:p>
            <w:pPr>
              <w:spacing w:after="0"/>
              <w:rPr>
                <w:sz w:val="24"/>
                <w:szCs w:val="24"/>
                <w:color w:val="auto"/>
              </w:rPr>
            </w:pPr>
          </w:p>
        </w:tc>
        <w:tc>
          <w:tcPr>
            <w:tcW w:w="4840" w:type="dxa"/>
            <w:vAlign w:val="bottom"/>
          </w:tcPr>
          <w:p>
            <w:pPr>
              <w:jc w:val="right"/>
              <w:ind w:right="2136"/>
              <w:spacing w:after="0"/>
              <w:rPr>
                <w:sz w:val="20"/>
                <w:szCs w:val="20"/>
                <w:color w:val="auto"/>
              </w:rPr>
            </w:pPr>
            <w:r>
              <w:rPr>
                <w:rFonts w:ascii="Arial" w:cs="Arial" w:eastAsia="Arial" w:hAnsi="Arial"/>
                <w:sz w:val="18"/>
                <w:szCs w:val="18"/>
                <w:color w:val="auto"/>
              </w:rPr>
              <w:t>23</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$671 million payable to our securitization programs as of June 30, 2011. This amount represents cash received for monetized receivables not yet remitted to the program as of the balance sheet date and is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Obligations, Commitments and Guarantees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enters into long-term commitments with third parties in the ordinary course of business, including commitments to acquire film and television programming, take-or-pay creative talent and employment agreements, and various other television commitments. Many of NBCUniversal’s employees, including writers, directors, actors, technical and production personnel and others, as well as some of its on-air and creative talent, are covered by collective bargaining agreements or works councils. Approximately 38 collective bargaining agreements covering approximately 2,800 of NBCUniversal’s full-time, part-time and full-time equivalent freelance employees on its payroll have expired or are scheduled to expire by the end of 2011.</w:t>
      </w:r>
    </w:p>
    <w:p>
      <w:pPr>
        <w:spacing w:after="0" w:line="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NBCUniversal has previously provided guarantees in the ordinary course of business, including the guarantee of a loan of one of NBCUniversal’s partners in one of its equity method investments and an obligation of the equity method investment’s consulting agreement with a third party. Following NBCUniversal’s acquisition of the remaining 50% of UCDP that it did not already own on July 1, 2011, the loan guarantee was terminated and the consulting agreement guarantee was effectively terminated because it now represents a guarantee of our own performance.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NBCUniversal owns a 79.62% equity interest and a 50% voting interest in Station Venture Holdings, LLC (“Station Venture”), a variable interest entity. The remaining equity interests in Station Venture are held by LIN TV, Corp. (“LIN TV”). Station Venture holds an indirect interest in the NBC Network affiliated local television stations in Dallas, Texas and San Diego, California through its ownership interests in Station Venture Operations, LP (“Station LP”), a less than wholly owned subsidiary of NBCUniversal. Station Venture is the obligor on an $816 million senior secured note that is due in 2023 to General Electric Capital Corporation, a subsidiary of GE, as servicer. The note is nonrecourse to NBCUniversal, guaranteed by LIN TV and collateralized by substantially all of the assets of Station Venture and Station LP. In connection with the closing of the NBCUniversal transaction, GE has indemnified NBCUniversal for all liabilities NBCUniversal may incur as a result of any credit support, risk of loss or similar arrangement related to the senior secured note in existence prior to the closing of the NBCUniversal transaction on January 28, 2011. We are not the primary beneficiary of, and accordingly do not consolidate, Station Venture. Our equity method investment in Station Venture was assigned no value in the preliminary allocation of purchase price for the NBCUniversal transaction, which is also the carrying value of our investment as of June 30, 2011. Because the assets of Station LP serve as collateral for Station Venture’s $816 million senior secured note, we have recorded a $350 million guarantee liability in our preliminary allocation of purchase price, representing the fair value of this guarantee at January 28, 2011, which was determined by the value of the assets that collateralize the note.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Classes of Philadelphia Cluster and Chicago Cluster customers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In January 2010, in its decision on the plaintiffs’ new motion, the Eastern District of Pennsylvania certified a class subject to certain limitations. In June 2010, the Third Circuit Court of Appeals granted our petition for an interlocutory appeal from the class certification decision. Oral agreement on the appeal was held in January 2011. In March 2010, we moved for summary judgment dismissing all of the plaintiffs’ claims in the Philadelphia Cluster; the summary judgment motion is stayed pending the class certification appeal. The plaintiffs’ claims concerning the other two clusters are stayed pending determination of the Philadelphia Cluster claims.</w:t>
      </w:r>
    </w:p>
    <w:p>
      <w:pPr>
        <w:spacing w:after="0" w:line="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June 2011, a panel of the Ninth Circuit Court of Appeals affirmed the District Court’s order. In July 2011, the plaintiffs filed a petition for a panel rehearing and a rehearing </w:t>
      </w:r>
      <w:r>
        <w:rPr>
          <w:rFonts w:ascii="Arial" w:cs="Arial" w:eastAsia="Arial" w:hAnsi="Arial"/>
          <w:sz w:val="16"/>
          <w:szCs w:val="16"/>
          <w:i w:val="1"/>
          <w:iCs w:val="1"/>
          <w:color w:val="auto"/>
        </w:rPr>
        <w:t>en banc</w:t>
      </w:r>
      <w:r>
        <w:rPr>
          <w:rFonts w:ascii="Arial" w:cs="Arial" w:eastAsia="Arial" w:hAnsi="Arial"/>
          <w:sz w:val="16"/>
          <w:szCs w:val="16"/>
          <w:color w:val="auto"/>
        </w:rPr>
        <w:t>.</w:t>
      </w:r>
    </w:p>
    <w:p>
      <w:pPr>
        <w:spacing w:after="0" w:line="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w:t>
      </w:r>
    </w:p>
    <w:p>
      <w:pPr>
        <w:spacing w:after="0" w:line="3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Financial Data by Business Segment</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Following the NBCUniversal transaction, we present our operations in five reportable segments: Cable Communications, Cable Networks, Broadcast Television, Filmed Entertainment and Theme Parks. The Comcast Content Business is presented with NBCUniversal’s businesses in the Cable Networks segment. The businesses of Comcast Interactive Media (previously presented in Corporate and Other) that were not contributed to NBCUniversal are included in the Cable Communications segment. We have recast our segment presentation for the three and six months ended June 30, 2010 in order to reflect our current reportable segments. See Note 4 for additional information on the NBCUniversal transaction.</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86"/>
              </w:rPr>
              <w:t>Three Months Ended June 30, 2011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gridSpan w:val="2"/>
          </w:tcPr>
          <w:p>
            <w:pPr>
              <w:ind w:left="380"/>
              <w:spacing w:after="0" w:line="131" w:lineRule="exact"/>
              <w:rPr>
                <w:sz w:val="20"/>
                <w:szCs w:val="20"/>
                <w:color w:val="auto"/>
              </w:rPr>
            </w:pPr>
            <w:r>
              <w:rPr>
                <w:rFonts w:ascii="Arial" w:cs="Arial" w:eastAsia="Arial" w:hAnsi="Arial"/>
                <w:sz w:val="14"/>
                <w:szCs w:val="14"/>
                <w:color w:val="auto"/>
                <w:w w:val="90"/>
              </w:rPr>
              <w:t>Operating Income (Loss)</w:t>
            </w:r>
          </w:p>
        </w:tc>
        <w:tc>
          <w:tcPr>
            <w:tcW w:w="8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640" w:type="dxa"/>
            <w:vAlign w:val="bottom"/>
            <w:gridSpan w:val="2"/>
            <w:vMerge w:val="restart"/>
          </w:tcPr>
          <w:p>
            <w:pPr>
              <w:ind w:left="64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(i)</w:t>
            </w:r>
          </w:p>
        </w:tc>
        <w:tc>
          <w:tcPr>
            <w:tcW w:w="1800" w:type="dxa"/>
            <w:vAlign w:val="bottom"/>
            <w:gridSpan w:val="2"/>
          </w:tcPr>
          <w:p>
            <w:pPr>
              <w:ind w:left="400"/>
              <w:spacing w:after="0" w:line="133" w:lineRule="exact"/>
              <w:rPr>
                <w:sz w:val="20"/>
                <w:szCs w:val="20"/>
                <w:color w:val="auto"/>
              </w:rPr>
            </w:pPr>
            <w:r>
              <w:rPr>
                <w:rFonts w:ascii="Arial" w:cs="Arial" w:eastAsia="Arial" w:hAnsi="Arial"/>
                <w:sz w:val="14"/>
                <w:szCs w:val="14"/>
                <w:color w:val="auto"/>
                <w:w w:val="91"/>
              </w:rPr>
              <w:t>Before Depreciation and</w:t>
            </w:r>
          </w:p>
        </w:tc>
        <w:tc>
          <w:tcPr>
            <w:tcW w:w="2220" w:type="dxa"/>
            <w:vAlign w:val="bottom"/>
            <w:gridSpan w:val="2"/>
          </w:tcPr>
          <w:p>
            <w:pPr>
              <w:ind w:left="700"/>
              <w:spacing w:after="0" w:line="133" w:lineRule="exact"/>
              <w:rPr>
                <w:sz w:val="20"/>
                <w:szCs w:val="20"/>
                <w:color w:val="auto"/>
              </w:rPr>
            </w:pPr>
            <w:r>
              <w:rPr>
                <w:rFonts w:ascii="Arial" w:cs="Arial" w:eastAsia="Arial" w:hAnsi="Arial"/>
                <w:sz w:val="14"/>
                <w:szCs w:val="14"/>
                <w:color w:val="auto"/>
              </w:rPr>
              <w:t>Depreciation and</w:t>
            </w:r>
          </w:p>
        </w:tc>
        <w:tc>
          <w:tcPr>
            <w:tcW w:w="1560" w:type="dxa"/>
            <w:vAlign w:val="bottom"/>
            <w:gridSpan w:val="2"/>
          </w:tcPr>
          <w:p>
            <w:pPr>
              <w:ind w:left="18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jc w:val="right"/>
              <w:ind w:right="234"/>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(j)</w:t>
            </w:r>
          </w:p>
        </w:tc>
        <w:tc>
          <w:tcPr>
            <w:tcW w:w="800" w:type="dxa"/>
            <w:vAlign w:val="bottom"/>
          </w:tcPr>
          <w:p>
            <w:pPr>
              <w:spacing w:after="0"/>
              <w:rPr>
                <w:sz w:val="15"/>
                <w:szCs w:val="15"/>
                <w:color w:val="auto"/>
              </w:rPr>
            </w:pPr>
          </w:p>
        </w:tc>
        <w:tc>
          <w:tcPr>
            <w:tcW w:w="1420" w:type="dxa"/>
            <w:vAlign w:val="bottom"/>
          </w:tcPr>
          <w:p>
            <w:pPr>
              <w:jc w:val="right"/>
              <w:ind w:right="614"/>
              <w:spacing w:after="0"/>
              <w:rPr>
                <w:sz w:val="20"/>
                <w:szCs w:val="20"/>
                <w:color w:val="auto"/>
              </w:rPr>
            </w:pPr>
            <w:r>
              <w:rPr>
                <w:rFonts w:ascii="Arial" w:cs="Arial" w:eastAsia="Arial" w:hAnsi="Arial"/>
                <w:sz w:val="14"/>
                <w:szCs w:val="14"/>
                <w:color w:val="auto"/>
                <w:w w:val="89"/>
              </w:rPr>
              <w:t>Amortization</w:t>
            </w:r>
          </w:p>
        </w:tc>
        <w:tc>
          <w:tcPr>
            <w:tcW w:w="380" w:type="dxa"/>
            <w:vAlign w:val="bottom"/>
          </w:tcPr>
          <w:p>
            <w:pPr>
              <w:spacing w:after="0"/>
              <w:rPr>
                <w:sz w:val="15"/>
                <w:szCs w:val="15"/>
                <w:color w:val="auto"/>
              </w:rPr>
            </w:pPr>
          </w:p>
        </w:tc>
        <w:tc>
          <w:tcPr>
            <w:tcW w:w="1180" w:type="dxa"/>
            <w:vAlign w:val="bottom"/>
          </w:tcPr>
          <w:p>
            <w:pPr>
              <w:jc w:val="right"/>
              <w:ind w:right="634"/>
              <w:spacing w:after="0"/>
              <w:rPr>
                <w:sz w:val="20"/>
                <w:szCs w:val="20"/>
                <w:color w:val="auto"/>
              </w:rPr>
            </w:pPr>
            <w:r>
              <w:rPr>
                <w:rFonts w:ascii="Arial" w:cs="Arial" w:eastAsia="Arial" w:hAnsi="Arial"/>
                <w:sz w:val="14"/>
                <w:szCs w:val="14"/>
                <w:color w:val="auto"/>
              </w:rPr>
              <w:t>(Loss)</w:t>
            </w:r>
          </w:p>
        </w:tc>
        <w:tc>
          <w:tcPr>
            <w:tcW w:w="1160" w:type="dxa"/>
            <w:vAlign w:val="bottom"/>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74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color w:val="auto"/>
              </w:rPr>
              <w:t>9,341</w:t>
            </w:r>
          </w:p>
        </w:tc>
        <w:tc>
          <w:tcPr>
            <w:tcW w:w="56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3,886</w:t>
            </w:r>
          </w:p>
        </w:tc>
        <w:tc>
          <w:tcPr>
            <w:tcW w:w="800" w:type="dxa"/>
            <w:vAlign w:val="bottom"/>
            <w:tcBorders>
              <w:top w:val="single" w:sz="8" w:color="auto"/>
            </w:tcBorders>
            <w:shd w:val="clear" w:color="auto" w:fill="E5E5E5"/>
          </w:tcPr>
          <w:p>
            <w:pPr>
              <w:ind w:left="70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1,591</w:t>
            </w:r>
          </w:p>
        </w:tc>
        <w:tc>
          <w:tcPr>
            <w:tcW w:w="38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color w:val="auto"/>
              </w:rPr>
              <w:t>2,295</w:t>
            </w:r>
          </w:p>
        </w:tc>
        <w:tc>
          <w:tcPr>
            <w:tcW w:w="48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NBCUniversal</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2,173</w:t>
            </w:r>
          </w:p>
        </w:tc>
        <w:tc>
          <w:tcPr>
            <w:tcW w:w="560" w:type="dxa"/>
            <w:vAlign w:val="bottom"/>
            <w:shd w:val="clear" w:color="auto" w:fill="E5E5E5"/>
          </w:tcPr>
          <w:p>
            <w:pPr>
              <w:spacing w:after="0"/>
              <w:rPr>
                <w:sz w:val="18"/>
                <w:szCs w:val="18"/>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846</w:t>
            </w:r>
          </w:p>
        </w:tc>
        <w:tc>
          <w:tcPr>
            <w:tcW w:w="80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659</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7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1,695</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w:t>
            </w:r>
          </w:p>
        </w:tc>
        <w:tc>
          <w:tcPr>
            <w:tcW w:w="80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1180" w:type="dxa"/>
            <w:vAlign w:val="bottom"/>
          </w:tcPr>
          <w:p>
            <w:pPr>
              <w:jc w:val="right"/>
              <w:ind w:right="314"/>
              <w:spacing w:after="0"/>
              <w:rPr>
                <w:sz w:val="20"/>
                <w:szCs w:val="20"/>
                <w:color w:val="auto"/>
              </w:rPr>
            </w:pPr>
            <w:r>
              <w:rPr>
                <w:rFonts w:ascii="Arial" w:cs="Arial" w:eastAsia="Arial" w:hAnsi="Arial"/>
                <w:sz w:val="18"/>
                <w:szCs w:val="18"/>
                <w:color w:val="auto"/>
              </w:rPr>
              <w:t>181</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(d)</w:t>
            </w: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1,254</w:t>
            </w:r>
          </w:p>
        </w:tc>
        <w:tc>
          <w:tcPr>
            <w:tcW w:w="560" w:type="dxa"/>
            <w:vAlign w:val="bottom"/>
            <w:shd w:val="clear" w:color="auto" w:fill="E5E5E5"/>
          </w:tcPr>
          <w:p>
            <w:pPr>
              <w:spacing w:after="0"/>
              <w:rPr>
                <w:sz w:val="18"/>
                <w:szCs w:val="18"/>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80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5</w:t>
            </w:r>
          </w:p>
        </w:tc>
        <w:tc>
          <w:tcPr>
            <w:tcW w:w="38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22</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(e)</w:t>
            </w:r>
          </w:p>
        </w:tc>
        <w:tc>
          <w:tcPr>
            <w:tcW w:w="7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80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1180" w:type="dxa"/>
            <w:vAlign w:val="bottom"/>
          </w:tcPr>
          <w:p>
            <w:pPr>
              <w:jc w:val="right"/>
              <w:ind w:right="314"/>
              <w:spacing w:after="0"/>
              <w:rPr>
                <w:sz w:val="20"/>
                <w:szCs w:val="20"/>
                <w:color w:val="auto"/>
              </w:rPr>
            </w:pPr>
            <w:r>
              <w:rPr>
                <w:rFonts w:ascii="Arial" w:cs="Arial" w:eastAsia="Arial" w:hAnsi="Arial"/>
                <w:sz w:val="18"/>
                <w:szCs w:val="18"/>
                <w:color w:val="auto"/>
              </w:rPr>
              <w:t>110</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(f)</w:t>
            </w: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14</w:t>
            </w:r>
          </w:p>
        </w:tc>
        <w:tc>
          <w:tcPr>
            <w:tcW w:w="560" w:type="dxa"/>
            <w:vAlign w:val="bottom"/>
            <w:shd w:val="clear" w:color="auto" w:fill="E5E5E5"/>
          </w:tcPr>
          <w:p>
            <w:pPr>
              <w:spacing w:after="0"/>
              <w:rPr>
                <w:sz w:val="18"/>
                <w:szCs w:val="18"/>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w:t>
            </w:r>
          </w:p>
        </w:tc>
        <w:tc>
          <w:tcPr>
            <w:tcW w:w="80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44</w:t>
            </w:r>
          </w:p>
        </w:tc>
        <w:tc>
          <w:tcPr>
            <w:tcW w:w="38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(173)</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(104)</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7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5,179</w:t>
            </w:r>
          </w:p>
        </w:tc>
        <w:tc>
          <w:tcPr>
            <w:tcW w:w="560" w:type="dxa"/>
            <w:vAlign w:val="bottom"/>
            <w:shd w:val="clear" w:color="auto" w:fill="E5E5E5"/>
          </w:tcPr>
          <w:p>
            <w:pPr>
              <w:spacing w:after="0"/>
              <w:rPr>
                <w:sz w:val="18"/>
                <w:szCs w:val="18"/>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1,001</w:t>
            </w:r>
          </w:p>
        </w:tc>
        <w:tc>
          <w:tcPr>
            <w:tcW w:w="80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747</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7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128</w:t>
            </w: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800" w:type="dxa"/>
            <w:vAlign w:val="bottom"/>
          </w:tcPr>
          <w:p>
            <w:pPr>
              <w:spacing w:after="0"/>
              <w:rPr>
                <w:sz w:val="18"/>
                <w:szCs w:val="18"/>
                <w:color w:val="auto"/>
              </w:rPr>
            </w:pP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7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(315)</w:t>
            </w:r>
          </w:p>
        </w:tc>
        <w:tc>
          <w:tcPr>
            <w:tcW w:w="560" w:type="dxa"/>
            <w:vAlign w:val="bottom"/>
            <w:tcBorders>
              <w:bottom w:val="single" w:sz="8" w:color="auto"/>
            </w:tcBorders>
            <w:shd w:val="clear" w:color="auto" w:fill="E5E5E5"/>
          </w:tcPr>
          <w:p>
            <w:pPr>
              <w:spacing w:after="0"/>
              <w:rPr>
                <w:sz w:val="18"/>
                <w:szCs w:val="18"/>
                <w:color w:val="auto"/>
              </w:rPr>
            </w:pP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80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E5E5E5"/>
          </w:tcPr>
          <w:p>
            <w:pPr>
              <w:spacing w:after="0"/>
              <w:rPr>
                <w:sz w:val="18"/>
                <w:szCs w:val="18"/>
                <w:color w:val="auto"/>
              </w:rPr>
            </w:pPr>
          </w:p>
        </w:tc>
        <w:tc>
          <w:tcPr>
            <w:tcW w:w="118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7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3"/>
              </w:rPr>
              <w:t>14,333</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8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1,863</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2,938</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jc w:val="right"/>
              <w:ind w:right="574"/>
              <w:spacing w:after="0"/>
              <w:rPr>
                <w:sz w:val="20"/>
                <w:szCs w:val="20"/>
                <w:color w:val="auto"/>
              </w:rPr>
            </w:pPr>
            <w:r>
              <w:rPr>
                <w:rFonts w:ascii="Arial" w:cs="Arial" w:eastAsia="Arial" w:hAnsi="Arial"/>
                <w:sz w:val="18"/>
                <w:szCs w:val="18"/>
                <w:color w:val="auto"/>
              </w:rPr>
              <w:t>26</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w w:val="87"/>
              </w:rPr>
              <w:t>Three Months Ended June 30, 2010</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2"/>
          </w:tcPr>
          <w:p>
            <w:pPr>
              <w:ind w:left="360"/>
              <w:spacing w:after="0" w:line="131" w:lineRule="exact"/>
              <w:rPr>
                <w:sz w:val="20"/>
                <w:szCs w:val="20"/>
                <w:color w:val="auto"/>
              </w:rPr>
            </w:pPr>
            <w:r>
              <w:rPr>
                <w:rFonts w:ascii="Arial" w:cs="Arial" w:eastAsia="Arial" w:hAnsi="Arial"/>
                <w:sz w:val="14"/>
                <w:szCs w:val="14"/>
                <w:color w:val="auto"/>
                <w:w w:val="92"/>
              </w:rPr>
              <w:t>Operating Income (Loss)</w:t>
            </w:r>
          </w:p>
        </w:tc>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64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(i)</w:t>
            </w:r>
          </w:p>
        </w:tc>
        <w:tc>
          <w:tcPr>
            <w:tcW w:w="1800" w:type="dxa"/>
            <w:vAlign w:val="bottom"/>
            <w:gridSpan w:val="2"/>
          </w:tcPr>
          <w:p>
            <w:pPr>
              <w:ind w:left="380"/>
              <w:spacing w:after="0" w:line="133" w:lineRule="exact"/>
              <w:rPr>
                <w:sz w:val="20"/>
                <w:szCs w:val="20"/>
                <w:color w:val="auto"/>
              </w:rPr>
            </w:pPr>
            <w:r>
              <w:rPr>
                <w:rFonts w:ascii="Arial" w:cs="Arial" w:eastAsia="Arial" w:hAnsi="Arial"/>
                <w:sz w:val="14"/>
                <w:szCs w:val="14"/>
                <w:color w:val="auto"/>
                <w:w w:val="92"/>
              </w:rPr>
              <w:t>Before Depreciation and</w:t>
            </w:r>
          </w:p>
        </w:tc>
        <w:tc>
          <w:tcPr>
            <w:tcW w:w="2220" w:type="dxa"/>
            <w:vAlign w:val="bottom"/>
            <w:gridSpan w:val="2"/>
          </w:tcPr>
          <w:p>
            <w:pPr>
              <w:ind w:left="680"/>
              <w:spacing w:after="0" w:line="133" w:lineRule="exact"/>
              <w:rPr>
                <w:sz w:val="20"/>
                <w:szCs w:val="20"/>
                <w:color w:val="auto"/>
              </w:rPr>
            </w:pPr>
            <w:r>
              <w:rPr>
                <w:rFonts w:ascii="Arial" w:cs="Arial" w:eastAsia="Arial" w:hAnsi="Arial"/>
                <w:sz w:val="14"/>
                <w:szCs w:val="14"/>
                <w:color w:val="auto"/>
              </w:rPr>
              <w:t>Depreciation and</w:t>
            </w:r>
          </w:p>
        </w:tc>
        <w:tc>
          <w:tcPr>
            <w:tcW w:w="156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6"/>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(j)</w:t>
            </w:r>
          </w:p>
        </w:tc>
        <w:tc>
          <w:tcPr>
            <w:tcW w:w="7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w w:val="92"/>
              </w:rPr>
              <w:t>Amortization</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8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93"/>
              </w:rPr>
              <w:t>8,845</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3,640</w:t>
            </w:r>
          </w:p>
        </w:tc>
        <w:tc>
          <w:tcPr>
            <w:tcW w:w="780" w:type="dxa"/>
            <w:vAlign w:val="bottom"/>
            <w:shd w:val="clear" w:color="auto" w:fill="E5E5E5"/>
          </w:tcPr>
          <w:p>
            <w:pPr>
              <w:ind w:left="68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1,583</w:t>
            </w:r>
          </w:p>
        </w:tc>
        <w:tc>
          <w:tcPr>
            <w:tcW w:w="36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2,057</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80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717</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780" w:type="dxa"/>
            <w:vAlign w:val="bottom"/>
          </w:tcPr>
          <w:p>
            <w:pPr>
              <w:spacing w:after="0"/>
              <w:rPr>
                <w:sz w:val="18"/>
                <w:szCs w:val="18"/>
                <w:color w:val="auto"/>
              </w:rPr>
            </w:pPr>
          </w:p>
        </w:tc>
        <w:tc>
          <w:tcPr>
            <w:tcW w:w="1440" w:type="dxa"/>
            <w:vAlign w:val="bottom"/>
          </w:tcPr>
          <w:p>
            <w:pPr>
              <w:jc w:val="right"/>
              <w:ind w:right="516"/>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1200" w:type="dxa"/>
            <w:vAlign w:val="bottom"/>
          </w:tcPr>
          <w:p>
            <w:pPr>
              <w:jc w:val="right"/>
              <w:ind w:right="336"/>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8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35</w:t>
            </w:r>
          </w:p>
        </w:tc>
        <w:tc>
          <w:tcPr>
            <w:tcW w:w="540" w:type="dxa"/>
            <w:vAlign w:val="bottom"/>
            <w:shd w:val="clear" w:color="auto" w:fill="E5E5E5"/>
          </w:tcPr>
          <w:p>
            <w:pPr>
              <w:spacing w:after="0"/>
              <w:rPr>
                <w:sz w:val="18"/>
                <w:szCs w:val="18"/>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(113)</w:t>
            </w:r>
          </w:p>
        </w:tc>
        <w:tc>
          <w:tcPr>
            <w:tcW w:w="780" w:type="dxa"/>
            <w:vAlign w:val="bottom"/>
            <w:shd w:val="clear" w:color="auto" w:fill="E5E5E5"/>
          </w:tcPr>
          <w:p>
            <w:pPr>
              <w:spacing w:after="0"/>
              <w:rPr>
                <w:sz w:val="18"/>
                <w:szCs w:val="18"/>
                <w:color w:val="auto"/>
              </w:rPr>
            </w:pPr>
          </w:p>
        </w:tc>
        <w:tc>
          <w:tcPr>
            <w:tcW w:w="144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(72)</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Comcast Consolidated</w:t>
            </w:r>
          </w:p>
        </w:tc>
        <w:tc>
          <w:tcPr>
            <w:tcW w:w="8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w w:val="93"/>
              </w:rPr>
              <w:t>9,525</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3,737</w:t>
            </w:r>
          </w:p>
        </w:tc>
        <w:tc>
          <w:tcPr>
            <w:tcW w:w="78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1,659</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2,078</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7"/>
              </w:rPr>
              <w:t>Six Months Ended June 30, 2011</w:t>
            </w: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80" w:type="dxa"/>
            <w:vAlign w:val="bottom"/>
            <w:gridSpan w:val="3"/>
          </w:tcPr>
          <w:p>
            <w:pPr>
              <w:ind w:left="240"/>
              <w:spacing w:after="0" w:line="131" w:lineRule="exact"/>
              <w:rPr>
                <w:sz w:val="20"/>
                <w:szCs w:val="20"/>
                <w:color w:val="auto"/>
              </w:rPr>
            </w:pPr>
            <w:r>
              <w:rPr>
                <w:rFonts w:ascii="Arial" w:cs="Arial" w:eastAsia="Arial" w:hAnsi="Arial"/>
                <w:sz w:val="14"/>
                <w:szCs w:val="14"/>
                <w:color w:val="auto"/>
              </w:rPr>
              <w:t>Operating Income (Loss)</w:t>
            </w: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vMerge w:val="restart"/>
          </w:tcPr>
          <w:p>
            <w:pPr>
              <w:jc w:val="right"/>
              <w:ind w:right="19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(i)</w:t>
            </w:r>
          </w:p>
        </w:tc>
        <w:tc>
          <w:tcPr>
            <w:tcW w:w="1880" w:type="dxa"/>
            <w:vAlign w:val="bottom"/>
            <w:gridSpan w:val="3"/>
          </w:tcPr>
          <w:p>
            <w:pPr>
              <w:ind w:left="260"/>
              <w:spacing w:after="0" w:line="133" w:lineRule="exact"/>
              <w:rPr>
                <w:sz w:val="20"/>
                <w:szCs w:val="20"/>
                <w:color w:val="auto"/>
              </w:rPr>
            </w:pPr>
            <w:r>
              <w:rPr>
                <w:rFonts w:ascii="Arial" w:cs="Arial" w:eastAsia="Arial" w:hAnsi="Arial"/>
                <w:sz w:val="14"/>
                <w:szCs w:val="14"/>
                <w:color w:val="auto"/>
              </w:rPr>
              <w:t>Before Depreciation and</w:t>
            </w:r>
          </w:p>
        </w:tc>
        <w:tc>
          <w:tcPr>
            <w:tcW w:w="144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Depreciation and</w:t>
            </w:r>
          </w:p>
        </w:tc>
        <w:tc>
          <w:tcPr>
            <w:tcW w:w="160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Operating Income</w:t>
            </w:r>
          </w:p>
        </w:tc>
        <w:tc>
          <w:tcPr>
            <w:tcW w:w="140" w:type="dxa"/>
            <w:vAlign w:val="bottom"/>
          </w:tcPr>
          <w:p>
            <w:pPr>
              <w:spacing w:after="0"/>
              <w:rPr>
                <w:sz w:val="11"/>
                <w:szCs w:val="11"/>
                <w:color w:val="auto"/>
              </w:rPr>
            </w:pPr>
          </w:p>
        </w:tc>
        <w:tc>
          <w:tcPr>
            <w:tcW w:w="820" w:type="dxa"/>
            <w:vAlign w:val="bottom"/>
          </w:tcPr>
          <w:p>
            <w:pPr>
              <w:jc w:val="right"/>
              <w:ind w:right="296"/>
              <w:spacing w:after="0" w:line="133" w:lineRule="exact"/>
              <w:rPr>
                <w:sz w:val="20"/>
                <w:szCs w:val="20"/>
                <w:color w:val="auto"/>
              </w:rPr>
            </w:pPr>
            <w:r>
              <w:rPr>
                <w:rFonts w:ascii="Arial" w:cs="Arial" w:eastAsia="Arial" w:hAnsi="Arial"/>
                <w:sz w:val="14"/>
                <w:szCs w:val="14"/>
                <w:color w:val="auto"/>
                <w:w w:val="96"/>
              </w:rPr>
              <w:t>Capital</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gridSpan w:val="2"/>
          </w:tcPr>
          <w:p>
            <w:pPr>
              <w:jc w:val="right"/>
              <w:ind w:right="492"/>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(j)</w:t>
            </w:r>
          </w:p>
        </w:tc>
        <w:tc>
          <w:tcPr>
            <w:tcW w:w="1440" w:type="dxa"/>
            <w:vAlign w:val="bottom"/>
            <w:gridSpan w:val="2"/>
          </w:tcPr>
          <w:p>
            <w:pPr>
              <w:jc w:val="right"/>
              <w:ind w:right="336"/>
              <w:spacing w:after="0"/>
              <w:rPr>
                <w:sz w:val="20"/>
                <w:szCs w:val="20"/>
                <w:color w:val="auto"/>
              </w:rPr>
            </w:pPr>
            <w:r>
              <w:rPr>
                <w:rFonts w:ascii="Arial" w:cs="Arial" w:eastAsia="Arial" w:hAnsi="Arial"/>
                <w:sz w:val="14"/>
                <w:szCs w:val="14"/>
                <w:color w:val="auto"/>
              </w:rPr>
              <w:t>Amortization</w:t>
            </w:r>
          </w:p>
        </w:tc>
        <w:tc>
          <w:tcPr>
            <w:tcW w:w="1600" w:type="dxa"/>
            <w:vAlign w:val="bottom"/>
            <w:gridSpan w:val="2"/>
          </w:tcPr>
          <w:p>
            <w:pPr>
              <w:jc w:val="right"/>
              <w:ind w:right="693"/>
              <w:spacing w:after="0"/>
              <w:rPr>
                <w:sz w:val="20"/>
                <w:szCs w:val="20"/>
                <w:color w:val="auto"/>
              </w:rPr>
            </w:pPr>
            <w:r>
              <w:rPr>
                <w:rFonts w:ascii="Arial" w:cs="Arial" w:eastAsia="Arial" w:hAnsi="Arial"/>
                <w:sz w:val="14"/>
                <w:szCs w:val="14"/>
                <w:color w:val="auto"/>
              </w:rPr>
              <w:t>(Loss)</w:t>
            </w: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Expenditures</w:t>
            </w:r>
          </w:p>
        </w:tc>
        <w:tc>
          <w:tcPr>
            <w:tcW w:w="36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color w:val="auto"/>
                <w:w w:val="95"/>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22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$18,425</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gridSpan w:val="2"/>
            <w:shd w:val="clear" w:color="auto" w:fill="E5E5E5"/>
          </w:tcPr>
          <w:p>
            <w:pPr>
              <w:jc w:val="right"/>
              <w:ind w:right="212"/>
              <w:spacing w:after="0"/>
              <w:rPr>
                <w:sz w:val="20"/>
                <w:szCs w:val="20"/>
                <w:color w:val="auto"/>
              </w:rPr>
            </w:pPr>
            <w:r>
              <w:rPr>
                <w:rFonts w:ascii="Arial" w:cs="Arial" w:eastAsia="Arial" w:hAnsi="Arial"/>
                <w:sz w:val="18"/>
                <w:szCs w:val="18"/>
                <w:color w:val="auto"/>
              </w:rPr>
              <w:t>7,635</w:t>
            </w:r>
          </w:p>
        </w:tc>
        <w:tc>
          <w:tcPr>
            <w:tcW w:w="52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3,212</w:t>
            </w:r>
          </w:p>
        </w:tc>
        <w:tc>
          <w:tcPr>
            <w:tcW w:w="64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5E5E5"/>
          </w:tcPr>
          <w:p>
            <w:pPr>
              <w:jc w:val="right"/>
              <w:ind w:right="373"/>
              <w:spacing w:after="0"/>
              <w:rPr>
                <w:sz w:val="20"/>
                <w:szCs w:val="20"/>
                <w:color w:val="auto"/>
              </w:rPr>
            </w:pPr>
            <w:r>
              <w:rPr>
                <w:rFonts w:ascii="Arial" w:cs="Arial" w:eastAsia="Arial" w:hAnsi="Arial"/>
                <w:sz w:val="18"/>
                <w:szCs w:val="18"/>
                <w:color w:val="auto"/>
              </w:rPr>
              <w:t>4,423</w:t>
            </w:r>
          </w:p>
        </w:tc>
        <w:tc>
          <w:tcPr>
            <w:tcW w:w="14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2,234</w:t>
            </w:r>
          </w:p>
        </w:tc>
        <w:tc>
          <w:tcPr>
            <w:tcW w:w="1040" w:type="dxa"/>
            <w:vAlign w:val="bottom"/>
            <w:tcBorders>
              <w:top w:val="single" w:sz="8" w:color="auto"/>
            </w:tcBorders>
            <w:gridSpan w:val="2"/>
            <w:shd w:val="clear" w:color="auto" w:fill="E5E5E5"/>
          </w:tcPr>
          <w:p>
            <w:pPr>
              <w:jc w:val="right"/>
              <w:ind w:right="15"/>
              <w:spacing w:after="0"/>
              <w:rPr>
                <w:sz w:val="20"/>
                <w:szCs w:val="20"/>
                <w:color w:val="auto"/>
              </w:rPr>
            </w:pPr>
            <w:r>
              <w:rPr>
                <w:rFonts w:ascii="Arial" w:cs="Arial" w:eastAsia="Arial" w:hAnsi="Arial"/>
                <w:sz w:val="18"/>
                <w:szCs w:val="18"/>
                <w:color w:val="auto"/>
              </w:rPr>
              <w:t>$ 116,384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NBCUniversal</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2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3,805</w:t>
            </w:r>
          </w:p>
        </w:tc>
        <w:tc>
          <w:tcPr>
            <w:tcW w:w="420" w:type="dxa"/>
            <w:vAlign w:val="bottom"/>
            <w:shd w:val="clear" w:color="auto" w:fill="E5E5E5"/>
          </w:tcPr>
          <w:p>
            <w:pPr>
              <w:spacing w:after="0"/>
              <w:rPr>
                <w:sz w:val="18"/>
                <w:szCs w:val="18"/>
                <w:color w:val="auto"/>
              </w:rPr>
            </w:pPr>
          </w:p>
        </w:tc>
        <w:tc>
          <w:tcPr>
            <w:tcW w:w="1460" w:type="dxa"/>
            <w:vAlign w:val="bottom"/>
            <w:gridSpan w:val="2"/>
            <w:shd w:val="clear" w:color="auto" w:fill="E5E5E5"/>
          </w:tcPr>
          <w:p>
            <w:pPr>
              <w:jc w:val="right"/>
              <w:ind w:right="212"/>
              <w:spacing w:after="0"/>
              <w:rPr>
                <w:sz w:val="20"/>
                <w:szCs w:val="20"/>
                <w:color w:val="auto"/>
              </w:rPr>
            </w:pPr>
            <w:r>
              <w:rPr>
                <w:rFonts w:ascii="Arial" w:cs="Arial" w:eastAsia="Arial" w:hAnsi="Arial"/>
                <w:sz w:val="18"/>
                <w:szCs w:val="18"/>
                <w:color w:val="auto"/>
              </w:rPr>
              <w:t>1,511</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340</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73"/>
              <w:spacing w:after="0"/>
              <w:rPr>
                <w:sz w:val="20"/>
                <w:szCs w:val="20"/>
                <w:color w:val="auto"/>
              </w:rPr>
            </w:pPr>
            <w:r>
              <w:rPr>
                <w:rFonts w:ascii="Arial" w:cs="Arial" w:eastAsia="Arial" w:hAnsi="Arial"/>
                <w:sz w:val="18"/>
                <w:szCs w:val="18"/>
                <w:color w:val="auto"/>
              </w:rPr>
              <w:t>1,171</w:t>
            </w:r>
          </w:p>
        </w:tc>
        <w:tc>
          <w:tcPr>
            <w:tcW w:w="1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31</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2,583</w:t>
            </w:r>
          </w:p>
        </w:tc>
        <w:tc>
          <w:tcPr>
            <w:tcW w:w="420" w:type="dxa"/>
            <w:vAlign w:val="bottom"/>
          </w:tcPr>
          <w:p>
            <w:pPr>
              <w:spacing w:after="0"/>
              <w:rPr>
                <w:sz w:val="18"/>
                <w:szCs w:val="18"/>
                <w:color w:val="auto"/>
              </w:rPr>
            </w:pP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8"/>
                <w:szCs w:val="18"/>
                <w:color w:val="auto"/>
              </w:rPr>
            </w:pP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960" w:type="dxa"/>
            <w:vAlign w:val="bottom"/>
          </w:tcPr>
          <w:p>
            <w:pPr>
              <w:jc w:val="right"/>
              <w:ind w:right="373"/>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(d)</w:t>
            </w:r>
          </w:p>
        </w:tc>
        <w:tc>
          <w:tcPr>
            <w:tcW w:w="12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1,876</w:t>
            </w:r>
          </w:p>
        </w:tc>
        <w:tc>
          <w:tcPr>
            <w:tcW w:w="420" w:type="dxa"/>
            <w:vAlign w:val="bottom"/>
            <w:shd w:val="clear" w:color="auto" w:fill="E5E5E5"/>
          </w:tcPr>
          <w:p>
            <w:pPr>
              <w:spacing w:after="0"/>
              <w:rPr>
                <w:sz w:val="18"/>
                <w:szCs w:val="18"/>
                <w:color w:val="auto"/>
              </w:rPr>
            </w:pPr>
          </w:p>
        </w:tc>
        <w:tc>
          <w:tcPr>
            <w:tcW w:w="146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9</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2</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(e)</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18"/>
                <w:szCs w:val="18"/>
                <w:color w:val="auto"/>
              </w:rPr>
            </w:pP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152</w:t>
            </w:r>
          </w:p>
        </w:tc>
        <w:tc>
          <w:tcPr>
            <w:tcW w:w="520" w:type="dxa"/>
            <w:vAlign w:val="bottom"/>
          </w:tcPr>
          <w:p>
            <w:pPr>
              <w:spacing w:after="0"/>
              <w:rPr>
                <w:sz w:val="18"/>
                <w:szCs w:val="18"/>
                <w:color w:val="auto"/>
              </w:rPr>
            </w:pP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8"/>
                <w:szCs w:val="18"/>
                <w:color w:val="auto"/>
              </w:rPr>
            </w:pPr>
          </w:p>
        </w:tc>
        <w:tc>
          <w:tcPr>
            <w:tcW w:w="960" w:type="dxa"/>
            <w:vAlign w:val="bottom"/>
          </w:tcPr>
          <w:p>
            <w:pPr>
              <w:jc w:val="right"/>
              <w:ind w:right="373"/>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(f)</w:t>
            </w:r>
          </w:p>
        </w:tc>
        <w:tc>
          <w:tcPr>
            <w:tcW w:w="12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5E5E5"/>
          </w:tcPr>
          <w:p>
            <w:pPr>
              <w:spacing w:after="0"/>
              <w:rPr>
                <w:sz w:val="18"/>
                <w:szCs w:val="18"/>
                <w:color w:val="auto"/>
              </w:rPr>
            </w:pPr>
          </w:p>
        </w:tc>
        <w:tc>
          <w:tcPr>
            <w:tcW w:w="146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color w:val="auto"/>
              </w:rPr>
              <w:t>(249)</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66</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(182)</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(64)</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2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8,322</w:t>
            </w:r>
          </w:p>
        </w:tc>
        <w:tc>
          <w:tcPr>
            <w:tcW w:w="420" w:type="dxa"/>
            <w:vAlign w:val="bottom"/>
            <w:shd w:val="clear" w:color="auto" w:fill="E5E5E5"/>
          </w:tcPr>
          <w:p>
            <w:pPr>
              <w:spacing w:after="0"/>
              <w:rPr>
                <w:sz w:val="18"/>
                <w:szCs w:val="18"/>
                <w:color w:val="auto"/>
              </w:rPr>
            </w:pPr>
          </w:p>
        </w:tc>
        <w:tc>
          <w:tcPr>
            <w:tcW w:w="1460" w:type="dxa"/>
            <w:vAlign w:val="bottom"/>
            <w:gridSpan w:val="2"/>
            <w:shd w:val="clear" w:color="auto" w:fill="E5E5E5"/>
          </w:tcPr>
          <w:p>
            <w:pPr>
              <w:jc w:val="right"/>
              <w:ind w:right="212"/>
              <w:spacing w:after="0"/>
              <w:rPr>
                <w:sz w:val="20"/>
                <w:szCs w:val="20"/>
                <w:color w:val="auto"/>
              </w:rPr>
            </w:pPr>
            <w:r>
              <w:rPr>
                <w:rFonts w:ascii="Arial" w:cs="Arial" w:eastAsia="Arial" w:hAnsi="Arial"/>
                <w:sz w:val="18"/>
                <w:szCs w:val="18"/>
                <w:color w:val="auto"/>
              </w:rPr>
              <w:t>1,459</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460</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73"/>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316</w:t>
            </w:r>
          </w:p>
        </w:tc>
        <w:tc>
          <w:tcPr>
            <w:tcW w:w="420" w:type="dxa"/>
            <w:vAlign w:val="bottom"/>
          </w:tcPr>
          <w:p>
            <w:pPr>
              <w:spacing w:after="0"/>
              <w:rPr>
                <w:sz w:val="18"/>
                <w:szCs w:val="18"/>
                <w:color w:val="auto"/>
              </w:rPr>
            </w:pP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(228)</w:t>
            </w:r>
          </w:p>
        </w:tc>
        <w:tc>
          <w:tcPr>
            <w:tcW w:w="520" w:type="dxa"/>
            <w:vAlign w:val="bottom"/>
          </w:tcPr>
          <w:p>
            <w:pPr>
              <w:spacing w:after="0"/>
              <w:rPr>
                <w:sz w:val="18"/>
                <w:szCs w:val="18"/>
                <w:color w:val="auto"/>
              </w:rPr>
            </w:pPr>
          </w:p>
        </w:tc>
        <w:tc>
          <w:tcPr>
            <w:tcW w:w="920" w:type="dxa"/>
            <w:vAlign w:val="bottom"/>
          </w:tcPr>
          <w:p>
            <w:pPr>
              <w:jc w:val="right"/>
              <w:ind w:right="236"/>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820" w:type="dxa"/>
            <w:vAlign w:val="bottom"/>
          </w:tcPr>
          <w:p>
            <w:pPr>
              <w:jc w:val="right"/>
              <w:ind w:right="136"/>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12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(602)</w:t>
            </w:r>
          </w:p>
        </w:tc>
        <w:tc>
          <w:tcPr>
            <w:tcW w:w="42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gridSpan w:val="2"/>
            <w:shd w:val="clear" w:color="auto" w:fill="E5E5E5"/>
          </w:tcPr>
          <w:p>
            <w:pPr>
              <w:jc w:val="right"/>
              <w:ind w:right="212"/>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7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2"/>
              </w:rPr>
              <w:t>(15,563)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$26,461</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rPr>
              <w:t>8,867</w:t>
            </w: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3,705</w:t>
            </w: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5,162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2,377</w:t>
            </w:r>
          </w:p>
        </w:tc>
        <w:tc>
          <w:tcPr>
            <w:tcW w:w="10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$154,782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 2010</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jc w:val="center"/>
              <w:ind w:right="256"/>
              <w:spacing w:after="0" w:line="131" w:lineRule="exact"/>
              <w:rPr>
                <w:sz w:val="20"/>
                <w:szCs w:val="20"/>
                <w:color w:val="auto"/>
              </w:rPr>
            </w:pPr>
            <w:r>
              <w:rPr>
                <w:rFonts w:ascii="Arial" w:cs="Arial" w:eastAsia="Arial" w:hAnsi="Arial"/>
                <w:sz w:val="14"/>
                <w:szCs w:val="14"/>
                <w:color w:val="auto"/>
                <w:w w:val="87"/>
              </w:rPr>
              <w:t>Operating</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2"/>
          </w:tcPr>
          <w:p>
            <w:pPr>
              <w:jc w:val="center"/>
              <w:ind w:left="105"/>
              <w:spacing w:after="0" w:line="149" w:lineRule="exact"/>
              <w:rPr>
                <w:sz w:val="20"/>
                <w:szCs w:val="20"/>
                <w:color w:val="auto"/>
              </w:rPr>
            </w:pPr>
            <w:r>
              <w:rPr>
                <w:rFonts w:ascii="Arial" w:cs="Arial" w:eastAsia="Arial" w:hAnsi="Arial"/>
                <w:sz w:val="14"/>
                <w:szCs w:val="14"/>
                <w:color w:val="auto"/>
                <w:w w:val="87"/>
              </w:rPr>
              <w:t>Income (Loss)</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jc w:val="center"/>
              <w:ind w:right="256"/>
              <w:spacing w:after="0" w:line="149" w:lineRule="exact"/>
              <w:rPr>
                <w:sz w:val="20"/>
                <w:szCs w:val="20"/>
                <w:color w:val="auto"/>
              </w:rPr>
            </w:pPr>
            <w:r>
              <w:rPr>
                <w:rFonts w:ascii="Arial" w:cs="Arial" w:eastAsia="Arial" w:hAnsi="Arial"/>
                <w:sz w:val="14"/>
                <w:szCs w:val="14"/>
                <w:color w:val="auto"/>
                <w:w w:val="92"/>
              </w:rPr>
              <w:t>Before</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2"/>
          </w:tcPr>
          <w:p>
            <w:pPr>
              <w:jc w:val="center"/>
              <w:ind w:left="105"/>
              <w:spacing w:after="0" w:line="149" w:lineRule="exact"/>
              <w:rPr>
                <w:sz w:val="20"/>
                <w:szCs w:val="20"/>
                <w:color w:val="auto"/>
              </w:rPr>
            </w:pPr>
            <w:r>
              <w:rPr>
                <w:rFonts w:ascii="Arial" w:cs="Arial" w:eastAsia="Arial" w:hAnsi="Arial"/>
                <w:sz w:val="14"/>
                <w:szCs w:val="14"/>
                <w:color w:val="auto"/>
                <w:w w:val="89"/>
              </w:rPr>
              <w:t>Depreciation</w:t>
            </w:r>
          </w:p>
        </w:tc>
        <w:tc>
          <w:tcPr>
            <w:tcW w:w="16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Depreciation</w:t>
            </w:r>
          </w:p>
        </w:tc>
        <w:tc>
          <w:tcPr>
            <w:tcW w:w="960" w:type="dxa"/>
            <w:vAlign w:val="bottom"/>
            <w:gridSpan w:val="2"/>
          </w:tcPr>
          <w:p>
            <w:pPr>
              <w:jc w:val="center"/>
              <w:ind w:right="176"/>
              <w:spacing w:after="0" w:line="149" w:lineRule="exact"/>
              <w:rPr>
                <w:sz w:val="20"/>
                <w:szCs w:val="20"/>
                <w:color w:val="auto"/>
              </w:rPr>
            </w:pPr>
            <w:r>
              <w:rPr>
                <w:rFonts w:ascii="Arial" w:cs="Arial" w:eastAsia="Arial" w:hAnsi="Arial"/>
                <w:sz w:val="14"/>
                <w:szCs w:val="14"/>
                <w:color w:val="auto"/>
                <w:w w:val="87"/>
              </w:rPr>
              <w:t>Operating</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(i)</w:t>
            </w:r>
          </w:p>
        </w:tc>
        <w:tc>
          <w:tcPr>
            <w:tcW w:w="520" w:type="dxa"/>
            <w:vAlign w:val="bottom"/>
          </w:tcPr>
          <w:p>
            <w:pPr>
              <w:spacing w:after="0"/>
              <w:rPr>
                <w:sz w:val="11"/>
                <w:szCs w:val="11"/>
                <w:color w:val="auto"/>
              </w:rPr>
            </w:pPr>
          </w:p>
        </w:tc>
        <w:tc>
          <w:tcPr>
            <w:tcW w:w="920" w:type="dxa"/>
            <w:vAlign w:val="bottom"/>
          </w:tcPr>
          <w:p>
            <w:pPr>
              <w:jc w:val="center"/>
              <w:ind w:right="236"/>
              <w:spacing w:after="0" w:line="133" w:lineRule="exact"/>
              <w:rPr>
                <w:sz w:val="20"/>
                <w:szCs w:val="20"/>
                <w:color w:val="auto"/>
              </w:rPr>
            </w:pPr>
            <w:r>
              <w:rPr>
                <w:rFonts w:ascii="Arial" w:cs="Arial" w:eastAsia="Arial" w:hAnsi="Arial"/>
                <w:sz w:val="14"/>
                <w:szCs w:val="14"/>
                <w:color w:val="auto"/>
                <w:w w:val="85"/>
              </w:rPr>
              <w:t>and</w:t>
            </w:r>
          </w:p>
        </w:tc>
        <w:tc>
          <w:tcPr>
            <w:tcW w:w="640" w:type="dxa"/>
            <w:vAlign w:val="bottom"/>
          </w:tcPr>
          <w:p>
            <w:pPr>
              <w:spacing w:after="0"/>
              <w:rPr>
                <w:sz w:val="11"/>
                <w:szCs w:val="11"/>
                <w:color w:val="auto"/>
              </w:rPr>
            </w:pPr>
          </w:p>
        </w:tc>
        <w:tc>
          <w:tcPr>
            <w:tcW w:w="960" w:type="dxa"/>
            <w:vAlign w:val="bottom"/>
          </w:tcPr>
          <w:p>
            <w:pPr>
              <w:jc w:val="right"/>
              <w:ind w:right="653"/>
              <w:spacing w:after="0" w:line="133"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1"/>
                <w:szCs w:val="11"/>
                <w:color w:val="auto"/>
              </w:rPr>
            </w:pPr>
          </w:p>
        </w:tc>
        <w:tc>
          <w:tcPr>
            <w:tcW w:w="820" w:type="dxa"/>
            <w:vAlign w:val="bottom"/>
          </w:tcPr>
          <w:p>
            <w:pPr>
              <w:jc w:val="center"/>
              <w:ind w:right="316"/>
              <w:spacing w:after="0" w:line="133" w:lineRule="exact"/>
              <w:rPr>
                <w:sz w:val="20"/>
                <w:szCs w:val="20"/>
                <w:color w:val="auto"/>
              </w:rPr>
            </w:pPr>
            <w:r>
              <w:rPr>
                <w:rFonts w:ascii="Arial" w:cs="Arial" w:eastAsia="Arial" w:hAnsi="Arial"/>
                <w:sz w:val="14"/>
                <w:szCs w:val="14"/>
                <w:color w:val="auto"/>
                <w:w w:val="91"/>
              </w:rPr>
              <w:t>Income</w:t>
            </w:r>
          </w:p>
        </w:tc>
        <w:tc>
          <w:tcPr>
            <w:tcW w:w="36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440" w:type="dxa"/>
            <w:vAlign w:val="bottom"/>
            <w:gridSpan w:val="2"/>
          </w:tcPr>
          <w:p>
            <w:pPr>
              <w:jc w:val="center"/>
              <w:ind w:left="105"/>
              <w:spacing w:after="0" w:line="176" w:lineRule="exact"/>
              <w:rPr>
                <w:sz w:val="20"/>
                <w:szCs w:val="20"/>
                <w:color w:val="auto"/>
              </w:rPr>
            </w:pPr>
            <w:r>
              <w:rPr>
                <w:rFonts w:ascii="Arial" w:cs="Arial" w:eastAsia="Arial" w:hAnsi="Arial"/>
                <w:sz w:val="13"/>
                <w:szCs w:val="13"/>
                <w:color w:val="auto"/>
                <w:w w:val="97"/>
              </w:rPr>
              <w:t>Amortization</w:t>
            </w:r>
            <w:r>
              <w:rPr>
                <w:rFonts w:ascii="Arial" w:cs="Arial" w:eastAsia="Arial" w:hAnsi="Arial"/>
                <w:sz w:val="20"/>
                <w:szCs w:val="20"/>
                <w:color w:val="auto"/>
                <w:w w:val="97"/>
                <w:vertAlign w:val="superscript"/>
              </w:rPr>
              <w:t>(j)</w:t>
            </w:r>
          </w:p>
        </w:tc>
        <w:tc>
          <w:tcPr>
            <w:tcW w:w="1600" w:type="dxa"/>
            <w:vAlign w:val="bottom"/>
            <w:gridSpan w:val="2"/>
          </w:tcPr>
          <w:p>
            <w:pPr>
              <w:ind w:left="400"/>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5"/>
                <w:szCs w:val="15"/>
                <w:color w:val="auto"/>
              </w:rPr>
            </w:pPr>
          </w:p>
        </w:tc>
        <w:tc>
          <w:tcPr>
            <w:tcW w:w="820" w:type="dxa"/>
            <w:vAlign w:val="bottom"/>
          </w:tcPr>
          <w:p>
            <w:pPr>
              <w:jc w:val="center"/>
              <w:ind w:right="316"/>
              <w:spacing w:after="0"/>
              <w:rPr>
                <w:sz w:val="20"/>
                <w:szCs w:val="20"/>
                <w:color w:val="auto"/>
              </w:rPr>
            </w:pPr>
            <w:r>
              <w:rPr>
                <w:rFonts w:ascii="Arial" w:cs="Arial" w:eastAsia="Arial" w:hAnsi="Arial"/>
                <w:sz w:val="14"/>
                <w:szCs w:val="14"/>
                <w:color w:val="auto"/>
                <w:w w:val="87"/>
              </w:rPr>
              <w:t>(Loss)</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22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1460" w:type="dxa"/>
            <w:vAlign w:val="bottom"/>
            <w:tcBorders>
              <w:top w:val="single" w:sz="8" w:color="auto"/>
            </w:tcBorders>
            <w:gridSpan w:val="2"/>
            <w:shd w:val="clear" w:color="auto" w:fill="E5E5E5"/>
          </w:tcPr>
          <w:p>
            <w:pPr>
              <w:jc w:val="right"/>
              <w:ind w:right="152"/>
              <w:spacing w:after="0"/>
              <w:rPr>
                <w:sz w:val="20"/>
                <w:szCs w:val="20"/>
                <w:color w:val="auto"/>
              </w:rPr>
            </w:pPr>
            <w:r>
              <w:rPr>
                <w:rFonts w:ascii="Arial" w:cs="Arial" w:eastAsia="Arial" w:hAnsi="Arial"/>
                <w:sz w:val="18"/>
                <w:szCs w:val="18"/>
                <w:color w:val="auto"/>
              </w:rPr>
              <w:t>$17,428</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7,120</w:t>
            </w:r>
          </w:p>
        </w:tc>
        <w:tc>
          <w:tcPr>
            <w:tcW w:w="64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5E5E5"/>
          </w:tcPr>
          <w:p>
            <w:pPr>
              <w:jc w:val="right"/>
              <w:ind w:right="393"/>
              <w:spacing w:after="0"/>
              <w:rPr>
                <w:sz w:val="20"/>
                <w:szCs w:val="20"/>
                <w:color w:val="auto"/>
              </w:rPr>
            </w:pPr>
            <w:r>
              <w:rPr>
                <w:rFonts w:ascii="Arial" w:cs="Arial" w:eastAsia="Arial" w:hAnsi="Arial"/>
                <w:sz w:val="18"/>
                <w:szCs w:val="18"/>
                <w:color w:val="auto"/>
              </w:rPr>
              <w:t>3,133</w:t>
            </w:r>
          </w:p>
        </w:tc>
        <w:tc>
          <w:tcPr>
            <w:tcW w:w="960" w:type="dxa"/>
            <w:vAlign w:val="bottom"/>
            <w:tcBorders>
              <w:top w:val="single" w:sz="8" w:color="auto"/>
            </w:tcBorders>
            <w:gridSpan w:val="2"/>
            <w:shd w:val="clear" w:color="auto" w:fill="E5E5E5"/>
          </w:tcPr>
          <w:p>
            <w:pPr>
              <w:jc w:val="right"/>
              <w:ind w:right="256"/>
              <w:spacing w:after="0"/>
              <w:rPr>
                <w:sz w:val="20"/>
                <w:szCs w:val="20"/>
                <w:color w:val="auto"/>
              </w:rPr>
            </w:pPr>
            <w:r>
              <w:rPr>
                <w:rFonts w:ascii="Arial" w:cs="Arial" w:eastAsia="Arial" w:hAnsi="Arial"/>
                <w:sz w:val="18"/>
                <w:szCs w:val="18"/>
                <w:color w:val="auto"/>
                <w:w w:val="99"/>
              </w:rPr>
              <w:t>$ 3,987</w:t>
            </w:r>
          </w:p>
        </w:tc>
        <w:tc>
          <w:tcPr>
            <w:tcW w:w="3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1,355</w:t>
            </w:r>
          </w:p>
        </w:tc>
        <w:tc>
          <w:tcPr>
            <w:tcW w:w="520" w:type="dxa"/>
            <w:vAlign w:val="bottom"/>
          </w:tcPr>
          <w:p>
            <w:pPr>
              <w:spacing w:after="0"/>
              <w:rPr>
                <w:sz w:val="18"/>
                <w:szCs w:val="18"/>
                <w:color w:val="auto"/>
              </w:rPr>
            </w:pPr>
          </w:p>
        </w:tc>
        <w:tc>
          <w:tcPr>
            <w:tcW w:w="920" w:type="dxa"/>
            <w:vAlign w:val="bottom"/>
          </w:tcPr>
          <w:p>
            <w:pPr>
              <w:jc w:val="right"/>
              <w:ind w:right="116"/>
              <w:spacing w:after="0"/>
              <w:rPr>
                <w:sz w:val="20"/>
                <w:szCs w:val="20"/>
                <w:color w:val="auto"/>
              </w:rPr>
            </w:pPr>
            <w:r>
              <w:rPr>
                <w:rFonts w:ascii="Arial" w:cs="Arial" w:eastAsia="Arial" w:hAnsi="Arial"/>
                <w:sz w:val="18"/>
                <w:szCs w:val="18"/>
                <w:color w:val="auto"/>
              </w:rPr>
              <w:t>398</w:t>
            </w:r>
          </w:p>
        </w:tc>
        <w:tc>
          <w:tcPr>
            <w:tcW w:w="640" w:type="dxa"/>
            <w:vAlign w:val="bottom"/>
          </w:tcPr>
          <w:p>
            <w:pPr>
              <w:spacing w:after="0"/>
              <w:rPr>
                <w:sz w:val="18"/>
                <w:szCs w:val="18"/>
                <w:color w:val="auto"/>
              </w:rPr>
            </w:pPr>
          </w:p>
        </w:tc>
        <w:tc>
          <w:tcPr>
            <w:tcW w:w="960" w:type="dxa"/>
            <w:vAlign w:val="bottom"/>
          </w:tcPr>
          <w:p>
            <w:pPr>
              <w:jc w:val="right"/>
              <w:ind w:right="393"/>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5E5E5"/>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(h)</w:t>
            </w:r>
          </w:p>
        </w:tc>
        <w:tc>
          <w:tcPr>
            <w:tcW w:w="1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460" w:type="dxa"/>
            <w:vAlign w:val="bottom"/>
            <w:gridSpan w:val="2"/>
            <w:shd w:val="clear" w:color="auto" w:fill="E5E5E5"/>
          </w:tcPr>
          <w:p>
            <w:pPr>
              <w:jc w:val="right"/>
              <w:ind w:right="152"/>
              <w:spacing w:after="0"/>
              <w:rPr>
                <w:sz w:val="20"/>
                <w:szCs w:val="20"/>
                <w:color w:val="auto"/>
              </w:rPr>
            </w:pPr>
            <w:r>
              <w:rPr>
                <w:rFonts w:ascii="Arial" w:cs="Arial" w:eastAsia="Arial" w:hAnsi="Arial"/>
                <w:sz w:val="18"/>
                <w:szCs w:val="18"/>
                <w:color w:val="auto"/>
              </w:rPr>
              <w:t>106</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(217)</w:t>
            </w:r>
          </w:p>
        </w:tc>
        <w:tc>
          <w:tcPr>
            <w:tcW w:w="6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93"/>
              <w:spacing w:after="0"/>
              <w:rPr>
                <w:sz w:val="20"/>
                <w:szCs w:val="20"/>
                <w:color w:val="auto"/>
              </w:rPr>
            </w:pPr>
            <w:r>
              <w:rPr>
                <w:rFonts w:ascii="Arial" w:cs="Arial" w:eastAsia="Arial" w:hAnsi="Arial"/>
                <w:sz w:val="18"/>
                <w:szCs w:val="18"/>
                <w:color w:val="auto"/>
              </w:rPr>
              <w:t>14</w:t>
            </w:r>
          </w:p>
        </w:tc>
        <w:tc>
          <w:tcPr>
            <w:tcW w:w="1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(g)</w:t>
            </w: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(162)</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Comcast Consolidated</w:t>
            </w:r>
          </w:p>
        </w:tc>
        <w:tc>
          <w:tcPr>
            <w:tcW w:w="12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gridSpan w:val="2"/>
            <w:shd w:val="clear" w:color="auto" w:fill="E5E5E5"/>
          </w:tcPr>
          <w:p>
            <w:pPr>
              <w:jc w:val="right"/>
              <w:ind w:right="152"/>
              <w:spacing w:after="0"/>
              <w:rPr>
                <w:sz w:val="20"/>
                <w:szCs w:val="20"/>
                <w:color w:val="auto"/>
              </w:rPr>
            </w:pPr>
            <w:r>
              <w:rPr>
                <w:rFonts w:ascii="Arial" w:cs="Arial" w:eastAsia="Arial" w:hAnsi="Arial"/>
                <w:sz w:val="18"/>
                <w:szCs w:val="18"/>
                <w:color w:val="auto"/>
              </w:rPr>
              <w:t>$18,727</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7,302</w:t>
            </w:r>
          </w:p>
        </w:tc>
        <w:tc>
          <w:tcPr>
            <w:tcW w:w="64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E5E5E5"/>
          </w:tcPr>
          <w:p>
            <w:pPr>
              <w:jc w:val="right"/>
              <w:ind w:right="393"/>
              <w:spacing w:after="0"/>
              <w:rPr>
                <w:sz w:val="20"/>
                <w:szCs w:val="20"/>
                <w:color w:val="auto"/>
              </w:rPr>
            </w:pPr>
            <w:r>
              <w:rPr>
                <w:rFonts w:ascii="Arial" w:cs="Arial" w:eastAsia="Arial" w:hAnsi="Arial"/>
                <w:sz w:val="18"/>
                <w:szCs w:val="18"/>
                <w:color w:val="auto"/>
              </w:rPr>
              <w:t>3,289</w:t>
            </w:r>
          </w:p>
        </w:tc>
        <w:tc>
          <w:tcPr>
            <w:tcW w:w="960" w:type="dxa"/>
            <w:vAlign w:val="bottom"/>
            <w:tcBorders>
              <w:bottom w:val="single" w:sz="8" w:color="auto"/>
            </w:tcBorders>
            <w:gridSpan w:val="2"/>
            <w:shd w:val="clear" w:color="auto" w:fill="E5E5E5"/>
          </w:tcPr>
          <w:p>
            <w:pPr>
              <w:jc w:val="right"/>
              <w:ind w:right="256"/>
              <w:spacing w:after="0"/>
              <w:rPr>
                <w:sz w:val="20"/>
                <w:szCs w:val="20"/>
                <w:color w:val="auto"/>
              </w:rPr>
            </w:pPr>
            <w:r>
              <w:rPr>
                <w:rFonts w:ascii="Arial" w:cs="Arial" w:eastAsia="Arial" w:hAnsi="Arial"/>
                <w:sz w:val="18"/>
                <w:szCs w:val="18"/>
                <w:color w:val="auto"/>
                <w:w w:val="99"/>
              </w:rPr>
              <w:t>$ 4,013</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60" w:right="1360" w:hanging="352"/>
        <w:spacing w:after="0" w:line="375" w:lineRule="auto"/>
        <w:tabs>
          <w:tab w:leader="none" w:pos="355"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Cable Communications segment consists primarily of our cable services business and the businesses of Comcast Interactive Media that were not contributed to NBCUniversal. For the three and six months ended June 30, 2011 and 2010, Cable Communications segment revenue was derived from the following sources:</w:t>
      </w:r>
    </w:p>
    <w:tbl>
      <w:tblPr>
        <w:tblLayout w:type="fixed"/>
        <w:tblInd w:w="360" w:type="dxa"/>
        <w:tblCellMar>
          <w:top w:w="0" w:type="dxa"/>
          <w:left w:w="0" w:type="dxa"/>
          <w:bottom w:w="0" w:type="dxa"/>
          <w:right w:w="0" w:type="dxa"/>
        </w:tblCellMar>
      </w:tblPr>
      <w:tr>
        <w:trPr>
          <w:trHeight w:val="150"/>
        </w:trPr>
        <w:tc>
          <w:tcPr>
            <w:tcW w:w="6740" w:type="dxa"/>
            <w:vAlign w:val="bottom"/>
          </w:tcPr>
          <w:p>
            <w:pPr>
              <w:spacing w:after="0"/>
              <w:rPr>
                <w:sz w:val="13"/>
                <w:szCs w:val="13"/>
                <w:color w:val="auto"/>
              </w:rPr>
            </w:pPr>
          </w:p>
        </w:tc>
        <w:tc>
          <w:tcPr>
            <w:tcW w:w="2440" w:type="dxa"/>
            <w:vAlign w:val="bottom"/>
            <w:gridSpan w:val="2"/>
          </w:tcPr>
          <w:p>
            <w:pPr>
              <w:jc w:val="right"/>
              <w:ind w:right="590"/>
              <w:spacing w:after="0" w:line="149" w:lineRule="exact"/>
              <w:rPr>
                <w:sz w:val="20"/>
                <w:szCs w:val="20"/>
                <w:color w:val="auto"/>
              </w:rPr>
            </w:pPr>
            <w:r>
              <w:rPr>
                <w:rFonts w:ascii="Arial" w:cs="Arial" w:eastAsia="Arial" w:hAnsi="Arial"/>
                <w:sz w:val="14"/>
                <w:szCs w:val="14"/>
                <w:color w:val="auto"/>
              </w:rPr>
              <w:t>Three Months Ended</w:t>
            </w:r>
          </w:p>
        </w:tc>
        <w:tc>
          <w:tcPr>
            <w:tcW w:w="1880" w:type="dxa"/>
            <w:vAlign w:val="bottom"/>
            <w:gridSpan w:val="2"/>
          </w:tcPr>
          <w:p>
            <w:pPr>
              <w:jc w:val="right"/>
              <w:ind w:right="370"/>
              <w:spacing w:after="0" w:line="149" w:lineRule="exact"/>
              <w:rPr>
                <w:sz w:val="20"/>
                <w:szCs w:val="20"/>
                <w:color w:val="auto"/>
              </w:rPr>
            </w:pPr>
            <w:r>
              <w:rPr>
                <w:rFonts w:ascii="Arial" w:cs="Arial" w:eastAsia="Arial" w:hAnsi="Arial"/>
                <w:sz w:val="14"/>
                <w:szCs w:val="14"/>
                <w:color w:val="auto"/>
              </w:rPr>
              <w:t>Six Months Ended</w:t>
            </w:r>
          </w:p>
        </w:tc>
      </w:tr>
      <w:tr>
        <w:trPr>
          <w:trHeight w:val="159"/>
        </w:trPr>
        <w:tc>
          <w:tcPr>
            <w:tcW w:w="6740" w:type="dxa"/>
            <w:vAlign w:val="bottom"/>
          </w:tcPr>
          <w:p>
            <w:pPr>
              <w:spacing w:after="0"/>
              <w:rPr>
                <w:sz w:val="13"/>
                <w:szCs w:val="13"/>
                <w:color w:val="auto"/>
              </w:rPr>
            </w:pPr>
          </w:p>
        </w:tc>
        <w:tc>
          <w:tcPr>
            <w:tcW w:w="1520" w:type="dxa"/>
            <w:vAlign w:val="bottom"/>
            <w:tcBorders>
              <w:bottom w:val="single" w:sz="8" w:color="auto"/>
            </w:tcBorders>
          </w:tcPr>
          <w:p>
            <w:pPr>
              <w:jc w:val="right"/>
              <w:ind w:right="30"/>
              <w:spacing w:after="0" w:line="159" w:lineRule="exact"/>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r>
      <w:tr>
        <w:trPr>
          <w:trHeight w:val="223"/>
        </w:trPr>
        <w:tc>
          <w:tcPr>
            <w:tcW w:w="6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color w:val="auto"/>
              </w:rPr>
              <w:t>2010</w:t>
            </w: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2010</w:t>
            </w:r>
          </w:p>
        </w:tc>
      </w:tr>
      <w:tr>
        <w:trPr>
          <w:trHeight w:val="142"/>
        </w:trPr>
        <w:tc>
          <w:tcPr>
            <w:tcW w:w="67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1520" w:type="dxa"/>
            <w:vAlign w:val="bottom"/>
            <w:shd w:val="clear" w:color="auto" w:fill="E5E5E5"/>
          </w:tcPr>
          <w:p>
            <w:pPr>
              <w:jc w:val="right"/>
              <w:ind w:right="430"/>
              <w:spacing w:after="0" w:line="142" w:lineRule="exact"/>
              <w:rPr>
                <w:sz w:val="20"/>
                <w:szCs w:val="20"/>
                <w:color w:val="auto"/>
              </w:rPr>
            </w:pPr>
            <w:r>
              <w:rPr>
                <w:rFonts w:ascii="Arial" w:cs="Arial" w:eastAsia="Arial" w:hAnsi="Arial"/>
                <w:sz w:val="14"/>
                <w:szCs w:val="14"/>
                <w:color w:val="auto"/>
              </w:rPr>
              <w:t>52.9%</w:t>
            </w:r>
          </w:p>
        </w:tc>
        <w:tc>
          <w:tcPr>
            <w:tcW w:w="920" w:type="dxa"/>
            <w:vAlign w:val="bottom"/>
            <w:shd w:val="clear" w:color="auto" w:fill="E5E5E5"/>
          </w:tcPr>
          <w:p>
            <w:pPr>
              <w:jc w:val="right"/>
              <w:ind w:right="210"/>
              <w:spacing w:after="0" w:line="142" w:lineRule="exact"/>
              <w:rPr>
                <w:sz w:val="20"/>
                <w:szCs w:val="20"/>
                <w:color w:val="auto"/>
              </w:rPr>
            </w:pPr>
            <w:r>
              <w:rPr>
                <w:rFonts w:ascii="Arial" w:cs="Arial" w:eastAsia="Arial" w:hAnsi="Arial"/>
                <w:sz w:val="14"/>
                <w:szCs w:val="14"/>
                <w:color w:val="auto"/>
              </w:rPr>
              <w:t>55.2%</w:t>
            </w:r>
          </w:p>
        </w:tc>
        <w:tc>
          <w:tcPr>
            <w:tcW w:w="1200" w:type="dxa"/>
            <w:vAlign w:val="bottom"/>
            <w:shd w:val="clear" w:color="auto" w:fill="E5E5E5"/>
          </w:tcPr>
          <w:p>
            <w:pPr>
              <w:jc w:val="right"/>
              <w:ind w:right="370"/>
              <w:spacing w:after="0" w:line="142" w:lineRule="exact"/>
              <w:rPr>
                <w:sz w:val="20"/>
                <w:szCs w:val="20"/>
                <w:color w:val="auto"/>
              </w:rPr>
            </w:pPr>
            <w:r>
              <w:rPr>
                <w:rFonts w:ascii="Arial" w:cs="Arial" w:eastAsia="Arial" w:hAnsi="Arial"/>
                <w:sz w:val="14"/>
                <w:szCs w:val="14"/>
                <w:color w:val="auto"/>
              </w:rPr>
              <w:t>53.4%</w:t>
            </w:r>
          </w:p>
        </w:tc>
        <w:tc>
          <w:tcPr>
            <w:tcW w:w="680" w:type="dxa"/>
            <w:vAlign w:val="bottom"/>
            <w:shd w:val="clear" w:color="auto" w:fill="E5E5E5"/>
          </w:tcPr>
          <w:p>
            <w:pPr>
              <w:jc w:val="right"/>
              <w:ind w:right="30"/>
              <w:spacing w:after="0" w:line="142" w:lineRule="exact"/>
              <w:rPr>
                <w:sz w:val="20"/>
                <w:szCs w:val="20"/>
                <w:color w:val="auto"/>
              </w:rPr>
            </w:pPr>
            <w:r>
              <w:rPr>
                <w:rFonts w:ascii="Arial" w:cs="Arial" w:eastAsia="Arial" w:hAnsi="Arial"/>
                <w:sz w:val="14"/>
                <w:szCs w:val="14"/>
                <w:color w:val="auto"/>
              </w:rPr>
              <w:t>55.6%</w:t>
            </w: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520" w:type="dxa"/>
            <w:vAlign w:val="bottom"/>
          </w:tcPr>
          <w:p>
            <w:pPr>
              <w:jc w:val="right"/>
              <w:ind w:right="430"/>
              <w:spacing w:after="0" w:line="149" w:lineRule="exact"/>
              <w:rPr>
                <w:sz w:val="20"/>
                <w:szCs w:val="20"/>
                <w:color w:val="auto"/>
              </w:rPr>
            </w:pPr>
            <w:r>
              <w:rPr>
                <w:rFonts w:ascii="Arial" w:cs="Arial" w:eastAsia="Arial" w:hAnsi="Arial"/>
                <w:sz w:val="14"/>
                <w:szCs w:val="14"/>
                <w:color w:val="auto"/>
              </w:rPr>
              <w:t>23.4%</w:t>
            </w:r>
          </w:p>
        </w:tc>
        <w:tc>
          <w:tcPr>
            <w:tcW w:w="92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22.4%</w:t>
            </w:r>
          </w:p>
        </w:tc>
        <w:tc>
          <w:tcPr>
            <w:tcW w:w="1200" w:type="dxa"/>
            <w:vAlign w:val="bottom"/>
          </w:tcPr>
          <w:p>
            <w:pPr>
              <w:jc w:val="right"/>
              <w:ind w:right="370"/>
              <w:spacing w:after="0" w:line="149" w:lineRule="exact"/>
              <w:rPr>
                <w:sz w:val="20"/>
                <w:szCs w:val="20"/>
                <w:color w:val="auto"/>
              </w:rPr>
            </w:pPr>
            <w:r>
              <w:rPr>
                <w:rFonts w:ascii="Arial" w:cs="Arial" w:eastAsia="Arial" w:hAnsi="Arial"/>
                <w:sz w:val="14"/>
                <w:szCs w:val="14"/>
                <w:color w:val="auto"/>
              </w:rPr>
              <w:t>23.3%</w:t>
            </w:r>
          </w:p>
        </w:tc>
        <w:tc>
          <w:tcPr>
            <w:tcW w:w="680" w:type="dxa"/>
            <w:vAlign w:val="bottom"/>
          </w:tcPr>
          <w:p>
            <w:pPr>
              <w:jc w:val="right"/>
              <w:ind w:right="30"/>
              <w:spacing w:after="0" w:line="149" w:lineRule="exact"/>
              <w:rPr>
                <w:sz w:val="20"/>
                <w:szCs w:val="20"/>
                <w:color w:val="auto"/>
              </w:rPr>
            </w:pPr>
            <w:r>
              <w:rPr>
                <w:rFonts w:ascii="Arial" w:cs="Arial" w:eastAsia="Arial" w:hAnsi="Arial"/>
                <w:sz w:val="14"/>
                <w:szCs w:val="14"/>
                <w:color w:val="auto"/>
              </w:rPr>
              <w:t>22.5%</w:t>
            </w:r>
          </w:p>
        </w:tc>
      </w:tr>
      <w:tr>
        <w:trPr>
          <w:trHeight w:val="149"/>
        </w:trPr>
        <w:tc>
          <w:tcPr>
            <w:tcW w:w="67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520" w:type="dxa"/>
            <w:vAlign w:val="bottom"/>
            <w:shd w:val="clear" w:color="auto" w:fill="E5E5E5"/>
          </w:tcPr>
          <w:p>
            <w:pPr>
              <w:jc w:val="right"/>
              <w:ind w:right="430"/>
              <w:spacing w:after="0" w:line="149" w:lineRule="exact"/>
              <w:rPr>
                <w:sz w:val="20"/>
                <w:szCs w:val="20"/>
                <w:color w:val="auto"/>
              </w:rPr>
            </w:pPr>
            <w:r>
              <w:rPr>
                <w:rFonts w:ascii="Arial" w:cs="Arial" w:eastAsia="Arial" w:hAnsi="Arial"/>
                <w:sz w:val="14"/>
                <w:szCs w:val="14"/>
                <w:color w:val="auto"/>
              </w:rPr>
              <w:t>9.4%</w:t>
            </w:r>
          </w:p>
        </w:tc>
        <w:tc>
          <w:tcPr>
            <w:tcW w:w="920" w:type="dxa"/>
            <w:vAlign w:val="bottom"/>
            <w:shd w:val="clear" w:color="auto" w:fill="E5E5E5"/>
          </w:tcPr>
          <w:p>
            <w:pPr>
              <w:jc w:val="right"/>
              <w:ind w:right="210"/>
              <w:spacing w:after="0" w:line="149" w:lineRule="exact"/>
              <w:rPr>
                <w:sz w:val="20"/>
                <w:szCs w:val="20"/>
                <w:color w:val="auto"/>
              </w:rPr>
            </w:pPr>
            <w:r>
              <w:rPr>
                <w:rFonts w:ascii="Arial" w:cs="Arial" w:eastAsia="Arial" w:hAnsi="Arial"/>
                <w:sz w:val="14"/>
                <w:szCs w:val="14"/>
                <w:color w:val="auto"/>
              </w:rPr>
              <w:t>9.3%</w:t>
            </w:r>
          </w:p>
        </w:tc>
        <w:tc>
          <w:tcPr>
            <w:tcW w:w="1200" w:type="dxa"/>
            <w:vAlign w:val="bottom"/>
            <w:shd w:val="clear" w:color="auto" w:fill="E5E5E5"/>
          </w:tcPr>
          <w:p>
            <w:pPr>
              <w:jc w:val="right"/>
              <w:ind w:right="370"/>
              <w:spacing w:after="0" w:line="149" w:lineRule="exact"/>
              <w:rPr>
                <w:sz w:val="20"/>
                <w:szCs w:val="20"/>
                <w:color w:val="auto"/>
              </w:rPr>
            </w:pPr>
            <w:r>
              <w:rPr>
                <w:rFonts w:ascii="Arial" w:cs="Arial" w:eastAsia="Arial" w:hAnsi="Arial"/>
                <w:sz w:val="14"/>
                <w:szCs w:val="14"/>
                <w:color w:val="auto"/>
              </w:rPr>
              <w:t>9.4%</w:t>
            </w:r>
          </w:p>
        </w:tc>
        <w:tc>
          <w:tcPr>
            <w:tcW w:w="680" w:type="dxa"/>
            <w:vAlign w:val="bottom"/>
            <w:shd w:val="clear" w:color="auto" w:fill="E5E5E5"/>
          </w:tcPr>
          <w:p>
            <w:pPr>
              <w:jc w:val="right"/>
              <w:ind w:right="30"/>
              <w:spacing w:after="0" w:line="149" w:lineRule="exact"/>
              <w:rPr>
                <w:sz w:val="20"/>
                <w:szCs w:val="20"/>
                <w:color w:val="auto"/>
              </w:rPr>
            </w:pPr>
            <w:r>
              <w:rPr>
                <w:rFonts w:ascii="Arial" w:cs="Arial" w:eastAsia="Arial" w:hAnsi="Arial"/>
                <w:sz w:val="14"/>
                <w:szCs w:val="14"/>
                <w:color w:val="auto"/>
              </w:rPr>
              <w:t>9.3%</w:t>
            </w: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520" w:type="dxa"/>
            <w:vAlign w:val="bottom"/>
          </w:tcPr>
          <w:p>
            <w:pPr>
              <w:jc w:val="right"/>
              <w:ind w:right="430"/>
              <w:spacing w:after="0" w:line="149" w:lineRule="exact"/>
              <w:rPr>
                <w:sz w:val="20"/>
                <w:szCs w:val="20"/>
                <w:color w:val="auto"/>
              </w:rPr>
            </w:pPr>
            <w:r>
              <w:rPr>
                <w:rFonts w:ascii="Arial" w:cs="Arial" w:eastAsia="Arial" w:hAnsi="Arial"/>
                <w:sz w:val="14"/>
                <w:szCs w:val="14"/>
                <w:color w:val="auto"/>
              </w:rPr>
              <w:t>5.5%</w:t>
            </w:r>
          </w:p>
        </w:tc>
        <w:tc>
          <w:tcPr>
            <w:tcW w:w="920" w:type="dxa"/>
            <w:vAlign w:val="bottom"/>
          </w:tcPr>
          <w:p>
            <w:pPr>
              <w:jc w:val="right"/>
              <w:ind w:right="210"/>
              <w:spacing w:after="0" w:line="149" w:lineRule="exact"/>
              <w:rPr>
                <w:sz w:val="20"/>
                <w:szCs w:val="20"/>
                <w:color w:val="auto"/>
              </w:rPr>
            </w:pPr>
            <w:r>
              <w:rPr>
                <w:rFonts w:ascii="Arial" w:cs="Arial" w:eastAsia="Arial" w:hAnsi="Arial"/>
                <w:sz w:val="14"/>
                <w:szCs w:val="14"/>
                <w:color w:val="auto"/>
              </w:rPr>
              <w:t>5.6%</w:t>
            </w:r>
          </w:p>
        </w:tc>
        <w:tc>
          <w:tcPr>
            <w:tcW w:w="1200" w:type="dxa"/>
            <w:vAlign w:val="bottom"/>
          </w:tcPr>
          <w:p>
            <w:pPr>
              <w:jc w:val="right"/>
              <w:ind w:right="370"/>
              <w:spacing w:after="0" w:line="149" w:lineRule="exact"/>
              <w:rPr>
                <w:sz w:val="20"/>
                <w:szCs w:val="20"/>
                <w:color w:val="auto"/>
              </w:rPr>
            </w:pPr>
            <w:r>
              <w:rPr>
                <w:rFonts w:ascii="Arial" w:cs="Arial" w:eastAsia="Arial" w:hAnsi="Arial"/>
                <w:sz w:val="14"/>
                <w:szCs w:val="14"/>
                <w:color w:val="auto"/>
              </w:rPr>
              <w:t>5.2%</w:t>
            </w:r>
          </w:p>
        </w:tc>
        <w:tc>
          <w:tcPr>
            <w:tcW w:w="680" w:type="dxa"/>
            <w:vAlign w:val="bottom"/>
          </w:tcPr>
          <w:p>
            <w:pPr>
              <w:jc w:val="right"/>
              <w:ind w:right="30"/>
              <w:spacing w:after="0" w:line="149" w:lineRule="exact"/>
              <w:rPr>
                <w:sz w:val="20"/>
                <w:szCs w:val="20"/>
                <w:color w:val="auto"/>
              </w:rPr>
            </w:pPr>
            <w:r>
              <w:rPr>
                <w:rFonts w:ascii="Arial" w:cs="Arial" w:eastAsia="Arial" w:hAnsi="Arial"/>
                <w:sz w:val="14"/>
                <w:szCs w:val="14"/>
                <w:color w:val="auto"/>
              </w:rPr>
              <w:t>5.2%</w:t>
            </w:r>
          </w:p>
        </w:tc>
      </w:tr>
      <w:tr>
        <w:trPr>
          <w:trHeight w:val="149"/>
        </w:trPr>
        <w:tc>
          <w:tcPr>
            <w:tcW w:w="67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520" w:type="dxa"/>
            <w:vAlign w:val="bottom"/>
            <w:shd w:val="clear" w:color="auto" w:fill="E5E5E5"/>
          </w:tcPr>
          <w:p>
            <w:pPr>
              <w:jc w:val="right"/>
              <w:ind w:right="430"/>
              <w:spacing w:after="0" w:line="149" w:lineRule="exact"/>
              <w:rPr>
                <w:sz w:val="20"/>
                <w:szCs w:val="20"/>
                <w:color w:val="auto"/>
              </w:rPr>
            </w:pPr>
            <w:r>
              <w:rPr>
                <w:rFonts w:ascii="Arial" w:cs="Arial" w:eastAsia="Arial" w:hAnsi="Arial"/>
                <w:sz w:val="14"/>
                <w:szCs w:val="14"/>
                <w:color w:val="auto"/>
              </w:rPr>
              <w:t>4.6%</w:t>
            </w:r>
          </w:p>
        </w:tc>
        <w:tc>
          <w:tcPr>
            <w:tcW w:w="920" w:type="dxa"/>
            <w:vAlign w:val="bottom"/>
            <w:shd w:val="clear" w:color="auto" w:fill="E5E5E5"/>
          </w:tcPr>
          <w:p>
            <w:pPr>
              <w:jc w:val="right"/>
              <w:ind w:right="210"/>
              <w:spacing w:after="0" w:line="149" w:lineRule="exact"/>
              <w:rPr>
                <w:sz w:val="20"/>
                <w:szCs w:val="20"/>
                <w:color w:val="auto"/>
              </w:rPr>
            </w:pPr>
            <w:r>
              <w:rPr>
                <w:rFonts w:ascii="Arial" w:cs="Arial" w:eastAsia="Arial" w:hAnsi="Arial"/>
                <w:sz w:val="14"/>
                <w:szCs w:val="14"/>
                <w:color w:val="auto"/>
              </w:rPr>
              <w:t>3.5%</w:t>
            </w:r>
          </w:p>
        </w:tc>
        <w:tc>
          <w:tcPr>
            <w:tcW w:w="1200" w:type="dxa"/>
            <w:vAlign w:val="bottom"/>
            <w:shd w:val="clear" w:color="auto" w:fill="E5E5E5"/>
          </w:tcPr>
          <w:p>
            <w:pPr>
              <w:jc w:val="right"/>
              <w:ind w:right="370"/>
              <w:spacing w:after="0" w:line="149" w:lineRule="exact"/>
              <w:rPr>
                <w:sz w:val="20"/>
                <w:szCs w:val="20"/>
                <w:color w:val="auto"/>
              </w:rPr>
            </w:pPr>
            <w:r>
              <w:rPr>
                <w:rFonts w:ascii="Arial" w:cs="Arial" w:eastAsia="Arial" w:hAnsi="Arial"/>
                <w:sz w:val="14"/>
                <w:szCs w:val="14"/>
                <w:color w:val="auto"/>
              </w:rPr>
              <w:t>4.5%</w:t>
            </w:r>
          </w:p>
        </w:tc>
        <w:tc>
          <w:tcPr>
            <w:tcW w:w="680" w:type="dxa"/>
            <w:vAlign w:val="bottom"/>
            <w:shd w:val="clear" w:color="auto" w:fill="E5E5E5"/>
          </w:tcPr>
          <w:p>
            <w:pPr>
              <w:jc w:val="right"/>
              <w:ind w:right="30"/>
              <w:spacing w:after="0" w:line="149" w:lineRule="exact"/>
              <w:rPr>
                <w:sz w:val="20"/>
                <w:szCs w:val="20"/>
                <w:color w:val="auto"/>
              </w:rPr>
            </w:pPr>
            <w:r>
              <w:rPr>
                <w:rFonts w:ascii="Arial" w:cs="Arial" w:eastAsia="Arial" w:hAnsi="Arial"/>
                <w:sz w:val="14"/>
                <w:szCs w:val="14"/>
                <w:color w:val="auto"/>
              </w:rPr>
              <w:t>3.3%</w:t>
            </w:r>
          </w:p>
        </w:tc>
      </w:tr>
      <w:tr>
        <w:trPr>
          <w:trHeight w:val="149"/>
        </w:trPr>
        <w:tc>
          <w:tcPr>
            <w:tcW w:w="67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1520" w:type="dxa"/>
            <w:vAlign w:val="bottom"/>
            <w:tcBorders>
              <w:bottom w:val="single" w:sz="8" w:color="auto"/>
            </w:tcBorders>
          </w:tcPr>
          <w:p>
            <w:pPr>
              <w:jc w:val="right"/>
              <w:ind w:right="430"/>
              <w:spacing w:after="0" w:line="149" w:lineRule="exact"/>
              <w:rPr>
                <w:sz w:val="20"/>
                <w:szCs w:val="20"/>
                <w:color w:val="auto"/>
              </w:rPr>
            </w:pPr>
            <w:r>
              <w:rPr>
                <w:rFonts w:ascii="Arial" w:cs="Arial" w:eastAsia="Arial" w:hAnsi="Arial"/>
                <w:sz w:val="14"/>
                <w:szCs w:val="14"/>
                <w:color w:val="auto"/>
              </w:rPr>
              <w:t>4.2%</w:t>
            </w:r>
          </w:p>
        </w:tc>
        <w:tc>
          <w:tcPr>
            <w:tcW w:w="920" w:type="dxa"/>
            <w:vAlign w:val="bottom"/>
            <w:tcBorders>
              <w:bottom w:val="single" w:sz="8" w:color="auto"/>
            </w:tcBorders>
          </w:tcPr>
          <w:p>
            <w:pPr>
              <w:jc w:val="right"/>
              <w:ind w:right="210"/>
              <w:spacing w:after="0" w:line="149" w:lineRule="exact"/>
              <w:rPr>
                <w:sz w:val="20"/>
                <w:szCs w:val="20"/>
                <w:color w:val="auto"/>
              </w:rPr>
            </w:pPr>
            <w:r>
              <w:rPr>
                <w:rFonts w:ascii="Arial" w:cs="Arial" w:eastAsia="Arial" w:hAnsi="Arial"/>
                <w:sz w:val="14"/>
                <w:szCs w:val="14"/>
                <w:color w:val="auto"/>
              </w:rPr>
              <w:t>4.0%</w:t>
            </w:r>
          </w:p>
        </w:tc>
        <w:tc>
          <w:tcPr>
            <w:tcW w:w="1200" w:type="dxa"/>
            <w:vAlign w:val="bottom"/>
            <w:tcBorders>
              <w:bottom w:val="single" w:sz="8" w:color="auto"/>
            </w:tcBorders>
          </w:tcPr>
          <w:p>
            <w:pPr>
              <w:jc w:val="right"/>
              <w:ind w:right="370"/>
              <w:spacing w:after="0" w:line="149" w:lineRule="exact"/>
              <w:rPr>
                <w:sz w:val="20"/>
                <w:szCs w:val="20"/>
                <w:color w:val="auto"/>
              </w:rPr>
            </w:pPr>
            <w:r>
              <w:rPr>
                <w:rFonts w:ascii="Arial" w:cs="Arial" w:eastAsia="Arial" w:hAnsi="Arial"/>
                <w:sz w:val="14"/>
                <w:szCs w:val="14"/>
                <w:color w:val="auto"/>
              </w:rPr>
              <w:t>4.2%</w:t>
            </w:r>
          </w:p>
        </w:tc>
        <w:tc>
          <w:tcPr>
            <w:tcW w:w="680" w:type="dxa"/>
            <w:vAlign w:val="bottom"/>
            <w:tcBorders>
              <w:bottom w:val="single" w:sz="8" w:color="auto"/>
            </w:tcBorders>
          </w:tcPr>
          <w:p>
            <w:pPr>
              <w:jc w:val="right"/>
              <w:ind w:right="30"/>
              <w:spacing w:after="0" w:line="149" w:lineRule="exact"/>
              <w:rPr>
                <w:sz w:val="20"/>
                <w:szCs w:val="20"/>
                <w:color w:val="auto"/>
              </w:rPr>
            </w:pPr>
            <w:r>
              <w:rPr>
                <w:rFonts w:ascii="Arial" w:cs="Arial" w:eastAsia="Arial" w:hAnsi="Arial"/>
                <w:sz w:val="14"/>
                <w:szCs w:val="14"/>
                <w:color w:val="auto"/>
              </w:rPr>
              <w:t>4.1%</w:t>
            </w:r>
          </w:p>
        </w:tc>
      </w:tr>
      <w:tr>
        <w:trPr>
          <w:trHeight w:val="217"/>
        </w:trPr>
        <w:tc>
          <w:tcPr>
            <w:tcW w:w="6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E5E5E5"/>
          </w:tcPr>
          <w:p>
            <w:pPr>
              <w:jc w:val="right"/>
              <w:ind w:right="390"/>
              <w:spacing w:after="0"/>
              <w:rPr>
                <w:sz w:val="20"/>
                <w:szCs w:val="20"/>
                <w:color w:val="auto"/>
              </w:rPr>
            </w:pPr>
            <w:r>
              <w:rPr>
                <w:rFonts w:ascii="Arial" w:cs="Arial" w:eastAsia="Arial" w:hAnsi="Arial"/>
                <w:sz w:val="18"/>
                <w:szCs w:val="18"/>
                <w:color w:val="auto"/>
              </w:rPr>
              <w:t>100.0%</w:t>
            </w:r>
          </w:p>
        </w:tc>
        <w:tc>
          <w:tcPr>
            <w:tcW w:w="920" w:type="dxa"/>
            <w:vAlign w:val="bottom"/>
            <w:tcBorders>
              <w:bottom w:val="single" w:sz="8" w:color="auto"/>
            </w:tcBorders>
            <w:shd w:val="clear" w:color="auto" w:fill="E5E5E5"/>
          </w:tcPr>
          <w:p>
            <w:pPr>
              <w:jc w:val="right"/>
              <w:ind w:right="19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auto"/>
            </w:tcBorders>
            <w:shd w:val="clear" w:color="auto" w:fill="E5E5E5"/>
          </w:tcPr>
          <w:p>
            <w:pPr>
              <w:jc w:val="right"/>
              <w:ind w:right="350"/>
              <w:spacing w:after="0"/>
              <w:rPr>
                <w:sz w:val="20"/>
                <w:szCs w:val="20"/>
                <w:color w:val="auto"/>
              </w:rPr>
            </w:pPr>
            <w:r>
              <w:rPr>
                <w:rFonts w:ascii="Arial" w:cs="Arial" w:eastAsia="Arial" w:hAnsi="Arial"/>
                <w:sz w:val="18"/>
                <w:szCs w:val="18"/>
                <w:color w:val="auto"/>
              </w:rPr>
              <w:t>100.0%</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8"/>
              </w:rPr>
              <w:t>100.0%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and six months ended June 30, 2011 and 2010, approximately 2.8% of Cable Communications revenue was derived from franchise and other regulatory fees.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Cable Networks segment consists primarily of the historical NBCUniversal national cable networks, international entertainment and news and information networks, our cable television production operations and certain digital media properties, and the Comcast Content Business.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Broadcast Television segment consists primarily of the NBC Network and its owned NBC affiliated local television stations, the Telemundo Network and its owned Telemundo affiliated local television stations, our television production operations, and related digital media properties.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Filmed Entertainment segment represents the operations of Universal Pictures, which produces, acquires, markets and distributes filmed entertainment and stage plays worldwide in various media formats for theatrical, home entertainment, television and other distribution platforms.</w:t>
      </w:r>
    </w:p>
    <w:p>
      <w:pPr>
        <w:spacing w:after="0" w:line="43" w:lineRule="exact"/>
        <w:rPr>
          <w:rFonts w:ascii="Arial" w:cs="Arial" w:eastAsia="Arial" w:hAnsi="Arial"/>
          <w:sz w:val="14"/>
          <w:szCs w:val="14"/>
          <w:color w:val="auto"/>
        </w:rPr>
      </w:pPr>
    </w:p>
    <w:p>
      <w:pPr>
        <w:ind w:left="34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Theme Parks segment consists primarily of Universal Studios Hollywood theme park, Wet ‘n Wild water park, and fees for intellectual property licenses and other services from third parties that own and operate Universal Studios Japan and Universal Studios Singapore, as well as our 50% equity interest in UCDP and related fees. See Note 18 for additional information on UCDP.</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and allocations, employee benefits, and other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and Other activities include Comcast Spectacor, corporate activities and all other businesses not presented in our reportable segments.</w:t>
      </w:r>
    </w:p>
    <w:p>
      <w:pPr>
        <w:spacing w:after="0" w:line="55"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Non-U.S. revenue, primarily in Europe and Asia, for the three and six months ended June 30, 2011 was approximately $1.1 billion and $1.7 billion, respectively. Non-U.S. revenue was not significant for the three and six months ended June 30, 2010. No single customer accounted for a significant amount of our revenue in any period.</w:t>
      </w:r>
    </w:p>
    <w:p>
      <w:pPr>
        <w:spacing w:after="0" w:line="43" w:lineRule="exact"/>
        <w:rPr>
          <w:rFonts w:ascii="Arial" w:cs="Arial" w:eastAsia="Arial" w:hAnsi="Arial"/>
          <w:sz w:val="14"/>
          <w:szCs w:val="14"/>
          <w:color w:val="auto"/>
        </w:rPr>
      </w:pPr>
    </w:p>
    <w:p>
      <w:pPr>
        <w:jc w:val="both"/>
        <w:ind w:left="340" w:hanging="332"/>
        <w:spacing w:after="0" w:line="265"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to measure the profit or loss of our operating segments.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except in our Theme Parks segment, where we also include the equity in income (loss) of investees in measuring operating income (loss) before depreciation and amortization. This amount is not included when we measure total NBCUniversal and our consolidated operating income (loss) before depreciation and amortization.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Subsequent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City Development Partners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1, 2011, NBCUniversal completed the acquisition of the remaining 50% equity interest in UCDP that it did not already own for $1.025 billion, subject to various purchase price adjustments. As a result, UCDP became a wholly owned consolidated subsidiary of NBCUniversal. For the three months ended March 31, 2011 and the year ended December 31, 2010, UCDP had revenue of $309 million and $1.1 billion, respectively. As of March 31, 2011, UCDP had total assets of $2.1 billion and long-term debt of $1.4 billion. NBCUniversal funded this acquisition with cash on hand, borrowings under the NBCUniversal revolving credit facility and a $250 million one-year intercompany note due to us, which is eliminated in our consolidated financial statements. Additional borrowings under the NBCUniversal revolving credit facility, along with cash on hand at UCDP, were used to refinance and terminate UCDP’s existing term loan immediately following the acquisition. Following these transactions, NBCUniversal had $750 million outstanding under its revolving credit facility and UCDP had long-term debt, before the application of acquisition accounting, of approximately $650 million, which primarily consists of senior notes and senior subordinated notes.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 2011, UCDP completed its redemption of $140 million aggregate principal amount of its 8.875% senior notes due 2015 and $79 million aggregate principal amount of its 10.875% senior subordinated notes due 2016. Following the redemption, $260 million principal amount of UCDP’s senior notes and $146 million of UCDP’s senior subordinated notes remain outstanding.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Allocation and Unaudited Pro Forma Information</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Because we now control UCDP, we will apply acquisition accounting and its results of operations will be included in our consolidated results of operations following the acquisition date. Due to the limited time since the acquisition date, the initial accounting for the business transaction is incomplete at this time. As a result, we are unable to provide amounts recognized as of the acquisition date for major classes of assets and liabilities acquired and resulting from the transaction. Also, because the initial accounting for the transaction is incomplete, we are unable to provide the supplemental pro forma revenue and earnings of the combined entity. We will include this information in our Quarterly Report on Form 10-Q for the three and nine months ended September 30, 2011.</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100%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Comcast Corporation provides an unconditional subordinated guarantee of the $185 million principal amount currently outstanding of Comcast Holdings’ ZONES due October 2029 and the $202 million principal amount currently outstanding of Comcast Holdings’ 10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subordinated debentures due 2012. Comcast Corporation does not guarantee the $62 million principal amount currently outstanding of Comcast Holdings’ ZONES due November 2029.</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NBCUniversal transaction on January 28, 2011, our investments in NBCUniversal Holdings are held by the Comcast Corporation Parent (“Comcast Parent”) and Comcast Holdings. Certain entities of the Comcast Content Business were subsidiaries of Comcast Holdings. Since these entities were contributed to NBCUniversal Holdings, they are included with the Comcast Parent’s investment in NBCUniversal Holdings. However, the operations of these businesses are presented in the nonguarantor subsidiaries column. Our condensed consolidating financial information is presented in the tables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4"/>
              </w:rPr>
              <w:t>CCCL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color w:val="auto"/>
                <w:w w:val="87"/>
              </w:rPr>
              <w:t>Parent</w:t>
            </w: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w w:val="87"/>
              </w:rPr>
              <w:t>Parent</w:t>
            </w:r>
          </w:p>
        </w:tc>
        <w:tc>
          <w:tcPr>
            <w:tcW w:w="2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w w:val="78"/>
              </w:rPr>
              <w:t>Parents</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color w:val="auto"/>
              </w:rPr>
              <w:t>Holdings</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1,997</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1,997</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4,156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4,156</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955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955</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1,039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1,242</w:t>
            </w: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8,147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8,350</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5,106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5,106</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10,829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10,829</w:t>
            </w:r>
          </w:p>
        </w:tc>
      </w:tr>
      <w:tr>
        <w:trPr>
          <w:trHeight w:val="208"/>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w w:val="91"/>
              </w:rPr>
              <w:t>Investments in and amounts due from subsidiaries eliminated upon</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consolidation</w:t>
            </w: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71,363</w:t>
            </w:r>
          </w:p>
        </w:tc>
        <w:tc>
          <w:tcPr>
            <w:tcW w:w="1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7"/>
              </w:rPr>
              <w:t>86,478</w:t>
            </w:r>
          </w:p>
        </w:tc>
        <w:tc>
          <w:tcPr>
            <w:tcW w:w="2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44,048</w:t>
            </w:r>
          </w:p>
        </w:tc>
        <w:tc>
          <w:tcPr>
            <w:tcW w:w="24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85,295</w:t>
            </w:r>
          </w:p>
        </w:tc>
        <w:tc>
          <w:tcPr>
            <w:tcW w:w="2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12,928</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(300,112)</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24,351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24,619</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59,442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59,442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26,919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26,919</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17,382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17,391</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1,095</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1,643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2,126</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7"/>
              </w:rPr>
              <w:t>72,935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w w:val="87"/>
              </w:rPr>
              <w:t>86,525</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44,055</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3"/>
              </w:rPr>
              <w:t>85,443</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166,747</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(300,923)</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154,782</w:t>
            </w:r>
          </w:p>
        </w:tc>
      </w:tr>
      <w:tr>
        <w:trPr>
          <w:trHeight w:val="3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88"/>
              </w:rPr>
              <w:t>Accounts payable and accrued expenses related to trade creditors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13</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4,825</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4,838</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1,235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1,235</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3,616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5,274</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750</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561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9,715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12,697</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w w:val="87"/>
              </w:rPr>
              <w:t>22,797</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3,964</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1,770</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9,371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38,209</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29,428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29,477</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1,708</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10,420</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11,985</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15,509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15,509</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32</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7"/>
              </w:rPr>
              <w:t>46,611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7"/>
              </w:rPr>
              <w:t>82,273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41,650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84,147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92,042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(300,112)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46,611</w:t>
            </w: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46,643</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7"/>
              </w:rPr>
              <w:t>82,273</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41,650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84,147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92,042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(300,112)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46,643</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262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w:t>
            </w:r>
          </w:p>
        </w:tc>
      </w:tr>
      <w:tr>
        <w:trPr>
          <w:trHeight w:val="210"/>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7"/>
              </w:rPr>
              <w:t>46,643</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7"/>
              </w:rPr>
              <w:t>82,273</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41,650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84,147</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92,304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(300,112)</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46,905</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87"/>
              </w:rPr>
              <w:t>72,935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7"/>
              </w:rPr>
              <w:t>86,525</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44,055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85,443</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166,747</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(300,923)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154,782</w:t>
            </w:r>
          </w:p>
        </w:tc>
      </w:tr>
      <w:tr>
        <w:trPr>
          <w:trHeight w:val="36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4"/>
              </w:rPr>
              <w:t>CCCL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color w:val="auto"/>
                <w:w w:val="87"/>
              </w:rPr>
              <w:t>Parent</w:t>
            </w: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w w:val="87"/>
              </w:rPr>
              <w:t>Parent</w:t>
            </w:r>
          </w:p>
        </w:tc>
        <w:tc>
          <w:tcPr>
            <w:tcW w:w="2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w w:val="78"/>
              </w:rPr>
              <w:t>Parents</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color w:val="auto"/>
              </w:rPr>
              <w:t>Holdings</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5,984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5,984</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1,855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1,855</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763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925</w:t>
            </w: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8,724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8,886</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6,670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6,670</w:t>
            </w:r>
          </w:p>
        </w:tc>
      </w:tr>
      <w:tr>
        <w:trPr>
          <w:trHeight w:val="208"/>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w w:val="91"/>
              </w:rPr>
              <w:t>Investments in and amounts due from subsidiaries eliminated upon</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consolidation</w:t>
            </w: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68,987</w:t>
            </w:r>
          </w:p>
        </w:tc>
        <w:tc>
          <w:tcPr>
            <w:tcW w:w="1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7"/>
              </w:rPr>
              <w:t>90,076</w:t>
            </w:r>
          </w:p>
        </w:tc>
        <w:tc>
          <w:tcPr>
            <w:tcW w:w="2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52,652</w:t>
            </w:r>
          </w:p>
        </w:tc>
        <w:tc>
          <w:tcPr>
            <w:tcW w:w="24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72,629</w:t>
            </w:r>
          </w:p>
        </w:tc>
        <w:tc>
          <w:tcPr>
            <w:tcW w:w="2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12,339</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23,237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23,515</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59,442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59,442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14,958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14,958</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3,421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3,431</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670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1,172</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7"/>
              </w:rPr>
              <w:t>70,565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w w:val="87"/>
              </w:rPr>
              <w:t>90,121</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52,652</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3"/>
              </w:rPr>
              <w:t>72,777</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129,921</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(297,502)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118,534</w:t>
            </w:r>
          </w:p>
        </w:tc>
      </w:tr>
      <w:tr>
        <w:trPr>
          <w:trHeight w:val="3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88"/>
              </w:rPr>
              <w:t>Accounts payable and accrued expenses related to trade creditors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3,282</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3,291</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1,578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3,143</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1,800</w:t>
            </w: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4,905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8,234</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22,754</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3,963</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29,615</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28,218</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28,246</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6,347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7,862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7"/>
              </w:rPr>
              <w:t>44,322</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7"/>
              </w:rPr>
              <w:t>84,968</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50,239</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71,497</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89,979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44,322</w:t>
            </w: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w w:val="87"/>
              </w:rPr>
              <w:t>44,354</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84,968</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50,239</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71,497</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89,979</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44,354</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w:t>
            </w:r>
          </w:p>
        </w:tc>
      </w:tr>
      <w:tr>
        <w:trPr>
          <w:trHeight w:val="210"/>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7"/>
              </w:rPr>
              <w:t>44,354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7"/>
              </w:rPr>
              <w:t>84,968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50,239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71,497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90,059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44,434</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7"/>
              </w:rPr>
              <w:t>70,565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w w:val="87"/>
              </w:rPr>
              <w:t>90,121</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52,652</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3"/>
              </w:rPr>
              <w:t>72,777</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129,921</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(297,502)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118,534</w:t>
            </w:r>
          </w:p>
        </w:tc>
      </w:tr>
      <w:tr>
        <w:trPr>
          <w:trHeight w:val="36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700" w:type="dxa"/>
            <w:vAlign w:val="bottom"/>
          </w:tcPr>
          <w:p>
            <w:pPr>
              <w:spacing w:after="0"/>
              <w:rPr>
                <w:sz w:val="12"/>
                <w:szCs w:val="12"/>
                <w:color w:val="auto"/>
              </w:rPr>
            </w:pPr>
          </w:p>
        </w:tc>
        <w:tc>
          <w:tcPr>
            <w:tcW w:w="13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Comcast</w:t>
            </w: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7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Parent</w:t>
            </w:r>
          </w:p>
        </w:tc>
        <w:tc>
          <w:tcPr>
            <w:tcW w:w="8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Holdings</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14,333</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14,333</w:t>
            </w:r>
          </w:p>
        </w:tc>
      </w:tr>
      <w:tr>
        <w:trPr>
          <w:trHeight w:val="216"/>
        </w:trPr>
        <w:tc>
          <w:tcPr>
            <w:tcW w:w="47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7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14,333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14,333</w:t>
            </w:r>
          </w:p>
        </w:tc>
      </w:tr>
      <w:tr>
        <w:trPr>
          <w:trHeight w:val="210"/>
        </w:trPr>
        <w:tc>
          <w:tcPr>
            <w:tcW w:w="4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7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9,643</w:t>
            </w:r>
          </w:p>
        </w:tc>
        <w:tc>
          <w:tcPr>
            <w:tcW w:w="3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9,532</w:t>
            </w:r>
          </w:p>
        </w:tc>
      </w:tr>
      <w:tr>
        <w:trPr>
          <w:trHeight w:val="216"/>
        </w:trPr>
        <w:tc>
          <w:tcPr>
            <w:tcW w:w="47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1,471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1,478</w:t>
            </w:r>
          </w:p>
        </w:tc>
      </w:tr>
      <w:tr>
        <w:trPr>
          <w:trHeight w:val="216"/>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384</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385</w:t>
            </w:r>
          </w:p>
        </w:tc>
      </w:tr>
      <w:tr>
        <w:trPr>
          <w:trHeight w:val="210"/>
        </w:trPr>
        <w:tc>
          <w:tcPr>
            <w:tcW w:w="47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11,498</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11,395</w:t>
            </w: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7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2,835</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2,938</w:t>
            </w:r>
          </w:p>
        </w:tc>
      </w:tr>
      <w:tr>
        <w:trPr>
          <w:trHeight w:val="216"/>
        </w:trPr>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47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7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61</w:t>
            </w: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7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1,186</w:t>
            </w:r>
          </w:p>
        </w:tc>
        <w:tc>
          <w:tcPr>
            <w:tcW w:w="2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88"/>
              </w:rPr>
              <w:t>1,336</w:t>
            </w:r>
          </w:p>
        </w:tc>
        <w:tc>
          <w:tcPr>
            <w:tcW w:w="32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1,424</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(4,751)</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16"/>
        </w:trPr>
        <w:tc>
          <w:tcPr>
            <w:tcW w:w="47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7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4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831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8"/>
              </w:rPr>
              <w:t>1,254</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1,417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(4,751)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10"/>
        </w:trPr>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8"/>
              </w:rPr>
              <w:t>1,254</w:t>
            </w:r>
          </w:p>
        </w:tc>
        <w:tc>
          <w:tcPr>
            <w:tcW w:w="3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1,417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2,765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(4,751)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2,381</w:t>
            </w: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(1,147)</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r>
      <w:tr>
        <w:trPr>
          <w:trHeight w:val="210"/>
        </w:trPr>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from consolidated operations</w:t>
            </w:r>
          </w:p>
        </w:tc>
        <w:tc>
          <w:tcPr>
            <w:tcW w:w="7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1,022</w:t>
            </w:r>
          </w:p>
        </w:tc>
        <w:tc>
          <w:tcPr>
            <w:tcW w:w="2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8"/>
              </w:rPr>
              <w:t>1,282</w:t>
            </w:r>
          </w:p>
        </w:tc>
        <w:tc>
          <w:tcPr>
            <w:tcW w:w="3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1,419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1,618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(4,751)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1,367</w:t>
            </w: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17"/>
        </w:trPr>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(loss) attributable to Comcast Corporation</w:t>
            </w:r>
          </w:p>
        </w:tc>
        <w:tc>
          <w:tcPr>
            <w:tcW w:w="720" w:type="dxa"/>
            <w:vAlign w:val="bottom"/>
            <w:tcBorders>
              <w:bottom w:val="single" w:sz="8" w:color="auto"/>
            </w:tcBorders>
            <w:shd w:val="clear" w:color="auto" w:fill="E5E5E5"/>
          </w:tcPr>
          <w:p>
            <w:pPr>
              <w:ind w:left="6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1,022</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w w:val="88"/>
              </w:rPr>
              <w:t>1,282</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777</w:t>
            </w:r>
          </w:p>
        </w:tc>
        <w:tc>
          <w:tcPr>
            <w:tcW w:w="20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8"/>
              </w:rPr>
              <w:t>1,419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1,273</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(4,751)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1,022</w:t>
            </w:r>
          </w:p>
        </w:tc>
      </w:tr>
      <w:tr>
        <w:trPr>
          <w:trHeight w:val="363"/>
        </w:trPr>
        <w:tc>
          <w:tcPr>
            <w:tcW w:w="4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440" w:type="dxa"/>
            <w:vAlign w:val="bottom"/>
          </w:tcPr>
          <w:p>
            <w:pPr>
              <w:spacing w:after="0"/>
              <w:rPr>
                <w:sz w:val="12"/>
                <w:szCs w:val="12"/>
                <w:color w:val="auto"/>
              </w:rPr>
            </w:pPr>
          </w:p>
        </w:tc>
        <w:tc>
          <w:tcPr>
            <w:tcW w:w="10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9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Holdings</w:t>
            </w: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cente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9,525</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9,525</w:t>
            </w:r>
          </w:p>
        </w:tc>
      </w:tr>
      <w:tr>
        <w:trPr>
          <w:trHeight w:val="216"/>
        </w:trPr>
        <w:tc>
          <w:tcPr>
            <w:tcW w:w="44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120</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(434)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120</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9,525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(434)</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9,525</w:t>
            </w:r>
          </w:p>
        </w:tc>
      </w:tr>
      <w:tr>
        <w:trPr>
          <w:trHeight w:val="210"/>
        </w:trPr>
        <w:tc>
          <w:tcPr>
            <w:tcW w:w="4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5,856</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5,788</w:t>
            </w:r>
          </w:p>
        </w:tc>
      </w:tr>
      <w:tr>
        <w:trPr>
          <w:trHeight w:val="216"/>
        </w:trPr>
        <w:tc>
          <w:tcPr>
            <w:tcW w:w="44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1,404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1,411</w:t>
            </w:r>
          </w:p>
        </w:tc>
      </w:tr>
      <w:tr>
        <w:trPr>
          <w:trHeight w:val="216"/>
        </w:trPr>
        <w:tc>
          <w:tcPr>
            <w:tcW w:w="4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248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248</w:t>
            </w:r>
          </w:p>
        </w:tc>
      </w:tr>
      <w:tr>
        <w:trPr>
          <w:trHeight w:val="210"/>
        </w:trPr>
        <w:tc>
          <w:tcPr>
            <w:tcW w:w="44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120</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7,508</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(434)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7,447</w:t>
            </w:r>
          </w:p>
        </w:tc>
      </w:tr>
      <w:tr>
        <w:trPr>
          <w:trHeight w:val="210"/>
        </w:trPr>
        <w:tc>
          <w:tcPr>
            <w:tcW w:w="44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2,078</w:t>
            </w:r>
          </w:p>
        </w:tc>
      </w:tr>
      <w:tr>
        <w:trPr>
          <w:trHeight w:val="216"/>
        </w:trPr>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44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46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1,089</w:t>
            </w:r>
          </w:p>
        </w:tc>
        <w:tc>
          <w:tcPr>
            <w:tcW w:w="30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1,114</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748</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1,147</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(4,098)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4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4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698</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1,014</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1,139</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(4,098)</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10"/>
        </w:trPr>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774</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1,014</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705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1,124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1,955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(4,098)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1,474</w:t>
            </w:r>
          </w:p>
        </w:tc>
      </w:tr>
      <w:tr>
        <w:trPr>
          <w:trHeight w:val="216"/>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(756)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10"/>
        </w:trPr>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from consolidated operations</w:t>
            </w:r>
          </w:p>
        </w:tc>
        <w:tc>
          <w:tcPr>
            <w:tcW w:w="4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884</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1,049</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1,132</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1,199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(4,098)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886</w:t>
            </w:r>
          </w:p>
        </w:tc>
      </w:tr>
      <w:tr>
        <w:trPr>
          <w:trHeight w:val="216"/>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4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Net income (loss) attributable to Comcast Corporation</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884</w:t>
            </w:r>
          </w:p>
        </w:tc>
        <w:tc>
          <w:tcPr>
            <w:tcW w:w="300" w:type="dxa"/>
            <w:vAlign w:val="bottom"/>
            <w:tcBorders>
              <w:bottom w:val="single" w:sz="8" w:color="auto"/>
            </w:tcBorders>
            <w:shd w:val="clear" w:color="auto" w:fill="E5E5E5"/>
          </w:tcPr>
          <w:p>
            <w:pPr>
              <w:jc w:val="center"/>
              <w:ind w:left="10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1,049</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720</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1,132</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1,197</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(4,098)</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884</w:t>
            </w:r>
          </w:p>
        </w:tc>
      </w:tr>
      <w:tr>
        <w:trPr>
          <w:trHeight w:val="363"/>
        </w:trPr>
        <w:tc>
          <w:tcPr>
            <w:tcW w:w="4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2"/>
          </w:tcPr>
          <w:p>
            <w:pPr>
              <w:jc w:val="center"/>
              <w:ind w:right="352"/>
              <w:spacing w:after="0"/>
              <w:rPr>
                <w:sz w:val="20"/>
                <w:szCs w:val="20"/>
                <w:color w:val="auto"/>
              </w:rPr>
            </w:pPr>
            <w:r>
              <w:rPr>
                <w:rFonts w:ascii="Arial" w:cs="Arial" w:eastAsia="Arial" w:hAnsi="Arial"/>
                <w:sz w:val="18"/>
                <w:szCs w:val="18"/>
                <w:color w:val="auto"/>
                <w:w w:val="99"/>
              </w:rPr>
              <w:t>33</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6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26,461</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26,461</w:t>
            </w:r>
          </w:p>
        </w:tc>
      </w:tr>
      <w:tr>
        <w:trPr>
          <w:trHeight w:val="216"/>
        </w:trPr>
        <w:tc>
          <w:tcPr>
            <w:tcW w:w="4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380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26,461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26,461</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17,750</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17,594</w:t>
            </w:r>
          </w:p>
        </w:tc>
      </w:tr>
      <w:tr>
        <w:trPr>
          <w:trHeight w:val="216"/>
        </w:trPr>
        <w:tc>
          <w:tcPr>
            <w:tcW w:w="46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2,950</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2,964</w:t>
            </w:r>
          </w:p>
        </w:tc>
      </w:tr>
      <w:tr>
        <w:trPr>
          <w:trHeight w:val="216"/>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739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741</w:t>
            </w:r>
          </w:p>
        </w:tc>
      </w:tr>
      <w:tr>
        <w:trPr>
          <w:trHeight w:val="210"/>
        </w:trPr>
        <w:tc>
          <w:tcPr>
            <w:tcW w:w="4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380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0"/>
              </w:rPr>
              <w:t>21,439</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21,299</w:t>
            </w: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5,022</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5,162</w:t>
            </w:r>
          </w:p>
        </w:tc>
      </w:tr>
      <w:tr>
        <w:trPr>
          <w:trHeight w:val="216"/>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16"/>
        </w:trPr>
        <w:tc>
          <w:tcPr>
            <w:tcW w:w="46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150</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2,347</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2,659</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1,599</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2,716</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(9,321)</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4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1,615</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2,486</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1,513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2,706</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(9,321)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1,760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2,486</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1,513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2,701</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4,877</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(9,321)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4,016</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(1,910)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from consolidated operations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1,965</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2,546</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1,543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2,706</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2,967</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(9,321)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2,406</w:t>
            </w:r>
          </w:p>
        </w:tc>
      </w:tr>
      <w:tr>
        <w:trPr>
          <w:trHeight w:val="208"/>
        </w:trPr>
        <w:tc>
          <w:tcPr>
            <w:tcW w:w="466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noncontrolling interests</w:t>
            </w: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(441)</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19"/>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680" w:type="dxa"/>
            <w:vAlign w:val="bottom"/>
            <w:tcBorders>
              <w:bottom w:val="single" w:sz="8" w:color="auto"/>
            </w:tcBorders>
            <w:shd w:val="clear" w:color="auto" w:fill="E5E5E5"/>
          </w:tcPr>
          <w:p>
            <w:pPr>
              <w:ind w:left="5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1,965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2,546</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1,543</w:t>
            </w: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8"/>
              </w:rPr>
              <w:t>2,706</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2,526</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(9,321)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1,965</w:t>
            </w:r>
          </w:p>
        </w:tc>
      </w:tr>
      <w:tr>
        <w:trPr>
          <w:trHeight w:val="363"/>
        </w:trPr>
        <w:tc>
          <w:tcPr>
            <w:tcW w:w="4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6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18,727</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18,727</w:t>
            </w:r>
          </w:p>
        </w:tc>
      </w:tr>
      <w:tr>
        <w:trPr>
          <w:trHeight w:val="216"/>
        </w:trPr>
        <w:tc>
          <w:tcPr>
            <w:tcW w:w="4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18,727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18,727</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11,563</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11,425</w:t>
            </w:r>
          </w:p>
        </w:tc>
      </w:tr>
      <w:tr>
        <w:trPr>
          <w:trHeight w:val="216"/>
        </w:trPr>
        <w:tc>
          <w:tcPr>
            <w:tcW w:w="46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2,776</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2,790</w:t>
            </w:r>
          </w:p>
        </w:tc>
      </w:tr>
      <w:tr>
        <w:trPr>
          <w:trHeight w:val="216"/>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499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499</w:t>
            </w:r>
          </w:p>
        </w:tc>
      </w:tr>
      <w:tr>
        <w:trPr>
          <w:trHeight w:val="210"/>
        </w:trPr>
        <w:tc>
          <w:tcPr>
            <w:tcW w:w="4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0"/>
              </w:rPr>
              <w:t>14,838</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(977)</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14,714</w:t>
            </w:r>
          </w:p>
        </w:tc>
      </w:tr>
      <w:tr>
        <w:trPr>
          <w:trHeight w:val="210"/>
        </w:trPr>
        <w:tc>
          <w:tcPr>
            <w:tcW w:w="46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3,889</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4,013</w:t>
            </w:r>
          </w:p>
        </w:tc>
      </w:tr>
      <w:tr>
        <w:trPr>
          <w:trHeight w:val="216"/>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16"/>
        </w:trPr>
        <w:tc>
          <w:tcPr>
            <w:tcW w:w="46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96</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101</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2,130</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2,284</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1,430</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2,302</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4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1,393</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2,082</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1,344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2,287</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1,546</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2,082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1,344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2,258</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3,860</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2,944</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(1,498)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from consolidated operations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1,750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2,152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1,374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2,273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2,362</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(8,146)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1,765</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680" w:type="dxa"/>
            <w:vAlign w:val="bottom"/>
            <w:tcBorders>
              <w:bottom w:val="single" w:sz="8" w:color="auto"/>
            </w:tcBorders>
            <w:shd w:val="clear" w:color="auto" w:fill="E5E5E5"/>
          </w:tcPr>
          <w:p>
            <w:pPr>
              <w:ind w:left="5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1,750</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2,152</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1,374</w:t>
            </w: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8"/>
              </w:rPr>
              <w:t>2,273</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2,347</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(8,146)</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1,750</w:t>
            </w:r>
          </w:p>
        </w:tc>
      </w:tr>
      <w:tr>
        <w:trPr>
          <w:trHeight w:val="363"/>
        </w:trPr>
        <w:tc>
          <w:tcPr>
            <w:tcW w:w="4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38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080" w:type="dxa"/>
            <w:vAlign w:val="bottom"/>
          </w:tcPr>
          <w:p>
            <w:pPr>
              <w:spacing w:after="0"/>
              <w:rPr>
                <w:sz w:val="12"/>
                <w:szCs w:val="12"/>
                <w:color w:val="auto"/>
              </w:rPr>
            </w:pPr>
          </w:p>
        </w:tc>
        <w:tc>
          <w:tcPr>
            <w:tcW w:w="112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700" w:type="dxa"/>
            <w:vAlign w:val="bottom"/>
          </w:tcPr>
          <w:p>
            <w:pPr>
              <w:jc w:val="right"/>
              <w:ind w:right="274"/>
              <w:spacing w:after="0" w:line="149" w:lineRule="exact"/>
              <w:rPr>
                <w:sz w:val="20"/>
                <w:szCs w:val="20"/>
                <w:color w:val="auto"/>
              </w:rPr>
            </w:pPr>
            <w:r>
              <w:rPr>
                <w:rFonts w:ascii="Arial" w:cs="Arial" w:eastAsia="Arial" w:hAnsi="Arial"/>
                <w:sz w:val="14"/>
                <w:szCs w:val="14"/>
                <w:color w:val="auto"/>
                <w:w w:val="83"/>
              </w:rPr>
              <w:t>CCCL</w:t>
            </w:r>
          </w:p>
        </w:tc>
        <w:tc>
          <w:tcPr>
            <w:tcW w:w="10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10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59"/>
        </w:trPr>
        <w:tc>
          <w:tcPr>
            <w:tcW w:w="4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3"/>
              <w:spacing w:after="0" w:line="159" w:lineRule="exact"/>
              <w:rPr>
                <w:sz w:val="20"/>
                <w:szCs w:val="20"/>
                <w:color w:val="auto"/>
              </w:rPr>
            </w:pPr>
            <w:r>
              <w:rPr>
                <w:rFonts w:ascii="Arial" w:cs="Arial" w:eastAsia="Arial" w:hAnsi="Arial"/>
                <w:sz w:val="14"/>
                <w:szCs w:val="14"/>
                <w:color w:val="auto"/>
                <w:w w:val="82"/>
              </w:rPr>
              <w:t>Parent</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4"/>
              <w:spacing w:after="0" w:line="159" w:lineRule="exact"/>
              <w:rPr>
                <w:sz w:val="20"/>
                <w:szCs w:val="20"/>
                <w:color w:val="auto"/>
              </w:rPr>
            </w:pPr>
            <w:r>
              <w:rPr>
                <w:rFonts w:ascii="Arial" w:cs="Arial" w:eastAsia="Arial" w:hAnsi="Arial"/>
                <w:sz w:val="14"/>
                <w:szCs w:val="14"/>
                <w:color w:val="auto"/>
                <w:w w:val="77"/>
              </w:rPr>
              <w:t>Parent</w:t>
            </w:r>
          </w:p>
        </w:tc>
        <w:tc>
          <w:tcPr>
            <w:tcW w:w="1000" w:type="dxa"/>
            <w:vAlign w:val="bottom"/>
            <w:tcBorders>
              <w:bottom w:val="single" w:sz="8" w:color="auto"/>
            </w:tcBorders>
            <w:gridSpan w:val="2"/>
          </w:tcPr>
          <w:p>
            <w:pPr>
              <w:jc w:val="right"/>
              <w:ind w:right="252"/>
              <w:spacing w:after="0" w:line="159" w:lineRule="exact"/>
              <w:rPr>
                <w:sz w:val="20"/>
                <w:szCs w:val="20"/>
                <w:color w:val="auto"/>
              </w:rPr>
            </w:pPr>
            <w:r>
              <w:rPr>
                <w:rFonts w:ascii="Arial" w:cs="Arial" w:eastAsia="Arial" w:hAnsi="Arial"/>
                <w:sz w:val="14"/>
                <w:szCs w:val="14"/>
                <w:color w:val="auto"/>
              </w:rPr>
              <w:t>Parents</w:t>
            </w:r>
          </w:p>
        </w:tc>
        <w:tc>
          <w:tcPr>
            <w:tcW w:w="920" w:type="dxa"/>
            <w:vAlign w:val="bottom"/>
            <w:tcBorders>
              <w:bottom w:val="single" w:sz="8" w:color="auto"/>
            </w:tcBorders>
            <w:gridSpan w:val="2"/>
          </w:tcPr>
          <w:p>
            <w:pPr>
              <w:ind w:left="180"/>
              <w:spacing w:after="0" w:line="159" w:lineRule="exact"/>
              <w:rPr>
                <w:sz w:val="20"/>
                <w:szCs w:val="20"/>
                <w:color w:val="auto"/>
              </w:rPr>
            </w:pPr>
            <w:r>
              <w:rPr>
                <w:rFonts w:ascii="Arial" w:cs="Arial" w:eastAsia="Arial" w:hAnsi="Arial"/>
                <w:sz w:val="14"/>
                <w:szCs w:val="14"/>
                <w:color w:val="auto"/>
              </w:rPr>
              <w:t>Holdings</w:t>
            </w:r>
          </w:p>
        </w:tc>
        <w:tc>
          <w:tcPr>
            <w:tcW w:w="1100" w:type="dxa"/>
            <w:vAlign w:val="bottom"/>
            <w:tcBorders>
              <w:bottom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Subsidiaries</w:t>
            </w:r>
          </w:p>
        </w:tc>
        <w:tc>
          <w:tcPr>
            <w:tcW w:w="11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8"/>
              </w:rPr>
              <w:t>Adjustments</w:t>
            </w:r>
          </w:p>
        </w:tc>
        <w:tc>
          <w:tcPr>
            <w:tcW w:w="1040" w:type="dxa"/>
            <w:vAlign w:val="bottom"/>
            <w:tcBorders>
              <w:bottom w:val="single" w:sz="8" w:color="auto"/>
            </w:tcBorders>
            <w:gridSpan w:val="2"/>
          </w:tcPr>
          <w:p>
            <w:pPr>
              <w:jc w:val="right"/>
              <w:ind w:right="53"/>
              <w:spacing w:after="0" w:line="159" w:lineRule="exact"/>
              <w:rPr>
                <w:sz w:val="20"/>
                <w:szCs w:val="20"/>
                <w:color w:val="auto"/>
              </w:rPr>
            </w:pPr>
            <w:r>
              <w:rPr>
                <w:rFonts w:ascii="Arial" w:cs="Arial" w:eastAsia="Arial" w:hAnsi="Arial"/>
                <w:sz w:val="14"/>
                <w:szCs w:val="14"/>
                <w:color w:val="auto"/>
              </w:rPr>
              <w:t>Corporation</w:t>
            </w:r>
          </w:p>
        </w:tc>
      </w:tr>
      <w:tr>
        <w:trPr>
          <w:trHeight w:val="210"/>
        </w:trPr>
        <w:tc>
          <w:tcPr>
            <w:tcW w:w="40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96"/>
              </w:rPr>
              <w:t>Net cash provided by (used in) operating activities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(291)</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7,329</w:t>
            </w:r>
          </w:p>
        </w:tc>
        <w:tc>
          <w:tcPr>
            <w:tcW w:w="38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6,956</w:t>
            </w: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0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Net transactions with affiliates</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1,640</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7"/>
              </w:rPr>
              <w:t>1,004</w:t>
            </w: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66</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(2,742)</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(2,374)</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16"/>
        </w:trPr>
        <w:tc>
          <w:tcPr>
            <w:tcW w:w="40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Cash paid for intangible assets</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(296)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Acquisitions, net of cash acquired</w:t>
            </w:r>
          </w:p>
        </w:tc>
        <w:tc>
          <w:tcPr>
            <w:tcW w:w="4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(5,660)</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(5,660)</w:t>
            </w:r>
          </w:p>
        </w:tc>
      </w:tr>
      <w:tr>
        <w:trPr>
          <w:trHeight w:val="216"/>
        </w:trPr>
        <w:tc>
          <w:tcPr>
            <w:tcW w:w="40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Proceeds from sales of investments</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116</w:t>
            </w: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Purchase of investments</w:t>
            </w:r>
          </w:p>
        </w:tc>
        <w:tc>
          <w:tcPr>
            <w:tcW w:w="4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0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7"/>
              </w:rPr>
              <w:t>Net cash provided by (used in) investing activities</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7"/>
              </w:rPr>
              <w:t>1,587</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7"/>
              </w:rPr>
              <w:t>1,004</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(10,975)</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w:t>
            </w: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4080" w:type="dxa"/>
            <w:vAlign w:val="bottom"/>
          </w:tcPr>
          <w:p>
            <w:pPr>
              <w:ind w:left="220"/>
              <w:spacing w:after="0"/>
              <w:rPr>
                <w:sz w:val="20"/>
                <w:szCs w:val="20"/>
                <w:color w:val="auto"/>
              </w:rPr>
            </w:pPr>
            <w:r>
              <w:rPr>
                <w:rFonts w:ascii="Arial" w:cs="Arial" w:eastAsia="Arial" w:hAnsi="Arial"/>
                <w:sz w:val="18"/>
                <w:szCs w:val="18"/>
                <w:color w:val="auto"/>
              </w:rPr>
              <w:t>Proceeds from (repayments of)</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4080" w:type="dxa"/>
            <w:vAlign w:val="bottom"/>
          </w:tcPr>
          <w:p>
            <w:pPr>
              <w:ind w:left="440"/>
              <w:spacing w:after="0"/>
              <w:rPr>
                <w:sz w:val="20"/>
                <w:szCs w:val="20"/>
                <w:color w:val="auto"/>
              </w:rPr>
            </w:pPr>
            <w:r>
              <w:rPr>
                <w:rFonts w:ascii="Arial" w:cs="Arial" w:eastAsia="Arial" w:hAnsi="Arial"/>
                <w:sz w:val="18"/>
                <w:szCs w:val="18"/>
                <w:color w:val="auto"/>
              </w:rPr>
              <w:t>short-term borrowings, net</w:t>
            </w:r>
          </w:p>
        </w:tc>
        <w:tc>
          <w:tcPr>
            <w:tcW w:w="42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741</w:t>
            </w:r>
          </w:p>
        </w:tc>
      </w:tr>
      <w:tr>
        <w:trPr>
          <w:trHeight w:val="217"/>
        </w:trPr>
        <w:tc>
          <w:tcPr>
            <w:tcW w:w="40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Repurchases and repayments of debt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4"/>
              </w:rPr>
              <w:t>(1,000)</w:t>
            </w: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(1,764)</w:t>
            </w: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Repurchases and retirements of common stock</w:t>
            </w:r>
          </w:p>
        </w:tc>
        <w:tc>
          <w:tcPr>
            <w:tcW w:w="42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(1,050)</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40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(572)</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Distributions (to) from noncontrolling interests</w:t>
            </w:r>
          </w:p>
        </w:tc>
        <w:tc>
          <w:tcPr>
            <w:tcW w:w="42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(252)</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0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252</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(69)</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163</w:t>
            </w:r>
          </w:p>
        </w:tc>
      </w:tr>
      <w:tr>
        <w:trPr>
          <w:trHeight w:val="210"/>
        </w:trPr>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7"/>
              </w:rPr>
              <w:t>Net cash provided by (used in) financing activities</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7"/>
              </w:rPr>
              <w:t>(1,296)</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4"/>
              </w:rPr>
              <w:t>(1,000)</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(341)</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(3,987)</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(3,987)</w:t>
            </w: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5,984</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5,984</w:t>
            </w:r>
          </w:p>
        </w:tc>
      </w:tr>
      <w:tr>
        <w:trPr>
          <w:trHeight w:val="217"/>
        </w:trPr>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1,997</w:t>
            </w:r>
          </w:p>
        </w:tc>
        <w:tc>
          <w:tcPr>
            <w:tcW w:w="38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1,997</w:t>
            </w:r>
          </w:p>
        </w:tc>
      </w:tr>
      <w:tr>
        <w:trPr>
          <w:trHeight w:val="363"/>
        </w:trPr>
        <w:tc>
          <w:tcPr>
            <w:tcW w:w="4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94"/>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4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4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Comcast</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2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w w:val="82"/>
              </w:rPr>
              <w:t>Parent</w:t>
            </w: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7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(1,153)</w:t>
            </w:r>
          </w:p>
        </w:tc>
        <w:tc>
          <w:tcPr>
            <w:tcW w:w="380" w:type="dxa"/>
            <w:vAlign w:val="bottom"/>
            <w:tcBorders>
              <w:top w:val="single" w:sz="8" w:color="auto"/>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5"/>
              </w:rPr>
              <w:t>(204)</w:t>
            </w:r>
          </w:p>
        </w:tc>
        <w:tc>
          <w:tcPr>
            <w:tcW w:w="30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6,739</w:t>
            </w:r>
          </w:p>
        </w:tc>
        <w:tc>
          <w:tcPr>
            <w:tcW w:w="34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5,332</w:t>
            </w: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545</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(16)</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66</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98"/>
              </w:rPr>
              <w:t>(2,062)</w:t>
            </w:r>
          </w:p>
        </w:tc>
        <w:tc>
          <w:tcPr>
            <w:tcW w:w="34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78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78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544</w:t>
            </w: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(16)</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(3,366)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10"/>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78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2,394</w:t>
            </w:r>
          </w:p>
        </w:tc>
        <w:tc>
          <w:tcPr>
            <w:tcW w:w="3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2,421</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(13)</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(25)</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(638)</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42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(535)</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78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609</w:t>
            </w: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580</w:t>
            </w:r>
          </w:p>
        </w:tc>
      </w:tr>
      <w:tr>
        <w:trPr>
          <w:trHeight w:val="210"/>
        </w:trPr>
        <w:tc>
          <w:tcPr>
            <w:tcW w:w="20" w:type="dxa"/>
            <w:vAlign w:val="bottom"/>
          </w:tcPr>
          <w:p>
            <w:pPr>
              <w:spacing w:after="0"/>
              <w:rPr>
                <w:sz w:val="18"/>
                <w:szCs w:val="18"/>
                <w:color w:val="auto"/>
              </w:rPr>
            </w:pPr>
          </w:p>
        </w:tc>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3,357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3,357</w:t>
            </w:r>
          </w:p>
        </w:tc>
      </w:tr>
      <w:tr>
        <w:trPr>
          <w:trHeight w:val="216"/>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671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r>
      <w:tr>
        <w:trPr>
          <w:trHeight w:val="217"/>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4,028</w:t>
            </w:r>
          </w:p>
        </w:tc>
        <w:tc>
          <w:tcPr>
            <w:tcW w:w="34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4,028</w:t>
            </w: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leading provider of entertainment, information and communications products and services. On January 28, 2011, we closed our transaction with General Electric Company (“GE”) in which we acquired control of the businesses of NBCUniversal, Inc. (now named NBCUniversal Media, LLC (“NBCUniversal”)). As a result of the NBCUniversal transaction, we now present five reportable segments: Cable Communications (previously our Cable segment), Cable Networks, Broadcast Television, Filmed Entertainment and Theme Parks. The operations of our national programming networks (previously presented in our Programming segment), our regional sports and news networks (previously presented in our Cable segment) and our contributed Comcast Interactive Media businesses (previously presented in Corporate and Other) are presented within the Cable Networks segment. The Cable Networks, Broadcast Television, Filmed Entertainment and Theme Parks segments comprise the NBCUniversal businesses and are referred to as the “NBCUniversal segments.” The businesses of Comcast Interactive Media that were not contributed to NBCUniversal are included in our Cable Communications segment. Additional information about the transaction is discussed below under the heading “NBCUniversal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Communications segment is one of the nation’s leading providers of video, high-speed Internet and phone services (“cable services”) to residential and business customers. As of June 30, 2011, our cable systems served approximately 22.5 million video customers, 17.5 million high-speed Internet customers and 9.1 million phone customers and passed more than 52 million homes and businesses in 39 states and the District of Columbia. We report the results of our cable system operations as our Cable Communications segment, which represented approximately 70% of our consolidated revenue and 86% of our operating income before depreciation and amortization during the six months ended June 30, 2011.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 Our Cable Networks segment consists primarily of our national cable networks, our regional sports and news networks, our international entertainment and news and information networks, our cable television production operations, and certain digital media properties, which consist primarily of brand-aligned and other websites.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the NBC Network and its owned NBC affiliated local television stations, the Telemundo Network and its owned Telemundo affiliated local television stations, our broadcast television production operations, and related digital media properties, which consist primarily of brand-aligned websites.</w:t>
      </w:r>
    </w:p>
    <w:p>
      <w:pPr>
        <w:spacing w:after="0" w:line="46"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Theme Parks segment consists primarily of the Universal Studios Hollywood theme park, the Wet ‘n Wild water park, and fees from intellectual property licenses and other services from third parties that own and operate Universal Studios Japan and Universal Studios Singapore. Through June 30, 2011, we held a 50% equity interest in, and received special and other fees from, Universal City Development Partners (“UCDP”), which owns Universal Studios Florida and Universal’s Islands of Adventure in Orlando, Florida. The income from this equity investment and other related properties (“Orlando Parks”) is included in operating income (loss) before depreciation and amortization for the Theme Parks segment. On July 1, 2011, NBCUniversal completed the acquisition of the remaining 50% equity interest in UCDP that it did not already own for $1.025 billion, subject to various purchase price adjustments. As a result, UCDP became a wholly owned consolidated subsidiary of NBCUniversal and the operating results of UCDP will be consolidated with our results following the acquisition.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March 31, 2011 and the year ended December 31, 2010, UCDP had revenue of $309 million and $1.1 billion, respectively. As of March 31, 2011, UCDP had total assets of $2.1 billion and long-term debt of $1.4 billion. NBCUniversal funded this acquisition with cash on hand, borrowings under the NBCUniversal revolving credit facility and a $250 million one-year intercompany note due to us, which is eliminated in our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six months ended June 30, 2011:</w:t>
      </w:r>
    </w:p>
    <w:p>
      <w:pPr>
        <w:spacing w:after="0" w:line="77" w:lineRule="exact"/>
        <w:rPr>
          <w:sz w:val="20"/>
          <w:szCs w:val="20"/>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closing of the NBCUniversal transaction on January 28, 2011; see “NBCUniversal Transaction” below for additional information</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consolidated revenue of 41.3% to $26.5 billion and an increase in consolidated operating income of 28.6% to $5.2 billion</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5.7% to $18.4 billion and an increase in Cable Communications segment operating income before depreciation and amortization of 7.2% to $7.6 billion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 of 561,000 high-speed Internet customers and 453,000 phone customers; and a decrease of 277,000 video customers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Cable Communications business services revenue of 45.5% to $829 million</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resulting from the acquired NBCUniversal businesses to revenue of $6.3 billion and to operating income before depreciation and amortization of $1 billion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Cable Communications segment capital expenditures of 10.0% to $2.2 billion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repurchase of approximately 46 million shares of our Class A Special common stock under our share repurchase authorization for approximately $1.1 billion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of $572 million in dividends</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acceptance by the International Olympic Committee of our bid of $4.38 billion in the aggregate for the U.S. broadcast rights for the 2014 Sochi Olympic Games, 2016 Rio de Janeiro Olympic Games, 2018 Pyeongchang Olympic Games and 2020 Summer Olympic Games</w:t>
      </w:r>
    </w:p>
    <w:p>
      <w:pPr>
        <w:spacing w:after="0" w:line="45"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agreement entered into by NBCUniversal to purchase the remaining 50% interest in UCDP, which closed on July 1,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existing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related assets. We contributed our national cable programming networks, our regional sports and news networks, certain of our Internet businesses, including DailyCandy and Fandango, and other related assets (the “Comcast Content Business”). In addition to contributing the Comcast Content Business, we made a cash payment to GE of $6.2 billion, which included various transaction-related costs. We expect to receive tax benefits related to the transaction and have agreed to share with GE certain of these future tax benefits as they are realized.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 connection with the NBCUniversal transaction, NBCUniversal issued $9.1 billion of senior debt securities with maturities ranging from 2014 to 2041 and repaid approximately $1.7 billion of existing debt during 2010. Prior to the closing, NBCUniversal made a cash distribution of approximately $7.4 billion to GE.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incurred significant transaction costs directly related to the NBCUniversal transaction. The incremental expenses related to legal, accounting and valuation services, and investment banking fees are reflected in operating costs and expenses. We also incurred certain financing costs and other shared costs with GE associated with NBCUniversal debt facilities that were entered into in December 2009 and with the issuance of NBCUniversal’s senior notes in 2010, which are included in other income (expense), net and interest expense.</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during the three and six months ended June 30, 2011, NBCUniversal incurred transaction-related costs associated with severance and other related compensation charges, which are included in operating costs and expenses.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amounts related to these expenses included in our consolidated statement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3"/>
          </w:tcPr>
          <w:p>
            <w:pPr>
              <w:jc w:val="right"/>
              <w:ind w:right="575"/>
              <w:spacing w:after="0"/>
              <w:rPr>
                <w:sz w:val="20"/>
                <w:szCs w:val="20"/>
                <w:color w:val="auto"/>
              </w:rPr>
            </w:pPr>
            <w:r>
              <w:rPr>
                <w:rFonts w:ascii="Arial" w:cs="Arial" w:eastAsia="Arial" w:hAnsi="Arial"/>
                <w:sz w:val="14"/>
                <w:szCs w:val="14"/>
                <w:color w:val="auto"/>
                <w:w w:val="99"/>
              </w:rPr>
              <w:t>Three Months Ended</w:t>
            </w:r>
          </w:p>
        </w:tc>
        <w:tc>
          <w:tcPr>
            <w:tcW w:w="440" w:type="dxa"/>
            <w:vAlign w:val="bottom"/>
          </w:tcPr>
          <w:p>
            <w:pPr>
              <w:spacing w:after="0"/>
              <w:rPr>
                <w:sz w:val="14"/>
                <w:szCs w:val="14"/>
                <w:color w:val="auto"/>
              </w:rPr>
            </w:pPr>
          </w:p>
        </w:tc>
        <w:tc>
          <w:tcPr>
            <w:tcW w:w="1740" w:type="dxa"/>
            <w:vAlign w:val="bottom"/>
            <w:gridSpan w:val="3"/>
          </w:tcPr>
          <w:p>
            <w:pPr>
              <w:jc w:val="right"/>
              <w:ind w:right="37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92"/>
              </w:rPr>
              <w:t>June 30</w:t>
            </w: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92"/>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jc w:val="right"/>
              <w:ind w:right="117"/>
              <w:spacing w:after="0" w:line="142" w:lineRule="exact"/>
              <w:rPr>
                <w:sz w:val="20"/>
                <w:szCs w:val="20"/>
                <w:color w:val="auto"/>
              </w:rPr>
            </w:pPr>
            <w:r>
              <w:rPr>
                <w:rFonts w:ascii="Arial" w:cs="Arial" w:eastAsia="Arial" w:hAnsi="Arial"/>
                <w:sz w:val="14"/>
                <w:szCs w:val="14"/>
                <w:color w:val="auto"/>
                <w:w w:val="83"/>
              </w:rPr>
              <w:t>2011</w:t>
            </w:r>
          </w:p>
        </w:tc>
        <w:tc>
          <w:tcPr>
            <w:tcW w:w="720" w:type="dxa"/>
            <w:vAlign w:val="bottom"/>
          </w:tcPr>
          <w:p>
            <w:pPr>
              <w:spacing w:after="0"/>
              <w:rPr>
                <w:sz w:val="12"/>
                <w:szCs w:val="12"/>
                <w:color w:val="auto"/>
              </w:rPr>
            </w:pPr>
          </w:p>
        </w:tc>
        <w:tc>
          <w:tcPr>
            <w:tcW w:w="780" w:type="dxa"/>
            <w:vAlign w:val="bottom"/>
          </w:tcPr>
          <w:p>
            <w:pPr>
              <w:jc w:val="right"/>
              <w:ind w:right="395"/>
              <w:spacing w:after="0" w:line="142" w:lineRule="exact"/>
              <w:rPr>
                <w:sz w:val="20"/>
                <w:szCs w:val="20"/>
                <w:color w:val="auto"/>
              </w:rPr>
            </w:pPr>
            <w:r>
              <w:rPr>
                <w:rFonts w:ascii="Arial" w:cs="Arial" w:eastAsia="Arial" w:hAnsi="Arial"/>
                <w:sz w:val="14"/>
                <w:szCs w:val="14"/>
                <w:color w:val="auto"/>
                <w:w w:val="89"/>
              </w:rPr>
              <w:t>2010</w:t>
            </w:r>
          </w:p>
        </w:tc>
        <w:tc>
          <w:tcPr>
            <w:tcW w:w="440" w:type="dxa"/>
            <w:vAlign w:val="bottom"/>
          </w:tcPr>
          <w:p>
            <w:pPr>
              <w:spacing w:after="0"/>
              <w:rPr>
                <w:sz w:val="12"/>
                <w:szCs w:val="12"/>
                <w:color w:val="auto"/>
              </w:rPr>
            </w:pPr>
          </w:p>
        </w:tc>
        <w:tc>
          <w:tcPr>
            <w:tcW w:w="500" w:type="dxa"/>
            <w:vAlign w:val="bottom"/>
          </w:tcPr>
          <w:p>
            <w:pPr>
              <w:jc w:val="right"/>
              <w:ind w:right="117"/>
              <w:spacing w:after="0" w:line="142" w:lineRule="exact"/>
              <w:rPr>
                <w:sz w:val="20"/>
                <w:szCs w:val="20"/>
                <w:color w:val="auto"/>
              </w:rPr>
            </w:pPr>
            <w:r>
              <w:rPr>
                <w:rFonts w:ascii="Arial" w:cs="Arial" w:eastAsia="Arial" w:hAnsi="Arial"/>
                <w:sz w:val="14"/>
                <w:szCs w:val="14"/>
                <w:color w:val="auto"/>
                <w:w w:val="89"/>
              </w:rPr>
              <w:t>2011</w:t>
            </w:r>
          </w:p>
        </w:tc>
        <w:tc>
          <w:tcPr>
            <w:tcW w:w="72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Transaction costs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22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Transaction-related costs</w:t>
            </w:r>
          </w:p>
        </w:tc>
        <w:tc>
          <w:tcPr>
            <w:tcW w:w="6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7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72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35</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7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b w:val="1"/>
                <w:bCs w:val="1"/>
                <w:color w:val="auto"/>
              </w:rPr>
              <w:t>59</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129</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now control NBCUniversal Holdings, we have applied acquisition accounting to the NBCUniversal contributed businesses and their results of operations are included in our consolidated results of operations following the acquisition date. The net assets of the NBCUniversal contributed businesses were recorded at their estimated fair value.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 The acquisition adjustments have a significant impact on depreciation and amortization expense and also impact film and television costs, which are included in operating costs and expenses. The estimated values are not finalized and are subject to change, and the changes could be significant. We will finalize the amounts recognized as soon as possible as we obtain the information necessary to complete the analysis, but no later than one year from the acquisition date.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3"/>
          </w:tcPr>
          <w:p>
            <w:pPr>
              <w:jc w:val="right"/>
              <w:ind w:right="334"/>
              <w:spacing w:after="0"/>
              <w:rPr>
                <w:sz w:val="20"/>
                <w:szCs w:val="20"/>
                <w:color w:val="auto"/>
              </w:rPr>
            </w:pPr>
            <w:r>
              <w:rPr>
                <w:rFonts w:ascii="Arial" w:cs="Arial" w:eastAsia="Arial" w:hAnsi="Arial"/>
                <w:sz w:val="14"/>
                <w:szCs w:val="14"/>
                <w:color w:val="auto"/>
                <w:w w:val="91"/>
              </w:rPr>
              <w:t>Three Months Ended</w:t>
            </w:r>
          </w:p>
        </w:tc>
        <w:tc>
          <w:tcPr>
            <w:tcW w:w="110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00" w:type="dxa"/>
            <w:vAlign w:val="bottom"/>
            <w:gridSpan w:val="3"/>
          </w:tcPr>
          <w:p>
            <w:pPr>
              <w:jc w:val="right"/>
              <w:ind w:right="414"/>
              <w:spacing w:after="0"/>
              <w:rPr>
                <w:sz w:val="20"/>
                <w:szCs w:val="20"/>
                <w:color w:val="auto"/>
              </w:rPr>
            </w:pPr>
            <w:r>
              <w:rPr>
                <w:rFonts w:ascii="Arial" w:cs="Arial" w:eastAsia="Arial" w:hAnsi="Arial"/>
                <w:sz w:val="14"/>
                <w:szCs w:val="14"/>
                <w:color w:val="auto"/>
              </w:rPr>
              <w:t>Six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0"/>
                <w:szCs w:val="20"/>
                <w:color w:val="auto"/>
              </w:rPr>
            </w:pPr>
          </w:p>
        </w:tc>
        <w:tc>
          <w:tcPr>
            <w:tcW w:w="880" w:type="dxa"/>
            <w:vAlign w:val="bottom"/>
          </w:tcPr>
          <w:p>
            <w:pPr>
              <w:jc w:val="right"/>
              <w:ind w:right="457"/>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20"/>
                <w:szCs w:val="20"/>
                <w:color w:val="auto"/>
              </w:rPr>
            </w:pPr>
          </w:p>
        </w:tc>
        <w:tc>
          <w:tcPr>
            <w:tcW w:w="640" w:type="dxa"/>
            <w:vAlign w:val="bottom"/>
          </w:tcPr>
          <w:p>
            <w:pPr>
              <w:jc w:val="right"/>
              <w:ind w:right="274"/>
              <w:spacing w:after="0"/>
              <w:rPr>
                <w:sz w:val="20"/>
                <w:szCs w:val="20"/>
                <w:color w:val="auto"/>
              </w:rPr>
            </w:pPr>
            <w:r>
              <w:rPr>
                <w:rFonts w:ascii="Arial" w:cs="Arial" w:eastAsia="Arial" w:hAnsi="Arial"/>
                <w:sz w:val="14"/>
                <w:szCs w:val="14"/>
                <w:color w:val="auto"/>
                <w:w w:val="83"/>
              </w:rPr>
              <w:t>2010</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color w:val="auto"/>
                <w:w w:val="96"/>
              </w:rPr>
              <w:t>2011</w:t>
            </w:r>
          </w:p>
        </w:tc>
        <w:tc>
          <w:tcPr>
            <w:tcW w:w="260" w:type="dxa"/>
            <w:vAlign w:val="bottom"/>
          </w:tcPr>
          <w:p>
            <w:pPr>
              <w:spacing w:after="0"/>
              <w:rPr>
                <w:sz w:val="20"/>
                <w:szCs w:val="20"/>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color w:val="auto"/>
              </w:rPr>
              <w:t>2010</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w w:val="87"/>
              </w:rPr>
              <w:t>14,333</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4"/>
              </w:rPr>
              <w:t>9,525</w:t>
            </w:r>
          </w:p>
        </w:tc>
        <w:tc>
          <w:tcPr>
            <w:tcW w:w="110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50.5%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3"/>
              </w:rPr>
              <w:t>26,461</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7"/>
              </w:rPr>
              <w:t>18,727</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9,532</w:t>
            </w:r>
          </w:p>
        </w:tc>
        <w:tc>
          <w:tcPr>
            <w:tcW w:w="1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4"/>
              </w:rPr>
              <w:t>5,788</w:t>
            </w:r>
          </w:p>
        </w:tc>
        <w:tc>
          <w:tcPr>
            <w:tcW w:w="11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3"/>
              </w:rPr>
              <w:t>17,594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7"/>
              </w:rPr>
              <w:t>11,425</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54.0</w:t>
            </w: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880" w:type="dxa"/>
            <w:vAlign w:val="bottom"/>
          </w:tcPr>
          <w:p>
            <w:pPr>
              <w:jc w:val="right"/>
              <w:ind w:right="297"/>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1,411</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2,964</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2,790</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53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248</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55.5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741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499</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48.7</w:t>
            </w: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880" w:type="dxa"/>
            <w:vAlign w:val="bottom"/>
          </w:tcPr>
          <w:p>
            <w:pPr>
              <w:jc w:val="right"/>
              <w:ind w:right="297"/>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2,078</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5,162</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4,013</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(604)</w:t>
            </w:r>
          </w:p>
        </w:tc>
        <w:tc>
          <w:tcPr>
            <w:tcW w:w="11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(1,146)</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(1,069)</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7.2</w:t>
            </w: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880" w:type="dxa"/>
            <w:vAlign w:val="bottom"/>
          </w:tcPr>
          <w:p>
            <w:pPr>
              <w:jc w:val="right"/>
              <w:ind w:right="297"/>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1,474</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4,016</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2,944</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36.4</w:t>
            </w:r>
          </w:p>
        </w:tc>
      </w:tr>
      <w:tr>
        <w:trPr>
          <w:trHeight w:val="216"/>
        </w:trPr>
        <w:tc>
          <w:tcPr>
            <w:tcW w:w="20" w:type="dxa"/>
            <w:vAlign w:val="bottom"/>
          </w:tcPr>
          <w:p>
            <w:pPr>
              <w:spacing w:after="0"/>
              <w:rPr>
                <w:sz w:val="18"/>
                <w:szCs w:val="18"/>
                <w:color w:val="auto"/>
              </w:rPr>
            </w:pPr>
          </w:p>
        </w:tc>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w w:val="94"/>
              </w:rPr>
              <w:t>(1,014)</w:t>
            </w: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(588)</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72.4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w w:val="91"/>
              </w:rPr>
              <w:t>(1,610)</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(1,179)</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36.6</w:t>
            </w: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380" w:type="dxa"/>
            <w:vAlign w:val="bottom"/>
          </w:tcPr>
          <w:p>
            <w:pPr>
              <w:spacing w:after="0"/>
              <w:rPr>
                <w:sz w:val="18"/>
                <w:szCs w:val="18"/>
                <w:color w:val="auto"/>
              </w:rPr>
            </w:pPr>
          </w:p>
        </w:tc>
        <w:tc>
          <w:tcPr>
            <w:tcW w:w="880" w:type="dxa"/>
            <w:vAlign w:val="bottom"/>
          </w:tcPr>
          <w:p>
            <w:pPr>
              <w:jc w:val="right"/>
              <w:ind w:right="297"/>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886</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54.3</w:t>
            </w:r>
          </w:p>
        </w:tc>
        <w:tc>
          <w:tcPr>
            <w:tcW w:w="28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color w:val="auto"/>
              </w:rPr>
              <w:t>2,406</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1,765</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36.3</w:t>
            </w:r>
          </w:p>
        </w:tc>
      </w:tr>
      <w:tr>
        <w:trPr>
          <w:trHeight w:val="216"/>
        </w:trPr>
        <w:tc>
          <w:tcPr>
            <w:tcW w:w="20" w:type="dxa"/>
            <w:vAlign w:val="bottom"/>
          </w:tcPr>
          <w:p>
            <w:pPr>
              <w:spacing w:after="0"/>
              <w:rPr>
                <w:sz w:val="18"/>
                <w:szCs w:val="18"/>
                <w:color w:val="auto"/>
              </w:rPr>
            </w:pPr>
          </w:p>
        </w:tc>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(441)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NM</w:t>
            </w:r>
          </w:p>
        </w:tc>
      </w:tr>
      <w:tr>
        <w:trPr>
          <w:trHeight w:val="217"/>
        </w:trPr>
        <w:tc>
          <w:tcPr>
            <w:tcW w:w="2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1,022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884</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1,965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1,750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comparability of our consolidated results of operations was impacted by the NBCUniversal transaction, which closed on January 28, 2011. NBCUniversal’s results of operations are included in our consolidated financial statements following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and the NBCUniversal segments accounted for substantially all of the increases in consolidated revenue for the three and six months ended June 30, 2011 compared to the same periods in 2010. For the three and six months ended June 30, 2011, $4.1 billion and $6.3 billion, respectively, of the increases were related to the addition of the NBCUniversal contributed businesses. The remaining changes in consolidated revenue related to our other business activities, primarily Comcast Spectacor. Revenue for our Cable Communications and NBCUniversal segments is discussed separately under the heading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Communications segment and the NBCUniversal segments accounted for substantially all of the increases in consolidated operating costs and expenses for the three and six months ended June 30, 2011 compared to the same periods in 2010. For the three and six months ended June 30, 2011, $3.3 billion and $5.3 billion, respectively, of the increases were related to the addition of the NBCUniversal contributed businesses. The remaining changes in consolidated operating costs and expenses related to our other business activities, primarily Comcast Spectacor, and costs associated with the NBCUniversal transaction of $63 million for the six months ended June 30, 2011. Operating costs and expenses for our Cable Communications and NBCUniversal segments are discussed separately under the heading “Segment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depreciation and amortization increased primarily as a result of the NBCUniversal transaction. For the three and six months ended June 30, 2011, $216 million and $370 million, respectively, of the increases in consolidated depreciation and amortization were related to the addition of the NBCUniversal contributed businesses. Depreciation in our Cable Communications segment increased for the three and six months ended June 30, 2011 compared to the same periods in 2010 primarily due to increases in capital spending.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Beginning in the first quarter of 2011, we changed our reportable segments as a result of the closing of the NBCUniversal transaction on January 28, 2011. We have recast our segment presentation for the three and six months ended June 30, 2010 to reflect our current operating segments.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except in our Theme Parks segment, where we also include the equity in income (loss) of investees in measuring operating income (loss) before depreciation and amortization. This amount is not included when we measure total NBCUniversal and our consolidated operating income (loss) before depreciation and amortization.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17 to our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gridSpan w:val="3"/>
          </w:tcPr>
          <w:p>
            <w:pPr>
              <w:jc w:val="center"/>
              <w:ind w:right="294"/>
              <w:spacing w:after="0"/>
              <w:rPr>
                <w:sz w:val="20"/>
                <w:szCs w:val="20"/>
                <w:color w:val="auto"/>
              </w:rPr>
            </w:pPr>
            <w:r>
              <w:rPr>
                <w:rFonts w:ascii="Arial" w:cs="Arial" w:eastAsia="Arial" w:hAnsi="Arial"/>
                <w:sz w:val="14"/>
                <w:szCs w:val="14"/>
                <w:color w:val="auto"/>
                <w:w w:val="87"/>
              </w:rPr>
              <w:t>Three Months Ended</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Increase/(Decrease)</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w w:val="96"/>
              </w:rPr>
              <w:t>2011</w:t>
            </w: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96"/>
              </w:rPr>
              <w:t>2010</w:t>
            </w: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035"/>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Video</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4,941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4,878</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63</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High-speed Internet</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2,186</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1,981</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205</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Phone</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878</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821</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57</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512</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494</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18</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306</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129</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389</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365</w:t>
            </w:r>
          </w:p>
        </w:tc>
        <w:tc>
          <w:tcPr>
            <w:tcW w:w="48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775"/>
              <w:spacing w:after="0"/>
              <w:rPr>
                <w:sz w:val="20"/>
                <w:szCs w:val="20"/>
                <w:color w:val="auto"/>
              </w:rPr>
            </w:pPr>
            <w:r>
              <w:rPr>
                <w:rFonts w:ascii="Arial" w:cs="Arial" w:eastAsia="Arial" w:hAnsi="Arial"/>
                <w:sz w:val="18"/>
                <w:szCs w:val="18"/>
                <w:color w:val="auto"/>
              </w:rPr>
              <w:t>24</w:t>
            </w: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9,341</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8,845</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496</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Programming</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1,959</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1,870</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89</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Technical labor</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558</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541</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17</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Customer service</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450</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5</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Marketing</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608</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527</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81</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1,817</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rPr>
              <w:t>58</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16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5,455</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5,205</w:t>
            </w:r>
          </w:p>
        </w:tc>
        <w:tc>
          <w:tcPr>
            <w:tcW w:w="48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775"/>
              <w:spacing w:after="0"/>
              <w:rPr>
                <w:sz w:val="20"/>
                <w:szCs w:val="20"/>
                <w:color w:val="auto"/>
              </w:rPr>
            </w:pPr>
            <w:r>
              <w:rPr>
                <w:rFonts w:ascii="Arial" w:cs="Arial" w:eastAsia="Arial" w:hAnsi="Arial"/>
                <w:sz w:val="18"/>
                <w:szCs w:val="18"/>
                <w:color w:val="auto"/>
              </w:rPr>
              <w:t>250</w:t>
            </w: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3,640</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b w:val="1"/>
                <w:bCs w:val="1"/>
                <w:color w:val="auto"/>
              </w:rPr>
              <w:t>246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05"/>
        </w:trPr>
        <w:tc>
          <w:tcPr>
            <w:tcW w:w="4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3"/>
          </w:tcPr>
          <w:p>
            <w:pPr>
              <w:jc w:val="center"/>
              <w:ind w:right="294"/>
              <w:spacing w:after="0"/>
              <w:rPr>
                <w:sz w:val="20"/>
                <w:szCs w:val="20"/>
                <w:color w:val="auto"/>
              </w:rPr>
            </w:pPr>
            <w:r>
              <w:rPr>
                <w:rFonts w:ascii="Arial" w:cs="Arial" w:eastAsia="Arial" w:hAnsi="Arial"/>
                <w:sz w:val="14"/>
                <w:szCs w:val="14"/>
                <w:color w:val="auto"/>
                <w:w w:val="89"/>
              </w:rPr>
              <w:t>Six Months Ended</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Increase/(Decrease)</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w w:val="96"/>
              </w:rPr>
              <w:t>2011</w:t>
            </w: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96"/>
              </w:rPr>
              <w:t>2010</w:t>
            </w:r>
          </w:p>
        </w:tc>
        <w:tc>
          <w:tcPr>
            <w:tcW w:w="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035"/>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Video</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9,832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9,686</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146</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High-speed Internet</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4,292</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3,917</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375</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Phone</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1,738</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1,629</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109</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967</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906</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61</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569</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260</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767</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721</w:t>
            </w:r>
          </w:p>
        </w:tc>
        <w:tc>
          <w:tcPr>
            <w:tcW w:w="48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775"/>
              <w:spacing w:after="0"/>
              <w:rPr>
                <w:sz w:val="20"/>
                <w:szCs w:val="20"/>
                <w:color w:val="auto"/>
              </w:rPr>
            </w:pPr>
            <w:r>
              <w:rPr>
                <w:rFonts w:ascii="Arial" w:cs="Arial" w:eastAsia="Arial" w:hAnsi="Arial"/>
                <w:sz w:val="18"/>
                <w:szCs w:val="18"/>
                <w:color w:val="auto"/>
              </w:rPr>
              <w:t>46</w:t>
            </w: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18,425</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w w:val="83"/>
              </w:rPr>
              <w:t>17,428</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997</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Programming</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3,932</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3,734</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198</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Technical labor</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1,142</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1,102</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40</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Customer service</w:t>
            </w: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919</w:t>
            </w:r>
          </w:p>
        </w:tc>
        <w:tc>
          <w:tcPr>
            <w:tcW w:w="640" w:type="dxa"/>
            <w:vAlign w:val="bottom"/>
          </w:tcPr>
          <w:p>
            <w:pPr>
              <w:spacing w:after="0"/>
              <w:rPr>
                <w:sz w:val="18"/>
                <w:szCs w:val="18"/>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904</w:t>
            </w:r>
          </w:p>
        </w:tc>
        <w:tc>
          <w:tcPr>
            <w:tcW w:w="480" w:type="dxa"/>
            <w:vAlign w:val="bottom"/>
          </w:tcPr>
          <w:p>
            <w:pPr>
              <w:spacing w:after="0"/>
              <w:rPr>
                <w:sz w:val="18"/>
                <w:szCs w:val="18"/>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15</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Marketing</w:t>
            </w:r>
          </w:p>
        </w:tc>
        <w:tc>
          <w:tcPr>
            <w:tcW w:w="16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1,176</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1,018</w:t>
            </w:r>
          </w:p>
        </w:tc>
        <w:tc>
          <w:tcPr>
            <w:tcW w:w="48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775"/>
              <w:spacing w:after="0"/>
              <w:rPr>
                <w:sz w:val="20"/>
                <w:szCs w:val="20"/>
                <w:color w:val="auto"/>
              </w:rPr>
            </w:pPr>
            <w:r>
              <w:rPr>
                <w:rFonts w:ascii="Arial" w:cs="Arial" w:eastAsia="Arial" w:hAnsi="Arial"/>
                <w:sz w:val="18"/>
                <w:szCs w:val="18"/>
                <w:color w:val="auto"/>
              </w:rPr>
              <w:t>158</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3,550</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rPr>
              <w:t>71</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16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10,790</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3"/>
              </w:rPr>
              <w:t>10,308</w:t>
            </w:r>
          </w:p>
        </w:tc>
        <w:tc>
          <w:tcPr>
            <w:tcW w:w="48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775"/>
              <w:spacing w:after="0"/>
              <w:rPr>
                <w:sz w:val="20"/>
                <w:szCs w:val="20"/>
                <w:color w:val="auto"/>
              </w:rPr>
            </w:pPr>
            <w:r>
              <w:rPr>
                <w:rFonts w:ascii="Arial" w:cs="Arial" w:eastAsia="Arial" w:hAnsi="Arial"/>
                <w:sz w:val="18"/>
                <w:szCs w:val="18"/>
                <w:color w:val="auto"/>
              </w:rPr>
              <w:t>482</w:t>
            </w: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7,120</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b w:val="1"/>
                <w:bCs w:val="1"/>
                <w:color w:val="auto"/>
              </w:rPr>
              <w:t>515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8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Total Customers</w:t>
            </w:r>
          </w:p>
        </w:tc>
        <w:tc>
          <w:tcPr>
            <w:tcW w:w="3380" w:type="dxa"/>
            <w:vAlign w:val="bottom"/>
            <w:tcBorders>
              <w:bottom w:val="single" w:sz="8" w:color="auto"/>
            </w:tcBorders>
            <w:gridSpan w:val="2"/>
          </w:tcPr>
          <w:p>
            <w:pPr>
              <w:jc w:val="right"/>
              <w:ind w:right="777"/>
              <w:spacing w:after="0"/>
              <w:rPr>
                <w:sz w:val="20"/>
                <w:szCs w:val="20"/>
                <w:color w:val="auto"/>
              </w:rPr>
            </w:pPr>
            <w:r>
              <w:rPr>
                <w:rFonts w:ascii="Arial" w:cs="Arial" w:eastAsia="Arial" w:hAnsi="Arial"/>
                <w:sz w:val="14"/>
                <w:szCs w:val="14"/>
                <w:color w:val="auto"/>
              </w:rPr>
              <w:t>Net Additional Customers</w:t>
            </w:r>
          </w:p>
        </w:tc>
      </w:tr>
      <w:tr>
        <w:trPr>
          <w:trHeight w:val="131"/>
        </w:trPr>
        <w:tc>
          <w:tcPr>
            <w:tcW w:w="5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80" w:type="dxa"/>
            <w:vAlign w:val="bottom"/>
          </w:tcPr>
          <w:p>
            <w:pPr>
              <w:jc w:val="right"/>
              <w:ind w:right="980"/>
              <w:spacing w:after="0" w:line="131" w:lineRule="exact"/>
              <w:rPr>
                <w:sz w:val="20"/>
                <w:szCs w:val="20"/>
                <w:color w:val="auto"/>
              </w:rPr>
            </w:pPr>
            <w:r>
              <w:rPr>
                <w:rFonts w:ascii="Arial" w:cs="Arial" w:eastAsia="Arial" w:hAnsi="Arial"/>
                <w:sz w:val="14"/>
                <w:szCs w:val="14"/>
                <w:color w:val="auto"/>
                <w:w w:val="93"/>
              </w:rPr>
              <w:t>June 30,</w:t>
            </w:r>
          </w:p>
        </w:tc>
        <w:tc>
          <w:tcPr>
            <w:tcW w:w="2220" w:type="dxa"/>
            <w:vAlign w:val="bottom"/>
          </w:tcPr>
          <w:p>
            <w:pPr>
              <w:jc w:val="right"/>
              <w:ind w:right="622"/>
              <w:spacing w:after="0" w:line="131" w:lineRule="exact"/>
              <w:rPr>
                <w:sz w:val="20"/>
                <w:szCs w:val="20"/>
                <w:color w:val="auto"/>
              </w:rPr>
            </w:pPr>
            <w:r>
              <w:rPr>
                <w:rFonts w:ascii="Arial" w:cs="Arial" w:eastAsia="Arial" w:hAnsi="Arial"/>
                <w:sz w:val="14"/>
                <w:szCs w:val="14"/>
                <w:color w:val="auto"/>
              </w:rPr>
              <w:t>Three Months Ended</w:t>
            </w:r>
          </w:p>
        </w:tc>
        <w:tc>
          <w:tcPr>
            <w:tcW w:w="1160" w:type="dxa"/>
            <w:vAlign w:val="bottom"/>
          </w:tcPr>
          <w:p>
            <w:pPr>
              <w:jc w:val="right"/>
              <w:ind w:right="37"/>
              <w:spacing w:after="0" w:line="131" w:lineRule="exact"/>
              <w:rPr>
                <w:sz w:val="20"/>
                <w:szCs w:val="20"/>
                <w:color w:val="auto"/>
              </w:rPr>
            </w:pPr>
            <w:r>
              <w:rPr>
                <w:rFonts w:ascii="Arial" w:cs="Arial" w:eastAsia="Arial" w:hAnsi="Arial"/>
                <w:sz w:val="14"/>
                <w:szCs w:val="14"/>
                <w:color w:val="auto"/>
                <w:w w:val="89"/>
              </w:rPr>
              <w:t>Six Months Ended</w:t>
            </w:r>
          </w:p>
        </w:tc>
      </w:tr>
      <w:tr>
        <w:trPr>
          <w:trHeight w:val="159"/>
        </w:trPr>
        <w:tc>
          <w:tcPr>
            <w:tcW w:w="5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thousands)</w:t>
            </w:r>
          </w:p>
        </w:tc>
        <w:tc>
          <w:tcPr>
            <w:tcW w:w="1260" w:type="dxa"/>
            <w:vAlign w:val="bottom"/>
            <w:tcBorders>
              <w:bottom w:val="single" w:sz="8" w:color="auto"/>
            </w:tcBorders>
          </w:tcPr>
          <w:p>
            <w:pPr>
              <w:jc w:val="right"/>
              <w:ind w:right="140"/>
              <w:spacing w:after="0" w:line="159" w:lineRule="exact"/>
              <w:rPr>
                <w:sz w:val="20"/>
                <w:szCs w:val="20"/>
                <w:color w:val="auto"/>
              </w:rPr>
            </w:pPr>
            <w:r>
              <w:rPr>
                <w:rFonts w:ascii="Arial" w:cs="Arial" w:eastAsia="Arial" w:hAnsi="Arial"/>
                <w:sz w:val="14"/>
                <w:szCs w:val="14"/>
                <w:color w:val="auto"/>
              </w:rPr>
              <w:t>2011</w:t>
            </w:r>
          </w:p>
        </w:tc>
        <w:tc>
          <w:tcPr>
            <w:tcW w:w="1580" w:type="dxa"/>
            <w:vAlign w:val="bottom"/>
            <w:tcBorders>
              <w:bottom w:val="single" w:sz="8" w:color="auto"/>
            </w:tcBorders>
          </w:tcPr>
          <w:p>
            <w:pPr>
              <w:jc w:val="right"/>
              <w:ind w:right="420"/>
              <w:spacing w:after="0" w:line="159" w:lineRule="exact"/>
              <w:rPr>
                <w:sz w:val="20"/>
                <w:szCs w:val="20"/>
                <w:color w:val="auto"/>
              </w:rPr>
            </w:pPr>
            <w:r>
              <w:rPr>
                <w:rFonts w:ascii="Arial" w:cs="Arial" w:eastAsia="Arial" w:hAnsi="Arial"/>
                <w:sz w:val="14"/>
                <w:szCs w:val="14"/>
                <w:color w:val="auto"/>
              </w:rPr>
              <w:t>2010</w:t>
            </w:r>
          </w:p>
        </w:tc>
        <w:tc>
          <w:tcPr>
            <w:tcW w:w="2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 2011</w:t>
            </w:r>
          </w:p>
        </w:tc>
        <w:tc>
          <w:tcPr>
            <w:tcW w:w="1160" w:type="dxa"/>
            <w:vAlign w:val="bottom"/>
            <w:tcBorders>
              <w:bottom w:val="single" w:sz="8" w:color="auto"/>
            </w:tcBorders>
          </w:tcPr>
          <w:p>
            <w:pPr>
              <w:spacing w:after="0"/>
              <w:rPr>
                <w:sz w:val="13"/>
                <w:szCs w:val="13"/>
                <w:color w:val="auto"/>
              </w:rPr>
            </w:pPr>
          </w:p>
        </w:tc>
      </w:tr>
      <w:tr>
        <w:trPr>
          <w:trHeight w:val="210"/>
        </w:trPr>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22,525</w:t>
            </w:r>
          </w:p>
        </w:tc>
        <w:tc>
          <w:tcPr>
            <w:tcW w:w="158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23,212</w:t>
            </w:r>
          </w:p>
        </w:tc>
        <w:tc>
          <w:tcPr>
            <w:tcW w:w="2220" w:type="dxa"/>
            <w:vAlign w:val="bottom"/>
            <w:shd w:val="clear" w:color="auto" w:fill="E5E5E5"/>
          </w:tcPr>
          <w:p>
            <w:pPr>
              <w:jc w:val="right"/>
              <w:ind w:right="562"/>
              <w:spacing w:after="0"/>
              <w:rPr>
                <w:sz w:val="20"/>
                <w:szCs w:val="20"/>
                <w:color w:val="auto"/>
              </w:rPr>
            </w:pPr>
            <w:r>
              <w:rPr>
                <w:rFonts w:ascii="Arial" w:cs="Arial" w:eastAsia="Arial" w:hAnsi="Arial"/>
                <w:sz w:val="18"/>
                <w:szCs w:val="18"/>
                <w:color w:val="auto"/>
              </w:rPr>
              <w:t>(238)</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260" w:type="dxa"/>
            <w:vAlign w:val="bottom"/>
          </w:tcPr>
          <w:p>
            <w:pPr>
              <w:jc w:val="right"/>
              <w:spacing w:after="0"/>
              <w:rPr>
                <w:sz w:val="20"/>
                <w:szCs w:val="20"/>
                <w:color w:val="auto"/>
              </w:rPr>
            </w:pPr>
            <w:r>
              <w:rPr>
                <w:rFonts w:ascii="Arial" w:cs="Arial" w:eastAsia="Arial" w:hAnsi="Arial"/>
                <w:sz w:val="18"/>
                <w:szCs w:val="18"/>
                <w:color w:val="auto"/>
              </w:rPr>
              <w:t>17,550</w:t>
            </w:r>
          </w:p>
        </w:tc>
        <w:tc>
          <w:tcPr>
            <w:tcW w:w="1580" w:type="dxa"/>
            <w:vAlign w:val="bottom"/>
          </w:tcPr>
          <w:p>
            <w:pPr>
              <w:jc w:val="right"/>
              <w:ind w:right="300"/>
              <w:spacing w:after="0"/>
              <w:rPr>
                <w:sz w:val="20"/>
                <w:szCs w:val="20"/>
                <w:color w:val="auto"/>
              </w:rPr>
            </w:pPr>
            <w:r>
              <w:rPr>
                <w:rFonts w:ascii="Arial" w:cs="Arial" w:eastAsia="Arial" w:hAnsi="Arial"/>
                <w:sz w:val="18"/>
                <w:szCs w:val="18"/>
                <w:color w:val="auto"/>
              </w:rPr>
              <w:t>16,448</w:t>
            </w:r>
          </w:p>
        </w:tc>
        <w:tc>
          <w:tcPr>
            <w:tcW w:w="2220" w:type="dxa"/>
            <w:vAlign w:val="bottom"/>
          </w:tcPr>
          <w:p>
            <w:pPr>
              <w:jc w:val="right"/>
              <w:ind w:right="622"/>
              <w:spacing w:after="0"/>
              <w:rPr>
                <w:sz w:val="20"/>
                <w:szCs w:val="20"/>
                <w:color w:val="auto"/>
              </w:rPr>
            </w:pPr>
            <w:r>
              <w:rPr>
                <w:rFonts w:ascii="Arial" w:cs="Arial" w:eastAsia="Arial" w:hAnsi="Arial"/>
                <w:sz w:val="18"/>
                <w:szCs w:val="18"/>
                <w:color w:val="auto"/>
              </w:rPr>
              <w:t>144</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561</w:t>
            </w:r>
          </w:p>
        </w:tc>
      </w:tr>
      <w:tr>
        <w:trPr>
          <w:trHeight w:val="216"/>
        </w:trPr>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Phone customers</w:t>
            </w: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9,063</w:t>
            </w:r>
          </w:p>
        </w:tc>
        <w:tc>
          <w:tcPr>
            <w:tcW w:w="1580" w:type="dxa"/>
            <w:vAlign w:val="bottom"/>
            <w:tcBorders>
              <w:bottom w:val="single" w:sz="8" w:color="auto"/>
            </w:tcBorders>
            <w:shd w:val="clear" w:color="auto" w:fill="E5E5E5"/>
          </w:tcPr>
          <w:p>
            <w:pPr>
              <w:jc w:val="right"/>
              <w:ind w:right="300"/>
              <w:spacing w:after="0"/>
              <w:rPr>
                <w:sz w:val="20"/>
                <w:szCs w:val="20"/>
                <w:color w:val="auto"/>
              </w:rPr>
            </w:pPr>
            <w:r>
              <w:rPr>
                <w:rFonts w:ascii="Arial" w:cs="Arial" w:eastAsia="Arial" w:hAnsi="Arial"/>
                <w:sz w:val="18"/>
                <w:szCs w:val="18"/>
                <w:color w:val="auto"/>
              </w:rPr>
              <w:t>8,125</w:t>
            </w:r>
          </w:p>
        </w:tc>
        <w:tc>
          <w:tcPr>
            <w:tcW w:w="2220" w:type="dxa"/>
            <w:vAlign w:val="bottom"/>
            <w:tcBorders>
              <w:bottom w:val="single" w:sz="8" w:color="auto"/>
            </w:tcBorders>
            <w:shd w:val="clear" w:color="auto" w:fill="E5E5E5"/>
          </w:tcPr>
          <w:p>
            <w:pPr>
              <w:jc w:val="right"/>
              <w:ind w:right="622"/>
              <w:spacing w:after="0"/>
              <w:rPr>
                <w:sz w:val="20"/>
                <w:szCs w:val="20"/>
                <w:color w:val="auto"/>
              </w:rPr>
            </w:pPr>
            <w:r>
              <w:rPr>
                <w:rFonts w:ascii="Arial" w:cs="Arial" w:eastAsia="Arial" w:hAnsi="Arial"/>
                <w:sz w:val="18"/>
                <w:szCs w:val="18"/>
                <w:color w:val="auto"/>
              </w:rPr>
              <w:t>193</w:t>
            </w:r>
          </w:p>
        </w:tc>
        <w:tc>
          <w:tcPr>
            <w:tcW w:w="11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453</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average monthly total revenue per video customer for the three months ended June 30, 2011 increased to approximately $138 from approximately $126 for the three months ended June 30, 2010. Our average monthly total revenue per video customer for the six months ended June 30, 2011 increased to approximately $136 from approximately $124 for the six months ended June 30, 2010. The increases in average monthly total revenue per video customer were primarily due to an increased number of customers receiving multiple services, rate adjustments and a higher contribution from business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video revenue increased during the three and six months ended June 30, 2011 compared to the same periods in 2010 primarily due to rate adjustments and customer upgrades to our digital and advanced services, which consist of high-definition television (“HDTV”) and digital video recorder (“DVR”). During the three and six months ended June 30, 2011, the number of video customers decreased primarily due to competitive pressures in our service areas and weakness in the economy. We expect further declines in the number of residential video customers during the remainder of 2011 for similar reasons.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high-speed Internet revenue increased during the three and six months ended June 30, 2011 compared to the same periods in 2010 primarily due to increases in the number of residential customers and rate adjustments.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phone revenue increased during the three and six months ended June 30, 2011 compared to the same periods in 2010 primarily due to increases in the number of residential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Our advertising revenue increased during the three and six months ended June 30, 2011 compared to the same periods in 2010 primarily due to improvements in the overall television advertising market. The increases were partially offset by a slowdown in automotive advertising and lower political advertising revenue.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services revenue increased during the three and six months ended June 30, 2011 compared to the same periods in 2010 primarily due to increases in the number of customers across all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includes revenue generated from franchise and other regulatory fees, our digital media center, commissions from electronic retailing networks, and fees from other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Programming expenses increased during the three and six months ended June 30, 2011 compared to the same periods in 2010 primarily due to increased rates, additional digital customers and additional programming options offered. Technical labor expenses increased during the three and six months ended June 30, 2011 compared to the same periods in 2010 primarily due to increases in compensation, benefits and taxes. Marketing expenses increased during the three and six months ended June 30, 2011 compared to the same periods in 2010 primarily due to increases in spending associated with the continued expansion of business services and costs associated with the Xfinity brand and competitive marketing.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 Results of Operations</w:t>
      </w:r>
    </w:p>
    <w:p>
      <w:pPr>
        <w:spacing w:after="0" w:line="1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discussion below compares actual results for the three months ended June 30, 2011 with pro forma combined results for the three months ended June 30, 2010 and pro forma combined results for the six months ended June 30, 2011 and 2010 for the NBCUniversal segments. Management believes reviewing our operating results by combining actual and pro forma results for the NBCUniversal segments is more useful in identifying trends in, or reaching conclusions regarding, the overall operating performance of these segments. Our pro forma segment information includes adjustments as if the NBCUniversal transaction had occurred on January 1, 2010. Our pro forma data is also adjusted for the effects of acquisition accounting and eliminating the costs and expenses directly related to the transaction but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since January 1, 2010, nor of our future results.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NBCUniversal segments are presented in the table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60" w:type="dxa"/>
            <w:vAlign w:val="bottom"/>
            <w:gridSpan w:val="4"/>
          </w:tcPr>
          <w:p>
            <w:pPr>
              <w:ind w:left="820"/>
              <w:spacing w:after="0"/>
              <w:rPr>
                <w:sz w:val="20"/>
                <w:szCs w:val="20"/>
                <w:color w:val="auto"/>
              </w:rPr>
            </w:pPr>
            <w:r>
              <w:rPr>
                <w:rFonts w:ascii="Arial" w:cs="Arial" w:eastAsia="Arial" w:hAnsi="Arial"/>
                <w:sz w:val="14"/>
                <w:szCs w:val="14"/>
                <w:color w:val="auto"/>
              </w:rPr>
              <w:t>Three Months Ended June 30, 2010</w:t>
            </w:r>
          </w:p>
        </w:tc>
        <w:tc>
          <w:tcPr>
            <w:tcW w:w="2040" w:type="dxa"/>
            <w:vAlign w:val="bottom"/>
            <w:gridSpan w:val="2"/>
            <w:vMerge w:val="restart"/>
          </w:tcPr>
          <w:p>
            <w:pPr>
              <w:jc w:val="center"/>
              <w:ind w:left="32"/>
              <w:spacing w:after="0"/>
              <w:rPr>
                <w:sz w:val="20"/>
                <w:szCs w:val="20"/>
                <w:color w:val="auto"/>
              </w:rPr>
            </w:pPr>
            <w:r>
              <w:rPr>
                <w:rFonts w:ascii="Arial" w:cs="Arial" w:eastAsia="Arial" w:hAnsi="Arial"/>
                <w:sz w:val="14"/>
                <w:szCs w:val="14"/>
                <w:color w:val="auto"/>
                <w:w w:val="88"/>
              </w:rPr>
              <w:t>Pro Forma Combined</w:t>
            </w:r>
          </w:p>
        </w:tc>
        <w:tc>
          <w:tcPr>
            <w:tcW w:w="0" w:type="dxa"/>
            <w:vAlign w:val="bottom"/>
          </w:tcPr>
          <w:p>
            <w:pPr>
              <w:spacing w:after="0"/>
              <w:rPr>
                <w:sz w:val="1"/>
                <w:szCs w:val="1"/>
                <w:color w:val="auto"/>
              </w:rPr>
            </w:pPr>
          </w:p>
        </w:tc>
      </w:tr>
      <w:tr>
        <w:trPr>
          <w:trHeight w:val="115"/>
        </w:trPr>
        <w:tc>
          <w:tcPr>
            <w:tcW w:w="3680" w:type="dxa"/>
            <w:vAlign w:val="bottom"/>
          </w:tcPr>
          <w:p>
            <w:pPr>
              <w:spacing w:after="0"/>
              <w:rPr>
                <w:sz w:val="10"/>
                <w:szCs w:val="10"/>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040" w:type="dxa"/>
            <w:vAlign w:val="bottom"/>
            <w:tcBorders>
              <w:top w:val="single" w:sz="8" w:color="auto"/>
            </w:tcBorders>
            <w:vMerge w:val="restart"/>
          </w:tcPr>
          <w:p>
            <w:pPr>
              <w:jc w:val="center"/>
              <w:ind w:left="52"/>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080" w:type="dxa"/>
            <w:vAlign w:val="bottom"/>
            <w:tcBorders>
              <w:top w:val="single" w:sz="8" w:color="auto"/>
            </w:tcBorders>
          </w:tcPr>
          <w:p>
            <w:pPr>
              <w:jc w:val="center"/>
              <w:ind w:left="36"/>
              <w:spacing w:after="0" w:line="115" w:lineRule="exact"/>
              <w:rPr>
                <w:sz w:val="20"/>
                <w:szCs w:val="20"/>
                <w:color w:val="auto"/>
              </w:rPr>
            </w:pPr>
            <w:r>
              <w:rPr>
                <w:rFonts w:ascii="Arial" w:cs="Arial" w:eastAsia="Arial" w:hAnsi="Arial"/>
                <w:sz w:val="12"/>
                <w:szCs w:val="12"/>
                <w:color w:val="auto"/>
              </w:rPr>
              <w:t>Pro Forma</w:t>
            </w:r>
          </w:p>
        </w:tc>
        <w:tc>
          <w:tcPr>
            <w:tcW w:w="38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460" w:type="dxa"/>
            <w:vAlign w:val="bottom"/>
            <w:gridSpan w:val="2"/>
          </w:tcPr>
          <w:p>
            <w:pPr>
              <w:jc w:val="center"/>
              <w:ind w:right="280"/>
              <w:spacing w:after="0" w:line="176" w:lineRule="exact"/>
              <w:rPr>
                <w:sz w:val="20"/>
                <w:szCs w:val="20"/>
                <w:color w:val="auto"/>
              </w:rPr>
            </w:pPr>
            <w:r>
              <w:rPr>
                <w:rFonts w:ascii="Arial" w:cs="Arial" w:eastAsia="Arial" w:hAnsi="Arial"/>
                <w:sz w:val="13"/>
                <w:szCs w:val="13"/>
                <w:color w:val="auto"/>
                <w:w w:val="93"/>
              </w:rPr>
              <w:t>Combined</w:t>
            </w:r>
            <w:r>
              <w:rPr>
                <w:rFonts w:ascii="Arial" w:cs="Arial" w:eastAsia="Arial" w:hAnsi="Arial"/>
                <w:sz w:val="20"/>
                <w:szCs w:val="20"/>
                <w:color w:val="auto"/>
                <w:w w:val="93"/>
                <w:vertAlign w:val="superscript"/>
              </w:rPr>
              <w:t>(c)</w:t>
            </w:r>
          </w:p>
        </w:tc>
        <w:tc>
          <w:tcPr>
            <w:tcW w:w="2040" w:type="dxa"/>
            <w:vAlign w:val="bottom"/>
            <w:gridSpan w:val="2"/>
          </w:tcPr>
          <w:p>
            <w:pPr>
              <w:jc w:val="center"/>
              <w:ind w:left="52"/>
              <w:spacing w:after="0"/>
              <w:rPr>
                <w:sz w:val="20"/>
                <w:szCs w:val="20"/>
                <w:color w:val="auto"/>
              </w:rPr>
            </w:pPr>
            <w:r>
              <w:rPr>
                <w:rFonts w:ascii="Arial" w:cs="Arial" w:eastAsia="Arial" w:hAnsi="Arial"/>
                <w:sz w:val="14"/>
                <w:szCs w:val="14"/>
                <w:color w:val="auto"/>
                <w:w w:val="85"/>
              </w:rPr>
              <w:t>Increase/(Decrease)</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Borders>
              <w:top w:val="single" w:sz="8" w:color="auto"/>
            </w:tcBorders>
          </w:tcPr>
          <w:p>
            <w:pPr>
              <w:jc w:val="center"/>
              <w:ind w:left="72"/>
              <w:spacing w:after="0" w:line="131" w:lineRule="exact"/>
              <w:rPr>
                <w:sz w:val="20"/>
                <w:szCs w:val="20"/>
                <w:color w:val="auto"/>
              </w:rPr>
            </w:pPr>
            <w:r>
              <w:rPr>
                <w:rFonts w:ascii="Arial" w:cs="Arial" w:eastAsia="Arial" w:hAnsi="Arial"/>
                <w:sz w:val="14"/>
                <w:szCs w:val="14"/>
                <w:color w:val="auto"/>
                <w:w w:val="83"/>
              </w:rPr>
              <w:t>Comcast</w:t>
            </w:r>
          </w:p>
        </w:tc>
        <w:tc>
          <w:tcPr>
            <w:tcW w:w="12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Three Months Ended</w:t>
            </w:r>
          </w:p>
        </w:tc>
        <w:tc>
          <w:tcPr>
            <w:tcW w:w="10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Content</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0"/>
              </w:rPr>
              <w:t>NBCUniversal</w:t>
            </w: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80" w:type="dxa"/>
            <w:vAlign w:val="bottom"/>
          </w:tcPr>
          <w:p>
            <w:pPr>
              <w:spacing w:after="0"/>
              <w:rPr>
                <w:sz w:val="20"/>
                <w:szCs w:val="20"/>
                <w:color w:val="auto"/>
              </w:rPr>
            </w:pPr>
            <w:r>
              <w:rPr>
                <w:rFonts w:ascii="Arial" w:cs="Arial" w:eastAsia="Arial" w:hAnsi="Arial"/>
                <w:sz w:val="14"/>
                <w:szCs w:val="14"/>
                <w:color w:val="auto"/>
              </w:rPr>
              <w:t>(in millions)</w:t>
            </w: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June 30, 2011</w:t>
            </w:r>
          </w:p>
        </w:tc>
        <w:tc>
          <w:tcPr>
            <w:tcW w:w="1040" w:type="dxa"/>
            <w:vAlign w:val="bottom"/>
          </w:tcPr>
          <w:p>
            <w:pPr>
              <w:jc w:val="center"/>
              <w:ind w:left="52"/>
              <w:spacing w:after="0"/>
              <w:rPr>
                <w:sz w:val="20"/>
                <w:szCs w:val="20"/>
                <w:color w:val="auto"/>
              </w:rPr>
            </w:pPr>
            <w:r>
              <w:rPr>
                <w:rFonts w:ascii="Arial" w:cs="Arial" w:eastAsia="Arial" w:hAnsi="Arial"/>
                <w:sz w:val="14"/>
                <w:szCs w:val="14"/>
                <w:color w:val="auto"/>
                <w:w w:val="84"/>
              </w:rPr>
              <w:t>Business</w:t>
            </w:r>
          </w:p>
        </w:tc>
        <w:tc>
          <w:tcPr>
            <w:tcW w:w="1260" w:type="dxa"/>
            <w:vAlign w:val="bottom"/>
          </w:tcPr>
          <w:p>
            <w:pPr>
              <w:jc w:val="center"/>
              <w:spacing w:after="0"/>
              <w:rPr>
                <w:sz w:val="20"/>
                <w:szCs w:val="20"/>
                <w:color w:val="auto"/>
              </w:rPr>
            </w:pPr>
            <w:r>
              <w:rPr>
                <w:rFonts w:ascii="Arial" w:cs="Arial" w:eastAsia="Arial" w:hAnsi="Arial"/>
                <w:sz w:val="14"/>
                <w:szCs w:val="14"/>
                <w:color w:val="auto"/>
                <w:w w:val="83"/>
              </w:rPr>
              <w:t>Businesses</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w w:val="83"/>
              </w:rPr>
              <w:t>Total</w:t>
            </w:r>
          </w:p>
        </w:tc>
        <w:tc>
          <w:tcPr>
            <w:tcW w:w="102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Revenue</w:t>
      </w:r>
    </w:p>
    <w:p>
      <w:pPr>
        <w:sectPr>
          <w:pgSz w:w="11900" w:h="16838" w:orient="portrait"/>
          <w:cols w:equalWidth="0" w:num="1">
            <w:col w:w="11420"/>
          </w:cols>
          <w:pgMar w:left="240" w:top="459" w:right="2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2,173</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6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1,695</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1,254</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6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147</w:t>
            </w:r>
          </w:p>
        </w:tc>
      </w:tr>
      <w:tr>
        <w:trPr>
          <w:trHeight w:val="222"/>
        </w:trPr>
        <w:tc>
          <w:tcPr>
            <w:tcW w:w="20" w:type="dxa"/>
            <w:vAlign w:val="bottom"/>
          </w:tcPr>
          <w:p>
            <w:pPr>
              <w:spacing w:after="0"/>
              <w:rPr>
                <w:sz w:val="19"/>
                <w:szCs w:val="19"/>
                <w:color w:val="auto"/>
              </w:rPr>
            </w:pPr>
          </w:p>
        </w:tc>
        <w:tc>
          <w:tcPr>
            <w:tcW w:w="3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9"/>
        </w:trPr>
        <w:tc>
          <w:tcPr>
            <w:tcW w:w="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5,179</w:t>
            </w:r>
          </w:p>
        </w:tc>
      </w:tr>
      <w:tr>
        <w:trPr>
          <w:trHeight w:val="202"/>
        </w:trPr>
        <w:tc>
          <w:tcPr>
            <w:tcW w:w="3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Operating Income Before Depreciation and</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b w:val="1"/>
                <w:bCs w:val="1"/>
                <w:color w:val="auto"/>
              </w:rPr>
              <w:t>Amortization</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846</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6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6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119</w:t>
            </w:r>
          </w:p>
        </w:tc>
      </w:tr>
      <w:tr>
        <w:trPr>
          <w:trHeight w:val="222"/>
        </w:trPr>
        <w:tc>
          <w:tcPr>
            <w:tcW w:w="20" w:type="dxa"/>
            <w:vAlign w:val="bottom"/>
          </w:tcPr>
          <w:p>
            <w:pPr>
              <w:spacing w:after="0"/>
              <w:rPr>
                <w:sz w:val="19"/>
                <w:szCs w:val="19"/>
                <w:color w:val="auto"/>
              </w:rPr>
            </w:pPr>
          </w:p>
        </w:tc>
        <w:tc>
          <w:tcPr>
            <w:tcW w:w="3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Headquarters, other and eliminations</w:t>
            </w:r>
          </w:p>
        </w:tc>
        <w:tc>
          <w:tcPr>
            <w:tcW w:w="6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197"/>
        </w:trPr>
        <w:tc>
          <w:tcPr>
            <w:tcW w:w="20" w:type="dxa"/>
            <w:vAlign w:val="bottom"/>
          </w:tcPr>
          <w:p>
            <w:pPr>
              <w:spacing w:after="0"/>
              <w:rPr>
                <w:sz w:val="17"/>
                <w:szCs w:val="17"/>
                <w:color w:val="auto"/>
              </w:rPr>
            </w:pPr>
          </w:p>
        </w:tc>
        <w:tc>
          <w:tcPr>
            <w:tcW w:w="3760" w:type="dxa"/>
            <w:vAlign w:val="bottom"/>
          </w:tcPr>
          <w:p>
            <w:pPr>
              <w:spacing w:after="0" w:line="197" w:lineRule="exact"/>
              <w:rPr>
                <w:sz w:val="20"/>
                <w:szCs w:val="20"/>
                <w:color w:val="auto"/>
              </w:rPr>
            </w:pPr>
            <w:r>
              <w:rPr>
                <w:rFonts w:ascii="Arial" w:cs="Arial" w:eastAsia="Arial" w:hAnsi="Arial"/>
                <w:sz w:val="18"/>
                <w:szCs w:val="18"/>
                <w:b w:val="1"/>
                <w:bCs w:val="1"/>
                <w:color w:val="auto"/>
                <w:w w:val="91"/>
              </w:rPr>
              <w:t>Total operating income before depreciation and</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1,001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717</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1,212</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1,929</w:t>
            </w:r>
          </w:p>
        </w:tc>
      </w:tr>
      <w:tr>
        <w:trPr>
          <w:trHeight w:val="216"/>
        </w:trPr>
        <w:tc>
          <w:tcPr>
            <w:tcW w:w="5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1,430</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1,430</w:t>
            </w:r>
          </w:p>
        </w:tc>
      </w:tr>
      <w:tr>
        <w:trPr>
          <w:trHeight w:val="216"/>
        </w:trPr>
        <w:tc>
          <w:tcPr>
            <w:tcW w:w="5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1,036</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1,036</w:t>
            </w:r>
          </w:p>
        </w:tc>
      </w:tr>
      <w:tr>
        <w:trPr>
          <w:trHeight w:val="216"/>
        </w:trPr>
        <w:tc>
          <w:tcPr>
            <w:tcW w:w="5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120</w:t>
            </w:r>
          </w:p>
        </w:tc>
      </w:tr>
      <w:tr>
        <w:trPr>
          <w:trHeight w:val="223"/>
        </w:trPr>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8"/>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717</w:t>
            </w: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3,704</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4,421</w:t>
            </w:r>
          </w:p>
        </w:tc>
      </w:tr>
      <w:tr>
        <w:trPr>
          <w:trHeight w:val="640"/>
        </w:trPr>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210</w:t>
            </w: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627</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837</w:t>
            </w:r>
          </w:p>
        </w:tc>
      </w:tr>
      <w:tr>
        <w:trPr>
          <w:trHeight w:val="216"/>
        </w:trPr>
        <w:tc>
          <w:tcPr>
            <w:tcW w:w="5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175</w:t>
            </w:r>
          </w:p>
        </w:tc>
      </w:tr>
      <w:tr>
        <w:trPr>
          <w:trHeight w:val="216"/>
        </w:trPr>
        <w:tc>
          <w:tcPr>
            <w:tcW w:w="5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w:t>
            </w:r>
          </w:p>
        </w:tc>
      </w:tr>
      <w:tr>
        <w:trPr>
          <w:trHeight w:val="216"/>
        </w:trPr>
        <w:tc>
          <w:tcPr>
            <w:tcW w:w="50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46</w:t>
            </w:r>
          </w:p>
        </w:tc>
      </w:tr>
      <w:tr>
        <w:trPr>
          <w:trHeight w:val="223"/>
        </w:trPr>
        <w:tc>
          <w:tcPr>
            <w:tcW w:w="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(110)</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434"/>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210</w:t>
            </w: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742</w:t>
            </w: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-1971675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-1697355</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-1423035</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-985520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-711200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-436880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99"/>
              </w:rPr>
              <w:t>244</w:t>
            </w: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6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99"/>
              </w:rPr>
              <w:t>265</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18.5</w:t>
            </w:r>
          </w:p>
        </w:tc>
      </w:tr>
      <w:tr>
        <w:trPr>
          <w:trHeight w:val="216"/>
        </w:trPr>
        <w:tc>
          <w:tcPr>
            <w:tcW w:w="46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w w:val="99"/>
              </w:rPr>
              <w:t>218</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21.0</w:t>
            </w:r>
          </w:p>
        </w:tc>
      </w:tr>
      <w:tr>
        <w:trPr>
          <w:trHeight w:val="216"/>
        </w:trPr>
        <w:tc>
          <w:tcPr>
            <w:tcW w:w="46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27</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22.5</w:t>
            </w:r>
          </w:p>
        </w:tc>
      </w:tr>
      <w:tr>
        <w:trPr>
          <w:trHeight w:val="223"/>
        </w:trPr>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w:t>
            </w:r>
          </w:p>
        </w:tc>
      </w:tr>
      <w:tr>
        <w:trPr>
          <w:trHeight w:val="218"/>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758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r>
      <w:tr>
        <w:trPr>
          <w:trHeight w:val="640"/>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8.8</w:t>
            </w:r>
          </w:p>
        </w:tc>
      </w:tr>
      <w:tr>
        <w:trPr>
          <w:trHeight w:val="216"/>
        </w:trPr>
        <w:tc>
          <w:tcPr>
            <w:tcW w:w="460" w:type="dxa"/>
            <w:vAlign w:val="bottom"/>
          </w:tcPr>
          <w:p>
            <w:pPr>
              <w:spacing w:after="0"/>
              <w:rPr>
                <w:sz w:val="18"/>
                <w:szCs w:val="18"/>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23</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575.0</w:t>
            </w:r>
          </w:p>
        </w:tc>
      </w:tr>
      <w:tr>
        <w:trPr>
          <w:trHeight w:val="222"/>
        </w:trPr>
        <w:tc>
          <w:tcPr>
            <w:tcW w:w="460" w:type="dxa"/>
            <w:vAlign w:val="bottom"/>
          </w:tcPr>
          <w:p>
            <w:pPr>
              <w:spacing w:after="0"/>
              <w:rPr>
                <w:sz w:val="19"/>
                <w:szCs w:val="19"/>
                <w:color w:val="auto"/>
              </w:rPr>
            </w:pPr>
          </w:p>
        </w:tc>
        <w:tc>
          <w:tcPr>
            <w:tcW w:w="640" w:type="dxa"/>
            <w:vAlign w:val="bottom"/>
          </w:tcPr>
          <w:p>
            <w:pPr>
              <w:jc w:val="right"/>
              <w:ind w:right="232"/>
              <w:spacing w:after="0"/>
              <w:rPr>
                <w:sz w:val="20"/>
                <w:szCs w:val="20"/>
                <w:color w:val="auto"/>
              </w:rPr>
            </w:pPr>
            <w:r>
              <w:rPr>
                <w:rFonts w:ascii="Arial" w:cs="Arial" w:eastAsia="Arial" w:hAnsi="Arial"/>
                <w:sz w:val="18"/>
                <w:szCs w:val="18"/>
                <w:color w:val="auto"/>
              </w:rPr>
              <w:t>73</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158.7</w:t>
            </w:r>
          </w:p>
        </w:tc>
      </w:tr>
    </w:tbl>
    <w:p>
      <w:pPr>
        <w:ind w:left="1440" w:hanging="904"/>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1294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6" w:lineRule="exact"/>
        <w:rPr>
          <w:sz w:val="20"/>
          <w:szCs w:val="20"/>
          <w:color w:val="auto"/>
        </w:rPr>
      </w:pPr>
    </w:p>
    <w:p>
      <w:pPr>
        <w:ind w:left="340"/>
        <w:spacing w:after="0"/>
        <w:tabs>
          <w:tab w:leader="none" w:pos="580" w:val="left"/>
          <w:tab w:leader="none" w:pos="1580" w:val="left"/>
        </w:tabs>
        <w:rPr>
          <w:sz w:val="20"/>
          <w:szCs w:val="20"/>
          <w:color w:val="auto"/>
        </w:rPr>
      </w:pPr>
      <w:r>
        <w:rPr>
          <w:rFonts w:ascii="Arial" w:cs="Arial" w:eastAsia="Arial" w:hAnsi="Arial"/>
          <w:sz w:val="18"/>
          <w:szCs w:val="18"/>
          <w:b w:val="1"/>
          <w:bCs w:val="1"/>
          <w:color w:val="auto"/>
        </w:rPr>
        <w:t>$</w:t>
        <w:tab/>
        <w:t>49</w:t>
      </w:r>
      <w:r>
        <w:rPr>
          <w:sz w:val="20"/>
          <w:szCs w:val="20"/>
          <w:color w:val="auto"/>
        </w:rPr>
        <w:tab/>
      </w: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947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ectPr>
          <w:pgSz w:w="11900" w:h="16838" w:orient="portrait"/>
          <w:cols w:equalWidth="0" w:num="3">
            <w:col w:w="5260" w:space="360"/>
            <w:col w:w="3380" w:space="380"/>
            <w:col w:w="204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vMerge w:val="restart"/>
          </w:tcPr>
          <w:p>
            <w:pPr>
              <w:jc w:val="right"/>
              <w:ind w:right="214"/>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36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220" w:type="dxa"/>
            <w:vAlign w:val="bottom"/>
          </w:tcPr>
          <w:p>
            <w:pPr>
              <w:spacing w:after="0"/>
              <w:rPr>
                <w:sz w:val="10"/>
                <w:szCs w:val="10"/>
                <w:color w:val="auto"/>
              </w:rPr>
            </w:pPr>
          </w:p>
        </w:tc>
        <w:tc>
          <w:tcPr>
            <w:tcW w:w="700" w:type="dxa"/>
            <w:vAlign w:val="bottom"/>
          </w:tcPr>
          <w:p>
            <w:pPr>
              <w:jc w:val="center"/>
              <w:ind w:right="179"/>
              <w:spacing w:after="0" w:line="115" w:lineRule="exact"/>
              <w:rPr>
                <w:sz w:val="20"/>
                <w:szCs w:val="20"/>
                <w:color w:val="auto"/>
              </w:rPr>
            </w:pPr>
            <w:r>
              <w:rPr>
                <w:rFonts w:ascii="Arial" w:cs="Arial" w:eastAsia="Arial" w:hAnsi="Arial"/>
                <w:sz w:val="12"/>
                <w:szCs w:val="12"/>
                <w:color w:val="auto"/>
              </w:rPr>
              <w:t>Pro</w:t>
            </w:r>
          </w:p>
        </w:tc>
        <w:tc>
          <w:tcPr>
            <w:tcW w:w="980" w:type="dxa"/>
            <w:vAlign w:val="bottom"/>
            <w:gridSpan w:val="2"/>
          </w:tcPr>
          <w:p>
            <w:pPr>
              <w:jc w:val="center"/>
              <w:spacing w:after="0" w:line="115" w:lineRule="exact"/>
              <w:rPr>
                <w:sz w:val="20"/>
                <w:szCs w:val="20"/>
                <w:color w:val="auto"/>
              </w:rPr>
            </w:pPr>
            <w:r>
              <w:rPr>
                <w:rFonts w:ascii="Arial" w:cs="Arial" w:eastAsia="Arial" w:hAnsi="Arial"/>
                <w:sz w:val="12"/>
                <w:szCs w:val="12"/>
                <w:color w:val="auto"/>
                <w:w w:val="98"/>
              </w:rPr>
              <w:t>Pro Forma</w:t>
            </w:r>
          </w:p>
        </w:tc>
        <w:tc>
          <w:tcPr>
            <w:tcW w:w="220" w:type="dxa"/>
            <w:vAlign w:val="bottom"/>
          </w:tcPr>
          <w:p>
            <w:pPr>
              <w:spacing w:after="0"/>
              <w:rPr>
                <w:sz w:val="10"/>
                <w:szCs w:val="10"/>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140" w:type="dxa"/>
            <w:vAlign w:val="bottom"/>
            <w:gridSpan w:val="2"/>
            <w:vMerge w:val="restart"/>
          </w:tcPr>
          <w:p>
            <w:pPr>
              <w:jc w:val="right"/>
              <w:ind w:right="155"/>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6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Pro Forma</w:t>
            </w:r>
          </w:p>
        </w:tc>
        <w:tc>
          <w:tcPr>
            <w:tcW w:w="22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3"/>
                <w:szCs w:val="13"/>
                <w:color w:val="auto"/>
                <w:w w:val="89"/>
              </w:rPr>
              <w:t>Forma</w:t>
            </w:r>
            <w:r>
              <w:rPr>
                <w:rFonts w:ascii="Arial" w:cs="Arial" w:eastAsia="Arial" w:hAnsi="Arial"/>
                <w:sz w:val="20"/>
                <w:szCs w:val="20"/>
                <w:color w:val="auto"/>
                <w:w w:val="89"/>
                <w:vertAlign w:val="superscript"/>
              </w:rPr>
              <w:t>(b)</w:t>
            </w:r>
          </w:p>
        </w:tc>
        <w:tc>
          <w:tcPr>
            <w:tcW w:w="1200" w:type="dxa"/>
            <w:vAlign w:val="bottom"/>
            <w:gridSpan w:val="3"/>
          </w:tcPr>
          <w:p>
            <w:pPr>
              <w:ind w:left="140"/>
              <w:spacing w:after="0" w:line="176" w:lineRule="exact"/>
              <w:rPr>
                <w:sz w:val="20"/>
                <w:szCs w:val="20"/>
                <w:color w:val="auto"/>
              </w:rPr>
            </w:pPr>
            <w:r>
              <w:rPr>
                <w:rFonts w:ascii="Arial" w:cs="Arial" w:eastAsia="Arial" w:hAnsi="Arial"/>
                <w:sz w:val="13"/>
                <w:szCs w:val="13"/>
                <w:color w:val="auto"/>
              </w:rPr>
              <w:t>Combined</w:t>
            </w:r>
            <w:r>
              <w:rPr>
                <w:rFonts w:ascii="Arial" w:cs="Arial" w:eastAsia="Arial" w:hAnsi="Arial"/>
                <w:sz w:val="20"/>
                <w:szCs w:val="20"/>
                <w:color w:val="auto"/>
                <w:vertAlign w:val="superscript"/>
              </w:rPr>
              <w:t>(c)</w:t>
            </w:r>
          </w:p>
        </w:tc>
        <w:tc>
          <w:tcPr>
            <w:tcW w:w="80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80" w:type="dxa"/>
            <w:vAlign w:val="bottom"/>
            <w:gridSpan w:val="3"/>
          </w:tcPr>
          <w:p>
            <w:pPr>
              <w:ind w:left="140"/>
              <w:spacing w:after="0" w:line="176" w:lineRule="exact"/>
              <w:rPr>
                <w:sz w:val="20"/>
                <w:szCs w:val="20"/>
                <w:color w:val="auto"/>
              </w:rPr>
            </w:pPr>
            <w:r>
              <w:rPr>
                <w:rFonts w:ascii="Arial" w:cs="Arial" w:eastAsia="Arial" w:hAnsi="Arial"/>
                <w:sz w:val="13"/>
                <w:szCs w:val="13"/>
                <w:color w:val="auto"/>
              </w:rPr>
              <w:t>Combined</w:t>
            </w:r>
            <w:r>
              <w:rPr>
                <w:rFonts w:ascii="Arial" w:cs="Arial" w:eastAsia="Arial" w:hAnsi="Arial"/>
                <w:sz w:val="20"/>
                <w:szCs w:val="20"/>
                <w:color w:val="auto"/>
                <w:vertAlign w:val="superscript"/>
              </w:rPr>
              <w:t>(c)</w:t>
            </w:r>
          </w:p>
        </w:tc>
        <w:tc>
          <w:tcPr>
            <w:tcW w:w="280" w:type="dxa"/>
            <w:vAlign w:val="bottom"/>
          </w:tcPr>
          <w:p>
            <w:pPr>
              <w:spacing w:after="0"/>
              <w:rPr>
                <w:sz w:val="15"/>
                <w:szCs w:val="15"/>
                <w:color w:val="auto"/>
              </w:rPr>
            </w:pPr>
          </w:p>
        </w:tc>
        <w:tc>
          <w:tcPr>
            <w:tcW w:w="1440" w:type="dxa"/>
            <w:vAlign w:val="bottom"/>
            <w:gridSpan w:val="2"/>
          </w:tcPr>
          <w:p>
            <w:pPr>
              <w:jc w:val="right"/>
              <w:ind w:right="254"/>
              <w:spacing w:after="0"/>
              <w:rPr>
                <w:sz w:val="20"/>
                <w:szCs w:val="20"/>
                <w:color w:val="auto"/>
              </w:rPr>
            </w:pPr>
            <w:r>
              <w:rPr>
                <w:rFonts w:ascii="Arial" w:cs="Arial" w:eastAsia="Arial" w:hAnsi="Arial"/>
                <w:sz w:val="14"/>
                <w:szCs w:val="14"/>
                <w:color w:val="auto"/>
                <w:w w:val="85"/>
              </w:rPr>
              <w:t>Increase/(Decrease)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79"/>
              <w:spacing w:after="0" w:line="131" w:lineRule="exact"/>
              <w:rPr>
                <w:sz w:val="20"/>
                <w:szCs w:val="20"/>
                <w:color w:val="auto"/>
              </w:rPr>
            </w:pPr>
            <w:r>
              <w:rPr>
                <w:rFonts w:ascii="Arial" w:cs="Arial" w:eastAsia="Arial" w:hAnsi="Arial"/>
                <w:sz w:val="14"/>
                <w:szCs w:val="14"/>
                <w:color w:val="auto"/>
                <w:w w:val="90"/>
              </w:rPr>
              <w:t>For the</w:t>
            </w: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Six</w:t>
            </w:r>
          </w:p>
        </w:tc>
        <w:tc>
          <w:tcPr>
            <w:tcW w:w="220" w:type="dxa"/>
            <w:vAlign w:val="bottom"/>
          </w:tcPr>
          <w:p>
            <w:pPr>
              <w:spacing w:after="0"/>
              <w:rPr>
                <w:sz w:val="12"/>
                <w:szCs w:val="12"/>
                <w:color w:val="auto"/>
              </w:rPr>
            </w:pPr>
          </w:p>
        </w:tc>
        <w:tc>
          <w:tcPr>
            <w:tcW w:w="700" w:type="dxa"/>
            <w:vAlign w:val="bottom"/>
          </w:tcPr>
          <w:p>
            <w:pPr>
              <w:jc w:val="center"/>
              <w:ind w:right="179"/>
              <w:spacing w:after="0" w:line="149" w:lineRule="exact"/>
              <w:rPr>
                <w:sz w:val="20"/>
                <w:szCs w:val="20"/>
                <w:color w:val="auto"/>
              </w:rPr>
            </w:pPr>
            <w:r>
              <w:rPr>
                <w:rFonts w:ascii="Arial" w:cs="Arial" w:eastAsia="Arial" w:hAnsi="Arial"/>
                <w:sz w:val="14"/>
                <w:szCs w:val="14"/>
                <w:color w:val="auto"/>
                <w:w w:val="88"/>
              </w:rPr>
              <w:t>Period</w:t>
            </w: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92"/>
              </w:rPr>
              <w:t>Six Months</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89"/>
              </w:rPr>
              <w:t>Six Months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color w:val="auto"/>
                <w:w w:val="91"/>
              </w:rPr>
              <w:t>Months</w:t>
            </w: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84"/>
              </w:rPr>
              <w:t>January 1</w:t>
            </w:r>
          </w:p>
        </w:tc>
        <w:tc>
          <w:tcPr>
            <w:tcW w:w="1200" w:type="dxa"/>
            <w:vAlign w:val="bottom"/>
            <w:gridSpan w:val="3"/>
            <w:vMerge w:val="continue"/>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3"/>
              </w:rPr>
              <w:t>Ended</w:t>
            </w:r>
          </w:p>
        </w:tc>
        <w:tc>
          <w:tcPr>
            <w:tcW w:w="220" w:type="dxa"/>
            <w:vAlign w:val="bottom"/>
          </w:tcPr>
          <w:p>
            <w:pPr>
              <w:spacing w:after="0"/>
              <w:rPr>
                <w:sz w:val="12"/>
                <w:szCs w:val="12"/>
                <w:color w:val="auto"/>
              </w:rPr>
            </w:pPr>
          </w:p>
        </w:tc>
        <w:tc>
          <w:tcPr>
            <w:tcW w:w="700" w:type="dxa"/>
            <w:vAlign w:val="bottom"/>
          </w:tcPr>
          <w:p>
            <w:pPr>
              <w:jc w:val="center"/>
              <w:ind w:right="199"/>
              <w:spacing w:after="0" w:line="149" w:lineRule="exact"/>
              <w:rPr>
                <w:sz w:val="20"/>
                <w:szCs w:val="20"/>
                <w:color w:val="auto"/>
              </w:rPr>
            </w:pPr>
            <w:r>
              <w:rPr>
                <w:rFonts w:ascii="Arial" w:cs="Arial" w:eastAsia="Arial" w:hAnsi="Arial"/>
                <w:sz w:val="14"/>
                <w:szCs w:val="14"/>
                <w:color w:val="auto"/>
                <w:w w:val="88"/>
              </w:rPr>
              <w:t>through</w:t>
            </w:r>
          </w:p>
        </w:tc>
        <w:tc>
          <w:tcPr>
            <w:tcW w:w="26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3"/>
              </w:rPr>
              <w:t>Ended</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Content</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3"/>
              </w:rPr>
              <w:t>Ended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Pr>
          <w:p>
            <w:pPr>
              <w:jc w:val="center"/>
              <w:spacing w:after="0"/>
              <w:rPr>
                <w:sz w:val="20"/>
                <w:szCs w:val="20"/>
                <w:color w:val="auto"/>
              </w:rPr>
            </w:pPr>
            <w:r>
              <w:rPr>
                <w:rFonts w:ascii="Arial" w:cs="Arial" w:eastAsia="Arial" w:hAnsi="Arial"/>
                <w:sz w:val="14"/>
                <w:szCs w:val="14"/>
                <w:color w:val="auto"/>
                <w:w w:val="84"/>
              </w:rPr>
              <w:t>June 30</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6"/>
              </w:rPr>
              <w:t>January 28</w:t>
            </w:r>
          </w:p>
        </w:tc>
        <w:tc>
          <w:tcPr>
            <w:tcW w:w="260" w:type="dxa"/>
            <w:vAlign w:val="bottom"/>
          </w:tcPr>
          <w:p>
            <w:pPr>
              <w:spacing w:after="0"/>
              <w:rPr>
                <w:sz w:val="15"/>
                <w:szCs w:val="15"/>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color w:val="auto"/>
                <w:w w:val="84"/>
              </w:rPr>
              <w:t>June 30</w:t>
            </w:r>
          </w:p>
        </w:tc>
        <w:tc>
          <w:tcPr>
            <w:tcW w:w="800" w:type="dxa"/>
            <w:vAlign w:val="bottom"/>
            <w:gridSpan w:val="2"/>
          </w:tcPr>
          <w:p>
            <w:pPr>
              <w:ind w:left="180"/>
              <w:spacing w:after="0"/>
              <w:rPr>
                <w:sz w:val="20"/>
                <w:szCs w:val="20"/>
                <w:color w:val="auto"/>
              </w:rPr>
            </w:pPr>
            <w:r>
              <w:rPr>
                <w:rFonts w:ascii="Arial" w:cs="Arial" w:eastAsia="Arial" w:hAnsi="Arial"/>
                <w:sz w:val="14"/>
                <w:szCs w:val="14"/>
                <w:color w:val="auto"/>
              </w:rPr>
              <w:t>Business</w:t>
            </w:r>
          </w:p>
        </w:tc>
        <w:tc>
          <w:tcPr>
            <w:tcW w:w="24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color w:val="auto"/>
                <w:w w:val="80"/>
              </w:rPr>
              <w:t>Businesses</w:t>
            </w:r>
          </w:p>
        </w:tc>
        <w:tc>
          <w:tcPr>
            <w:tcW w:w="240" w:type="dxa"/>
            <w:vAlign w:val="bottom"/>
          </w:tcPr>
          <w:p>
            <w:pPr>
              <w:spacing w:after="0"/>
              <w:rPr>
                <w:sz w:val="15"/>
                <w:szCs w:val="15"/>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color w:val="auto"/>
                <w:w w:val="84"/>
              </w:rPr>
              <w:t>June 30</w:t>
            </w:r>
          </w:p>
        </w:tc>
        <w:tc>
          <w:tcPr>
            <w:tcW w:w="280" w:type="dxa"/>
            <w:vAlign w:val="bottom"/>
          </w:tcPr>
          <w:p>
            <w:pPr>
              <w:spacing w:after="0"/>
              <w:rPr>
                <w:sz w:val="15"/>
                <w:szCs w:val="15"/>
                <w:color w:val="auto"/>
              </w:rPr>
            </w:pPr>
          </w:p>
        </w:tc>
        <w:tc>
          <w:tcPr>
            <w:tcW w:w="600" w:type="dxa"/>
            <w:vAlign w:val="bottom"/>
          </w:tcPr>
          <w:p>
            <w:pPr>
              <w:jc w:val="right"/>
              <w:ind w:right="335"/>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7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860" w:type="dxa"/>
            <w:vAlign w:val="bottom"/>
          </w:tcPr>
          <w:p>
            <w:pPr>
              <w:jc w:val="right"/>
              <w:ind w:right="98"/>
              <w:spacing w:after="0"/>
              <w:rPr>
                <w:sz w:val="20"/>
                <w:szCs w:val="20"/>
                <w:color w:val="auto"/>
              </w:rPr>
            </w:pPr>
            <w:r>
              <w:rPr>
                <w:rFonts w:ascii="Arial" w:cs="Arial" w:eastAsia="Arial" w:hAnsi="Arial"/>
                <w:sz w:val="18"/>
                <w:szCs w:val="18"/>
                <w:color w:val="auto"/>
              </w:rPr>
              <w:t>$3,805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388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4,193</w:t>
            </w:r>
          </w:p>
        </w:tc>
        <w:tc>
          <w:tcPr>
            <w:tcW w:w="22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1,355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2,357</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3,712</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5"/>
              <w:spacing w:after="0"/>
              <w:rPr>
                <w:sz w:val="20"/>
                <w:szCs w:val="20"/>
                <w:color w:val="auto"/>
              </w:rPr>
            </w:pPr>
            <w:r>
              <w:rPr>
                <w:rFonts w:ascii="Arial" w:cs="Arial" w:eastAsia="Arial" w:hAnsi="Arial"/>
                <w:sz w:val="18"/>
                <w:szCs w:val="18"/>
                <w:color w:val="auto"/>
              </w:rPr>
              <w:t>481</w:t>
            </w: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86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2,583</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3,047</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3,508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3,508</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w w:val="99"/>
              </w:rPr>
              <w:t>(461)</w:t>
            </w:r>
          </w:p>
        </w:tc>
        <w:tc>
          <w:tcPr>
            <w:tcW w:w="8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860" w:type="dxa"/>
            <w:vAlign w:val="bottom"/>
          </w:tcPr>
          <w:p>
            <w:pPr>
              <w:jc w:val="right"/>
              <w:ind w:right="98"/>
              <w:spacing w:after="0"/>
              <w:rPr>
                <w:sz w:val="20"/>
                <w:szCs w:val="20"/>
                <w:color w:val="auto"/>
              </w:rPr>
            </w:pPr>
            <w:r>
              <w:rPr>
                <w:rFonts w:ascii="Arial" w:cs="Arial" w:eastAsia="Arial" w:hAnsi="Arial"/>
                <w:sz w:val="18"/>
                <w:szCs w:val="18"/>
                <w:color w:val="auto"/>
              </w:rPr>
              <w:t>1,876</w:t>
            </w:r>
          </w:p>
        </w:tc>
        <w:tc>
          <w:tcPr>
            <w:tcW w:w="22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2,229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2,097</w:t>
            </w:r>
          </w:p>
        </w:tc>
        <w:tc>
          <w:tcPr>
            <w:tcW w:w="240" w:type="dxa"/>
            <w:vAlign w:val="bottom"/>
          </w:tcPr>
          <w:p>
            <w:pPr>
              <w:spacing w:after="0"/>
              <w:rPr>
                <w:sz w:val="18"/>
                <w:szCs w:val="18"/>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135"/>
              <w:spacing w:after="0"/>
              <w:rPr>
                <w:sz w:val="20"/>
                <w:szCs w:val="20"/>
                <w:color w:val="auto"/>
              </w:rPr>
            </w:pPr>
            <w:r>
              <w:rPr>
                <w:rFonts w:ascii="Arial" w:cs="Arial" w:eastAsia="Arial" w:hAnsi="Arial"/>
                <w:sz w:val="18"/>
                <w:szCs w:val="18"/>
                <w:color w:val="auto"/>
              </w:rPr>
              <w:t>132</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86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27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40</w:t>
            </w:r>
          </w:p>
        </w:tc>
        <w:tc>
          <w:tcPr>
            <w:tcW w:w="8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b w:val="1"/>
                <w:bCs w:val="1"/>
                <w:color w:val="auto"/>
              </w:rPr>
              <w:t>$8,322</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b w:val="1"/>
                <w:bCs w:val="1"/>
                <w:color w:val="auto"/>
              </w:rPr>
              <w:t>1,205</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9,527</w:t>
            </w:r>
          </w:p>
        </w:tc>
        <w:tc>
          <w:tcPr>
            <w:tcW w:w="22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4"/>
              </w:rPr>
              <w:t>1,355</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7,982</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9,337</w:t>
            </w:r>
          </w:p>
        </w:tc>
        <w:tc>
          <w:tcPr>
            <w:tcW w:w="220" w:type="dxa"/>
            <w:vAlign w:val="bottom"/>
            <w:tcBorders>
              <w:bottom w:val="single" w:sz="8" w:color="E5E5E5"/>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190</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2"/>
        </w:trPr>
        <w:tc>
          <w:tcPr>
            <w:tcW w:w="360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Operating Income Before Depreciation and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Arial" w:cs="Arial" w:eastAsia="Arial" w:hAnsi="Arial"/>
                <w:sz w:val="18"/>
                <w:szCs w:val="18"/>
                <w:b w:val="1"/>
                <w:bCs w:val="1"/>
                <w:color w:val="auto"/>
              </w:rPr>
              <w:t>Amortization</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86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$ 1,511</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1,663</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1,201</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1,599</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64</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860" w:type="dxa"/>
            <w:vAlign w:val="bottom"/>
          </w:tcPr>
          <w:p>
            <w:pPr>
              <w:jc w:val="right"/>
              <w:ind w:right="98"/>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135"/>
              <w:spacing w:after="0"/>
              <w:rPr>
                <w:sz w:val="20"/>
                <w:szCs w:val="20"/>
                <w:color w:val="auto"/>
              </w:rPr>
            </w:pPr>
            <w:r>
              <w:rPr>
                <w:rFonts w:ascii="Arial" w:cs="Arial" w:eastAsia="Arial" w:hAnsi="Arial"/>
                <w:sz w:val="18"/>
                <w:szCs w:val="18"/>
                <w:color w:val="auto"/>
              </w:rPr>
              <w:t>217</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8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w w:val="99"/>
              </w:rPr>
              <w:t>(111)</w:t>
            </w:r>
          </w:p>
        </w:tc>
        <w:tc>
          <w:tcPr>
            <w:tcW w:w="8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860" w:type="dxa"/>
            <w:vAlign w:val="bottom"/>
          </w:tcPr>
          <w:p>
            <w:pPr>
              <w:jc w:val="right"/>
              <w:ind w:right="98"/>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135"/>
              <w:spacing w:after="0"/>
              <w:rPr>
                <w:sz w:val="20"/>
                <w:szCs w:val="20"/>
                <w:color w:val="auto"/>
              </w:rPr>
            </w:pPr>
            <w:r>
              <w:rPr>
                <w:rFonts w:ascii="Arial" w:cs="Arial" w:eastAsia="Arial" w:hAnsi="Arial"/>
                <w:sz w:val="18"/>
                <w:szCs w:val="18"/>
                <w:color w:val="auto"/>
              </w:rPr>
              <w:t>119</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86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E5E5E5"/>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E5E5E5"/>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w w:val="99"/>
              </w:rPr>
              <w:t>(217)</w:t>
            </w:r>
          </w:p>
        </w:tc>
        <w:tc>
          <w:tcPr>
            <w:tcW w:w="8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195"/>
        </w:trPr>
        <w:tc>
          <w:tcPr>
            <w:tcW w:w="3600" w:type="dxa"/>
            <w:vAlign w:val="bottom"/>
          </w:tcPr>
          <w:p>
            <w:pPr>
              <w:spacing w:after="0" w:line="195" w:lineRule="exact"/>
              <w:rPr>
                <w:sz w:val="20"/>
                <w:szCs w:val="20"/>
                <w:color w:val="auto"/>
              </w:rPr>
            </w:pPr>
            <w:r>
              <w:rPr>
                <w:rFonts w:ascii="Arial" w:cs="Arial" w:eastAsia="Arial" w:hAnsi="Arial"/>
                <w:sz w:val="18"/>
                <w:szCs w:val="18"/>
                <w:b w:val="1"/>
                <w:bCs w:val="1"/>
                <w:color w:val="auto"/>
                <w:w w:val="87"/>
              </w:rPr>
              <w:t>Total operating income before depreciation and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8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$1,459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38</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1,497</w:t>
            </w:r>
          </w:p>
        </w:tc>
        <w:tc>
          <w:tcPr>
            <w:tcW w:w="220" w:type="dxa"/>
            <w:vAlign w:val="bottom"/>
          </w:tcPr>
          <w:p>
            <w:pPr>
              <w:spacing w:after="0"/>
              <w:rPr>
                <w:sz w:val="20"/>
                <w:szCs w:val="20"/>
                <w:color w:val="auto"/>
              </w:rPr>
            </w:pP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398</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1,027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1,425</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72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three and six months ended June 30, 2011 and 2010 and the results of operations for the NBCUniversal acquired businesses for the three months ended June 30, 2011 and for the period January 29 through June 30, 2011.</w:t>
      </w:r>
    </w:p>
    <w:p>
      <w:pPr>
        <w:spacing w:after="0" w:line="43" w:lineRule="exact"/>
        <w:rPr>
          <w:rFonts w:ascii="Arial" w:cs="Arial" w:eastAsia="Arial" w:hAnsi="Arial"/>
          <w:sz w:val="14"/>
          <w:szCs w:val="14"/>
          <w:color w:val="auto"/>
        </w:rPr>
      </w:pPr>
    </w:p>
    <w:p>
      <w:pPr>
        <w:jc w:val="both"/>
        <w:ind w:left="340" w:hanging="332"/>
        <w:spacing w:after="0" w:line="270"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2011 through January 28, 2011 and for the three and six months ended June 30, 2010. These amounts also include pro forma adjustments as if the NBCUniversal transaction had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 Total pro forma adjustments increased operating income before depreciation and amortization by $3 million and $31 million for the period January 1 through January 28, 2011 and the six months ended June 30, 2010, respectively. Total pro forma adjustments decreased operating income before depreciation and amortization by $5 million for the three months ended June 30, 2010.</w:t>
      </w:r>
    </w:p>
    <w:p>
      <w:pPr>
        <w:spacing w:after="0" w:line="27"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Segment—Actual and Pro Forma Results of Operations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Networks segment consists primarily of our national cable entertainment networks (USA Network, Syfy, E!, Bravo, Oxygen, Style, G4, Chiller, Sleuth and Universal HD); our national news and information networks (CNBC, MSNBC and CNBC World); our national cable sports networks (Golf Channel and VERSUS); our regional sports and news networks; our international entertainment and news and information networks (including CNBC Europe, CNBC Asia and our Universal Networks International portfolio of networks); our cable television production operations; and certain digital media properties consisting primarily of brand-aligned websites and other websites, such as DailyCandy, Fandango and iVillage.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gridSpan w:val="6"/>
          </w:tcPr>
          <w:p>
            <w:pPr>
              <w:ind w:left="260"/>
              <w:spacing w:after="0"/>
              <w:rPr>
                <w:sz w:val="20"/>
                <w:szCs w:val="20"/>
                <w:color w:val="auto"/>
              </w:rPr>
            </w:pPr>
            <w:r>
              <w:rPr>
                <w:rFonts w:ascii="Arial" w:cs="Arial" w:eastAsia="Arial" w:hAnsi="Arial"/>
                <w:sz w:val="14"/>
                <w:szCs w:val="14"/>
                <w:color w:val="auto"/>
              </w:rPr>
              <w:t>Three Months Ended June 30, 2010</w:t>
            </w:r>
          </w:p>
        </w:tc>
        <w:tc>
          <w:tcPr>
            <w:tcW w:w="380" w:type="dxa"/>
            <w:vAlign w:val="bottom"/>
          </w:tcPr>
          <w:p>
            <w:pPr>
              <w:spacing w:after="0"/>
              <w:rPr>
                <w:sz w:val="14"/>
                <w:szCs w:val="14"/>
                <w:color w:val="auto"/>
              </w:rPr>
            </w:pPr>
          </w:p>
        </w:tc>
        <w:tc>
          <w:tcPr>
            <w:tcW w:w="1520" w:type="dxa"/>
            <w:vAlign w:val="bottom"/>
            <w:gridSpan w:val="2"/>
            <w:vMerge w:val="restart"/>
          </w:tcPr>
          <w:p>
            <w:pPr>
              <w:jc w:val="right"/>
              <w:ind w:right="255"/>
              <w:spacing w:after="0"/>
              <w:rPr>
                <w:sz w:val="20"/>
                <w:szCs w:val="20"/>
                <w:color w:val="auto"/>
              </w:rPr>
            </w:pPr>
            <w:r>
              <w:rPr>
                <w:rFonts w:ascii="Arial" w:cs="Arial" w:eastAsia="Arial" w:hAnsi="Arial"/>
                <w:sz w:val="14"/>
                <w:szCs w:val="14"/>
                <w:color w:val="auto"/>
                <w:w w:val="86"/>
              </w:rPr>
              <w:t>Pro Forma Combined</w:t>
            </w:r>
          </w:p>
        </w:tc>
        <w:tc>
          <w:tcPr>
            <w:tcW w:w="0" w:type="dxa"/>
            <w:vAlign w:val="bottom"/>
          </w:tcPr>
          <w:p>
            <w:pPr>
              <w:spacing w:after="0"/>
              <w:rPr>
                <w:sz w:val="1"/>
                <w:szCs w:val="1"/>
                <w:color w:val="auto"/>
              </w:rPr>
            </w:pPr>
          </w:p>
        </w:tc>
      </w:tr>
      <w:tr>
        <w:trPr>
          <w:trHeight w:val="115"/>
        </w:trPr>
        <w:tc>
          <w:tcPr>
            <w:tcW w:w="4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2"/>
            <w:vMerge w:val="restart"/>
          </w:tcPr>
          <w:p>
            <w:pPr>
              <w:jc w:val="center"/>
              <w:ind w:right="54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96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200" w:type="dxa"/>
            <w:vAlign w:val="bottom"/>
            <w:tcBorders>
              <w:top w:val="single" w:sz="8" w:color="auto"/>
            </w:tcBorders>
            <w:gridSpan w:val="2"/>
            <w:vMerge w:val="restart"/>
          </w:tcPr>
          <w:p>
            <w:pPr>
              <w:jc w:val="right"/>
              <w:ind w:right="155"/>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60" w:type="dxa"/>
            <w:vAlign w:val="bottom"/>
            <w:tcBorders>
              <w:top w:val="single" w:sz="8" w:color="auto"/>
            </w:tcBorders>
            <w:gridSpan w:val="2"/>
          </w:tcPr>
          <w:p>
            <w:pPr>
              <w:jc w:val="center"/>
              <w:ind w:left="25"/>
              <w:spacing w:after="0" w:line="115" w:lineRule="exact"/>
              <w:rPr>
                <w:sz w:val="20"/>
                <w:szCs w:val="20"/>
                <w:color w:val="auto"/>
              </w:rPr>
            </w:pPr>
            <w:r>
              <w:rPr>
                <w:rFonts w:ascii="Arial" w:cs="Arial" w:eastAsia="Arial" w:hAnsi="Arial"/>
                <w:sz w:val="12"/>
                <w:szCs w:val="12"/>
                <w:color w:val="auto"/>
              </w:rPr>
              <w:t>Pro Forma</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80" w:type="dxa"/>
            <w:vAlign w:val="bottom"/>
            <w:gridSpan w:val="3"/>
          </w:tcPr>
          <w:p>
            <w:pPr>
              <w:ind w:left="180"/>
              <w:spacing w:after="0" w:line="176" w:lineRule="exact"/>
              <w:rPr>
                <w:sz w:val="20"/>
                <w:szCs w:val="20"/>
                <w:color w:val="auto"/>
              </w:rPr>
            </w:pPr>
            <w:r>
              <w:rPr>
                <w:rFonts w:ascii="Arial" w:cs="Arial" w:eastAsia="Arial" w:hAnsi="Arial"/>
                <w:sz w:val="13"/>
                <w:szCs w:val="13"/>
                <w:color w:val="auto"/>
              </w:rPr>
              <w:t>Combined</w:t>
            </w:r>
            <w:r>
              <w:rPr>
                <w:rFonts w:ascii="Arial" w:cs="Arial" w:eastAsia="Arial" w:hAnsi="Arial"/>
                <w:sz w:val="20"/>
                <w:szCs w:val="20"/>
                <w:color w:val="auto"/>
                <w:vertAlign w:val="superscript"/>
              </w:rPr>
              <w:t>(c)</w:t>
            </w:r>
          </w:p>
        </w:tc>
        <w:tc>
          <w:tcPr>
            <w:tcW w:w="380" w:type="dxa"/>
            <w:vAlign w:val="bottom"/>
          </w:tcPr>
          <w:p>
            <w:pPr>
              <w:spacing w:after="0"/>
              <w:rPr>
                <w:sz w:val="15"/>
                <w:szCs w:val="15"/>
                <w:color w:val="auto"/>
              </w:rPr>
            </w:pPr>
          </w:p>
        </w:tc>
        <w:tc>
          <w:tcPr>
            <w:tcW w:w="1520" w:type="dxa"/>
            <w:vAlign w:val="bottom"/>
            <w:gridSpan w:val="2"/>
          </w:tcPr>
          <w:p>
            <w:pPr>
              <w:jc w:val="right"/>
              <w:ind w:right="295"/>
              <w:spacing w:after="0"/>
              <w:rPr>
                <w:sz w:val="20"/>
                <w:szCs w:val="20"/>
                <w:color w:val="auto"/>
              </w:rPr>
            </w:pPr>
            <w:r>
              <w:rPr>
                <w:rFonts w:ascii="Arial" w:cs="Arial" w:eastAsia="Arial" w:hAnsi="Arial"/>
                <w:sz w:val="14"/>
                <w:szCs w:val="14"/>
                <w:color w:val="auto"/>
                <w:w w:val="88"/>
              </w:rPr>
              <w:t>Increase/(Decrease)</w:t>
            </w: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140" w:type="dxa"/>
            <w:vAlign w:val="bottom"/>
            <w:tcBorders>
              <w:top w:val="single" w:sz="8" w:color="auto"/>
            </w:tcBorders>
            <w:gridSpan w:val="2"/>
          </w:tcPr>
          <w:p>
            <w:pPr>
              <w:jc w:val="center"/>
              <w:ind w:left="99"/>
              <w:spacing w:after="0" w:line="131" w:lineRule="exact"/>
              <w:rPr>
                <w:sz w:val="20"/>
                <w:szCs w:val="20"/>
                <w:color w:val="auto"/>
              </w:rPr>
            </w:pPr>
            <w:r>
              <w:rPr>
                <w:rFonts w:ascii="Arial" w:cs="Arial" w:eastAsia="Arial" w:hAnsi="Arial"/>
                <w:sz w:val="14"/>
                <w:szCs w:val="14"/>
                <w:color w:val="auto"/>
                <w:w w:val="87"/>
              </w:rPr>
              <w:t>Three Months</w:t>
            </w:r>
          </w:p>
        </w:tc>
        <w:tc>
          <w:tcPr>
            <w:tcW w:w="3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8"/>
              </w:rPr>
              <w:t>Ended</w:t>
            </w:r>
          </w:p>
        </w:tc>
        <w:tc>
          <w:tcPr>
            <w:tcW w:w="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1"/>
              </w:rPr>
              <w:t>June 30,</w:t>
            </w:r>
          </w:p>
        </w:tc>
        <w:tc>
          <w:tcPr>
            <w:tcW w:w="96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Content</w:t>
            </w:r>
          </w:p>
        </w:tc>
        <w:tc>
          <w:tcPr>
            <w:tcW w:w="12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NBCUniversal</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5"/>
                <w:szCs w:val="15"/>
                <w:color w:val="auto"/>
              </w:rPr>
            </w:pPr>
          </w:p>
        </w:tc>
        <w:tc>
          <w:tcPr>
            <w:tcW w:w="740" w:type="dxa"/>
            <w:vAlign w:val="bottom"/>
          </w:tcPr>
          <w:p>
            <w:pPr>
              <w:jc w:val="center"/>
              <w:ind w:right="140"/>
              <w:spacing w:after="0"/>
              <w:rPr>
                <w:sz w:val="20"/>
                <w:szCs w:val="20"/>
                <w:color w:val="auto"/>
              </w:rPr>
            </w:pPr>
            <w:r>
              <w:rPr>
                <w:rFonts w:ascii="Arial" w:cs="Arial" w:eastAsia="Arial" w:hAnsi="Arial"/>
                <w:sz w:val="14"/>
                <w:szCs w:val="14"/>
                <w:color w:val="auto"/>
                <w:w w:val="89"/>
              </w:rPr>
              <w:t>2011</w:t>
            </w:r>
          </w:p>
        </w:tc>
        <w:tc>
          <w:tcPr>
            <w:tcW w:w="320" w:type="dxa"/>
            <w:vAlign w:val="bottom"/>
          </w:tcPr>
          <w:p>
            <w:pPr>
              <w:spacing w:after="0"/>
              <w:rPr>
                <w:sz w:val="15"/>
                <w:szCs w:val="15"/>
                <w:color w:val="auto"/>
              </w:rPr>
            </w:pPr>
          </w:p>
        </w:tc>
        <w:tc>
          <w:tcPr>
            <w:tcW w:w="960" w:type="dxa"/>
            <w:vAlign w:val="bottom"/>
            <w:gridSpan w:val="2"/>
          </w:tcPr>
          <w:p>
            <w:pPr>
              <w:ind w:left="300"/>
              <w:spacing w:after="0"/>
              <w:rPr>
                <w:sz w:val="20"/>
                <w:szCs w:val="20"/>
                <w:color w:val="auto"/>
              </w:rPr>
            </w:pPr>
            <w:r>
              <w:rPr>
                <w:rFonts w:ascii="Arial" w:cs="Arial" w:eastAsia="Arial" w:hAnsi="Arial"/>
                <w:sz w:val="14"/>
                <w:szCs w:val="14"/>
                <w:color w:val="auto"/>
              </w:rPr>
              <w:t>Business</w:t>
            </w:r>
          </w:p>
        </w:tc>
        <w:tc>
          <w:tcPr>
            <w:tcW w:w="30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color w:val="auto"/>
                <w:w w:val="80"/>
              </w:rPr>
              <w:t>Businesses</w:t>
            </w:r>
          </w:p>
        </w:tc>
        <w:tc>
          <w:tcPr>
            <w:tcW w:w="3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color w:val="auto"/>
                <w:w w:val="89"/>
              </w:rPr>
              <w:t>Total</w:t>
            </w:r>
          </w:p>
        </w:tc>
        <w:tc>
          <w:tcPr>
            <w:tcW w:w="380" w:type="dxa"/>
            <w:vAlign w:val="bottom"/>
          </w:tcPr>
          <w:p>
            <w:pPr>
              <w:spacing w:after="0"/>
              <w:rPr>
                <w:sz w:val="15"/>
                <w:szCs w:val="15"/>
                <w:color w:val="auto"/>
              </w:rPr>
            </w:pPr>
          </w:p>
        </w:tc>
        <w:tc>
          <w:tcPr>
            <w:tcW w:w="680" w:type="dxa"/>
            <w:vAlign w:val="bottom"/>
          </w:tcPr>
          <w:p>
            <w:pPr>
              <w:jc w:val="right"/>
              <w:ind w:right="41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1,093</w:t>
            </w:r>
          </w:p>
        </w:tc>
        <w:tc>
          <w:tcPr>
            <w:tcW w:w="320" w:type="dxa"/>
            <w:vAlign w:val="bottom"/>
          </w:tcPr>
          <w:p>
            <w:pPr>
              <w:spacing w:after="0"/>
              <w:rPr>
                <w:sz w:val="18"/>
                <w:szCs w:val="18"/>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5"/>
              <w:spacing w:after="0"/>
              <w:rPr>
                <w:sz w:val="20"/>
                <w:szCs w:val="20"/>
                <w:color w:val="auto"/>
              </w:rPr>
            </w:pPr>
            <w:r>
              <w:rPr>
                <w:rFonts w:ascii="Arial" w:cs="Arial" w:eastAsia="Arial" w:hAnsi="Arial"/>
                <w:sz w:val="18"/>
                <w:szCs w:val="18"/>
                <w:color w:val="auto"/>
              </w:rPr>
              <w:t>399</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592</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9"/>
              <w:spacing w:after="0"/>
              <w:rPr>
                <w:sz w:val="20"/>
                <w:szCs w:val="20"/>
                <w:color w:val="auto"/>
              </w:rPr>
            </w:pPr>
            <w:r>
              <w:rPr>
                <w:rFonts w:ascii="Arial" w:cs="Arial" w:eastAsia="Arial" w:hAnsi="Arial"/>
                <w:sz w:val="18"/>
                <w:szCs w:val="18"/>
                <w:color w:val="auto"/>
              </w:rPr>
              <w:t>102</w:t>
            </w: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887</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804</w:t>
            </w:r>
          </w:p>
        </w:tc>
        <w:tc>
          <w:tcPr>
            <w:tcW w:w="3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83</w:t>
            </w:r>
          </w:p>
        </w:tc>
        <w:tc>
          <w:tcPr>
            <w:tcW w:w="8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193</w:t>
            </w:r>
          </w:p>
        </w:tc>
        <w:tc>
          <w:tcPr>
            <w:tcW w:w="320" w:type="dxa"/>
            <w:vAlign w:val="bottom"/>
            <w:tcBorders>
              <w:bottom w:val="single" w:sz="8" w:color="E5E5E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59</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2,173</w:t>
            </w:r>
          </w:p>
        </w:tc>
        <w:tc>
          <w:tcPr>
            <w:tcW w:w="3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1,212</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1,929</w:t>
            </w:r>
          </w:p>
        </w:tc>
        <w:tc>
          <w:tcPr>
            <w:tcW w:w="3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244</w:t>
            </w:r>
          </w:p>
        </w:tc>
        <w:tc>
          <w:tcPr>
            <w:tcW w:w="8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1,327</w:t>
            </w:r>
          </w:p>
        </w:tc>
        <w:tc>
          <w:tcPr>
            <w:tcW w:w="320" w:type="dxa"/>
            <w:vAlign w:val="bottom"/>
            <w:tcBorders>
              <w:bottom w:val="single" w:sz="8" w:color="E5E5E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507</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585</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32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235</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Operating income before depreciation and amortization</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846</w:t>
            </w:r>
          </w:p>
        </w:tc>
        <w:tc>
          <w:tcPr>
            <w:tcW w:w="32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210</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627</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837</w:t>
            </w:r>
          </w:p>
        </w:tc>
        <w:tc>
          <w:tcPr>
            <w:tcW w:w="320" w:type="dxa"/>
            <w:vAlign w:val="bottom"/>
            <w:tcBorders>
              <w:bottom w:val="single" w:sz="8" w:color="E5E5E5"/>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b w:val="1"/>
                <w:bCs w:val="1"/>
                <w:color w:val="auto"/>
              </w:rPr>
              <w:t>9</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vMerge w:val="restart"/>
          </w:tcPr>
          <w:p>
            <w:pPr>
              <w:jc w:val="right"/>
              <w:ind w:right="215"/>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220" w:type="dxa"/>
            <w:vAlign w:val="bottom"/>
          </w:tcPr>
          <w:p>
            <w:pPr>
              <w:spacing w:after="0"/>
              <w:rPr>
                <w:sz w:val="10"/>
                <w:szCs w:val="10"/>
                <w:color w:val="auto"/>
              </w:rPr>
            </w:pPr>
          </w:p>
        </w:tc>
        <w:tc>
          <w:tcPr>
            <w:tcW w:w="660" w:type="dxa"/>
            <w:vAlign w:val="bottom"/>
          </w:tcPr>
          <w:p>
            <w:pPr>
              <w:jc w:val="center"/>
              <w:ind w:right="142"/>
              <w:spacing w:after="0" w:line="115" w:lineRule="exact"/>
              <w:rPr>
                <w:sz w:val="20"/>
                <w:szCs w:val="20"/>
                <w:color w:val="auto"/>
              </w:rPr>
            </w:pPr>
            <w:r>
              <w:rPr>
                <w:rFonts w:ascii="Arial" w:cs="Arial" w:eastAsia="Arial" w:hAnsi="Arial"/>
                <w:sz w:val="12"/>
                <w:szCs w:val="12"/>
                <w:color w:val="auto"/>
              </w:rPr>
              <w:t>Pro</w:t>
            </w:r>
          </w:p>
        </w:tc>
        <w:tc>
          <w:tcPr>
            <w:tcW w:w="92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Pro Forma</w:t>
            </w:r>
          </w:p>
        </w:tc>
        <w:tc>
          <w:tcPr>
            <w:tcW w:w="20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080" w:type="dxa"/>
            <w:vAlign w:val="bottom"/>
            <w:gridSpan w:val="2"/>
            <w:vMerge w:val="restart"/>
          </w:tcPr>
          <w:p>
            <w:pPr>
              <w:jc w:val="right"/>
              <w:ind w:right="117"/>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2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Pro Forma</w:t>
            </w:r>
          </w:p>
        </w:tc>
        <w:tc>
          <w:tcPr>
            <w:tcW w:w="22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80" w:type="dxa"/>
            <w:vAlign w:val="bottom"/>
            <w:gridSpan w:val="2"/>
          </w:tcPr>
          <w:p>
            <w:pPr>
              <w:jc w:val="center"/>
              <w:spacing w:after="0" w:line="176" w:lineRule="exact"/>
              <w:rPr>
                <w:sz w:val="20"/>
                <w:szCs w:val="20"/>
                <w:color w:val="auto"/>
              </w:rPr>
            </w:pPr>
            <w:r>
              <w:rPr>
                <w:rFonts w:ascii="Arial" w:cs="Arial" w:eastAsia="Arial" w:hAnsi="Arial"/>
                <w:sz w:val="13"/>
                <w:szCs w:val="13"/>
                <w:color w:val="auto"/>
                <w:w w:val="89"/>
              </w:rPr>
              <w:t>Forma</w:t>
            </w:r>
            <w:r>
              <w:rPr>
                <w:rFonts w:ascii="Arial" w:cs="Arial" w:eastAsia="Arial" w:hAnsi="Arial"/>
                <w:sz w:val="20"/>
                <w:szCs w:val="20"/>
                <w:color w:val="auto"/>
                <w:w w:val="89"/>
                <w:vertAlign w:val="superscript"/>
              </w:rPr>
              <w:t>(b)</w:t>
            </w:r>
          </w:p>
        </w:tc>
        <w:tc>
          <w:tcPr>
            <w:tcW w:w="1120" w:type="dxa"/>
            <w:vAlign w:val="bottom"/>
            <w:gridSpan w:val="3"/>
          </w:tcPr>
          <w:p>
            <w:pPr>
              <w:jc w:val="center"/>
              <w:ind w:right="180"/>
              <w:spacing w:after="0" w:line="176" w:lineRule="exact"/>
              <w:rPr>
                <w:sz w:val="20"/>
                <w:szCs w:val="20"/>
                <w:color w:val="auto"/>
              </w:rPr>
            </w:pPr>
            <w:r>
              <w:rPr>
                <w:rFonts w:ascii="Arial" w:cs="Arial" w:eastAsia="Arial" w:hAnsi="Arial"/>
                <w:sz w:val="13"/>
                <w:szCs w:val="13"/>
                <w:color w:val="auto"/>
                <w:w w:val="93"/>
              </w:rPr>
              <w:t>Combined</w:t>
            </w:r>
            <w:r>
              <w:rPr>
                <w:rFonts w:ascii="Arial" w:cs="Arial" w:eastAsia="Arial" w:hAnsi="Arial"/>
                <w:sz w:val="20"/>
                <w:szCs w:val="20"/>
                <w:color w:val="auto"/>
                <w:w w:val="93"/>
                <w:vertAlign w:val="superscript"/>
              </w:rPr>
              <w:t>(c)</w:t>
            </w:r>
          </w:p>
        </w:tc>
        <w:tc>
          <w:tcPr>
            <w:tcW w:w="8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40" w:type="dxa"/>
            <w:vAlign w:val="bottom"/>
            <w:gridSpan w:val="3"/>
          </w:tcPr>
          <w:p>
            <w:pPr>
              <w:jc w:val="center"/>
              <w:ind w:right="18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280" w:type="dxa"/>
            <w:vAlign w:val="bottom"/>
          </w:tcPr>
          <w:p>
            <w:pPr>
              <w:spacing w:after="0"/>
              <w:rPr>
                <w:sz w:val="15"/>
                <w:szCs w:val="15"/>
                <w:color w:val="auto"/>
              </w:rPr>
            </w:pPr>
          </w:p>
        </w:tc>
        <w:tc>
          <w:tcPr>
            <w:tcW w:w="1440" w:type="dxa"/>
            <w:vAlign w:val="bottom"/>
            <w:gridSpan w:val="2"/>
          </w:tcPr>
          <w:p>
            <w:pPr>
              <w:jc w:val="right"/>
              <w:ind w:right="275"/>
              <w:spacing w:after="0"/>
              <w:rPr>
                <w:sz w:val="20"/>
                <w:szCs w:val="20"/>
                <w:color w:val="auto"/>
              </w:rPr>
            </w:pPr>
            <w:r>
              <w:rPr>
                <w:rFonts w:ascii="Arial" w:cs="Arial" w:eastAsia="Arial" w:hAnsi="Arial"/>
                <w:sz w:val="14"/>
                <w:szCs w:val="14"/>
                <w:color w:val="auto"/>
                <w:w w:val="83"/>
              </w:rPr>
              <w:t>Increase/(Decrease)</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42"/>
              <w:spacing w:after="0" w:line="131" w:lineRule="exact"/>
              <w:rPr>
                <w:sz w:val="20"/>
                <w:szCs w:val="20"/>
                <w:color w:val="auto"/>
              </w:rPr>
            </w:pPr>
            <w:r>
              <w:rPr>
                <w:rFonts w:ascii="Arial" w:cs="Arial" w:eastAsia="Arial" w:hAnsi="Arial"/>
                <w:sz w:val="14"/>
                <w:szCs w:val="14"/>
                <w:color w:val="auto"/>
                <w:w w:val="90"/>
              </w:rPr>
              <w:t>For the</w:t>
            </w: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color w:val="auto"/>
                <w:w w:val="89"/>
              </w:rPr>
              <w:t>Six Months</w:t>
            </w:r>
          </w:p>
        </w:tc>
        <w:tc>
          <w:tcPr>
            <w:tcW w:w="220" w:type="dxa"/>
            <w:vAlign w:val="bottom"/>
          </w:tcPr>
          <w:p>
            <w:pPr>
              <w:spacing w:after="0"/>
              <w:rPr>
                <w:sz w:val="12"/>
                <w:szCs w:val="12"/>
                <w:color w:val="auto"/>
              </w:rPr>
            </w:pPr>
          </w:p>
        </w:tc>
        <w:tc>
          <w:tcPr>
            <w:tcW w:w="660" w:type="dxa"/>
            <w:vAlign w:val="bottom"/>
          </w:tcPr>
          <w:p>
            <w:pPr>
              <w:jc w:val="center"/>
              <w:ind w:right="142"/>
              <w:spacing w:after="0" w:line="149" w:lineRule="exact"/>
              <w:rPr>
                <w:sz w:val="20"/>
                <w:szCs w:val="20"/>
                <w:color w:val="auto"/>
              </w:rPr>
            </w:pPr>
            <w:r>
              <w:rPr>
                <w:rFonts w:ascii="Arial" w:cs="Arial" w:eastAsia="Arial" w:hAnsi="Arial"/>
                <w:sz w:val="14"/>
                <w:szCs w:val="14"/>
                <w:color w:val="auto"/>
                <w:w w:val="92"/>
              </w:rPr>
              <w:t>period</w:t>
            </w: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color w:val="auto"/>
                <w:w w:val="89"/>
              </w:rPr>
              <w:t>Six Months</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89"/>
              </w:rPr>
              <w:t>Six Months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84"/>
              </w:rPr>
              <w:t>January 1</w:t>
            </w:r>
          </w:p>
        </w:tc>
        <w:tc>
          <w:tcPr>
            <w:tcW w:w="1120" w:type="dxa"/>
            <w:vAlign w:val="bottom"/>
            <w:gridSpan w:val="3"/>
            <w:vMerge w:val="continue"/>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83"/>
              </w:rPr>
              <w:t>Ended</w:t>
            </w:r>
          </w:p>
        </w:tc>
        <w:tc>
          <w:tcPr>
            <w:tcW w:w="220" w:type="dxa"/>
            <w:vAlign w:val="bottom"/>
          </w:tcPr>
          <w:p>
            <w:pPr>
              <w:spacing w:after="0"/>
              <w:rPr>
                <w:sz w:val="12"/>
                <w:szCs w:val="12"/>
                <w:color w:val="auto"/>
              </w:rPr>
            </w:pPr>
          </w:p>
        </w:tc>
        <w:tc>
          <w:tcPr>
            <w:tcW w:w="660" w:type="dxa"/>
            <w:vAlign w:val="bottom"/>
          </w:tcPr>
          <w:p>
            <w:pPr>
              <w:jc w:val="center"/>
              <w:ind w:right="162"/>
              <w:spacing w:after="0" w:line="149" w:lineRule="exact"/>
              <w:rPr>
                <w:sz w:val="20"/>
                <w:szCs w:val="20"/>
                <w:color w:val="auto"/>
              </w:rPr>
            </w:pPr>
            <w:r>
              <w:rPr>
                <w:rFonts w:ascii="Arial" w:cs="Arial" w:eastAsia="Arial" w:hAnsi="Arial"/>
                <w:sz w:val="14"/>
                <w:szCs w:val="14"/>
                <w:color w:val="auto"/>
                <w:w w:val="88"/>
              </w:rPr>
              <w:t>through</w:t>
            </w:r>
          </w:p>
        </w:tc>
        <w:tc>
          <w:tcPr>
            <w:tcW w:w="24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3"/>
              </w:rPr>
              <w:t>Ended</w:t>
            </w:r>
          </w:p>
        </w:tc>
        <w:tc>
          <w:tcPr>
            <w:tcW w:w="8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Content</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3"/>
              </w:rPr>
              <w:t>Ended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660" w:type="dxa"/>
            <w:vAlign w:val="bottom"/>
          </w:tcPr>
          <w:p>
            <w:pPr>
              <w:jc w:val="center"/>
              <w:ind w:right="157"/>
              <w:spacing w:after="0"/>
              <w:rPr>
                <w:sz w:val="20"/>
                <w:szCs w:val="20"/>
                <w:color w:val="auto"/>
              </w:rPr>
            </w:pPr>
            <w:r>
              <w:rPr>
                <w:rFonts w:ascii="Arial" w:cs="Arial" w:eastAsia="Arial" w:hAnsi="Arial"/>
                <w:sz w:val="14"/>
                <w:szCs w:val="14"/>
                <w:color w:val="auto"/>
                <w:w w:val="84"/>
              </w:rPr>
              <w:t>June 30</w:t>
            </w: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86"/>
              </w:rPr>
              <w:t>January 28</w:t>
            </w:r>
          </w:p>
        </w:tc>
        <w:tc>
          <w:tcPr>
            <w:tcW w:w="240" w:type="dxa"/>
            <w:vAlign w:val="bottom"/>
          </w:tcPr>
          <w:p>
            <w:pPr>
              <w:spacing w:after="0"/>
              <w:rPr>
                <w:sz w:val="15"/>
                <w:szCs w:val="15"/>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color w:val="auto"/>
                <w:w w:val="84"/>
              </w:rPr>
              <w:t>June 30</w:t>
            </w:r>
          </w:p>
        </w:tc>
        <w:tc>
          <w:tcPr>
            <w:tcW w:w="820" w:type="dxa"/>
            <w:vAlign w:val="bottom"/>
            <w:gridSpan w:val="2"/>
          </w:tcPr>
          <w:p>
            <w:pPr>
              <w:ind w:left="200"/>
              <w:spacing w:after="0"/>
              <w:rPr>
                <w:sz w:val="20"/>
                <w:szCs w:val="20"/>
                <w:color w:val="auto"/>
              </w:rPr>
            </w:pPr>
            <w:r>
              <w:rPr>
                <w:rFonts w:ascii="Arial" w:cs="Arial" w:eastAsia="Arial" w:hAnsi="Arial"/>
                <w:sz w:val="14"/>
                <w:szCs w:val="14"/>
                <w:color w:val="auto"/>
              </w:rPr>
              <w:t>Business</w:t>
            </w:r>
          </w:p>
        </w:tc>
        <w:tc>
          <w:tcPr>
            <w:tcW w:w="220" w:type="dxa"/>
            <w:vAlign w:val="bottom"/>
          </w:tcPr>
          <w:p>
            <w:pPr>
              <w:spacing w:after="0"/>
              <w:rPr>
                <w:sz w:val="15"/>
                <w:szCs w:val="15"/>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color w:val="auto"/>
                <w:w w:val="83"/>
              </w:rPr>
              <w:t>Businesses</w:t>
            </w:r>
          </w:p>
        </w:tc>
        <w:tc>
          <w:tcPr>
            <w:tcW w:w="240" w:type="dxa"/>
            <w:vAlign w:val="bottom"/>
          </w:tcPr>
          <w:p>
            <w:pPr>
              <w:spacing w:after="0"/>
              <w:rPr>
                <w:sz w:val="15"/>
                <w:szCs w:val="15"/>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color w:val="auto"/>
                <w:w w:val="84"/>
              </w:rPr>
              <w:t>June 30</w:t>
            </w:r>
          </w:p>
        </w:tc>
        <w:tc>
          <w:tcPr>
            <w:tcW w:w="280" w:type="dxa"/>
            <w:vAlign w:val="bottom"/>
          </w:tcPr>
          <w:p>
            <w:pPr>
              <w:spacing w:after="0"/>
              <w:rPr>
                <w:sz w:val="15"/>
                <w:szCs w:val="15"/>
                <w:color w:val="auto"/>
              </w:rPr>
            </w:pPr>
          </w:p>
        </w:tc>
        <w:tc>
          <w:tcPr>
            <w:tcW w:w="620" w:type="dxa"/>
            <w:vAlign w:val="bottom"/>
          </w:tcPr>
          <w:p>
            <w:pPr>
              <w:jc w:val="right"/>
              <w:ind w:right="377"/>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7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7"/>
              <w:spacing w:after="0"/>
              <w:rPr>
                <w:sz w:val="20"/>
                <w:szCs w:val="20"/>
                <w:color w:val="auto"/>
              </w:rPr>
            </w:pPr>
            <w:r>
              <w:rPr>
                <w:rFonts w:ascii="Arial" w:cs="Arial" w:eastAsia="Arial" w:hAnsi="Arial"/>
                <w:sz w:val="18"/>
                <w:szCs w:val="18"/>
                <w:color w:val="auto"/>
              </w:rPr>
              <w:t>2,006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62"/>
              <w:spacing w:after="0"/>
              <w:rPr>
                <w:sz w:val="20"/>
                <w:szCs w:val="20"/>
                <w:color w:val="auto"/>
              </w:rPr>
            </w:pPr>
            <w:r>
              <w:rPr>
                <w:rFonts w:ascii="Arial" w:cs="Arial" w:eastAsia="Arial" w:hAnsi="Arial"/>
                <w:sz w:val="18"/>
                <w:szCs w:val="18"/>
                <w:color w:val="auto"/>
              </w:rPr>
              <w:t>188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791</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1,176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1,967</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7"/>
              <w:spacing w:after="0"/>
              <w:rPr>
                <w:sz w:val="20"/>
                <w:szCs w:val="20"/>
                <w:color w:val="auto"/>
              </w:rPr>
            </w:pPr>
            <w:r>
              <w:rPr>
                <w:rFonts w:ascii="Arial" w:cs="Arial" w:eastAsia="Arial" w:hAnsi="Arial"/>
                <w:sz w:val="18"/>
                <w:szCs w:val="18"/>
                <w:color w:val="auto"/>
              </w:rPr>
              <w:t>227</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7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1,656</w:t>
            </w:r>
          </w:p>
        </w:tc>
        <w:tc>
          <w:tcPr>
            <w:tcW w:w="2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461</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1,016</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1,477</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179</w:t>
            </w:r>
          </w:p>
        </w:tc>
        <w:tc>
          <w:tcPr>
            <w:tcW w:w="8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75</w:t>
            </w: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3,805</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62"/>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4,193</w:t>
            </w:r>
          </w:p>
        </w:tc>
        <w:tc>
          <w:tcPr>
            <w:tcW w:w="2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4"/>
              </w:rPr>
              <w:t>1,355</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2,357</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3,712</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481</w:t>
            </w:r>
          </w:p>
        </w:tc>
        <w:tc>
          <w:tcPr>
            <w:tcW w:w="8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2,294</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2,530</w:t>
            </w:r>
          </w:p>
        </w:tc>
        <w:tc>
          <w:tcPr>
            <w:tcW w:w="20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957</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1,156</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2,113</w:t>
            </w:r>
          </w:p>
        </w:tc>
        <w:tc>
          <w:tcPr>
            <w:tcW w:w="22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417</w:t>
            </w: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5"/>
        </w:trPr>
        <w:tc>
          <w:tcPr>
            <w:tcW w:w="37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2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b w:val="1"/>
                <w:bCs w:val="1"/>
                <w:color w:val="auto"/>
              </w:rPr>
              <w:t>1,511</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b w:val="1"/>
                <w:bCs w:val="1"/>
                <w:color w:val="auto"/>
              </w:rPr>
              <w:t>152</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1,663</w:t>
            </w:r>
          </w:p>
        </w:tc>
        <w:tc>
          <w:tcPr>
            <w:tcW w:w="200" w:type="dxa"/>
            <w:vAlign w:val="bottom"/>
            <w:tcBorders>
              <w:bottom w:val="single" w:sz="8" w:color="E5E5E5"/>
            </w:tcBorders>
            <w:shd w:val="clear" w:color="auto" w:fill="E5E5E5"/>
          </w:tcPr>
          <w:p>
            <w:pPr>
              <w:spacing w:after="0"/>
              <w:rPr>
                <w:sz w:val="20"/>
                <w:szCs w:val="20"/>
                <w:color w:val="auto"/>
              </w:rPr>
            </w:pP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398</w:t>
            </w:r>
          </w:p>
        </w:tc>
        <w:tc>
          <w:tcPr>
            <w:tcW w:w="2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b w:val="1"/>
                <w:bCs w:val="1"/>
                <w:color w:val="auto"/>
              </w:rPr>
              <w:t>$1,201</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1,599</w:t>
            </w:r>
          </w:p>
        </w:tc>
        <w:tc>
          <w:tcPr>
            <w:tcW w:w="220" w:type="dxa"/>
            <w:vAlign w:val="bottom"/>
            <w:tcBorders>
              <w:bottom w:val="single" w:sz="8" w:color="E5E5E5"/>
            </w:tcBorders>
            <w:shd w:val="clear" w:color="auto" w:fill="E5E5E5"/>
          </w:tcPr>
          <w:p>
            <w:pPr>
              <w:spacing w:after="0"/>
              <w:rPr>
                <w:sz w:val="20"/>
                <w:szCs w:val="20"/>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64</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three and six months ended June 30, 2011 and 2010 and the results of operations for the NBCUniversal acquired businesses for the three months ended June 30, 2011 and for the period January 29 through June 30, 2011.</w:t>
      </w:r>
    </w:p>
    <w:p>
      <w:pPr>
        <w:spacing w:after="0" w:line="4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2011 through January 28, 2011 and for the three and six months ended June 30, 2010. These amounts also include pro forma adjustments as if the NBCUniversal transaction had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Segment—Revenue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primarily generates revenue from distribution of our cable programming content and advertising. Distribution revenue is generated from distribution agreements with multichannel video providers. Advertising revenue is generated from the sale of commercial time on our national and international cable networks and related digital media properties. We also generate television production revenue from the exploitation of our owned programming.</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Distribution revenue is affected by the number of subscribers receiving our cable networks and the fees we charge per subscriber for each of our cable networks. Our advertising revenue depends on audience ratings, the value of the demographics of our cable networks’ viewers to advertisers and the number of advertising units we can place in our cable networks’ programming schedules. Advertising revenue is affected by the strength of the advertising market, general economic conditions and the success of our programming. Our U.S. advertising revenue is also generally higher in the second and fourth quarters of each year due to seasonal increases in consumer advertising.</w:t>
      </w:r>
    </w:p>
    <w:p>
      <w:pPr>
        <w:spacing w:after="0" w:line="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Distribution revenue for the three months ended June 30, 2011 and pro forma combined distribution revenue for the six months ended June 30, 2011 increased compared to the same periods in 2010 primarily due to rate increases and increases in the number of subscribers to our cable networks. Advertising revenue for the three months ended June 30, 2011 and pro forma combined advertising revenue for the six months ended June 30, 2011 increased compared to the same periods in 2010 primarily due to increases in the price of advertising units sold. Other revenue for the three months ended June 30, 2011 and pro forma combined other revenue for the six months ended June 30, 2011 increased compared to the same periods in 2010 primarily due to increases in the licensing of our owned content from our cable production studio. For the three and six months ended June 30, 2011, approximately 12% and 13%, respectively, of our Cable Networks segment pro forma combined revenue was generated from our Cable Communications segment. These amounts are eliminated in our consolidated financial statements but are included in the amounts presented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Segment—Operating Costs and Expenses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Networks segment operating costs and expenses consist primarily of programming and production costs, advertising and marketing costs, and other operating costs and expenses. Programming and production costs include the amortization of owned and acquired programming, direct production costs, residual and participation payments, production overhead and on-air talent costs. Advertising and marketing costs primarily consist of the costs incurred in promoting our cable networks, as well as in the replication, distribution and marketing costs of standard-definition DVDs and high-definition Blu-ray discs (together, “DVDs”), costs associated with digital media, and the costs of licensing our programming to third-party networks and other media platforms. Other operating costs and expenses include salaries, employee benefits, rent and other overhead costs.</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costs and expenses for the three months ended June 30, 2011 and pro forma combined operating costs and expenses for the six months ended June 30, 2011 increased compared to the same periods in 2010 primarily due to higher programming and production costs associated with an increase in the volume of original content and changes in estimates associated with the application of acquisition accounting, as well as increases in advertising and promotion costs and administrative and other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Actual and Pro Forma Results of Operations</w:t>
      </w:r>
    </w:p>
    <w:p>
      <w:pPr>
        <w:spacing w:after="0" w:line="87"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Our Broadcast Television segment consists primarily of our U.S. broadcast networks, NBC and Telemundo; our 10 NBC and 15 Telemundo owned local television stations; our broadcast television production operations; and our related digital media properties, which consist primarily of brand-aligned websites.</w:t>
      </w:r>
    </w:p>
    <w:tbl>
      <w:tblPr>
        <w:tblLayout w:type="fixed"/>
        <w:tblInd w:w="0" w:type="dxa"/>
        <w:tblCellMar>
          <w:top w:w="0" w:type="dxa"/>
          <w:left w:w="0" w:type="dxa"/>
          <w:bottom w:w="0" w:type="dxa"/>
          <w:right w:w="0" w:type="dxa"/>
        </w:tblCellMar>
      </w:tblPr>
      <w:tr>
        <w:trPr>
          <w:trHeight w:val="149"/>
        </w:trPr>
        <w:tc>
          <w:tcPr>
            <w:tcW w:w="7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3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Pro Forma</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680" w:type="dxa"/>
            <w:vAlign w:val="bottom"/>
            <w:gridSpan w:val="3"/>
          </w:tcPr>
          <w:p>
            <w:pPr>
              <w:jc w:val="right"/>
              <w:ind w:right="235"/>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7120" w:type="dxa"/>
            <w:vAlign w:val="bottom"/>
          </w:tcPr>
          <w:p>
            <w:pPr>
              <w:spacing w:after="0"/>
              <w:rPr>
                <w:sz w:val="11"/>
                <w:szCs w:val="11"/>
                <w:color w:val="auto"/>
              </w:rPr>
            </w:pPr>
          </w:p>
        </w:tc>
        <w:tc>
          <w:tcPr>
            <w:tcW w:w="1080" w:type="dxa"/>
            <w:vAlign w:val="bottom"/>
            <w:tcBorders>
              <w:top w:val="single" w:sz="8" w:color="auto"/>
            </w:tcBorders>
            <w:gridSpan w:val="2"/>
          </w:tcPr>
          <w:p>
            <w:pPr>
              <w:jc w:val="center"/>
              <w:ind w:left="39"/>
              <w:spacing w:after="0" w:line="131" w:lineRule="exact"/>
              <w:rPr>
                <w:sz w:val="20"/>
                <w:szCs w:val="20"/>
                <w:color w:val="auto"/>
              </w:rPr>
            </w:pPr>
            <w:r>
              <w:rPr>
                <w:rFonts w:ascii="Arial" w:cs="Arial" w:eastAsia="Arial" w:hAnsi="Arial"/>
                <w:sz w:val="14"/>
                <w:szCs w:val="14"/>
                <w:color w:val="auto"/>
                <w:w w:val="87"/>
              </w:rPr>
              <w:t>Three Months</w:t>
            </w:r>
          </w:p>
        </w:tc>
        <w:tc>
          <w:tcPr>
            <w:tcW w:w="240" w:type="dxa"/>
            <w:vAlign w:val="bottom"/>
          </w:tcPr>
          <w:p>
            <w:pPr>
              <w:spacing w:after="0"/>
              <w:rPr>
                <w:sz w:val="11"/>
                <w:szCs w:val="11"/>
                <w:color w:val="auto"/>
              </w:rPr>
            </w:pPr>
          </w:p>
        </w:tc>
        <w:tc>
          <w:tcPr>
            <w:tcW w:w="1060" w:type="dxa"/>
            <w:vAlign w:val="bottom"/>
            <w:tcBorders>
              <w:top w:val="single" w:sz="8" w:color="auto"/>
            </w:tcBorders>
            <w:gridSpan w:val="2"/>
          </w:tcPr>
          <w:p>
            <w:pPr>
              <w:jc w:val="center"/>
              <w:ind w:left="22"/>
              <w:spacing w:after="0" w:line="131" w:lineRule="exact"/>
              <w:rPr>
                <w:sz w:val="20"/>
                <w:szCs w:val="20"/>
                <w:color w:val="auto"/>
              </w:rPr>
            </w:pPr>
            <w:r>
              <w:rPr>
                <w:rFonts w:ascii="Arial" w:cs="Arial" w:eastAsia="Arial" w:hAnsi="Arial"/>
                <w:sz w:val="14"/>
                <w:szCs w:val="14"/>
                <w:color w:val="auto"/>
                <w:w w:val="87"/>
              </w:rPr>
              <w:t>Three Months</w:t>
            </w: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3"/>
              </w:rPr>
              <w:t>Ended</w:t>
            </w:r>
          </w:p>
        </w:tc>
        <w:tc>
          <w:tcPr>
            <w:tcW w:w="32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3"/>
              </w:rPr>
              <w:t>Ended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5"/>
              </w:rPr>
              <w:t>June 30,</w:t>
            </w:r>
          </w:p>
        </w:tc>
        <w:tc>
          <w:tcPr>
            <w:tcW w:w="32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1"/>
              </w:rPr>
              <w:t>June 30,</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83"/>
              </w:rPr>
              <w:t>2011</w:t>
            </w:r>
          </w:p>
        </w:tc>
        <w:tc>
          <w:tcPr>
            <w:tcW w:w="24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color w:val="auto"/>
                <w:w w:val="89"/>
              </w:rPr>
              <w:t>2010</w:t>
            </w:r>
          </w:p>
        </w:tc>
        <w:tc>
          <w:tcPr>
            <w:tcW w:w="24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0"/>
        </w:trPr>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7"/>
              <w:spacing w:after="0"/>
              <w:rPr>
                <w:sz w:val="20"/>
                <w:szCs w:val="20"/>
                <w:color w:val="auto"/>
              </w:rPr>
            </w:pPr>
            <w:r>
              <w:rPr>
                <w:rFonts w:ascii="Arial" w:cs="Arial" w:eastAsia="Arial" w:hAnsi="Arial"/>
                <w:sz w:val="18"/>
                <w:szCs w:val="18"/>
                <w:color w:val="auto"/>
              </w:rPr>
              <w:t>71</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w w:val="93"/>
              </w:rPr>
              <w:t>206</w:t>
            </w:r>
          </w:p>
        </w:tc>
        <w:tc>
          <w:tcPr>
            <w:tcW w:w="5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w w:val="91"/>
              </w:rPr>
              <w:t>80.5</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7"/>
              </w:rPr>
              <w:t>(9.2)</w:t>
            </w:r>
          </w:p>
        </w:tc>
        <w:tc>
          <w:tcPr>
            <w:tcW w:w="0" w:type="dxa"/>
            <w:vAlign w:val="bottom"/>
          </w:tcPr>
          <w:p>
            <w:pPr>
              <w:spacing w:after="0"/>
              <w:rPr>
                <w:sz w:val="1"/>
                <w:szCs w:val="1"/>
                <w:color w:val="auto"/>
              </w:rPr>
            </w:pPr>
          </w:p>
        </w:tc>
      </w:tr>
      <w:tr>
        <w:trPr>
          <w:trHeight w:val="210"/>
        </w:trPr>
        <w:tc>
          <w:tcPr>
            <w:tcW w:w="7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1,695</w:t>
            </w:r>
          </w:p>
        </w:tc>
        <w:tc>
          <w:tcPr>
            <w:tcW w:w="2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1,430</w:t>
            </w:r>
          </w:p>
        </w:tc>
        <w:tc>
          <w:tcPr>
            <w:tcW w:w="2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w w:val="93"/>
              </w:rPr>
              <w:t>265</w:t>
            </w:r>
          </w:p>
        </w:tc>
        <w:tc>
          <w:tcPr>
            <w:tcW w:w="5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w w:val="91"/>
              </w:rPr>
              <w:t>18.5</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1,505</w:t>
            </w:r>
          </w:p>
        </w:tc>
        <w:tc>
          <w:tcPr>
            <w:tcW w:w="24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1,255</w:t>
            </w:r>
          </w:p>
        </w:tc>
        <w:tc>
          <w:tcPr>
            <w:tcW w:w="24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w w:val="93"/>
              </w:rPr>
              <w:t>250</w:t>
            </w: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1"/>
              </w:rPr>
              <w:t>19.9</w:t>
            </w:r>
          </w:p>
        </w:tc>
        <w:tc>
          <w:tcPr>
            <w:tcW w:w="0" w:type="dxa"/>
            <w:vAlign w:val="bottom"/>
          </w:tcPr>
          <w:p>
            <w:pPr>
              <w:spacing w:after="0"/>
              <w:rPr>
                <w:sz w:val="1"/>
                <w:szCs w:val="1"/>
                <w:color w:val="auto"/>
              </w:rPr>
            </w:pPr>
          </w:p>
        </w:tc>
      </w:tr>
      <w:tr>
        <w:trPr>
          <w:trHeight w:val="217"/>
        </w:trPr>
        <w:tc>
          <w:tcPr>
            <w:tcW w:w="7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190</w:t>
            </w:r>
          </w:p>
        </w:tc>
        <w:tc>
          <w:tcPr>
            <w:tcW w:w="24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175</w:t>
            </w:r>
          </w:p>
        </w:tc>
        <w:tc>
          <w:tcPr>
            <w:tcW w:w="240" w:type="dxa"/>
            <w:vAlign w:val="bottom"/>
            <w:tcBorders>
              <w:bottom w:val="single" w:sz="8" w:color="E5E5E5"/>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397"/>
              <w:spacing w:after="0"/>
              <w:rPr>
                <w:sz w:val="20"/>
                <w:szCs w:val="20"/>
                <w:color w:val="auto"/>
              </w:rPr>
            </w:pPr>
            <w:r>
              <w:rPr>
                <w:rFonts w:ascii="Arial" w:cs="Arial" w:eastAsia="Arial" w:hAnsi="Arial"/>
                <w:sz w:val="18"/>
                <w:szCs w:val="18"/>
                <w:b w:val="1"/>
                <w:bCs w:val="1"/>
                <w:color w:val="auto"/>
              </w:rPr>
              <w:t>15</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color w:val="auto"/>
                <w:w w:val="83"/>
              </w:rPr>
              <w:t>2010</w:t>
            </w:r>
          </w:p>
        </w:tc>
        <w:tc>
          <w:tcPr>
            <w:tcW w:w="300" w:type="dxa"/>
            <w:vAlign w:val="bottom"/>
          </w:tcPr>
          <w:p>
            <w:pPr>
              <w:spacing w:after="0"/>
              <w:rPr>
                <w:sz w:val="14"/>
                <w:szCs w:val="14"/>
                <w:color w:val="auto"/>
              </w:rPr>
            </w:pPr>
          </w:p>
        </w:tc>
        <w:tc>
          <w:tcPr>
            <w:tcW w:w="1940" w:type="dxa"/>
            <w:vAlign w:val="bottom"/>
            <w:gridSpan w:val="2"/>
            <w:vMerge w:val="restart"/>
          </w:tcPr>
          <w:p>
            <w:pPr>
              <w:jc w:val="right"/>
              <w:ind w:right="295"/>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4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vMerge w:val="restart"/>
          </w:tcPr>
          <w:p>
            <w:pPr>
              <w:jc w:val="center"/>
              <w:ind w:right="217"/>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92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Pro Forma</w:t>
            </w:r>
          </w:p>
        </w:tc>
        <w:tc>
          <w:tcPr>
            <w:tcW w:w="300" w:type="dxa"/>
            <w:vAlign w:val="bottom"/>
          </w:tcPr>
          <w:p>
            <w:pPr>
              <w:spacing w:after="0"/>
              <w:rPr>
                <w:sz w:val="10"/>
                <w:szCs w:val="10"/>
                <w:color w:val="auto"/>
              </w:rPr>
            </w:pPr>
          </w:p>
        </w:tc>
        <w:tc>
          <w:tcPr>
            <w:tcW w:w="1440" w:type="dxa"/>
            <w:vAlign w:val="bottom"/>
            <w:gridSpan w:val="3"/>
            <w:vMerge w:val="restart"/>
          </w:tcPr>
          <w:p>
            <w:pPr>
              <w:jc w:val="center"/>
              <w:ind w:right="18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gridSpan w:val="3"/>
          </w:tcPr>
          <w:p>
            <w:pPr>
              <w:jc w:val="center"/>
              <w:ind w:right="240"/>
              <w:spacing w:after="0" w:line="176" w:lineRule="exact"/>
              <w:rPr>
                <w:sz w:val="20"/>
                <w:szCs w:val="20"/>
                <w:color w:val="auto"/>
              </w:rPr>
            </w:pPr>
            <w:r>
              <w:rPr>
                <w:rFonts w:ascii="Arial" w:cs="Arial" w:eastAsia="Arial" w:hAnsi="Arial"/>
                <w:sz w:val="13"/>
                <w:szCs w:val="13"/>
                <w:color w:val="auto"/>
                <w:w w:val="93"/>
              </w:rPr>
              <w:t>Combined</w:t>
            </w:r>
            <w:r>
              <w:rPr>
                <w:rFonts w:ascii="Arial" w:cs="Arial" w:eastAsia="Arial" w:hAnsi="Arial"/>
                <w:sz w:val="20"/>
                <w:szCs w:val="20"/>
                <w:color w:val="auto"/>
                <w:w w:val="93"/>
                <w:vertAlign w:val="superscript"/>
              </w:rPr>
              <w:t>(c)</w:t>
            </w:r>
          </w:p>
        </w:tc>
        <w:tc>
          <w:tcPr>
            <w:tcW w:w="1440" w:type="dxa"/>
            <w:vAlign w:val="bottom"/>
            <w:gridSpan w:val="3"/>
            <w:vMerge w:val="continue"/>
          </w:tcPr>
          <w:p>
            <w:pPr>
              <w:spacing w:after="0"/>
              <w:rPr>
                <w:sz w:val="15"/>
                <w:szCs w:val="15"/>
                <w:color w:val="auto"/>
              </w:rPr>
            </w:pPr>
          </w:p>
        </w:tc>
        <w:tc>
          <w:tcPr>
            <w:tcW w:w="1940" w:type="dxa"/>
            <w:vAlign w:val="bottom"/>
            <w:gridSpan w:val="2"/>
          </w:tcPr>
          <w:p>
            <w:pPr>
              <w:jc w:val="right"/>
              <w:ind w:right="335"/>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320" w:type="dxa"/>
            <w:vAlign w:val="bottom"/>
            <w:gridSpan w:val="2"/>
          </w:tcPr>
          <w:p>
            <w:pPr>
              <w:jc w:val="center"/>
              <w:ind w:left="2"/>
              <w:spacing w:after="0" w:line="149" w:lineRule="exact"/>
              <w:rPr>
                <w:sz w:val="20"/>
                <w:szCs w:val="20"/>
                <w:color w:val="auto"/>
              </w:rPr>
            </w:pPr>
            <w:r>
              <w:rPr>
                <w:rFonts w:ascii="Arial" w:cs="Arial" w:eastAsia="Arial" w:hAnsi="Arial"/>
                <w:sz w:val="14"/>
                <w:szCs w:val="14"/>
                <w:color w:val="auto"/>
                <w:w w:val="87"/>
              </w:rPr>
              <w:t>For the period</w:t>
            </w:r>
          </w:p>
        </w:tc>
        <w:tc>
          <w:tcPr>
            <w:tcW w:w="260" w:type="dxa"/>
            <w:vAlign w:val="bottom"/>
          </w:tcPr>
          <w:p>
            <w:pPr>
              <w:spacing w:after="0"/>
              <w:rPr>
                <w:sz w:val="12"/>
                <w:szCs w:val="12"/>
                <w:color w:val="auto"/>
              </w:rPr>
            </w:pPr>
          </w:p>
        </w:tc>
        <w:tc>
          <w:tcPr>
            <w:tcW w:w="900" w:type="dxa"/>
            <w:vAlign w:val="bottom"/>
          </w:tcPr>
          <w:p>
            <w:pPr>
              <w:jc w:val="center"/>
              <w:ind w:right="220"/>
              <w:spacing w:after="0" w:line="149" w:lineRule="exact"/>
              <w:rPr>
                <w:sz w:val="20"/>
                <w:szCs w:val="20"/>
                <w:color w:val="auto"/>
              </w:rPr>
            </w:pPr>
            <w:r>
              <w:rPr>
                <w:rFonts w:ascii="Arial" w:cs="Arial" w:eastAsia="Arial" w:hAnsi="Arial"/>
                <w:sz w:val="14"/>
                <w:szCs w:val="14"/>
                <w:color w:val="auto"/>
                <w:w w:val="84"/>
              </w:rPr>
              <w:t>January 1</w:t>
            </w: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89"/>
              </w:rPr>
              <w:t>Six Months</w:t>
            </w:r>
          </w:p>
        </w:tc>
        <w:tc>
          <w:tcPr>
            <w:tcW w:w="14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9"/>
              </w:rPr>
              <w:t>Six Months</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86"/>
              </w:rPr>
              <w:t>January 29</w:t>
            </w:r>
          </w:p>
        </w:tc>
        <w:tc>
          <w:tcPr>
            <w:tcW w:w="260" w:type="dxa"/>
            <w:vAlign w:val="bottom"/>
          </w:tcPr>
          <w:p>
            <w:pPr>
              <w:spacing w:after="0"/>
              <w:rPr>
                <w:sz w:val="12"/>
                <w:szCs w:val="12"/>
                <w:color w:val="auto"/>
              </w:rPr>
            </w:pPr>
          </w:p>
        </w:tc>
        <w:tc>
          <w:tcPr>
            <w:tcW w:w="900" w:type="dxa"/>
            <w:vAlign w:val="bottom"/>
          </w:tcPr>
          <w:p>
            <w:pPr>
              <w:jc w:val="center"/>
              <w:ind w:right="240"/>
              <w:spacing w:after="0" w:line="149" w:lineRule="exact"/>
              <w:rPr>
                <w:sz w:val="20"/>
                <w:szCs w:val="20"/>
                <w:color w:val="auto"/>
              </w:rPr>
            </w:pPr>
            <w:r>
              <w:rPr>
                <w:rFonts w:ascii="Arial" w:cs="Arial" w:eastAsia="Arial" w:hAnsi="Arial"/>
                <w:sz w:val="14"/>
                <w:szCs w:val="14"/>
                <w:color w:val="auto"/>
                <w:w w:val="88"/>
              </w:rPr>
              <w:t>through</w:t>
            </w:r>
          </w:p>
        </w:tc>
        <w:tc>
          <w:tcPr>
            <w:tcW w:w="26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3"/>
              </w:rPr>
              <w:t>Ended</w:t>
            </w:r>
          </w:p>
        </w:tc>
        <w:tc>
          <w:tcPr>
            <w:tcW w:w="400" w:type="dxa"/>
            <w:vAlign w:val="bottom"/>
          </w:tcPr>
          <w:p>
            <w:pPr>
              <w:spacing w:after="0"/>
              <w:rPr>
                <w:sz w:val="12"/>
                <w:szCs w:val="12"/>
                <w:color w:val="auto"/>
              </w:rPr>
            </w:pPr>
          </w:p>
        </w:tc>
        <w:tc>
          <w:tcPr>
            <w:tcW w:w="10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34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320" w:type="dxa"/>
            <w:vAlign w:val="bottom"/>
            <w:gridSpan w:val="2"/>
          </w:tcPr>
          <w:p>
            <w:pPr>
              <w:jc w:val="center"/>
              <w:ind w:left="2"/>
              <w:spacing w:after="0" w:line="159" w:lineRule="exact"/>
              <w:rPr>
                <w:sz w:val="20"/>
                <w:szCs w:val="20"/>
                <w:color w:val="auto"/>
              </w:rPr>
            </w:pPr>
            <w:r>
              <w:rPr>
                <w:rFonts w:ascii="Arial" w:cs="Arial" w:eastAsia="Arial" w:hAnsi="Arial"/>
                <w:sz w:val="14"/>
                <w:szCs w:val="14"/>
                <w:color w:val="auto"/>
                <w:w w:val="86"/>
              </w:rPr>
              <w:t>through June 30</w:t>
            </w:r>
          </w:p>
        </w:tc>
        <w:tc>
          <w:tcPr>
            <w:tcW w:w="260" w:type="dxa"/>
            <w:vAlign w:val="bottom"/>
          </w:tcPr>
          <w:p>
            <w:pPr>
              <w:spacing w:after="0"/>
              <w:rPr>
                <w:sz w:val="13"/>
                <w:szCs w:val="13"/>
                <w:color w:val="auto"/>
              </w:rPr>
            </w:pPr>
          </w:p>
        </w:tc>
        <w:tc>
          <w:tcPr>
            <w:tcW w:w="900" w:type="dxa"/>
            <w:vAlign w:val="bottom"/>
          </w:tcPr>
          <w:p>
            <w:pPr>
              <w:jc w:val="center"/>
              <w:ind w:right="240"/>
              <w:spacing w:after="0" w:line="159" w:lineRule="exact"/>
              <w:rPr>
                <w:sz w:val="20"/>
                <w:szCs w:val="20"/>
                <w:color w:val="auto"/>
              </w:rPr>
            </w:pPr>
            <w:r>
              <w:rPr>
                <w:rFonts w:ascii="Arial" w:cs="Arial" w:eastAsia="Arial" w:hAnsi="Arial"/>
                <w:sz w:val="14"/>
                <w:szCs w:val="14"/>
                <w:color w:val="auto"/>
                <w:w w:val="83"/>
              </w:rPr>
              <w:t>January 28</w:t>
            </w:r>
          </w:p>
        </w:tc>
        <w:tc>
          <w:tcPr>
            <w:tcW w:w="260" w:type="dxa"/>
            <w:vAlign w:val="bottom"/>
          </w:tcPr>
          <w:p>
            <w:pPr>
              <w:spacing w:after="0"/>
              <w:rPr>
                <w:sz w:val="13"/>
                <w:szCs w:val="13"/>
                <w:color w:val="auto"/>
              </w:rPr>
            </w:pPr>
          </w:p>
        </w:tc>
        <w:tc>
          <w:tcPr>
            <w:tcW w:w="96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4"/>
              </w:rPr>
              <w:t>June 30</w:t>
            </w:r>
          </w:p>
        </w:tc>
        <w:tc>
          <w:tcPr>
            <w:tcW w:w="400" w:type="dxa"/>
            <w:vAlign w:val="bottom"/>
          </w:tcPr>
          <w:p>
            <w:pPr>
              <w:spacing w:after="0"/>
              <w:rPr>
                <w:sz w:val="13"/>
                <w:szCs w:val="13"/>
                <w:color w:val="auto"/>
              </w:rPr>
            </w:pPr>
          </w:p>
        </w:tc>
        <w:tc>
          <w:tcPr>
            <w:tcW w:w="104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4"/>
              </w:rPr>
              <w:t>June 30</w:t>
            </w:r>
          </w:p>
        </w:tc>
        <w:tc>
          <w:tcPr>
            <w:tcW w:w="1060" w:type="dxa"/>
            <w:vAlign w:val="bottom"/>
          </w:tcPr>
          <w:p>
            <w:pPr>
              <w:jc w:val="right"/>
              <w:ind w:right="439"/>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95"/>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E5E5E5"/>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E5E5E5"/>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1,709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0"/>
              <w:spacing w:after="0"/>
              <w:rPr>
                <w:sz w:val="20"/>
                <w:szCs w:val="20"/>
                <w:color w:val="auto"/>
              </w:rPr>
            </w:pPr>
            <w:r>
              <w:rPr>
                <w:rFonts w:ascii="Arial" w:cs="Arial" w:eastAsia="Arial" w:hAnsi="Arial"/>
                <w:sz w:val="18"/>
                <w:szCs w:val="18"/>
                <w:color w:val="auto"/>
              </w:rPr>
              <w:t>315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2,493</w:t>
            </w:r>
          </w:p>
        </w:tc>
        <w:tc>
          <w:tcPr>
            <w:tcW w:w="3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8"/>
                <w:szCs w:val="18"/>
                <w:color w:val="auto"/>
              </w:rPr>
              <w:t>$ (469)</w:t>
            </w: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3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681</w:t>
            </w:r>
          </w:p>
        </w:tc>
        <w:tc>
          <w:tcPr>
            <w:tcW w:w="2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792</w:t>
            </w: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9"/>
              <w:spacing w:after="0"/>
              <w:rPr>
                <w:sz w:val="20"/>
                <w:szCs w:val="20"/>
                <w:color w:val="auto"/>
              </w:rPr>
            </w:pPr>
            <w:r>
              <w:rPr>
                <w:rFonts w:ascii="Arial" w:cs="Arial" w:eastAsia="Arial" w:hAnsi="Arial"/>
                <w:sz w:val="18"/>
                <w:szCs w:val="18"/>
                <w:color w:val="auto"/>
              </w:rPr>
              <w:t>584</w:t>
            </w:r>
          </w:p>
        </w:tc>
        <w:tc>
          <w:tcPr>
            <w:tcW w:w="3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208</w:t>
            </w:r>
          </w:p>
        </w:tc>
        <w:tc>
          <w:tcPr>
            <w:tcW w:w="8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E5E5E5"/>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431</w:t>
            </w:r>
          </w:p>
        </w:tc>
        <w:tc>
          <w:tcPr>
            <w:tcW w:w="300" w:type="dxa"/>
            <w:vAlign w:val="bottom"/>
            <w:tcBorders>
              <w:bottom w:val="single" w:sz="8" w:color="E5E5E5"/>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(200)</w:t>
            </w: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0"/>
        </w:trPr>
        <w:tc>
          <w:tcPr>
            <w:tcW w:w="4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2,583</w:t>
            </w:r>
          </w:p>
        </w:tc>
        <w:tc>
          <w:tcPr>
            <w:tcW w:w="2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3,047</w:t>
            </w: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9"/>
              <w:spacing w:after="0"/>
              <w:rPr>
                <w:sz w:val="20"/>
                <w:szCs w:val="20"/>
                <w:color w:val="auto"/>
              </w:rPr>
            </w:pPr>
            <w:r>
              <w:rPr>
                <w:rFonts w:ascii="Arial" w:cs="Arial" w:eastAsia="Arial" w:hAnsi="Arial"/>
                <w:sz w:val="18"/>
                <w:szCs w:val="18"/>
                <w:color w:val="auto"/>
              </w:rPr>
              <w:t>3,508</w:t>
            </w:r>
          </w:p>
        </w:tc>
        <w:tc>
          <w:tcPr>
            <w:tcW w:w="3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(461)</w:t>
            </w:r>
          </w:p>
        </w:tc>
        <w:tc>
          <w:tcPr>
            <w:tcW w:w="8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2,358</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479</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300" w:type="dxa"/>
            <w:vAlign w:val="bottom"/>
            <w:tcBorders>
              <w:bottom w:val="single" w:sz="8" w:color="E5E5E5"/>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3,515</w:t>
            </w:r>
          </w:p>
        </w:tc>
        <w:tc>
          <w:tcPr>
            <w:tcW w:w="300" w:type="dxa"/>
            <w:vAlign w:val="bottom"/>
            <w:tcBorders>
              <w:bottom w:val="single" w:sz="8" w:color="E5E5E5"/>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(678)</w:t>
            </w: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7"/>
        </w:trPr>
        <w:tc>
          <w:tcPr>
            <w:tcW w:w="4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1"/>
              </w:rPr>
              <w:t>Operating income before depreciation and amortization</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225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210</w:t>
            </w:r>
          </w:p>
        </w:tc>
        <w:tc>
          <w:tcPr>
            <w:tcW w:w="30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E5E5E5"/>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b w:val="1"/>
                <w:bCs w:val="1"/>
                <w:color w:val="auto"/>
              </w:rPr>
              <w:t>$ 217</w:t>
            </w:r>
          </w:p>
        </w:tc>
        <w:tc>
          <w:tcPr>
            <w:tcW w:w="8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Actual amounts include the results of operations for the NBCUniversal acquired businesses for the three months ended June 30, 2011 and for the period January 29, 2011 through June 30, 2011.</w:t>
      </w:r>
    </w:p>
    <w:p>
      <w:pPr>
        <w:spacing w:after="0" w:line="78" w:lineRule="exact"/>
        <w:rPr>
          <w:rFonts w:ascii="Arial" w:cs="Arial" w:eastAsia="Arial" w:hAnsi="Arial"/>
          <w:sz w:val="12"/>
          <w:szCs w:val="12"/>
          <w:color w:val="auto"/>
        </w:rPr>
      </w:pPr>
    </w:p>
    <w:p>
      <w:pPr>
        <w:jc w:val="both"/>
        <w:ind w:left="340" w:hanging="332"/>
        <w:spacing w:after="0" w:line="27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through January 28, 2011 and for the three and six months ended June 30, 2010. These amounts also include pro forma adjustments as if the NBCUniversal transaction had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Segment—Revenue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revenue consists primarily of advertising revenue and content licensing revenue. Advertising revenue is generated from the sale of commercial time on our broadcast networks, owned local television stations and related digital media properties. Content licensing revenue includes content license fees and other revenue generated from the exploitation of our owned programming in the U.S. and internationally. We also generate other revenue from the sale of our owned programming on DVDs, electronic sell-through and other formats, and the licensing of our brands and characters for consumer products.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advertising revenue is generally based on audience ratings, the value of the demographics of our broadcast networks’ and owned television stations’ viewers to advertisers, and the number of advertising units we can place in our broadcast networks’ and owned television stations’ programming schedules. Advertising revenue is affected by the strength of the advertising market, general economic conditions and the success of our programming. Our U.S. advertising revenue is generally higher in the second and fourth quarters of each year due to seasonal increases in consumer advertising.</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Content licensing revenue depends on the length and terms of the initial network license for our owned programming and our ability to subsequently license that programming to other networks, both in the U.S. and internationally, and to individual local U.S. television stations. In recent years, the production and distribution costs related to our owned programming have exceeded the license fees generated from the initial network license by an increasing amount. Exploitation of our owned television programming after the initial network license is critical to the financial success of a television series. Other revenue from further exploitation of our owned programming and intellectual property is driven primarily by the popularity of our broadcast networks and series and, therefore, fluctuates based on consumer spending and acceptance.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Advertising revenue for the three months ended June 30, 2011 increased compared to the same period in 2010 primarily due to increases in the price of advertising units sold and improved ratings in certain dayparts at the NBC Network. Pro forma combined advertising revenue for the six months ended June 30, 2011 decreased compared to the same period in 2010 primarily due to revenue recognized in 2010 related to the 2010 Vancouver Olympics. Content licensing revenue for the three months ended June 30, 2011 and pro forma combined content licensing revenue for the six months ended June 30, 2011 increased compared to the same periods in 2010 primarily due to the impact of new licensing agreements for our prior season and library content. Other revenue for the three months ended June 30, 2011 and pro forma combined other revenue for the six months ended June 30, 2011 decreased compared to the same periods in 2010 primarily due to a decline in DVD sales during the three months ended June 30, 2011 and the absence of the Vancouver Olympics during the six months ended June 30,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Segment—Operating Costs and Expenses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Broadcast Television segment operating costs and expenses consist primarily of programming and production costs, advertising and marketing costs, and other operating costs and expenses. Programming and production costs relate to content originating on our broadcast networks and owned local television stations and include the amortization of owned and acquired programming costs, direct production costs, residual and participation payments, production overhead, and on-air talent costs. Advertising and marketing costs consist primarily of the costs incurred in promoting our owned television programming, as well as the replication, distribution and marketing costs of DVDs, costs associated with digital media, and the costs of licensing our programming to third parties and other media platforms. Other operating costs and expenses include salaries, employee benefits, rent and other overhead costs.</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costs and expenses for the three months ended June 30, 2011 increased compared to the same period in 2010 primarily due to increases in programming amortization. The increase in programming amortization is primarily due to growth in content licensing revenue, as well as changes in estimates associated with the application of acquisition accounting. The increase in operating costs and expenses was also due to higher programming costs associated with a greater number of original prime time series. Pro forma combined operating costs and expenses for the six months ended June 30, 2011 decreased compared to the same period in 2010 primarily due to $1 billion of programming costs recognized in 2010 associated with the 2010 Vancouver Olympics. Excluding the impact of the Vancouver Olympics, programming costs and advertising and promotion costs increased for the six months ended June 30,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Actual and Pro Forma Results of Operations</w:t>
      </w:r>
    </w:p>
    <w:p>
      <w:pPr>
        <w:spacing w:after="0" w:line="87"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w:t>
      </w: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vMerge w:val="restart"/>
          </w:tcPr>
          <w:p>
            <w:pPr>
              <w:jc w:val="center"/>
              <w:ind w:right="56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880" w:type="dxa"/>
            <w:vAlign w:val="bottom"/>
            <w:gridSpan w:val="2"/>
          </w:tcPr>
          <w:p>
            <w:pPr>
              <w:jc w:val="right"/>
              <w:ind w:right="535"/>
              <w:spacing w:after="0" w:line="149" w:lineRule="exact"/>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59"/>
        </w:trPr>
        <w:tc>
          <w:tcPr>
            <w:tcW w:w="6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880" w:type="dxa"/>
            <w:vAlign w:val="bottom"/>
            <w:gridSpan w:val="2"/>
          </w:tcPr>
          <w:p>
            <w:pPr>
              <w:jc w:val="right"/>
              <w:ind w:right="275"/>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1160" w:type="dxa"/>
            <w:vAlign w:val="bottom"/>
            <w:tcBorders>
              <w:top w:val="single" w:sz="8" w:color="auto"/>
            </w:tcBorders>
            <w:gridSpan w:val="2"/>
          </w:tcPr>
          <w:p>
            <w:pPr>
              <w:jc w:val="center"/>
              <w:ind w:left="119"/>
              <w:spacing w:after="0" w:line="131" w:lineRule="exact"/>
              <w:rPr>
                <w:sz w:val="20"/>
                <w:szCs w:val="20"/>
                <w:color w:val="auto"/>
              </w:rPr>
            </w:pPr>
            <w:r>
              <w:rPr>
                <w:rFonts w:ascii="Arial" w:cs="Arial" w:eastAsia="Arial" w:hAnsi="Arial"/>
                <w:sz w:val="14"/>
                <w:szCs w:val="14"/>
                <w:color w:val="auto"/>
                <w:w w:val="87"/>
              </w:rPr>
              <w:t>Three Months</w:t>
            </w:r>
          </w:p>
        </w:tc>
        <w:tc>
          <w:tcPr>
            <w:tcW w:w="340" w:type="dxa"/>
            <w:vAlign w:val="bottom"/>
          </w:tcPr>
          <w:p>
            <w:pPr>
              <w:spacing w:after="0"/>
              <w:rPr>
                <w:sz w:val="11"/>
                <w:szCs w:val="11"/>
                <w:color w:val="auto"/>
              </w:rPr>
            </w:pPr>
          </w:p>
        </w:tc>
        <w:tc>
          <w:tcPr>
            <w:tcW w:w="1160" w:type="dxa"/>
            <w:vAlign w:val="bottom"/>
            <w:tcBorders>
              <w:top w:val="single" w:sz="8" w:color="auto"/>
            </w:tcBorders>
            <w:gridSpan w:val="2"/>
          </w:tcPr>
          <w:p>
            <w:pPr>
              <w:jc w:val="center"/>
              <w:ind w:left="122"/>
              <w:spacing w:after="0" w:line="131" w:lineRule="exact"/>
              <w:rPr>
                <w:sz w:val="20"/>
                <w:szCs w:val="20"/>
                <w:color w:val="auto"/>
              </w:rPr>
            </w:pPr>
            <w:r>
              <w:rPr>
                <w:rFonts w:ascii="Arial" w:cs="Arial" w:eastAsia="Arial" w:hAnsi="Arial"/>
                <w:sz w:val="14"/>
                <w:szCs w:val="14"/>
                <w:color w:val="auto"/>
                <w:w w:val="87"/>
              </w:rPr>
              <w:t>Three Months</w:t>
            </w: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3"/>
              </w:rPr>
              <w:t>Ended</w:t>
            </w:r>
          </w:p>
        </w:tc>
        <w:tc>
          <w:tcPr>
            <w:tcW w:w="4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3"/>
              </w:rPr>
              <w:t>Ended</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5"/>
              </w:rPr>
              <w:t>June 30,</w:t>
            </w:r>
          </w:p>
        </w:tc>
        <w:tc>
          <w:tcPr>
            <w:tcW w:w="4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5"/>
              </w:rPr>
              <w:t>June 30,</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83"/>
              </w:rPr>
              <w:t>2011</w:t>
            </w:r>
          </w:p>
        </w:tc>
        <w:tc>
          <w:tcPr>
            <w:tcW w:w="34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83"/>
              </w:rPr>
              <w:t>2010</w:t>
            </w:r>
          </w:p>
        </w:tc>
        <w:tc>
          <w:tcPr>
            <w:tcW w:w="340" w:type="dxa"/>
            <w:vAlign w:val="bottom"/>
            <w:tcBorders>
              <w:bottom w:val="single" w:sz="8" w:color="E5E5E5"/>
            </w:tcBorders>
          </w:tcPr>
          <w:p>
            <w:pPr>
              <w:spacing w:after="0"/>
              <w:rPr>
                <w:sz w:val="15"/>
                <w:szCs w:val="15"/>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1000" w:type="dxa"/>
            <w:vAlign w:val="bottom"/>
          </w:tcPr>
          <w:p>
            <w:pPr>
              <w:jc w:val="right"/>
              <w:ind w:right="218"/>
              <w:spacing w:after="0"/>
              <w:rPr>
                <w:sz w:val="20"/>
                <w:szCs w:val="20"/>
                <w:color w:val="auto"/>
              </w:rPr>
            </w:pPr>
            <w:r>
              <w:rPr>
                <w:rFonts w:ascii="Arial" w:cs="Arial" w:eastAsia="Arial" w:hAnsi="Arial"/>
                <w:sz w:val="18"/>
                <w:szCs w:val="18"/>
                <w:color w:val="auto"/>
              </w:rPr>
              <w:t>$ 278</w:t>
            </w:r>
          </w:p>
        </w:tc>
        <w:tc>
          <w:tcPr>
            <w:tcW w:w="88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6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(27)</w:t>
            </w:r>
          </w:p>
        </w:tc>
        <w:tc>
          <w:tcPr>
            <w:tcW w:w="88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18"/>
                <w:szCs w:val="18"/>
                <w:color w:val="auto"/>
              </w:rPr>
            </w:pPr>
          </w:p>
        </w:tc>
        <w:tc>
          <w:tcPr>
            <w:tcW w:w="1000" w:type="dxa"/>
            <w:vAlign w:val="bottom"/>
          </w:tcPr>
          <w:p>
            <w:pPr>
              <w:jc w:val="right"/>
              <w:ind w:right="158"/>
              <w:spacing w:after="0"/>
              <w:rPr>
                <w:sz w:val="20"/>
                <w:szCs w:val="20"/>
                <w:color w:val="auto"/>
              </w:rPr>
            </w:pPr>
            <w:r>
              <w:rPr>
                <w:rFonts w:ascii="Arial" w:cs="Arial" w:eastAsia="Arial" w:hAnsi="Arial"/>
                <w:sz w:val="18"/>
                <w:szCs w:val="18"/>
                <w:color w:val="auto"/>
              </w:rPr>
              <w:t>(19)</w:t>
            </w: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E5E5E5"/>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(14)</w:t>
            </w:r>
          </w:p>
        </w:tc>
        <w:tc>
          <w:tcPr>
            <w:tcW w:w="88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1,254</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1,036</w:t>
            </w:r>
          </w:p>
        </w:tc>
        <w:tc>
          <w:tcPr>
            <w:tcW w:w="340" w:type="dxa"/>
            <w:vAlign w:val="bottom"/>
          </w:tcPr>
          <w:p>
            <w:pPr>
              <w:spacing w:after="0"/>
              <w:rPr>
                <w:sz w:val="18"/>
                <w:szCs w:val="18"/>
                <w:color w:val="auto"/>
              </w:rPr>
            </w:pPr>
          </w:p>
        </w:tc>
        <w:tc>
          <w:tcPr>
            <w:tcW w:w="1000" w:type="dxa"/>
            <w:vAlign w:val="bottom"/>
          </w:tcPr>
          <w:p>
            <w:pPr>
              <w:jc w:val="right"/>
              <w:ind w:right="218"/>
              <w:spacing w:after="0"/>
              <w:rPr>
                <w:sz w:val="20"/>
                <w:szCs w:val="20"/>
                <w:color w:val="auto"/>
              </w:rPr>
            </w:pPr>
            <w:r>
              <w:rPr>
                <w:rFonts w:ascii="Arial" w:cs="Arial" w:eastAsia="Arial" w:hAnsi="Arial"/>
                <w:sz w:val="18"/>
                <w:szCs w:val="18"/>
                <w:color w:val="auto"/>
              </w:rPr>
              <w:t>218</w:t>
            </w: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1,227</w:t>
            </w:r>
          </w:p>
        </w:tc>
        <w:tc>
          <w:tcPr>
            <w:tcW w:w="34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1,032</w:t>
            </w:r>
          </w:p>
        </w:tc>
        <w:tc>
          <w:tcPr>
            <w:tcW w:w="340" w:type="dxa"/>
            <w:vAlign w:val="bottom"/>
            <w:tcBorders>
              <w:bottom w:val="single" w:sz="8" w:color="E5E5E5"/>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rPr>
              <w:t>195</w:t>
            </w:r>
          </w:p>
        </w:tc>
        <w:tc>
          <w:tcPr>
            <w:tcW w:w="88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8"/>
                <w:szCs w:val="18"/>
                <w:color w:val="auto"/>
              </w:rPr>
            </w:pP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  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675.0%</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w w:val="96"/>
              </w:rPr>
              <w:t>2011</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83"/>
              </w:rPr>
              <w:t>2010</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gridSpan w:val="2"/>
            <w:vMerge w:val="restart"/>
          </w:tcPr>
          <w:p>
            <w:pPr>
              <w:jc w:val="right"/>
              <w:ind w:right="275"/>
              <w:spacing w:after="0"/>
              <w:rPr>
                <w:sz w:val="20"/>
                <w:szCs w:val="20"/>
                <w:color w:val="auto"/>
              </w:rPr>
            </w:pPr>
            <w:r>
              <w:rPr>
                <w:rFonts w:ascii="Arial" w:cs="Arial" w:eastAsia="Arial" w:hAnsi="Arial"/>
                <w:sz w:val="14"/>
                <w:szCs w:val="14"/>
                <w:color w:val="auto"/>
                <w:w w:val="88"/>
              </w:rPr>
              <w:t>Pro Forma Combined</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vMerge w:val="restart"/>
          </w:tcPr>
          <w:p>
            <w:pPr>
              <w:jc w:val="center"/>
              <w:ind w:right="277"/>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980" w:type="dxa"/>
            <w:vAlign w:val="bottom"/>
            <w:gridSpan w:val="2"/>
          </w:tcPr>
          <w:p>
            <w:pPr>
              <w:jc w:val="center"/>
              <w:ind w:left="6"/>
              <w:spacing w:after="0" w:line="115" w:lineRule="exact"/>
              <w:rPr>
                <w:sz w:val="20"/>
                <w:szCs w:val="20"/>
                <w:color w:val="auto"/>
              </w:rPr>
            </w:pPr>
            <w:r>
              <w:rPr>
                <w:rFonts w:ascii="Arial" w:cs="Arial" w:eastAsia="Arial" w:hAnsi="Arial"/>
                <w:sz w:val="12"/>
                <w:szCs w:val="12"/>
                <w:color w:val="auto"/>
              </w:rPr>
              <w:t>Pro Forma</w:t>
            </w: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jc w:val="center"/>
              <w:ind w:right="140"/>
              <w:spacing w:after="0" w:line="115" w:lineRule="exact"/>
              <w:rPr>
                <w:sz w:val="20"/>
                <w:szCs w:val="20"/>
                <w:color w:val="auto"/>
              </w:rPr>
            </w:pPr>
            <w:r>
              <w:rPr>
                <w:rFonts w:ascii="Arial" w:cs="Arial" w:eastAsia="Arial" w:hAnsi="Arial"/>
                <w:sz w:val="12"/>
                <w:szCs w:val="12"/>
                <w:color w:val="auto"/>
                <w:w w:val="96"/>
              </w:rPr>
              <w:t>Pro</w:t>
            </w: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980" w:type="dxa"/>
            <w:vAlign w:val="bottom"/>
            <w:tcBorders>
              <w:bottom w:val="single" w:sz="8" w:color="auto"/>
            </w:tcBorders>
            <w:gridSpan w:val="2"/>
          </w:tcPr>
          <w:p>
            <w:pPr>
              <w:jc w:val="center"/>
              <w:ind w:left="6"/>
              <w:spacing w:after="0" w:line="176" w:lineRule="exact"/>
              <w:rPr>
                <w:sz w:val="20"/>
                <w:szCs w:val="20"/>
                <w:color w:val="auto"/>
              </w:rPr>
            </w:pPr>
            <w:r>
              <w:rPr>
                <w:rFonts w:ascii="Arial" w:cs="Arial" w:eastAsia="Arial" w:hAnsi="Arial"/>
                <w:sz w:val="13"/>
                <w:szCs w:val="13"/>
                <w:color w:val="auto"/>
                <w:w w:val="93"/>
              </w:rPr>
              <w:t>Combined</w:t>
            </w:r>
            <w:r>
              <w:rPr>
                <w:rFonts w:ascii="Arial" w:cs="Arial" w:eastAsia="Arial" w:hAnsi="Arial"/>
                <w:sz w:val="20"/>
                <w:szCs w:val="20"/>
                <w:color w:val="auto"/>
                <w:w w:val="93"/>
                <w:vertAlign w:val="superscript"/>
              </w:rPr>
              <w:t>(c)</w:t>
            </w:r>
          </w:p>
        </w:tc>
        <w:tc>
          <w:tcPr>
            <w:tcW w:w="360" w:type="dxa"/>
            <w:vAlign w:val="bottom"/>
          </w:tcPr>
          <w:p>
            <w:pPr>
              <w:spacing w:after="0"/>
              <w:rPr>
                <w:sz w:val="15"/>
                <w:szCs w:val="15"/>
                <w:color w:val="auto"/>
              </w:rPr>
            </w:pPr>
          </w:p>
        </w:tc>
        <w:tc>
          <w:tcPr>
            <w:tcW w:w="1080" w:type="dxa"/>
            <w:vAlign w:val="bottom"/>
            <w:tcBorders>
              <w:bottom w:val="single" w:sz="8" w:color="auto"/>
            </w:tcBorders>
            <w:gridSpan w:val="2"/>
          </w:tcPr>
          <w:p>
            <w:pPr>
              <w:jc w:val="center"/>
              <w:ind w:left="144"/>
              <w:spacing w:after="0" w:line="176" w:lineRule="exact"/>
              <w:rPr>
                <w:sz w:val="20"/>
                <w:szCs w:val="20"/>
                <w:color w:val="auto"/>
              </w:rPr>
            </w:pPr>
            <w:r>
              <w:rPr>
                <w:rFonts w:ascii="Arial" w:cs="Arial" w:eastAsia="Arial" w:hAnsi="Arial"/>
                <w:sz w:val="13"/>
                <w:szCs w:val="13"/>
                <w:color w:val="auto"/>
                <w:w w:val="92"/>
              </w:rPr>
              <w:t>Forma</w:t>
            </w:r>
            <w:r>
              <w:rPr>
                <w:rFonts w:ascii="Arial" w:cs="Arial" w:eastAsia="Arial" w:hAnsi="Arial"/>
                <w:sz w:val="20"/>
                <w:szCs w:val="20"/>
                <w:color w:val="auto"/>
                <w:w w:val="92"/>
                <w:vertAlign w:val="superscript"/>
              </w:rPr>
              <w:t>(b)</w:t>
            </w:r>
          </w:p>
        </w:tc>
        <w:tc>
          <w:tcPr>
            <w:tcW w:w="3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For the period</w:t>
            </w:r>
          </w:p>
        </w:tc>
        <w:tc>
          <w:tcPr>
            <w:tcW w:w="1340" w:type="dxa"/>
            <w:vAlign w:val="bottom"/>
            <w:gridSpan w:val="3"/>
            <w:vMerge w:val="restart"/>
          </w:tcPr>
          <w:p>
            <w:pPr>
              <w:jc w:val="center"/>
              <w:ind w:right="280"/>
              <w:spacing w:after="0"/>
              <w:rPr>
                <w:sz w:val="20"/>
                <w:szCs w:val="20"/>
                <w:color w:val="auto"/>
              </w:rPr>
            </w:pPr>
            <w:r>
              <w:rPr>
                <w:rFonts w:ascii="Arial" w:cs="Arial" w:eastAsia="Arial" w:hAnsi="Arial"/>
                <w:sz w:val="14"/>
                <w:szCs w:val="14"/>
                <w:color w:val="auto"/>
                <w:w w:val="89"/>
              </w:rPr>
              <w:t>Six Months</w:t>
            </w:r>
          </w:p>
        </w:tc>
        <w:tc>
          <w:tcPr>
            <w:tcW w:w="144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89"/>
              </w:rPr>
              <w:t>Six Months</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440" w:type="dxa"/>
            <w:vAlign w:val="bottom"/>
            <w:gridSpan w:val="2"/>
          </w:tcPr>
          <w:p>
            <w:pPr>
              <w:jc w:val="center"/>
              <w:ind w:left="2"/>
              <w:spacing w:after="0" w:line="135" w:lineRule="exact"/>
              <w:rPr>
                <w:sz w:val="20"/>
                <w:szCs w:val="20"/>
                <w:color w:val="auto"/>
              </w:rPr>
            </w:pPr>
            <w:r>
              <w:rPr>
                <w:rFonts w:ascii="Arial" w:cs="Arial" w:eastAsia="Arial" w:hAnsi="Arial"/>
                <w:sz w:val="14"/>
                <w:szCs w:val="14"/>
                <w:color w:val="auto"/>
                <w:w w:val="87"/>
              </w:rPr>
              <w:t>For the period</w:t>
            </w:r>
          </w:p>
        </w:tc>
        <w:tc>
          <w:tcPr>
            <w:tcW w:w="280" w:type="dxa"/>
            <w:vAlign w:val="bottom"/>
          </w:tcPr>
          <w:p>
            <w:pPr>
              <w:spacing w:after="0"/>
              <w:rPr>
                <w:sz w:val="11"/>
                <w:szCs w:val="11"/>
                <w:color w:val="auto"/>
              </w:rPr>
            </w:pPr>
          </w:p>
        </w:tc>
        <w:tc>
          <w:tcPr>
            <w:tcW w:w="920" w:type="dxa"/>
            <w:vAlign w:val="bottom"/>
          </w:tcPr>
          <w:p>
            <w:pPr>
              <w:jc w:val="center"/>
              <w:ind w:right="240"/>
              <w:spacing w:after="0" w:line="135" w:lineRule="exact"/>
              <w:rPr>
                <w:sz w:val="20"/>
                <w:szCs w:val="20"/>
                <w:color w:val="auto"/>
              </w:rPr>
            </w:pPr>
            <w:r>
              <w:rPr>
                <w:rFonts w:ascii="Arial" w:cs="Arial" w:eastAsia="Arial" w:hAnsi="Arial"/>
                <w:sz w:val="14"/>
                <w:szCs w:val="14"/>
                <w:color w:val="auto"/>
                <w:w w:val="84"/>
              </w:rPr>
              <w:t>January 1</w:t>
            </w:r>
          </w:p>
        </w:tc>
        <w:tc>
          <w:tcPr>
            <w:tcW w:w="1340" w:type="dxa"/>
            <w:vAlign w:val="bottom"/>
            <w:gridSpan w:val="3"/>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center"/>
              <w:ind w:right="297"/>
              <w:spacing w:after="0" w:line="149" w:lineRule="exact"/>
              <w:rPr>
                <w:sz w:val="20"/>
                <w:szCs w:val="20"/>
                <w:color w:val="auto"/>
              </w:rPr>
            </w:pPr>
            <w:r>
              <w:rPr>
                <w:rFonts w:ascii="Arial" w:cs="Arial" w:eastAsia="Arial" w:hAnsi="Arial"/>
                <w:sz w:val="14"/>
                <w:szCs w:val="14"/>
                <w:color w:val="auto"/>
                <w:w w:val="83"/>
              </w:rPr>
              <w:t>January 29</w:t>
            </w:r>
          </w:p>
        </w:tc>
        <w:tc>
          <w:tcPr>
            <w:tcW w:w="280" w:type="dxa"/>
            <w:vAlign w:val="bottom"/>
          </w:tcPr>
          <w:p>
            <w:pPr>
              <w:spacing w:after="0"/>
              <w:rPr>
                <w:sz w:val="12"/>
                <w:szCs w:val="12"/>
                <w:color w:val="auto"/>
              </w:rPr>
            </w:pPr>
          </w:p>
        </w:tc>
        <w:tc>
          <w:tcPr>
            <w:tcW w:w="920" w:type="dxa"/>
            <w:vAlign w:val="bottom"/>
          </w:tcPr>
          <w:p>
            <w:pPr>
              <w:jc w:val="center"/>
              <w:ind w:right="260"/>
              <w:spacing w:after="0" w:line="149" w:lineRule="exact"/>
              <w:rPr>
                <w:sz w:val="20"/>
                <w:szCs w:val="20"/>
                <w:color w:val="auto"/>
              </w:rPr>
            </w:pPr>
            <w:r>
              <w:rPr>
                <w:rFonts w:ascii="Arial" w:cs="Arial" w:eastAsia="Arial" w:hAnsi="Arial"/>
                <w:sz w:val="14"/>
                <w:szCs w:val="14"/>
                <w:color w:val="auto"/>
                <w:w w:val="88"/>
              </w:rPr>
              <w:t>through</w:t>
            </w:r>
          </w:p>
        </w:tc>
        <w:tc>
          <w:tcPr>
            <w:tcW w:w="300" w:type="dxa"/>
            <w:vAlign w:val="bottom"/>
          </w:tcPr>
          <w:p>
            <w:pPr>
              <w:spacing w:after="0"/>
              <w:rPr>
                <w:sz w:val="12"/>
                <w:szCs w:val="12"/>
                <w:color w:val="auto"/>
              </w:rPr>
            </w:pPr>
          </w:p>
        </w:tc>
        <w:tc>
          <w:tcPr>
            <w:tcW w:w="10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440" w:type="dxa"/>
            <w:vAlign w:val="bottom"/>
          </w:tcPr>
          <w:p>
            <w:pPr>
              <w:spacing w:after="0"/>
              <w:rPr>
                <w:sz w:val="12"/>
                <w:szCs w:val="12"/>
                <w:color w:val="auto"/>
              </w:rPr>
            </w:pPr>
          </w:p>
        </w:tc>
        <w:tc>
          <w:tcPr>
            <w:tcW w:w="10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Arial" w:cs="Arial" w:eastAsia="Arial" w:hAnsi="Arial"/>
                <w:sz w:val="14"/>
                <w:szCs w:val="14"/>
                <w:color w:val="auto"/>
              </w:rPr>
              <w:t>(in millions)</w:t>
            </w:r>
          </w:p>
        </w:tc>
        <w:tc>
          <w:tcPr>
            <w:tcW w:w="1440" w:type="dxa"/>
            <w:vAlign w:val="bottom"/>
            <w:gridSpan w:val="2"/>
          </w:tcPr>
          <w:p>
            <w:pPr>
              <w:jc w:val="center"/>
              <w:ind w:left="2"/>
              <w:spacing w:after="0"/>
              <w:rPr>
                <w:sz w:val="20"/>
                <w:szCs w:val="20"/>
                <w:color w:val="auto"/>
              </w:rPr>
            </w:pPr>
            <w:r>
              <w:rPr>
                <w:rFonts w:ascii="Arial" w:cs="Arial" w:eastAsia="Arial" w:hAnsi="Arial"/>
                <w:sz w:val="14"/>
                <w:szCs w:val="14"/>
                <w:color w:val="auto"/>
                <w:w w:val="86"/>
              </w:rPr>
              <w:t>through June 30</w:t>
            </w:r>
          </w:p>
        </w:tc>
        <w:tc>
          <w:tcPr>
            <w:tcW w:w="280" w:type="dxa"/>
            <w:vAlign w:val="bottom"/>
          </w:tcPr>
          <w:p>
            <w:pPr>
              <w:spacing w:after="0"/>
              <w:rPr>
                <w:sz w:val="15"/>
                <w:szCs w:val="15"/>
                <w:color w:val="auto"/>
              </w:rPr>
            </w:pPr>
          </w:p>
        </w:tc>
        <w:tc>
          <w:tcPr>
            <w:tcW w:w="920" w:type="dxa"/>
            <w:vAlign w:val="bottom"/>
          </w:tcPr>
          <w:p>
            <w:pPr>
              <w:jc w:val="center"/>
              <w:ind w:right="260"/>
              <w:spacing w:after="0"/>
              <w:rPr>
                <w:sz w:val="20"/>
                <w:szCs w:val="20"/>
                <w:color w:val="auto"/>
              </w:rPr>
            </w:pPr>
            <w:r>
              <w:rPr>
                <w:rFonts w:ascii="Arial" w:cs="Arial" w:eastAsia="Arial" w:hAnsi="Arial"/>
                <w:sz w:val="14"/>
                <w:szCs w:val="14"/>
                <w:color w:val="auto"/>
                <w:w w:val="83"/>
              </w:rPr>
              <w:t>January 28</w:t>
            </w:r>
          </w:p>
        </w:tc>
        <w:tc>
          <w:tcPr>
            <w:tcW w:w="300" w:type="dxa"/>
            <w:vAlign w:val="bottom"/>
          </w:tcPr>
          <w:p>
            <w:pPr>
              <w:spacing w:after="0"/>
              <w:rPr>
                <w:sz w:val="15"/>
                <w:szCs w:val="15"/>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color w:val="auto"/>
                <w:w w:val="84"/>
              </w:rPr>
              <w:t>June 30</w:t>
            </w:r>
          </w:p>
        </w:tc>
        <w:tc>
          <w:tcPr>
            <w:tcW w:w="440" w:type="dxa"/>
            <w:vAlign w:val="bottom"/>
          </w:tcPr>
          <w:p>
            <w:pPr>
              <w:spacing w:after="0"/>
              <w:rPr>
                <w:sz w:val="15"/>
                <w:szCs w:val="15"/>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color w:val="auto"/>
                <w:w w:val="84"/>
              </w:rPr>
              <w:t>June 30</w:t>
            </w:r>
          </w:p>
        </w:tc>
        <w:tc>
          <w:tcPr>
            <w:tcW w:w="440" w:type="dxa"/>
            <w:vAlign w:val="bottom"/>
          </w:tcPr>
          <w:p>
            <w:pPr>
              <w:spacing w:after="0"/>
              <w:rPr>
                <w:sz w:val="15"/>
                <w:szCs w:val="15"/>
                <w:color w:val="auto"/>
              </w:rPr>
            </w:pPr>
          </w:p>
        </w:tc>
        <w:tc>
          <w:tcPr>
            <w:tcW w:w="720" w:type="dxa"/>
            <w:vAlign w:val="bottom"/>
          </w:tcPr>
          <w:p>
            <w:pPr>
              <w:jc w:val="right"/>
              <w:ind w:right="47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620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0"/>
              <w:spacing w:after="0"/>
              <w:rPr>
                <w:sz w:val="20"/>
                <w:szCs w:val="20"/>
                <w:color w:val="auto"/>
              </w:rPr>
            </w:pPr>
            <w:r>
              <w:rPr>
                <w:rFonts w:ascii="Arial" w:cs="Arial" w:eastAsia="Arial" w:hAnsi="Arial"/>
                <w:sz w:val="18"/>
                <w:szCs w:val="18"/>
                <w:color w:val="auto"/>
              </w:rPr>
              <w:t>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678</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436</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8"/>
              <w:spacing w:after="0"/>
              <w:rPr>
                <w:sz w:val="20"/>
                <w:szCs w:val="20"/>
                <w:color w:val="auto"/>
              </w:rPr>
            </w:pPr>
            <w:r>
              <w:rPr>
                <w:rFonts w:ascii="Arial" w:cs="Arial" w:eastAsia="Arial" w:hAnsi="Arial"/>
                <w:sz w:val="18"/>
                <w:szCs w:val="18"/>
                <w:color w:val="auto"/>
              </w:rPr>
              <w:t>242</w:t>
            </w:r>
          </w:p>
        </w:tc>
        <w:tc>
          <w:tcPr>
            <w:tcW w:w="84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40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701</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40"/>
              <w:spacing w:after="0"/>
              <w:rPr>
                <w:sz w:val="20"/>
                <w:szCs w:val="20"/>
                <w:color w:val="auto"/>
              </w:rPr>
            </w:pPr>
            <w:r>
              <w:rPr>
                <w:rFonts w:ascii="Arial" w:cs="Arial" w:eastAsia="Arial" w:hAnsi="Arial"/>
                <w:sz w:val="18"/>
                <w:szCs w:val="18"/>
                <w:color w:val="auto"/>
              </w:rPr>
              <w:t>651</w:t>
            </w:r>
          </w:p>
        </w:tc>
        <w:tc>
          <w:tcPr>
            <w:tcW w:w="3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50</w:t>
            </w:r>
          </w:p>
        </w:tc>
        <w:tc>
          <w:tcPr>
            <w:tcW w:w="8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4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920" w:type="dxa"/>
            <w:vAlign w:val="bottom"/>
          </w:tcPr>
          <w:p>
            <w:pPr>
              <w:jc w:val="right"/>
              <w:ind w:right="16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733</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198"/>
              <w:spacing w:after="0"/>
              <w:rPr>
                <w:sz w:val="20"/>
                <w:szCs w:val="20"/>
                <w:color w:val="auto"/>
              </w:rPr>
            </w:pPr>
            <w:r>
              <w:rPr>
                <w:rFonts w:ascii="Arial" w:cs="Arial" w:eastAsia="Arial" w:hAnsi="Arial"/>
                <w:sz w:val="18"/>
                <w:szCs w:val="18"/>
                <w:color w:val="auto"/>
                <w:w w:val="99"/>
              </w:rPr>
              <w:t>(117)</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234</w:t>
            </w:r>
          </w:p>
        </w:tc>
        <w:tc>
          <w:tcPr>
            <w:tcW w:w="36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277</w:t>
            </w:r>
          </w:p>
        </w:tc>
        <w:tc>
          <w:tcPr>
            <w:tcW w:w="36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(43)</w:t>
            </w:r>
          </w:p>
        </w:tc>
        <w:tc>
          <w:tcPr>
            <w:tcW w:w="84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1,876</w:t>
            </w:r>
          </w:p>
        </w:tc>
        <w:tc>
          <w:tcPr>
            <w:tcW w:w="280" w:type="dxa"/>
            <w:vAlign w:val="bottom"/>
          </w:tcPr>
          <w:p>
            <w:pPr>
              <w:spacing w:after="0"/>
              <w:rPr>
                <w:sz w:val="18"/>
                <w:szCs w:val="18"/>
                <w:color w:val="auto"/>
              </w:rPr>
            </w:pPr>
          </w:p>
        </w:tc>
        <w:tc>
          <w:tcPr>
            <w:tcW w:w="920" w:type="dxa"/>
            <w:vAlign w:val="bottom"/>
          </w:tcPr>
          <w:p>
            <w:pPr>
              <w:jc w:val="right"/>
              <w:ind w:right="16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2,229</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8"/>
                <w:szCs w:val="18"/>
                <w:color w:val="auto"/>
              </w:rPr>
              <w:t>2,097</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ind w:right="258"/>
              <w:spacing w:after="0"/>
              <w:rPr>
                <w:sz w:val="20"/>
                <w:szCs w:val="20"/>
                <w:color w:val="auto"/>
              </w:rPr>
            </w:pPr>
            <w:r>
              <w:rPr>
                <w:rFonts w:ascii="Arial" w:cs="Arial" w:eastAsia="Arial" w:hAnsi="Arial"/>
                <w:sz w:val="18"/>
                <w:szCs w:val="18"/>
                <w:color w:val="auto"/>
              </w:rPr>
              <w:t>132</w:t>
            </w:r>
          </w:p>
        </w:tc>
        <w:tc>
          <w:tcPr>
            <w:tcW w:w="840" w:type="dxa"/>
            <w:vAlign w:val="bottom"/>
          </w:tcPr>
          <w:p>
            <w:pPr>
              <w:jc w:val="right"/>
              <w:ind w:right="1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1,992</w:t>
            </w:r>
          </w:p>
        </w:tc>
        <w:tc>
          <w:tcPr>
            <w:tcW w:w="2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356</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2,348</w:t>
            </w:r>
          </w:p>
        </w:tc>
        <w:tc>
          <w:tcPr>
            <w:tcW w:w="36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2,105</w:t>
            </w:r>
          </w:p>
        </w:tc>
        <w:tc>
          <w:tcPr>
            <w:tcW w:w="36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243</w:t>
            </w:r>
          </w:p>
        </w:tc>
        <w:tc>
          <w:tcPr>
            <w:tcW w:w="8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5"/>
        </w:trPr>
        <w:tc>
          <w:tcPr>
            <w:tcW w:w="400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(116)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36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w w:val="99"/>
              </w:rPr>
              <w:t>(111)</w:t>
            </w: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Actual amounts include the results of operations for the NBCUniversal acquired businesses for the three months ended June 30, 2011 and for the period January 29, 2011 through June 30, 2011.</w:t>
      </w:r>
    </w:p>
    <w:p>
      <w:pPr>
        <w:spacing w:after="0" w:line="78" w:lineRule="exact"/>
        <w:rPr>
          <w:rFonts w:ascii="Arial" w:cs="Arial" w:eastAsia="Arial" w:hAnsi="Arial"/>
          <w:sz w:val="12"/>
          <w:szCs w:val="12"/>
          <w:color w:val="auto"/>
        </w:rPr>
      </w:pPr>
    </w:p>
    <w:p>
      <w:pPr>
        <w:jc w:val="both"/>
        <w:ind w:left="340" w:hanging="332"/>
        <w:spacing w:after="0" w:line="27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through January 28, 2011 and for the three and six months ended June 30, 2010. These amounts also include pro forma adjustments as if the NBCUniversal transaction had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Segment—Revenue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Filmed Entertainment segment revenue consists primarily of theatrical revenue, content licensing revenue and home entertainment revenue. Theatrical revenue is generated from the worldwide theatrical release of our owned and acquired films. Content licensing revenue is generated primarily from the licensing of owned and acquired films to pay and advertising-supported television distribution platforms. Home entertainment revenue is generated from the license or sale of our owned and acquired films to retail stores and through digital media platforms, including electronic sell-through. We also generate revenue from distributing third parties’ filmed entertainment, producing stage plays, publishing music and licensing consumer products.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 our Filmed Entertainment segment is significantly affected by the timing and number of our theatrical and home entertainment releases, as well as their acceptance by consumers. Theatrical and home entertainment release dates are determined by several factors, including production schedules, vacation and holiday periods, and the timing of competitive releases. Theatrical revenue is affected by the number of exhibition screens, ticket prices, the percentage of ticket sale retention by theatrical exhibitors and the popularity of competing films at the time our films are released. As a result, revenue may fluctuate from period to period and is typically highest in the fourth quarter of each year. The theatrical success of a film is a significant factor in determining the revenue a film is likely to generate in succeeding distribution platforms.</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Theatrical revenue for the three months ended June 30, 2011 and pro forma combined theatrical revenue for the six months ended June 30, 2011 increased compared to the same periods in 2010 primarily due to increases in the number of theatrical releases in our 2011 slate and the strong performance of the second quarter 2011 releases of </w:t>
      </w:r>
      <w:r>
        <w:rPr>
          <w:rFonts w:ascii="Arial" w:cs="Arial" w:eastAsia="Arial" w:hAnsi="Arial"/>
          <w:sz w:val="18"/>
          <w:szCs w:val="18"/>
          <w:i w:val="1"/>
          <w:iCs w:val="1"/>
          <w:color w:val="auto"/>
        </w:rPr>
        <w:t>Fast Five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Bridesmaids</w:t>
      </w:r>
      <w:r>
        <w:rPr>
          <w:rFonts w:ascii="Arial" w:cs="Arial" w:eastAsia="Arial" w:hAnsi="Arial"/>
          <w:sz w:val="18"/>
          <w:szCs w:val="18"/>
          <w:color w:val="auto"/>
        </w:rPr>
        <w: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Content licensing revenue for the three months ended June 30, 2011 decreased compared to the same period in 2010 primarily due to the timing of when our owned and acquired films were made available to licensees. Pro forma combined content licensing revenue for the six months ended June 30, 2011 increased compared to the same period in 2010 primarily due to the timing of when our owned and acquired films were made available to licensees, primarily on free television platforms.</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Home entertainment revenue for the three months ended June 30, 2011 and pro forma combined home entertainment revenue for the six months ended June 30, 2011 decreased compared to the same periods in 2010 primarily due to declines in DVD sales, both in the U.S. and internationally, resulting from the number and mix of titles released compared to the same periods in 2010 and an overall decline in the DVD market. Several factors have contributed to the overall decline in the DVD market, including weak economic conditions, the maturation of the standard-definition DVD format, piracy, and intense competition for consumer discretionary spending and leisure time. DVD sales have also been negatively affected by an increasing shift by consumers toward subscription rental services, discount rental kiosks and digital forms of entertainment, such as video on demand services, which generate less revenue per transaction than DVD sales. We expect overall home entertainment revenue in 2011 will continue to be negatively affected by an overall decline in DVD sales.</w:t>
      </w:r>
    </w:p>
    <w:p>
      <w:pPr>
        <w:spacing w:after="0" w:line="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revenue for the three months ended June 30, 2011 and pro forma combined other revenue for the six months ended June 30, 2011 decreased compared to the same periods in 2010 primarily due to decreases in revenue generated from our stage plays.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Segment—Operating Costs and Expenses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Filmed Entertainment segment operating costs and expenses consist primarily of amortization of capitalized film production and acquisition costs, residual and participation payments, and distribution and marketing costs. Residual payments represent amounts payable to certain of our employees who are represented by labor unions or guilds, such as the Writers Guild of America, Screen Actors Guild and the Directors Guild of America, and are based on post-theatrical revenue. Participation payments are primarily based on film performance and represent contingent consideration payable to creative talent and other parties involved in the production of a film, including producers, writers, directors, actors, and technical and production personnel, under employment or other agreements and to our film cofinancing partners under cofinancing agreements. Distribution and marketing costs consist primarily of the costs associated with theatrical prints and advertising and the replication, distribution and marketing of DVDs. Other operating costs and expenses include salaries, employee benefits, rent and other overhead costs.</w:t>
      </w:r>
    </w:p>
    <w:p>
      <w:pPr>
        <w:spacing w:after="0" w:line="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incur significant marketing costs before and throughout the theatrical release of a film and in connection with the release of a film on other distribution platforms. As a result, we typically incur losses on a film prior to and during the film’s theatrical exhibition and may not realize profits, if any, until the film generates home entertainment and content licensing revenue. The costs of producing and marketing films have generally increased in recent years and may continue to increase in the future, particularly if competition within the filmed entertainment industry continues to intensify.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costs and expenses for the three months ended June 30, 2011 and pro forma combined operating costs and expenses for the six months ended June 30, 2011 increased compared to the same periods in 2010 primarily due to increases in marketing costs associated with promoting our theatrical releases occurring in the second and third quarters of 2011, as well as increases in film cost amortization resulting from corresponding increases in theatrical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Actual and Pro Forma Results of Operations</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Theme Parks segment consists primarily of our Universal Studios Hollywood park, our Wet ’n Wild water park and fees from intellectual property licenses and other services from third parties that own and operate Universal Studios Japan and Universal Studios Singapore. Through June 30, 2011, we held a 50% equity interest in and received special and other fees from UCDP, which owns Universal Studios Florida and Universal’s Islands of Adventure in Orlando, Florida. The income (loss) from this equity investment and other related properties (“Orlando Parks”) is included in operating income before depreciation and amortization for the Theme Parks segment. On July 1, 2011, NBCUniversal completed the acquisition of the 50% equity interest in UCDP that it did not already own for $1.025 billion, subject to various purchase price adjustments. As a result, UCDP has become a wholly owned consolidated subsidiary of NBCUniversal.</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vMerge w:val="restart"/>
          </w:tcPr>
          <w:p>
            <w:pPr>
              <w:jc w:val="center"/>
              <w:ind w:right="60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560" w:type="dxa"/>
            <w:vAlign w:val="bottom"/>
            <w:gridSpan w:val="3"/>
            <w:vMerge w:val="restart"/>
          </w:tcPr>
          <w:p>
            <w:pPr>
              <w:jc w:val="center"/>
              <w:ind w:right="18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400" w:type="dxa"/>
            <w:vAlign w:val="bottom"/>
          </w:tcPr>
          <w:p>
            <w:pPr>
              <w:spacing w:after="0"/>
              <w:rPr>
                <w:sz w:val="14"/>
                <w:szCs w:val="14"/>
                <w:color w:val="auto"/>
              </w:rPr>
            </w:pPr>
          </w:p>
        </w:tc>
        <w:tc>
          <w:tcPr>
            <w:tcW w:w="1460" w:type="dxa"/>
            <w:vAlign w:val="bottom"/>
            <w:gridSpan w:val="2"/>
          </w:tcPr>
          <w:p>
            <w:pPr>
              <w:jc w:val="right"/>
              <w:ind w:right="536"/>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59"/>
        </w:trPr>
        <w:tc>
          <w:tcPr>
            <w:tcW w:w="6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2"/>
          </w:tcPr>
          <w:p>
            <w:pPr>
              <w:jc w:val="right"/>
              <w:ind w:right="276"/>
              <w:spacing w:after="0" w:line="159" w:lineRule="exact"/>
              <w:rPr>
                <w:sz w:val="20"/>
                <w:szCs w:val="20"/>
                <w:color w:val="auto"/>
              </w:rPr>
            </w:pPr>
            <w:r>
              <w:rPr>
                <w:rFonts w:ascii="Arial" w:cs="Arial" w:eastAsia="Arial" w:hAnsi="Arial"/>
                <w:sz w:val="14"/>
                <w:szCs w:val="14"/>
                <w:color w:val="auto"/>
                <w:w w:val="85"/>
              </w:rPr>
              <w:t>Increase/(Decrease)</w:t>
            </w: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1200" w:type="dxa"/>
            <w:vAlign w:val="bottom"/>
            <w:tcBorders>
              <w:top w:val="single" w:sz="8" w:color="auto"/>
            </w:tcBorders>
            <w:gridSpan w:val="2"/>
          </w:tcPr>
          <w:p>
            <w:pPr>
              <w:ind w:left="280"/>
              <w:spacing w:after="0" w:line="131" w:lineRule="exact"/>
              <w:rPr>
                <w:sz w:val="20"/>
                <w:szCs w:val="20"/>
                <w:color w:val="auto"/>
              </w:rPr>
            </w:pPr>
            <w:r>
              <w:rPr>
                <w:rFonts w:ascii="Arial" w:cs="Arial" w:eastAsia="Arial" w:hAnsi="Arial"/>
                <w:sz w:val="14"/>
                <w:szCs w:val="14"/>
                <w:color w:val="auto"/>
              </w:rPr>
              <w:t>Three Months</w:t>
            </w:r>
          </w:p>
        </w:tc>
        <w:tc>
          <w:tcPr>
            <w:tcW w:w="320" w:type="dxa"/>
            <w:vAlign w:val="bottom"/>
          </w:tcPr>
          <w:p>
            <w:pPr>
              <w:spacing w:after="0"/>
              <w:rPr>
                <w:sz w:val="11"/>
                <w:szCs w:val="11"/>
                <w:color w:val="auto"/>
              </w:rPr>
            </w:pPr>
          </w:p>
        </w:tc>
        <w:tc>
          <w:tcPr>
            <w:tcW w:w="1220" w:type="dxa"/>
            <w:vAlign w:val="bottom"/>
            <w:tcBorders>
              <w:top w:val="single" w:sz="8" w:color="auto"/>
            </w:tcBorders>
            <w:gridSpan w:val="2"/>
          </w:tcPr>
          <w:p>
            <w:pPr>
              <w:ind w:left="300"/>
              <w:spacing w:after="0" w:line="131" w:lineRule="exact"/>
              <w:rPr>
                <w:sz w:val="20"/>
                <w:szCs w:val="20"/>
                <w:color w:val="auto"/>
              </w:rPr>
            </w:pPr>
            <w:r>
              <w:rPr>
                <w:rFonts w:ascii="Arial" w:cs="Arial" w:eastAsia="Arial" w:hAnsi="Arial"/>
                <w:sz w:val="14"/>
                <w:szCs w:val="14"/>
                <w:color w:val="auto"/>
              </w:rPr>
              <w:t>Three Months</w:t>
            </w:r>
          </w:p>
        </w:tc>
        <w:tc>
          <w:tcPr>
            <w:tcW w:w="3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460" w:type="dxa"/>
            <w:vAlign w:val="bottom"/>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3"/>
              </w:rPr>
              <w:t>Ended</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48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52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June 30, 2011</w:t>
            </w:r>
          </w:p>
        </w:tc>
        <w:tc>
          <w:tcPr>
            <w:tcW w:w="156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June 30, 2010</w:t>
            </w:r>
          </w:p>
        </w:tc>
        <w:tc>
          <w:tcPr>
            <w:tcW w:w="400" w:type="dxa"/>
            <w:vAlign w:val="bottom"/>
          </w:tcPr>
          <w:p>
            <w:pPr>
              <w:spacing w:after="0"/>
              <w:rPr>
                <w:sz w:val="13"/>
                <w:szCs w:val="13"/>
                <w:color w:val="auto"/>
              </w:rPr>
            </w:pPr>
          </w:p>
        </w:tc>
        <w:tc>
          <w:tcPr>
            <w:tcW w:w="580" w:type="dxa"/>
            <w:vAlign w:val="bottom"/>
          </w:tcPr>
          <w:p>
            <w:pPr>
              <w:jc w:val="right"/>
              <w:ind w:right="38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56"/>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E5E5"/>
          </w:tcPr>
          <w:p>
            <w:pPr>
              <w:jc w:val="right"/>
              <w:ind w:right="59"/>
              <w:spacing w:after="0"/>
              <w:rPr>
                <w:sz w:val="20"/>
                <w:szCs w:val="20"/>
                <w:color w:val="auto"/>
              </w:rPr>
            </w:pPr>
            <w:r>
              <w:rPr>
                <w:rFonts w:ascii="Arial" w:cs="Arial" w:eastAsia="Arial" w:hAnsi="Arial"/>
                <w:sz w:val="18"/>
                <w:szCs w:val="18"/>
                <w:color w:val="auto"/>
              </w:rPr>
              <w:t>147</w:t>
            </w:r>
          </w:p>
        </w:tc>
        <w:tc>
          <w:tcPr>
            <w:tcW w:w="320" w:type="dxa"/>
            <w:vAlign w:val="bottom"/>
            <w:tcBorders>
              <w:top w:val="single" w:sz="8" w:color="E5E5E5"/>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120</w:t>
            </w:r>
          </w:p>
        </w:tc>
        <w:tc>
          <w:tcPr>
            <w:tcW w:w="340" w:type="dxa"/>
            <w:vAlign w:val="bottom"/>
            <w:tcBorders>
              <w:top w:val="single" w:sz="8" w:color="E5E5E5"/>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27</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ind w:right="161"/>
              <w:spacing w:after="0"/>
              <w:rPr>
                <w:sz w:val="20"/>
                <w:szCs w:val="20"/>
                <w:color w:val="auto"/>
              </w:rPr>
            </w:pPr>
            <w:r>
              <w:rPr>
                <w:rFonts w:ascii="Arial" w:cs="Arial" w:eastAsia="Arial" w:hAnsi="Arial"/>
                <w:sz w:val="18"/>
                <w:szCs w:val="18"/>
                <w:color w:val="auto"/>
              </w:rPr>
              <w:t>(5)</w:t>
            </w:r>
          </w:p>
        </w:tc>
        <w:tc>
          <w:tcPr>
            <w:tcW w:w="880" w:type="dxa"/>
            <w:vAlign w:val="bottom"/>
          </w:tcPr>
          <w:p>
            <w:pPr>
              <w:jc w:val="right"/>
              <w:ind w:right="13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Equity in income of the Orlando Parks</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9"/>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51</w:t>
            </w:r>
          </w:p>
        </w:tc>
        <w:tc>
          <w:tcPr>
            <w:tcW w:w="8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119</w:t>
            </w:r>
          </w:p>
        </w:tc>
        <w:tc>
          <w:tcPr>
            <w:tcW w:w="320" w:type="dxa"/>
            <w:vAlign w:val="bottom"/>
          </w:tcPr>
          <w:p>
            <w:pPr>
              <w:spacing w:after="0"/>
              <w:rPr>
                <w:sz w:val="18"/>
                <w:szCs w:val="18"/>
                <w:color w:val="auto"/>
              </w:rPr>
            </w:pP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46</w:t>
            </w: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73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158.7%</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w w:val="89"/>
              </w:rPr>
              <w:t>2010</w:t>
            </w:r>
          </w:p>
        </w:tc>
        <w:tc>
          <w:tcPr>
            <w:tcW w:w="380" w:type="dxa"/>
            <w:vAlign w:val="bottom"/>
          </w:tcPr>
          <w:p>
            <w:pPr>
              <w:spacing w:after="0"/>
              <w:rPr>
                <w:sz w:val="14"/>
                <w:szCs w:val="14"/>
                <w:color w:val="auto"/>
              </w:rPr>
            </w:pPr>
          </w:p>
        </w:tc>
        <w:tc>
          <w:tcPr>
            <w:tcW w:w="2020" w:type="dxa"/>
            <w:vAlign w:val="bottom"/>
            <w:gridSpan w:val="2"/>
            <w:vMerge w:val="restart"/>
          </w:tcPr>
          <w:p>
            <w:pPr>
              <w:jc w:val="right"/>
              <w:ind w:right="296"/>
              <w:spacing w:after="0"/>
              <w:rPr>
                <w:sz w:val="20"/>
                <w:szCs w:val="20"/>
                <w:color w:val="auto"/>
              </w:rPr>
            </w:pPr>
            <w:r>
              <w:rPr>
                <w:rFonts w:ascii="Arial" w:cs="Arial" w:eastAsia="Arial" w:hAnsi="Arial"/>
                <w:sz w:val="14"/>
                <w:szCs w:val="14"/>
                <w:color w:val="auto"/>
              </w:rPr>
              <w:t>Pro Forma Combined</w:t>
            </w:r>
          </w:p>
        </w:tc>
        <w:tc>
          <w:tcPr>
            <w:tcW w:w="0" w:type="dxa"/>
            <w:vAlign w:val="bottom"/>
          </w:tcPr>
          <w:p>
            <w:pPr>
              <w:spacing w:after="0"/>
              <w:rPr>
                <w:sz w:val="1"/>
                <w:szCs w:val="1"/>
                <w:color w:val="auto"/>
              </w:rPr>
            </w:pPr>
          </w:p>
        </w:tc>
      </w:tr>
      <w:tr>
        <w:trPr>
          <w:trHeight w:val="115"/>
        </w:trPr>
        <w:tc>
          <w:tcPr>
            <w:tcW w:w="3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vMerge w:val="restart"/>
          </w:tcPr>
          <w:p>
            <w:pPr>
              <w:jc w:val="center"/>
              <w:ind w:right="262"/>
              <w:spacing w:after="0"/>
              <w:rPr>
                <w:sz w:val="20"/>
                <w:szCs w:val="20"/>
                <w:color w:val="auto"/>
              </w:rPr>
            </w:pPr>
            <w:r>
              <w:rPr>
                <w:rFonts w:ascii="Arial" w:cs="Arial" w:eastAsia="Arial" w:hAnsi="Arial"/>
                <w:sz w:val="14"/>
                <w:szCs w:val="14"/>
                <w:color w:val="auto"/>
                <w:w w:val="87"/>
              </w:rPr>
              <w:t>Actual</w:t>
            </w:r>
            <w:r>
              <w:rPr>
                <w:rFonts w:ascii="Arial" w:cs="Arial" w:eastAsia="Arial" w:hAnsi="Arial"/>
                <w:sz w:val="22"/>
                <w:szCs w:val="22"/>
                <w:color w:val="auto"/>
                <w:w w:val="87"/>
                <w:vertAlign w:val="superscript"/>
              </w:rPr>
              <w:t>(a)</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980" w:type="dxa"/>
            <w:vAlign w:val="bottom"/>
            <w:gridSpan w:val="2"/>
          </w:tcPr>
          <w:p>
            <w:pPr>
              <w:jc w:val="center"/>
              <w:ind w:left="6"/>
              <w:spacing w:after="0" w:line="115" w:lineRule="exact"/>
              <w:rPr>
                <w:sz w:val="20"/>
                <w:szCs w:val="20"/>
                <w:color w:val="auto"/>
              </w:rPr>
            </w:pPr>
            <w:r>
              <w:rPr>
                <w:rFonts w:ascii="Arial" w:cs="Arial" w:eastAsia="Arial" w:hAnsi="Arial"/>
                <w:sz w:val="12"/>
                <w:szCs w:val="12"/>
                <w:color w:val="auto"/>
              </w:rPr>
              <w:t>Pro Forma</w:t>
            </w:r>
          </w:p>
        </w:tc>
        <w:tc>
          <w:tcPr>
            <w:tcW w:w="360" w:type="dxa"/>
            <w:vAlign w:val="bottom"/>
          </w:tcPr>
          <w:p>
            <w:pPr>
              <w:spacing w:after="0"/>
              <w:rPr>
                <w:sz w:val="10"/>
                <w:szCs w:val="10"/>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2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40" w:type="dxa"/>
            <w:vAlign w:val="bottom"/>
            <w:gridSpan w:val="3"/>
          </w:tcPr>
          <w:p>
            <w:pPr>
              <w:jc w:val="center"/>
              <w:ind w:right="280"/>
              <w:spacing w:after="0" w:line="176" w:lineRule="exact"/>
              <w:rPr>
                <w:sz w:val="20"/>
                <w:szCs w:val="20"/>
                <w:color w:val="auto"/>
              </w:rPr>
            </w:pPr>
            <w:r>
              <w:rPr>
                <w:rFonts w:ascii="Arial" w:cs="Arial" w:eastAsia="Arial" w:hAnsi="Arial"/>
                <w:sz w:val="13"/>
                <w:szCs w:val="13"/>
                <w:color w:val="auto"/>
                <w:w w:val="93"/>
              </w:rPr>
              <w:t>Combined</w:t>
            </w:r>
            <w:r>
              <w:rPr>
                <w:rFonts w:ascii="Arial" w:cs="Arial" w:eastAsia="Arial" w:hAnsi="Arial"/>
                <w:sz w:val="20"/>
                <w:szCs w:val="20"/>
                <w:color w:val="auto"/>
                <w:w w:val="93"/>
                <w:vertAlign w:val="superscript"/>
              </w:rPr>
              <w:t>(c)</w:t>
            </w:r>
          </w:p>
        </w:tc>
        <w:tc>
          <w:tcPr>
            <w:tcW w:w="1540" w:type="dxa"/>
            <w:vAlign w:val="bottom"/>
            <w:gridSpan w:val="3"/>
            <w:vMerge w:val="continue"/>
          </w:tcPr>
          <w:p>
            <w:pPr>
              <w:spacing w:after="0"/>
              <w:rPr>
                <w:sz w:val="15"/>
                <w:szCs w:val="15"/>
                <w:color w:val="auto"/>
              </w:rPr>
            </w:pPr>
          </w:p>
        </w:tc>
        <w:tc>
          <w:tcPr>
            <w:tcW w:w="2020" w:type="dxa"/>
            <w:vAlign w:val="bottom"/>
            <w:gridSpan w:val="2"/>
          </w:tcPr>
          <w:p>
            <w:pPr>
              <w:jc w:val="right"/>
              <w:ind w:right="336"/>
              <w:spacing w:after="0"/>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360" w:type="dxa"/>
            <w:vAlign w:val="bottom"/>
            <w:tcBorders>
              <w:top w:val="single" w:sz="8" w:color="auto"/>
            </w:tcBorders>
            <w:gridSpan w:val="2"/>
          </w:tcPr>
          <w:p>
            <w:pPr>
              <w:jc w:val="center"/>
              <w:ind w:left="19"/>
              <w:spacing w:after="0" w:line="131" w:lineRule="exact"/>
              <w:rPr>
                <w:sz w:val="20"/>
                <w:szCs w:val="20"/>
                <w:color w:val="auto"/>
              </w:rPr>
            </w:pPr>
            <w:r>
              <w:rPr>
                <w:rFonts w:ascii="Arial" w:cs="Arial" w:eastAsia="Arial" w:hAnsi="Arial"/>
                <w:sz w:val="14"/>
                <w:szCs w:val="14"/>
                <w:color w:val="auto"/>
                <w:w w:val="89"/>
              </w:rPr>
              <w:t>For the period</w:t>
            </w:r>
          </w:p>
        </w:tc>
        <w:tc>
          <w:tcPr>
            <w:tcW w:w="120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9"/>
              </w:rPr>
              <w:t>For the period</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83"/>
              </w:rPr>
              <w:t>January 29</w:t>
            </w:r>
          </w:p>
        </w:tc>
        <w:tc>
          <w:tcPr>
            <w:tcW w:w="280" w:type="dxa"/>
            <w:vAlign w:val="bottom"/>
          </w:tcPr>
          <w:p>
            <w:pPr>
              <w:spacing w:after="0"/>
              <w:rPr>
                <w:sz w:val="12"/>
                <w:szCs w:val="12"/>
                <w:color w:val="auto"/>
              </w:rPr>
            </w:pPr>
          </w:p>
        </w:tc>
        <w:tc>
          <w:tcPr>
            <w:tcW w:w="92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87"/>
              </w:rPr>
              <w:t>January 1</w:t>
            </w: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Six Months</w:t>
            </w: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Six Months</w:t>
            </w: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88"/>
              </w:rPr>
              <w:t>through</w:t>
            </w:r>
          </w:p>
        </w:tc>
        <w:tc>
          <w:tcPr>
            <w:tcW w:w="280" w:type="dxa"/>
            <w:vAlign w:val="bottom"/>
          </w:tcPr>
          <w:p>
            <w:pPr>
              <w:spacing w:after="0"/>
              <w:rPr>
                <w:sz w:val="12"/>
                <w:szCs w:val="12"/>
                <w:color w:val="auto"/>
              </w:rPr>
            </w:pPr>
          </w:p>
        </w:tc>
        <w:tc>
          <w:tcPr>
            <w:tcW w:w="920" w:type="dxa"/>
            <w:vAlign w:val="bottom"/>
          </w:tcPr>
          <w:p>
            <w:pPr>
              <w:jc w:val="center"/>
              <w:ind w:right="262"/>
              <w:spacing w:after="0" w:line="149" w:lineRule="exact"/>
              <w:rPr>
                <w:sz w:val="20"/>
                <w:szCs w:val="20"/>
                <w:color w:val="auto"/>
              </w:rPr>
            </w:pPr>
            <w:r>
              <w:rPr>
                <w:rFonts w:ascii="Arial" w:cs="Arial" w:eastAsia="Arial" w:hAnsi="Arial"/>
                <w:sz w:val="14"/>
                <w:szCs w:val="14"/>
                <w:color w:val="auto"/>
                <w:w w:val="88"/>
              </w:rPr>
              <w:t>through</w:t>
            </w:r>
          </w:p>
        </w:tc>
        <w:tc>
          <w:tcPr>
            <w:tcW w:w="300" w:type="dxa"/>
            <w:vAlign w:val="bottom"/>
          </w:tcPr>
          <w:p>
            <w:pPr>
              <w:spacing w:after="0"/>
              <w:rPr>
                <w:sz w:val="12"/>
                <w:szCs w:val="12"/>
                <w:color w:val="auto"/>
              </w:rPr>
            </w:pPr>
          </w:p>
        </w:tc>
        <w:tc>
          <w:tcPr>
            <w:tcW w:w="10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46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6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3"/>
                <w:szCs w:val="13"/>
                <w:color w:val="auto"/>
              </w:rPr>
            </w:pPr>
          </w:p>
        </w:tc>
        <w:tc>
          <w:tcPr>
            <w:tcW w:w="920" w:type="dxa"/>
            <w:vAlign w:val="bottom"/>
          </w:tcPr>
          <w:p>
            <w:pPr>
              <w:jc w:val="center"/>
              <w:ind w:right="262"/>
              <w:spacing w:after="0" w:line="159" w:lineRule="exact"/>
              <w:rPr>
                <w:sz w:val="20"/>
                <w:szCs w:val="20"/>
                <w:color w:val="auto"/>
              </w:rPr>
            </w:pPr>
            <w:r>
              <w:rPr>
                <w:rFonts w:ascii="Arial" w:cs="Arial" w:eastAsia="Arial" w:hAnsi="Arial"/>
                <w:sz w:val="14"/>
                <w:szCs w:val="14"/>
                <w:color w:val="auto"/>
                <w:w w:val="84"/>
              </w:rPr>
              <w:t>June 30</w:t>
            </w:r>
          </w:p>
        </w:tc>
        <w:tc>
          <w:tcPr>
            <w:tcW w:w="280" w:type="dxa"/>
            <w:vAlign w:val="bottom"/>
          </w:tcPr>
          <w:p>
            <w:pPr>
              <w:spacing w:after="0"/>
              <w:rPr>
                <w:sz w:val="13"/>
                <w:szCs w:val="13"/>
                <w:color w:val="auto"/>
              </w:rPr>
            </w:pPr>
          </w:p>
        </w:tc>
        <w:tc>
          <w:tcPr>
            <w:tcW w:w="920" w:type="dxa"/>
            <w:vAlign w:val="bottom"/>
          </w:tcPr>
          <w:p>
            <w:pPr>
              <w:jc w:val="center"/>
              <w:ind w:right="262"/>
              <w:spacing w:after="0" w:line="159" w:lineRule="exact"/>
              <w:rPr>
                <w:sz w:val="20"/>
                <w:szCs w:val="20"/>
                <w:color w:val="auto"/>
              </w:rPr>
            </w:pPr>
            <w:r>
              <w:rPr>
                <w:rFonts w:ascii="Arial" w:cs="Arial" w:eastAsia="Arial" w:hAnsi="Arial"/>
                <w:sz w:val="14"/>
                <w:szCs w:val="14"/>
                <w:color w:val="auto"/>
                <w:w w:val="83"/>
              </w:rPr>
              <w:t>January 28</w:t>
            </w:r>
          </w:p>
        </w:tc>
        <w:tc>
          <w:tcPr>
            <w:tcW w:w="300" w:type="dxa"/>
            <w:vAlign w:val="bottom"/>
          </w:tcPr>
          <w:p>
            <w:pPr>
              <w:spacing w:after="0"/>
              <w:rPr>
                <w:sz w:val="13"/>
                <w:szCs w:val="13"/>
                <w:color w:val="auto"/>
              </w:rPr>
            </w:pPr>
          </w:p>
        </w:tc>
        <w:tc>
          <w:tcPr>
            <w:tcW w:w="104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4"/>
              </w:rPr>
              <w:t>June 30</w:t>
            </w:r>
          </w:p>
        </w:tc>
        <w:tc>
          <w:tcPr>
            <w:tcW w:w="460" w:type="dxa"/>
            <w:vAlign w:val="bottom"/>
          </w:tcPr>
          <w:p>
            <w:pPr>
              <w:spacing w:after="0"/>
              <w:rPr>
                <w:sz w:val="13"/>
                <w:szCs w:val="13"/>
                <w:color w:val="auto"/>
              </w:rPr>
            </w:pPr>
          </w:p>
        </w:tc>
        <w:tc>
          <w:tcPr>
            <w:tcW w:w="108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4"/>
              </w:rPr>
              <w:t>June 30</w:t>
            </w:r>
          </w:p>
        </w:tc>
        <w:tc>
          <w:tcPr>
            <w:tcW w:w="1100" w:type="dxa"/>
            <w:vAlign w:val="bottom"/>
          </w:tcPr>
          <w:p>
            <w:pPr>
              <w:jc w:val="right"/>
              <w:ind w:right="441"/>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96"/>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215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242</w:t>
            </w:r>
          </w:p>
        </w:tc>
        <w:tc>
          <w:tcPr>
            <w:tcW w:w="360" w:type="dxa"/>
            <w:vAlign w:val="bottom"/>
            <w:tcBorders>
              <w:top w:val="single" w:sz="8" w:color="E5E5E5"/>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color w:val="auto"/>
              </w:rPr>
              <w:t>202</w:t>
            </w:r>
          </w:p>
        </w:tc>
        <w:tc>
          <w:tcPr>
            <w:tcW w:w="380" w:type="dxa"/>
            <w:vAlign w:val="bottom"/>
            <w:tcBorders>
              <w:top w:val="single" w:sz="8" w:color="E5E5E5"/>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jc w:val="right"/>
              <w:ind w:right="261"/>
              <w:spacing w:after="0"/>
              <w:rPr>
                <w:sz w:val="20"/>
                <w:szCs w:val="20"/>
                <w:color w:val="auto"/>
              </w:rPr>
            </w:pPr>
            <w:r>
              <w:rPr>
                <w:rFonts w:ascii="Arial" w:cs="Arial" w:eastAsia="Arial" w:hAnsi="Arial"/>
                <w:sz w:val="18"/>
                <w:szCs w:val="18"/>
                <w:color w:val="auto"/>
              </w:rPr>
              <w:t>$  40</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tcPr>
          <w:p>
            <w:pPr>
              <w:spacing w:after="0"/>
              <w:rPr>
                <w:sz w:val="18"/>
                <w:szCs w:val="18"/>
                <w:color w:val="auto"/>
              </w:rPr>
            </w:pPr>
          </w:p>
        </w:tc>
        <w:tc>
          <w:tcPr>
            <w:tcW w:w="920" w:type="dxa"/>
            <w:vAlign w:val="bottom"/>
          </w:tcPr>
          <w:p>
            <w:pPr>
              <w:jc w:val="right"/>
              <w:ind w:right="102"/>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920" w:type="dxa"/>
            <w:vAlign w:val="bottom"/>
          </w:tcPr>
          <w:p>
            <w:pPr>
              <w:jc w:val="right"/>
              <w:ind w:right="10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8"/>
                <w:szCs w:val="18"/>
                <w:color w:val="auto"/>
              </w:rPr>
            </w:pPr>
          </w:p>
        </w:tc>
        <w:tc>
          <w:tcPr>
            <w:tcW w:w="1100" w:type="dxa"/>
            <w:vAlign w:val="bottom"/>
          </w:tcPr>
          <w:p>
            <w:pPr>
              <w:jc w:val="right"/>
              <w:ind w:right="221"/>
              <w:spacing w:after="0"/>
              <w:rPr>
                <w:sz w:val="20"/>
                <w:szCs w:val="20"/>
                <w:color w:val="auto"/>
              </w:rPr>
            </w:pPr>
            <w:r>
              <w:rPr>
                <w:rFonts w:ascii="Arial" w:cs="Arial" w:eastAsia="Arial" w:hAnsi="Arial"/>
                <w:sz w:val="18"/>
                <w:szCs w:val="18"/>
                <w:color w:val="auto"/>
              </w:rPr>
              <w:t>(14)</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Equity in income of the Orlando Parks</w:t>
            </w:r>
          </w:p>
        </w:tc>
        <w:tc>
          <w:tcPr>
            <w:tcW w:w="4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E5E5E5"/>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261"/>
              <w:spacing w:after="0"/>
              <w:rPr>
                <w:sz w:val="20"/>
                <w:szCs w:val="20"/>
                <w:color w:val="auto"/>
              </w:rPr>
            </w:pPr>
            <w:r>
              <w:rPr>
                <w:rFonts w:ascii="Arial" w:cs="Arial" w:eastAsia="Arial" w:hAnsi="Arial"/>
                <w:sz w:val="18"/>
                <w:szCs w:val="18"/>
                <w:color w:val="auto"/>
              </w:rPr>
              <w:t>93</w:t>
            </w:r>
          </w:p>
        </w:tc>
        <w:tc>
          <w:tcPr>
            <w:tcW w:w="9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152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160</w:t>
            </w:r>
          </w:p>
        </w:tc>
        <w:tc>
          <w:tcPr>
            <w:tcW w:w="3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41</w:t>
            </w:r>
          </w:p>
        </w:tc>
        <w:tc>
          <w:tcPr>
            <w:tcW w:w="380" w:type="dxa"/>
            <w:vAlign w:val="bottom"/>
          </w:tcPr>
          <w:p>
            <w:pPr>
              <w:spacing w:after="0"/>
              <w:rPr>
                <w:sz w:val="20"/>
                <w:szCs w:val="20"/>
                <w:color w:val="auto"/>
              </w:rPr>
            </w:pP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8"/>
                <w:szCs w:val="18"/>
                <w:b w:val="1"/>
                <w:bCs w:val="1"/>
                <w:color w:val="auto"/>
              </w:rPr>
              <w:t>$ 119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Actual amounts include the results of operations for the NBCUniversal acquired businesses for the three months ended June 30, 2011 and for the period January 29, 2011 through June 30, 2011.</w:t>
      </w:r>
    </w:p>
    <w:p>
      <w:pPr>
        <w:spacing w:after="0" w:line="78" w:lineRule="exact"/>
        <w:rPr>
          <w:rFonts w:ascii="Arial" w:cs="Arial" w:eastAsia="Arial" w:hAnsi="Arial"/>
          <w:sz w:val="12"/>
          <w:szCs w:val="12"/>
          <w:color w:val="auto"/>
        </w:rPr>
      </w:pPr>
    </w:p>
    <w:p>
      <w:pPr>
        <w:jc w:val="both"/>
        <w:ind w:left="340" w:hanging="332"/>
        <w:spacing w:after="0" w:line="27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for the period January 1 through January 28, 2011 and for the three and six months ended June 30, 2010. These amounts also include pro forma adjustments as if the NBCUniversal transaction had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had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Segment—Revenue</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Theme Parks segment revenue is generated primarily from theme park attendance and related per capita spending, including ticket sales and in-park spending on food, beverage and merchandise, as well as from management, licensing and other fees.</w:t>
      </w:r>
    </w:p>
    <w:p>
      <w:pPr>
        <w:spacing w:after="0" w:line="3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Attendance at our theme parks and per capita spending depend heavily on the general environment for travel and tourism, including consumer spending on travel and other recreational activities. Revenue in our theme parks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business fluctuates with the changes in theme park attendance that result from the seasonal nature of vacation travel, local entertainment offerings and seasonal weather variations. Our theme parks experience peak attendance generally during the summer months when school vacations occur and during early winter and spring holiday periods. License and other fees relate primarily to our agreements with third parties that operate the Universal Studios Japan and the Universal Studios Singapore theme parks to license the Universal Studios brand name, certain characters and other intellectual property.</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three months ended June 30, 2011 and pro forma combined revenue for the six months ended June 30, 2011 increased compared to the same periods in 2010 primarily due to increases in attendance and per capita spending at our Hollywood theme park, as well as additional management fees from our investment in the Orlando Parks.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Segment—Operating Costs and Expenses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operating costs and expenses consist primarily of theme park operations, including repairs and maintenance and related administrative expenses; costs of food, beverage and merchandise; labor costs; and sales and marketing costs. Operating costs and expenses for the three months ended June 30, 2011 and pro forma combined operating costs and expenses for the six months ended June 30, 2011 increased compared to the same periods in 2010 primarily due to additional variable costs associated with increases in attendance and per capita spending at our Hollywood theme park.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Segment—Equity in Income (Loss) of Orlando Parks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Equity in income (loss) of Orlando Parks for the three months ended June 30, 2011 and pro forma combined equity in income (loss) of Orlando Parks for the six months ended June 30, 2011 increased compared to the same periods in 2010 primarily due to increases in attendance and per capita spending at the Orlando Parks related to the opening of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 attraction in June 2010. The loss for the six months ended June 30, 2010 was primarily due to marketing and promotional expenses and lower attendance at the Orlando Parks in anticipation of the opening of the new Harry Potter attraction.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Headquarters and Other operating costs and expenses include corporate overhead, employee benefit expenses, expenses related to the NBCUniversal transaction and corporate initiatives. Operating costs and expenses for the three months ended June 30, 2011 and pro forma combined operating costs and expenses for the six months ended June 30, 2011 increased compared to the same periods in 2010 primarily due to transaction-related costs, including severance and other compensation-related costs.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Eliminations primarily include the elimination of the equity in income (loss) of Orlando Parks included in operating income (loss) before depreciation and amortization for the Theme Parks segment.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jc w:val="right"/>
              <w:ind w:right="296"/>
              <w:spacing w:after="0"/>
              <w:rPr>
                <w:sz w:val="20"/>
                <w:szCs w:val="20"/>
                <w:color w:val="auto"/>
              </w:rPr>
            </w:pPr>
            <w:r>
              <w:rPr>
                <w:rFonts w:ascii="Arial" w:cs="Arial" w:eastAsia="Arial" w:hAnsi="Arial"/>
                <w:sz w:val="14"/>
                <w:szCs w:val="14"/>
                <w:color w:val="auto"/>
                <w:w w:val="90"/>
              </w:rPr>
              <w:t>Three Months Ended</w:t>
            </w:r>
          </w:p>
        </w:tc>
        <w:tc>
          <w:tcPr>
            <w:tcW w:w="1840" w:type="dxa"/>
            <w:vAlign w:val="bottom"/>
            <w:gridSpan w:val="2"/>
          </w:tcPr>
          <w:p>
            <w:pPr>
              <w:jc w:val="right"/>
              <w:ind w:right="29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0"/>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w w:val="83"/>
              </w:rPr>
              <w:t>2010</w:t>
            </w:r>
          </w:p>
        </w:tc>
        <w:tc>
          <w:tcPr>
            <w:tcW w:w="1180" w:type="dxa"/>
            <w:vAlign w:val="bottom"/>
            <w:tcBorders>
              <w:bottom w:val="single" w:sz="8" w:color="auto"/>
            </w:tcBorders>
          </w:tcPr>
          <w:p>
            <w:pPr>
              <w:jc w:val="right"/>
              <w:ind w:right="500"/>
              <w:spacing w:after="0" w:line="142" w:lineRule="exact"/>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758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(543)</w:t>
            </w:r>
          </w:p>
        </w:tc>
        <w:tc>
          <w:tcPr>
            <w:tcW w:w="118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$(1,226)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9"/>
              </w:rPr>
              <w:t>$(1,067)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0"/>
              <w:spacing w:after="0"/>
              <w:rPr>
                <w:sz w:val="20"/>
                <w:szCs w:val="20"/>
                <w:color w:val="auto"/>
              </w:rPr>
            </w:pPr>
            <w:r>
              <w:rPr>
                <w:rFonts w:ascii="Arial" w:cs="Arial" w:eastAsia="Arial" w:hAnsi="Arial"/>
                <w:sz w:val="18"/>
                <w:szCs w:val="18"/>
                <w:color w:val="auto"/>
              </w:rPr>
              <w:t>150</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58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(26)</w:t>
            </w:r>
          </w:p>
        </w:tc>
        <w:tc>
          <w:tcPr>
            <w:tcW w:w="1180" w:type="dxa"/>
            <w:vAlign w:val="bottom"/>
            <w:shd w:val="clear" w:color="auto" w:fill="E5E5E5"/>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(35)</w:t>
            </w: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color w:val="auto"/>
              </w:rPr>
              <w:t>(70)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(557)</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b w:val="1"/>
                <w:bCs w:val="1"/>
                <w:color w:val="auto"/>
              </w:rPr>
              <w:t>(604)</w:t>
            </w:r>
          </w:p>
        </w:tc>
        <w:tc>
          <w:tcPr>
            <w:tcW w:w="1180" w:type="dxa"/>
            <w:vAlign w:val="bottom"/>
            <w:tcBorders>
              <w:bottom w:val="single" w:sz="8" w:color="auto"/>
            </w:tcBorders>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$(1,146)</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9"/>
              </w:rPr>
              <w:t>$(1,069)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interest expense for the three and six months ended June 30, 2011 compared to the same periods in 2010 is primarily due to the effects of the NBCUniversal transaction and consolidation of NBCUniversal’s outstanding debt of $9.1 billion.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and six months ended June 30, 2011 and 2010 are presented in a table in Note 6 to our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equity in net income (losses) of investees, net for the three and six months ended June 30, 2011 compared to the same periods in 2010 were primarily due to the effects of the NBCUniversal transaction.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Income tax expense for the three and six months ended June 30, 2011 and 2010 reflects an effective income tax rate that differs from the federal statutory rate primarily due to state income taxes and interest on uncertain tax positions, and, in 2011, due to the partnership structure of NBCUniversal Holdings and the $137 million net impact of certain changes in state tax laws. We expect our 2011 annual effective tax rate to be in the range of 35% to 40%.</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Net (Income) Loss Attributable to Noncontrolling Interests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(income) loss attributable to noncontrolling interests for the three and six months ended June 30, 2011 increased compared to the same periods in 2010 due to the NBCUniversal transaction. GE’s interest in NBCUniversal Holdings is recorded as a redeemable noncontrolling interest in our consolidated financial statements due to the redemption provisions outlined in Note 4 to our condensed consolidated financial statements. Net (income) loss attributable to noncontrolling interests includes GE’s allocated share of the earnings of NBCUniversal Holdings and NBCUniversal.</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shareholders.</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NBCUniversal transaction, we were required to make a cash payment of $6.2 billion to GE at the close of the transaction. We funded this payment with cash on hand and $650 million of commercial paper borrowings. The transaction also calls for the payment to GE, in the future, of certain tax benefits to the extent realized. As of the closing of the NBCUniversal transaction on January 28, 2011, we consolidated $9.1 billion of NBCUniversal senior debt securities with maturities ranging from 2014 to 2041. We do not guarantee NBCUniversal’s debt obligations. Any future redemptions of GE’s stake in NBCUniversal Holdings are expected to be funded primarily through NBCUniversal’s cash flows from operating activities and its borrowing capacity. If any borrowings by NBCUniversal to fund either of GE’s two potential redemptions would result in NBCUniversal exceeding a certain leverage ratio or losing investment grade status or if NBCUniversal Holdings cannot otherwise fund such redemptions, we are committed to fund up to $2.875 billion in cash or our common stock for each of the two potential redemptions (for an aggregate of up to $5.75 billion) to the extent NBCUniversal Holdings cannot fund the redemptions, with amounts not used in the first redemption to be available for the second redemption.</w:t>
      </w:r>
    </w:p>
    <w:p>
      <w:pPr>
        <w:spacing w:after="0" w:line="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June 28, 2011, NBCUniversal amended its revolving credit facility to, among other things, increase the commitment under the facility to $1.5 billion from $750 million, reduce the interest rate payable under the facility and extend the maturity date to June 2016 from January 2014.</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June 30, 2011, affiliates of Blackstone Group L.P. (“Blackstone”) and NBCUniversal were 50% partners in UCDP. On July 1, 2011, NBCUniversal completed the acquisition of the remaining 50% equity interest in UCDP that it did not already own for $1.025 billion, subject to various purchase price adjustments. As a result, UCDP became a wholly owned consolidated subsidiary of NBCUniversal and its results will be included in our consolidated results of operations following the acquisition. NBCUniversal funded this transaction with cash 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hand, borrowings under the NBCUniversal revolving credit facility and a $250 million one-year intercompany note due to us, which is eliminated in our consolidated financial statements. Additional borrowings under the NBCUniversal revolving credit facility, along with cash on hand at UCDP, were used to refinance and terminate UCDP’s existing term loan immediately following the acquisition. Following these transactions, NBCUniversal had $750 million outstanding under its revolving credit facility and UCDP had long-term debt, before the application of acquisition accounting, of approximately $650 million, which primarily consists of senior notes and senior subordinated notes.</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 2011, UCDP completed its redemption of $140 million aggregate principal amount of its 8.875% senior notes due 2015 and $79 million aggregate principal amount of its 10.875% senior subordinated notes due 2016. Following the redemption, $260 million principal amount of UCDP’s senior notes and $146 million of UCDP’s senior subordinated notes remain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Cash Management Programs and Capital Resources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Through January 27, 2011, NBCUniversal monetized its trade accounts receivable through programs established with GE and various GE subsidiaries. Following the closing of the NBCUniversal transaction on January 28, 2011, NBCUniversal terminated those programs and has since established new third-party monetization programs with a syndicate of banks, of which the primary relationship is with General Electric Capital Corporation, a subsidiary of GE. The effects of these monetization transactions are included in operating activities in our consolidated statement of cash flows.</w:t>
      </w:r>
    </w:p>
    <w:p>
      <w:pPr>
        <w:spacing w:after="0" w:line="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response to the high cost of producing films, we have entered into film cofinancing arrangements with third parties to jointly finance or distribute many of our film productions. These arrangements can take various forms. In most cases, the form of the arrangement involves the grant of an economic interest in a film to a third-party investor. Investors generally assume the full risks and rewards of ownership proportionate to their ownership in the film. We account for our proceeds under these arrangements as a reduction to our capitalized film costs and the related cash flows are a component of net cash provided by operating activities. The availability of cofinancing arrangements has decreased in recent years and we believe that it will continue to decrease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2"/>
          </w:tcPr>
          <w:p>
            <w:pPr>
              <w:jc w:val="right"/>
              <w:ind w:right="33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5"/>
              <w:spacing w:after="0" w:line="159" w:lineRule="exact"/>
              <w:rPr>
                <w:sz w:val="20"/>
                <w:szCs w:val="20"/>
                <w:color w:val="auto"/>
              </w:rPr>
            </w:pPr>
            <w:r>
              <w:rPr>
                <w:rFonts w:ascii="Arial" w:cs="Arial" w:eastAsia="Arial" w:hAnsi="Arial"/>
                <w:sz w:val="14"/>
                <w:szCs w:val="14"/>
                <w:color w:val="auto"/>
                <w:w w:val="80"/>
              </w:rPr>
              <w:t>June 30</w:t>
            </w: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2011</w:t>
            </w:r>
          </w:p>
        </w:tc>
        <w:tc>
          <w:tcPr>
            <w:tcW w:w="11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$ 5,162</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$ 4,013</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0"/>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8,867</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(421)</w:t>
            </w:r>
          </w:p>
        </w:tc>
        <w:tc>
          <w:tcPr>
            <w:tcW w:w="1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924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8,620</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(1,197)</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114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w:t>
            </w:r>
          </w:p>
        </w:tc>
        <w:tc>
          <w:tcPr>
            <w:tcW w:w="11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$ 6,956</w:t>
            </w:r>
          </w:p>
        </w:tc>
        <w:tc>
          <w:tcPr>
            <w:tcW w:w="11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$ 5,332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operating assets and liabilities during the six months ended June 30, 2011 compared to the same period in 2010 were primarily due to the NBCUniversal transaction and the timing of payments of operating items and payroll.</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interest payments during the six months ended June 30, 2011 compared to the same period in 2010 was primarily due to an increase in our outstanding debt.</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income tax payments during the six months ended June 30, 2011 compared to the same period in 2010 was primarily due to the net benefit in 2011 of the 2010 economic stimulus legislation.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investing activities for the six months ended June 30, 2011 consisted primarily of cash paid, net of cash acquired, for the NBCUniversal acquisition of $5.7 billion, capital expenditures of $2.4 billion and cash paid for intangible assets of $296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2011 consisted primarily of our repayments of debt at maturity of $1.8 billion, repurchases of our Class A Special common stock of $1.1 billion and dividend payments of $572 million, offset by proceeds from short-term borrowings, net of repayments of $741 million.</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As of June 30, 2011, amounts available under our credit facilities totaled approximately $5.7 billion and the amount available under the NBCUniversal revolving credit facility was $1.5 billion.</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amended its revolving credit facility on June 28, 2011 to, among other things, increase the commitment under the facility to $1.5 billion from $750 million, reduce the interest rate payable under the facility and extend the maturity date to June 2016 from January 2014. On July 1, 2011, borrowings under the NBCUniversal revolving credit facility were used to finance a portion of NBCUniversal’s acquisition of the remaining 50% equity interest in UCDP that it did not already own and to refinance and terminate a portion of UCDP’s existing term loan immediately following the acquisition. Following these transactions, NBCUniversal had approximately $750 million outstanding under its revolving credit facility.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six months ended June 30, 2011, we repurchased approximately 46 million shares of our Class A Special common stock under our share repurchase authorization for approximately $1.1 billion. As of June 30, 2011, we had approximately $1.1 billion of availability remaining under our current share repurchase authorization. We intend to complete repurchases under the current share repurchase authorization by the end of 2011, subject to market conditions.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2011, our Board of Directors approved an increase of 19% to our planned annual dividend to $0.45 per share. In January and May 2011, our Board of Directors approved a quarterly dividend of $0.1125 per share as part of our planned annual dividend of $0.45 per share.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080" w:type="dxa"/>
            <w:vAlign w:val="bottom"/>
            <w:tcBorders>
              <w:bottom w:val="single" w:sz="8" w:color="auto"/>
            </w:tcBorders>
            <w:gridSpan w:val="2"/>
          </w:tcPr>
          <w:p>
            <w:pPr>
              <w:ind w:left="3220"/>
              <w:spacing w:after="0"/>
              <w:rPr>
                <w:sz w:val="20"/>
                <w:szCs w:val="20"/>
                <w:color w:val="auto"/>
              </w:rPr>
            </w:pPr>
            <w:r>
              <w:rPr>
                <w:rFonts w:ascii="Arial" w:cs="Arial" w:eastAsia="Arial" w:hAnsi="Arial"/>
                <w:sz w:val="14"/>
                <w:szCs w:val="14"/>
                <w:color w:val="auto"/>
              </w:rPr>
              <w:t>Amount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Month of Payment</w:t>
            </w:r>
          </w:p>
        </w:tc>
      </w:tr>
      <w:tr>
        <w:trPr>
          <w:trHeight w:val="210"/>
        </w:trPr>
        <w:tc>
          <w:tcPr>
            <w:tcW w:w="582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2011</w:t>
            </w:r>
          </w:p>
        </w:tc>
        <w:tc>
          <w:tcPr>
            <w:tcW w:w="3340" w:type="dxa"/>
            <w:vAlign w:val="bottom"/>
            <w:shd w:val="clear" w:color="auto" w:fill="E5E5E5"/>
          </w:tcPr>
          <w:p>
            <w:pPr>
              <w:ind w:left="3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9"/>
              </w:rPr>
              <w:t>312</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April</w:t>
            </w:r>
          </w:p>
        </w:tc>
      </w:tr>
      <w:tr>
        <w:trPr>
          <w:trHeight w:val="216"/>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June 30, 2011</w:t>
            </w:r>
          </w:p>
        </w:tc>
        <w:tc>
          <w:tcPr>
            <w:tcW w:w="334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309</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July</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2011, the International Olympic Committee accepted our bid of $4.38 billion in the aggregate for the U.S. broadcast rights to the 2014 Sochi Olympic Games, the 2016 Rio de Janeiro Olympic Games, the 2018 Pyeongchang Olympic Games and the 2020 Summer Olympic Games. The majority of the Olympics-related cash payments will be made around the time the associated revenue is collected.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NBCUniversal transaction, two additional areas have been identified as critical in the preparation of our condensed consolidated financial statements. The two additional critical accounting judgments and estimates are associated with the accounting for film and television costs and the valuation of acquisition-related assets and liabilities. See below for a discussion of these items.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a discussion of the other accounting judgments and estimates that we have identified as critical in the preparation of our consolidated financial statements, please refer to our 2010 Annual Report on Form 10-K.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NBCUniversal transaction, we capitalize film and television production costs, including direct costs, production overhead, print costs, development costs and interest. We amortize capitalized film and television production costs, as well as associated participation and residual payments, on an individual production basis using the ratio of the current period’s actual revenue to estimated total remaining gross revenue from all sources (“ultimate revenue”). Estimates of ultimate revenue have a significant impact on how quickly capitalized costs are amortized and, therefore, are updated regularly.</w:t>
      </w:r>
    </w:p>
    <w:p>
      <w:pPr>
        <w:spacing w:after="0" w:line="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license revenue has historically exhibited a high correlation to theatrical performance. Upon a film’s release, our estimates of revenue from succeeding markets, including home entertainment, and other media platforms are revised based on historical relationships and an analysis of current market trends.</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in subsequent platforms, revenue estimates for these platforms, such as U.S. and international syndication, home entertainment, and other media platforms, are included in ultimate revenue. In the case of television series and owned television programming, revenue estimates for produced episodes include revenue expected to be earned within 10 years of delivery of the initial episode or, if still in production, 5 years from the delivery of the most recent episode, if later.</w:t>
      </w:r>
    </w:p>
    <w:p>
      <w:pPr>
        <w:spacing w:after="0" w:line="2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Capitalized film and television costs are subject to impairment if the fair value of a film or owned television programming falls below its unamortized cost. The fair value assessment is generally based on estimated future discounted cash flows, which is supported by our internal forecasts.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Acquisition-Related Assets and Liabilities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allocate the purchase price of acquired companies to the tangible and intangible assets and liabilities based on their estimated fair values. In determining fair value, management is required to make estimates and assumptions that affect the recorded amounts. Management’s estimates of fair value are based on assumptions believed to be reasonable but that are inherently uncertain. To assist in the estimation process, third-party valuation specialists are engaged to assist in the valuation of certain of these assets and liabilities.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judgments used to determine the estimated fair value assigned to each class of acquired assets and liabilities, as well as asset lives, can materially impact our results of operations. For instance, the determination of asset lives can impact our results of operations as different types of assets will have different useful lives and certain assets may even be considered to have indefinite useful lives.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Below is a summary of the methodologies and significant assumptions used in estimating the fair value of certain of NBCUniversal’s assets and liabilities and GE’s redeemable noncontrolling interest.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 and Television Costs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Film and television costs consist of our preliminary estimates of fair value for released films and television series; completed, not released theatrical films; and television series and theatrical films in-production and in-development. Released theatrical films and television series and completed, not released theatrical films were valued using a multiperiod cash flow model, a form of the income approach. This measure of fair value requires considerable judgments about the timing of cash flows and distribution patterns. Television series and theatrical films in-production and in-development were valued at historical cost. Acquired programming rights were adjusted to market rates using undiscounted cash flows and market assumptions, when available.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preliminary estimates of fair value for significant investments in nonpublic investees were determined using an income approach. This method starts with a forecast of all of the expected future net cash flows associated with the investment and then involves adjusting the forecast to present value by applying an appropriate discount rate that reflects the risk factors associated with the cash flow streams of the underlying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preliminary estimated fair value of acquired property and equipment was primarily determined using a market approach for land, and a replacement cost approach for depreciable property and equipment. The market approach for land assets represents a sales comparison that measures the value of an asset through an analysis of sales and offerings of comparable property. The replacement cost approach used for depreciable property and equipment measures the value of an asset by estimating the cost to acquire or construct comparable assets and adjusts for age and condition of the asset.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Intangible assets primarily consist of our preliminary estimates of fair value for relationships with advertisers and multichannel video providers, each with an estimated useful life not to exceed 20 years, and indefinite-lived trade names and Federal Communications Commission (“FCC”) licenses.</w:t>
      </w:r>
    </w:p>
    <w:p>
      <w:pPr>
        <w:spacing w:after="0" w:line="1"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Relationships with advertisers and multichannel video providers were valued using a multiperiod cash flow model, a form of the income approach. This measure of fair value requires considerable judgments about future events, including contract renewal estimates, attrition and technology changes.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determining the estimated lives and method of amortization for finite-lived intangibles, we use the method and life that most closely follows the undiscounted cash flows over the estimated life of the asset.</w:t>
      </w:r>
    </w:p>
    <w:p>
      <w:pPr>
        <w:spacing w:after="0" w:line="37"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Trade names were valued using the relief-from-royalty method, a form of the income approach. This measure of fair value requires considerable judgment about the value a market participant would be willing to pay in order to achieve the benefits associated with the trade name.</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FCC licenses were valued using the Greenfield method, a form of the income approach. This measure of fair value captures the future income potential assuming the license is used by a hypothetical start-up operation.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Other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were adjusted to market rates using a combination of discounted cash flows or market assumptions, when available.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component of the redeemable noncontrolling interest in NBCUniversal Holdings is based on an income approach, including assumptions related to expected future net cash flows, the timing and nature of tax attributes, and the redemption features.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Fair Values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estimates associated with the accounting for the NBCUniversal transaction have and will continue to change as final valuation reports are obtained and additional information becomes available regarding acquired assets and liabilities. The recorded amounts are preliminary and subject to change. The following items are the significant areas subject to change:</w:t>
      </w:r>
    </w:p>
    <w:p>
      <w:pPr>
        <w:spacing w:after="0" w:line="46" w:lineRule="exact"/>
        <w:rPr>
          <w:sz w:val="20"/>
          <w:szCs w:val="20"/>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film and television costs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indefinite-lived and finite-lived intangibles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commitments and contingencies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contingent consideration</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redeemable noncontrolling interest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final amount of goodwill and the allocation of goodwill to reporting units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2010 Annual Report on Form 10-K and except as discussed below, there have been no significant changes to this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 result of the NBCUniversal transaction, our condensed consolidated balance sheet now includes $9.1 billion principal amount of senior debt securities with fixed interest rates ranging from 2.1% to 6.4% and maturities ranging from 2014 to 2041. In accordance with our policies, we have entered into fixed to variable swaps on $750 million principal amount of these senior debt securities, with maturities ranging from 2014 to 2016.</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8 to our condensed consolidated financial statements for a discussion on the NBCUniversal senior debt securities and to Note 9 to our condensed consolidated financial statements for a discussion on our derivative financial instruments.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 Management</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NBCUniversal has significant operations in a number of countries outside the U.S. and certain of NBCUniversal’s operations are conducted in foreign currencies. The value of these currencies fluctuates relative to the U.S. dollar. As a result, we are exposed to exchange rate fluctuations, which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we enter into derivative financial instruments related to a significant portion of our foreign currency exposures anticipated over the calendar year. The primary type of derivative financial instrument that we enter into is a foreign currency forward contract that changes in value as foreign exchange rates change to protect the U.S. dollar equivalent value of our existing foreign currency assets, liabilities, commitments, and forecasted foreign currency revenues and expenses. In accordance with our policy, we hedge forecasted foreign currency transactions for periods generally not to exceed 1 year. In certain circumstances, we may hedge a transaction not to exceed 18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2011, we had foreign exchange contracts on a total notional value of $1.3 billion, with aggregate estimated fair value losses of $10 million.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our acquisition of NBCUniversal on January 28, 2011, our internal control over financial reporting, subsequent to the date of acquisition, includes certain additional internal controls relating to NBCUniversal. Except as described above, there were no other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16 to our condensed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2010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Board-authorized share repurchase program during the three months ended June 30,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2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center"/>
              <w:ind w:right="161"/>
              <w:spacing w:after="0" w:line="149" w:lineRule="exact"/>
              <w:rPr>
                <w:sz w:val="20"/>
                <w:szCs w:val="20"/>
                <w:color w:val="auto"/>
              </w:rPr>
            </w:pPr>
            <w:r>
              <w:rPr>
                <w:rFonts w:ascii="Arial" w:cs="Arial" w:eastAsia="Arial" w:hAnsi="Arial"/>
                <w:sz w:val="14"/>
                <w:szCs w:val="14"/>
                <w:color w:val="auto"/>
                <w:w w:val="92"/>
              </w:rPr>
              <w:t>Maximum Dollar</w:t>
            </w:r>
          </w:p>
        </w:tc>
      </w:tr>
      <w:tr>
        <w:trPr>
          <w:trHeight w:val="149"/>
        </w:trPr>
        <w:tc>
          <w:tcPr>
            <w:tcW w:w="2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1"/>
              </w:rPr>
              <w:t>Purchased as</w:t>
            </w:r>
          </w:p>
        </w:tc>
        <w:tc>
          <w:tcPr>
            <w:tcW w:w="380" w:type="dxa"/>
            <w:vAlign w:val="bottom"/>
          </w:tcPr>
          <w:p>
            <w:pPr>
              <w:spacing w:after="0"/>
              <w:rPr>
                <w:sz w:val="12"/>
                <w:szCs w:val="12"/>
                <w:color w:val="auto"/>
              </w:rPr>
            </w:pPr>
          </w:p>
        </w:tc>
        <w:tc>
          <w:tcPr>
            <w:tcW w:w="1160" w:type="dxa"/>
            <w:vAlign w:val="bottom"/>
          </w:tcPr>
          <w:p>
            <w:pPr>
              <w:jc w:val="center"/>
              <w:ind w:right="299"/>
              <w:spacing w:after="0" w:line="149" w:lineRule="exact"/>
              <w:rPr>
                <w:sz w:val="20"/>
                <w:szCs w:val="20"/>
                <w:color w:val="auto"/>
              </w:rPr>
            </w:pPr>
            <w:r>
              <w:rPr>
                <w:rFonts w:ascii="Arial" w:cs="Arial" w:eastAsia="Arial" w:hAnsi="Arial"/>
                <w:sz w:val="14"/>
                <w:szCs w:val="14"/>
                <w:color w:val="auto"/>
                <w:w w:val="92"/>
              </w:rPr>
              <w:t>Total Dollar</w:t>
            </w:r>
          </w:p>
        </w:tc>
        <w:tc>
          <w:tcPr>
            <w:tcW w:w="1640" w:type="dxa"/>
            <w:vAlign w:val="bottom"/>
            <w:gridSpan w:val="2"/>
          </w:tcPr>
          <w:p>
            <w:pPr>
              <w:jc w:val="center"/>
              <w:ind w:left="79"/>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880" w:type="dxa"/>
            <w:vAlign w:val="bottom"/>
          </w:tcPr>
          <w:p>
            <w:pPr>
              <w:spacing w:after="0"/>
              <w:rPr>
                <w:sz w:val="12"/>
                <w:szCs w:val="12"/>
                <w:color w:val="auto"/>
              </w:rPr>
            </w:pPr>
          </w:p>
        </w:tc>
        <w:tc>
          <w:tcPr>
            <w:tcW w:w="2860" w:type="dxa"/>
            <w:vAlign w:val="bottom"/>
          </w:tcPr>
          <w:p>
            <w:pPr>
              <w:jc w:val="center"/>
              <w:ind w:left="1321"/>
              <w:spacing w:after="0" w:line="149" w:lineRule="exact"/>
              <w:rPr>
                <w:sz w:val="20"/>
                <w:szCs w:val="20"/>
                <w:color w:val="auto"/>
              </w:rPr>
            </w:pPr>
            <w:r>
              <w:rPr>
                <w:rFonts w:ascii="Arial" w:cs="Arial" w:eastAsia="Arial" w:hAnsi="Arial"/>
                <w:sz w:val="14"/>
                <w:szCs w:val="14"/>
                <w:color w:val="auto"/>
                <w:w w:val="89"/>
              </w:rPr>
              <w:t>Total Number of</w:t>
            </w:r>
          </w:p>
        </w:tc>
        <w:tc>
          <w:tcPr>
            <w:tcW w:w="10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Average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Part of Publicly</w:t>
            </w:r>
          </w:p>
        </w:tc>
        <w:tc>
          <w:tcPr>
            <w:tcW w:w="380" w:type="dxa"/>
            <w:vAlign w:val="bottom"/>
          </w:tcPr>
          <w:p>
            <w:pPr>
              <w:spacing w:after="0"/>
              <w:rPr>
                <w:sz w:val="12"/>
                <w:szCs w:val="12"/>
                <w:color w:val="auto"/>
              </w:rPr>
            </w:pPr>
          </w:p>
        </w:tc>
        <w:tc>
          <w:tcPr>
            <w:tcW w:w="1160" w:type="dxa"/>
            <w:vAlign w:val="bottom"/>
          </w:tcPr>
          <w:p>
            <w:pPr>
              <w:jc w:val="center"/>
              <w:ind w:right="299"/>
              <w:spacing w:after="0" w:line="149" w:lineRule="exact"/>
              <w:rPr>
                <w:sz w:val="20"/>
                <w:szCs w:val="20"/>
                <w:color w:val="auto"/>
              </w:rPr>
            </w:pPr>
            <w:r>
              <w:rPr>
                <w:rFonts w:ascii="Arial" w:cs="Arial" w:eastAsia="Arial" w:hAnsi="Arial"/>
                <w:sz w:val="14"/>
                <w:szCs w:val="14"/>
                <w:color w:val="auto"/>
                <w:w w:val="95"/>
              </w:rPr>
              <w:t>Amount</w:t>
            </w:r>
          </w:p>
        </w:tc>
        <w:tc>
          <w:tcPr>
            <w:tcW w:w="16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3"/>
              </w:rPr>
              <w:t>May Yet Be Purchased</w:t>
            </w:r>
          </w:p>
        </w:tc>
      </w:tr>
      <w:tr>
        <w:trPr>
          <w:trHeight w:val="149"/>
        </w:trPr>
        <w:tc>
          <w:tcPr>
            <w:tcW w:w="2880" w:type="dxa"/>
            <w:vAlign w:val="bottom"/>
          </w:tcPr>
          <w:p>
            <w:pPr>
              <w:spacing w:after="0"/>
              <w:rPr>
                <w:sz w:val="12"/>
                <w:szCs w:val="12"/>
                <w:color w:val="auto"/>
              </w:rPr>
            </w:pPr>
          </w:p>
        </w:tc>
        <w:tc>
          <w:tcPr>
            <w:tcW w:w="2860" w:type="dxa"/>
            <w:vAlign w:val="bottom"/>
          </w:tcPr>
          <w:p>
            <w:pPr>
              <w:jc w:val="center"/>
              <w:ind w:left="1341"/>
              <w:spacing w:after="0" w:line="149" w:lineRule="exact"/>
              <w:rPr>
                <w:sz w:val="20"/>
                <w:szCs w:val="20"/>
                <w:color w:val="auto"/>
              </w:rPr>
            </w:pPr>
            <w:r>
              <w:rPr>
                <w:rFonts w:ascii="Arial" w:cs="Arial" w:eastAsia="Arial" w:hAnsi="Arial"/>
                <w:sz w:val="14"/>
                <w:szCs w:val="14"/>
                <w:color w:val="auto"/>
                <w:w w:val="81"/>
              </w:rPr>
              <w:t>Shares</w:t>
            </w:r>
          </w:p>
        </w:tc>
        <w:tc>
          <w:tcPr>
            <w:tcW w:w="10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Price Per</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Purchased Under</w:t>
            </w:r>
          </w:p>
        </w:tc>
        <w:tc>
          <w:tcPr>
            <w:tcW w:w="380" w:type="dxa"/>
            <w:vAlign w:val="bottom"/>
          </w:tcPr>
          <w:p>
            <w:pPr>
              <w:spacing w:after="0"/>
              <w:rPr>
                <w:sz w:val="12"/>
                <w:szCs w:val="12"/>
                <w:color w:val="auto"/>
              </w:rPr>
            </w:pPr>
          </w:p>
        </w:tc>
        <w:tc>
          <w:tcPr>
            <w:tcW w:w="1260" w:type="dxa"/>
            <w:vAlign w:val="bottom"/>
          </w:tcPr>
          <w:p>
            <w:pPr>
              <w:jc w:val="center"/>
              <w:ind w:right="161"/>
              <w:spacing w:after="0" w:line="149" w:lineRule="exact"/>
              <w:rPr>
                <w:sz w:val="20"/>
                <w:szCs w:val="20"/>
                <w:color w:val="auto"/>
              </w:rPr>
            </w:pPr>
            <w:r>
              <w:rPr>
                <w:rFonts w:ascii="Arial" w:cs="Arial" w:eastAsia="Arial" w:hAnsi="Arial"/>
                <w:sz w:val="14"/>
                <w:szCs w:val="14"/>
                <w:color w:val="auto"/>
                <w:w w:val="87"/>
              </w:rPr>
              <w:t>Under the</w:t>
            </w:r>
          </w:p>
        </w:tc>
      </w:tr>
      <w:tr>
        <w:trPr>
          <w:trHeight w:val="159"/>
        </w:trPr>
        <w:tc>
          <w:tcPr>
            <w:tcW w:w="2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Period</w:t>
            </w:r>
          </w:p>
        </w:tc>
        <w:tc>
          <w:tcPr>
            <w:tcW w:w="2860" w:type="dxa"/>
            <w:vAlign w:val="bottom"/>
            <w:tcBorders>
              <w:bottom w:val="single" w:sz="8" w:color="auto"/>
            </w:tcBorders>
          </w:tcPr>
          <w:p>
            <w:pPr>
              <w:jc w:val="center"/>
              <w:ind w:left="1341"/>
              <w:spacing w:after="0" w:line="159" w:lineRule="exact"/>
              <w:rPr>
                <w:sz w:val="20"/>
                <w:szCs w:val="20"/>
                <w:color w:val="auto"/>
              </w:rPr>
            </w:pPr>
            <w:r>
              <w:rPr>
                <w:rFonts w:ascii="Arial" w:cs="Arial" w:eastAsia="Arial" w:hAnsi="Arial"/>
                <w:sz w:val="14"/>
                <w:szCs w:val="14"/>
                <w:color w:val="auto"/>
                <w:w w:val="83"/>
              </w:rPr>
              <w:t>Purchased</w:t>
            </w: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6"/>
              <w:spacing w:after="0" w:line="159" w:lineRule="exact"/>
              <w:rPr>
                <w:sz w:val="20"/>
                <w:szCs w:val="20"/>
                <w:color w:val="auto"/>
              </w:rPr>
            </w:pPr>
            <w:r>
              <w:rPr>
                <w:rFonts w:ascii="Arial" w:cs="Arial" w:eastAsia="Arial" w:hAnsi="Arial"/>
                <w:sz w:val="14"/>
                <w:szCs w:val="14"/>
                <w:color w:val="auto"/>
                <w:w w:val="80"/>
              </w:rPr>
              <w:t>Share</w:t>
            </w:r>
          </w:p>
        </w:tc>
        <w:tc>
          <w:tcPr>
            <w:tcW w:w="14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Authorization</w:t>
            </w:r>
          </w:p>
        </w:tc>
        <w:tc>
          <w:tcPr>
            <w:tcW w:w="15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9"/>
              </w:rPr>
              <w:t>the Authorization</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61"/>
              <w:spacing w:after="0" w:line="159" w:lineRule="exact"/>
              <w:rPr>
                <w:sz w:val="20"/>
                <w:szCs w:val="20"/>
                <w:color w:val="auto"/>
              </w:rPr>
            </w:pPr>
            <w:r>
              <w:rPr>
                <w:rFonts w:ascii="Arial" w:cs="Arial" w:eastAsia="Arial" w:hAnsi="Arial"/>
                <w:sz w:val="14"/>
                <w:szCs w:val="14"/>
                <w:color w:val="auto"/>
                <w:w w:val="91"/>
              </w:rPr>
              <w:t>Authorization(a)</w:t>
            </w:r>
          </w:p>
        </w:tc>
      </w:tr>
      <w:tr>
        <w:trPr>
          <w:trHeight w:val="210"/>
        </w:trPr>
        <w:tc>
          <w:tcPr>
            <w:tcW w:w="2880" w:type="dxa"/>
            <w:vAlign w:val="bottom"/>
            <w:shd w:val="clear" w:color="auto" w:fill="E5E5E5"/>
          </w:tcPr>
          <w:p>
            <w:pPr>
              <w:spacing w:after="0"/>
              <w:rPr>
                <w:sz w:val="20"/>
                <w:szCs w:val="20"/>
                <w:color w:val="auto"/>
              </w:rPr>
            </w:pPr>
            <w:r>
              <w:rPr>
                <w:rFonts w:ascii="Arial" w:cs="Arial" w:eastAsia="Arial" w:hAnsi="Arial"/>
                <w:sz w:val="18"/>
                <w:szCs w:val="18"/>
                <w:color w:val="auto"/>
              </w:rPr>
              <w:t>April 1-30, 2011</w:t>
            </w:r>
          </w:p>
        </w:tc>
        <w:tc>
          <w:tcPr>
            <w:tcW w:w="286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E5E5"/>
          </w:tcPr>
          <w:p>
            <w:pPr>
              <w:jc w:val="right"/>
              <w:ind w:right="18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99"/>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ind w:left="2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w w:val="99"/>
              </w:rPr>
              <w:t>1,615,873,870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May 1-31, 2011</w:t>
            </w:r>
          </w:p>
        </w:tc>
        <w:tc>
          <w:tcPr>
            <w:tcW w:w="2860" w:type="dxa"/>
            <w:vAlign w:val="bottom"/>
          </w:tcPr>
          <w:p>
            <w:pPr>
              <w:jc w:val="right"/>
              <w:ind w:right="181"/>
              <w:spacing w:after="0"/>
              <w:rPr>
                <w:sz w:val="20"/>
                <w:szCs w:val="20"/>
                <w:color w:val="auto"/>
              </w:rPr>
            </w:pPr>
            <w:r>
              <w:rPr>
                <w:rFonts w:ascii="Arial" w:cs="Arial" w:eastAsia="Arial" w:hAnsi="Arial"/>
                <w:sz w:val="18"/>
                <w:szCs w:val="18"/>
                <w:color w:val="auto"/>
              </w:rPr>
              <w:t>11,681,287</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96"/>
              <w:spacing w:after="0"/>
              <w:rPr>
                <w:sz w:val="20"/>
                <w:szCs w:val="20"/>
                <w:color w:val="auto"/>
              </w:rPr>
            </w:pPr>
            <w:r>
              <w:rPr>
                <w:rFonts w:ascii="Arial" w:cs="Arial" w:eastAsia="Arial" w:hAnsi="Arial"/>
                <w:sz w:val="18"/>
                <w:szCs w:val="18"/>
                <w:color w:val="auto"/>
                <w:w w:val="88"/>
              </w:rPr>
              <w:t>23.54</w:t>
            </w:r>
          </w:p>
        </w:tc>
        <w:tc>
          <w:tcPr>
            <w:tcW w:w="1440" w:type="dxa"/>
            <w:vAlign w:val="bottom"/>
          </w:tcPr>
          <w:p>
            <w:pPr>
              <w:jc w:val="right"/>
              <w:ind w:right="184"/>
              <w:spacing w:after="0"/>
              <w:rPr>
                <w:sz w:val="20"/>
                <w:szCs w:val="20"/>
                <w:color w:val="auto"/>
              </w:rPr>
            </w:pPr>
            <w:r>
              <w:rPr>
                <w:rFonts w:ascii="Arial" w:cs="Arial" w:eastAsia="Arial" w:hAnsi="Arial"/>
                <w:sz w:val="18"/>
                <w:szCs w:val="18"/>
                <w:color w:val="auto"/>
              </w:rPr>
              <w:t>11,681,287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9"/>
              <w:spacing w:after="0"/>
              <w:rPr>
                <w:sz w:val="20"/>
                <w:szCs w:val="20"/>
                <w:color w:val="auto"/>
              </w:rPr>
            </w:pPr>
            <w:r>
              <w:rPr>
                <w:rFonts w:ascii="Arial" w:cs="Arial" w:eastAsia="Arial" w:hAnsi="Arial"/>
                <w:sz w:val="18"/>
                <w:szCs w:val="18"/>
                <w:color w:val="auto"/>
                <w:w w:val="85"/>
              </w:rPr>
              <w:t>275,000,000</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1"/>
              <w:spacing w:after="0"/>
              <w:rPr>
                <w:sz w:val="20"/>
                <w:szCs w:val="20"/>
                <w:color w:val="auto"/>
              </w:rPr>
            </w:pPr>
            <w:r>
              <w:rPr>
                <w:rFonts w:ascii="Arial" w:cs="Arial" w:eastAsia="Arial" w:hAnsi="Arial"/>
                <w:sz w:val="18"/>
                <w:szCs w:val="18"/>
                <w:color w:val="auto"/>
                <w:w w:val="99"/>
              </w:rPr>
              <w:t>1,340,873,870</w:t>
            </w:r>
          </w:p>
        </w:tc>
      </w:tr>
      <w:tr>
        <w:trPr>
          <w:trHeight w:val="216"/>
        </w:trPr>
        <w:tc>
          <w:tcPr>
            <w:tcW w:w="2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June 1-30, 2011</w:t>
            </w:r>
          </w:p>
        </w:tc>
        <w:tc>
          <w:tcPr>
            <w:tcW w:w="286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10,876,846</w:t>
            </w:r>
          </w:p>
        </w:tc>
        <w:tc>
          <w:tcPr>
            <w:tcW w:w="36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w w:val="88"/>
              </w:rPr>
              <w:t>22.98</w:t>
            </w:r>
          </w:p>
        </w:tc>
        <w:tc>
          <w:tcPr>
            <w:tcW w:w="1440" w:type="dxa"/>
            <w:vAlign w:val="bottom"/>
            <w:tcBorders>
              <w:bottom w:val="single" w:sz="8" w:color="auto"/>
            </w:tcBorders>
            <w:shd w:val="clear" w:color="auto" w:fill="E5E5E5"/>
          </w:tcPr>
          <w:p>
            <w:pPr>
              <w:jc w:val="right"/>
              <w:ind w:right="184"/>
              <w:spacing w:after="0"/>
              <w:rPr>
                <w:sz w:val="20"/>
                <w:szCs w:val="20"/>
                <w:color w:val="auto"/>
              </w:rPr>
            </w:pPr>
            <w:r>
              <w:rPr>
                <w:rFonts w:ascii="Arial" w:cs="Arial" w:eastAsia="Arial" w:hAnsi="Arial"/>
                <w:sz w:val="18"/>
                <w:szCs w:val="18"/>
                <w:color w:val="auto"/>
              </w:rPr>
              <w:t>10,876,846</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5E5"/>
          </w:tcPr>
          <w:p>
            <w:pPr>
              <w:jc w:val="right"/>
              <w:ind w:right="199"/>
              <w:spacing w:after="0"/>
              <w:rPr>
                <w:sz w:val="20"/>
                <w:szCs w:val="20"/>
                <w:color w:val="auto"/>
              </w:rPr>
            </w:pPr>
            <w:r>
              <w:rPr>
                <w:rFonts w:ascii="Arial" w:cs="Arial" w:eastAsia="Arial" w:hAnsi="Arial"/>
                <w:sz w:val="18"/>
                <w:szCs w:val="18"/>
                <w:color w:val="auto"/>
                <w:w w:val="85"/>
              </w:rPr>
              <w:t>250,000,000</w:t>
            </w:r>
          </w:p>
        </w:tc>
        <w:tc>
          <w:tcPr>
            <w:tcW w:w="3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color w:val="auto"/>
                <w:w w:val="99"/>
              </w:rPr>
              <w:t>1,090,873,870</w:t>
            </w:r>
          </w:p>
        </w:tc>
      </w:tr>
      <w:tr>
        <w:trPr>
          <w:trHeight w:val="217"/>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22,558,133</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88"/>
              </w:rPr>
              <w:t>23.27</w:t>
            </w:r>
          </w:p>
        </w:tc>
        <w:tc>
          <w:tcPr>
            <w:tcW w:w="1440" w:type="dxa"/>
            <w:vAlign w:val="bottom"/>
            <w:tcBorders>
              <w:bottom w:val="single" w:sz="8" w:color="auto"/>
            </w:tcBorders>
          </w:tcPr>
          <w:p>
            <w:pPr>
              <w:jc w:val="right"/>
              <w:ind w:right="184"/>
              <w:spacing w:after="0"/>
              <w:rPr>
                <w:sz w:val="20"/>
                <w:szCs w:val="20"/>
                <w:color w:val="auto"/>
              </w:rPr>
            </w:pPr>
            <w:r>
              <w:rPr>
                <w:rFonts w:ascii="Arial" w:cs="Arial" w:eastAsia="Arial" w:hAnsi="Arial"/>
                <w:sz w:val="18"/>
                <w:szCs w:val="18"/>
                <w:b w:val="1"/>
                <w:bCs w:val="1"/>
                <w:color w:val="auto"/>
              </w:rPr>
              <w:t>22,558,133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b w:val="1"/>
                <w:bCs w:val="1"/>
                <w:color w:val="auto"/>
                <w:w w:val="85"/>
              </w:rPr>
              <w:t>525,000,000</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w w:val="99"/>
              </w:rPr>
              <w:t>1,090,873,870</w:t>
            </w:r>
          </w:p>
        </w:tc>
      </w:tr>
    </w:tbl>
    <w:p>
      <w:pPr>
        <w:spacing w:after="0" w:line="57" w:lineRule="exact"/>
        <w:rPr>
          <w:sz w:val="20"/>
          <w:szCs w:val="20"/>
          <w:color w:val="auto"/>
        </w:rPr>
      </w:pPr>
    </w:p>
    <w:p>
      <w:pPr>
        <w:jc w:val="both"/>
        <w:ind w:left="340" w:right="20" w:hanging="332"/>
        <w:spacing w:after="0" w:line="288"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2007, our Board of Directors authorized a $7 billion addition to our existing share repurchase authorization. Under this authorization, we may repurchase shares in the open market or in private transactions, subject to market conditions. The current share repurchase authorization does not have an expiration date. As of June 30, 2011, we had approximately $1.1 billion of availability remaining under our share repurchase authorization. We intend to complete repurchases under the current share repurchase authorization by the end of 2011, subject to market conditions.</w:t>
      </w:r>
    </w:p>
    <w:p>
      <w:pPr>
        <w:spacing w:after="0" w:line="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total number of shares purchased during the three months ended June 30, 2011 does not include any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7" w:lineRule="exact"/>
        <w:rPr>
          <w:rFonts w:ascii="Arial" w:cs="Arial" w:eastAsia="Arial" w:hAnsi="Arial"/>
          <w:sz w:val="18"/>
          <w:szCs w:val="18"/>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5"/>
          <w:szCs w:val="15"/>
          <w:color w:val="auto"/>
        </w:rPr>
        <w:t>Comcast Corporation 2002 Non-Employee Director Compensation Plan, as amended and restated effective July 1, 2011.</w:t>
      </w:r>
    </w:p>
    <w:p>
      <w:pPr>
        <w:spacing w:after="0" w:line="9" w:lineRule="exact"/>
        <w:rPr>
          <w:rFonts w:ascii="Arial" w:cs="Arial" w:eastAsia="Arial" w:hAnsi="Arial"/>
          <w:sz w:val="18"/>
          <w:szCs w:val="18"/>
          <w:color w:val="auto"/>
        </w:rPr>
      </w:pPr>
    </w:p>
    <w:p>
      <w:pPr>
        <w:ind w:left="820" w:hanging="810"/>
        <w:spacing w:after="0" w:line="250" w:lineRule="auto"/>
        <w:rPr>
          <w:rFonts w:ascii="Arial" w:cs="Arial" w:eastAsia="Arial" w:hAnsi="Arial"/>
          <w:sz w:val="18"/>
          <w:szCs w:val="18"/>
          <w:color w:val="auto"/>
        </w:rPr>
      </w:pPr>
      <w:r>
        <w:rPr>
          <w:rFonts w:ascii="Arial" w:cs="Arial" w:eastAsia="Arial" w:hAnsi="Arial"/>
          <w:sz w:val="18"/>
          <w:szCs w:val="18"/>
          <w:color w:val="auto"/>
        </w:rPr>
        <w:t>10.2*Amendment No. 5 to Employment Agreement between Comcast Corporation and Brian L. Roberts, dated as of June 30, 2011 (incorporated by reference to Exhibit 99.1 to the Current Report on Form 8-K of Comcast Corporation filed on July 1, 2011).</w:t>
      </w:r>
    </w:p>
    <w:p>
      <w:pPr>
        <w:jc w:val="both"/>
        <w:ind w:left="820" w:hanging="812"/>
        <w:spacing w:after="0" w:line="253"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and six months ended June 30, 2011, filed with the Securities and Exchange Commission on August 3, 2011,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left="5620" w:right="5600" w:hanging="5612"/>
        <w:spacing w:after="0" w:line="525" w:lineRule="auto"/>
        <w:tabs>
          <w:tab w:leader="none" w:pos="4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NON-EMPLOYEE DIRECTOR COMPENSATION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July 1, 2011)</w:t>
      </w:r>
    </w:p>
    <w:p>
      <w:pPr>
        <w:spacing w:after="0" w:line="287"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sz w:val="20"/>
          <w:szCs w:val="20"/>
          <w:color w:val="auto"/>
        </w:rPr>
      </w:pPr>
    </w:p>
    <w:p>
      <w:pPr>
        <w:jc w:val="both"/>
        <w:ind w:right="480" w:firstLine="1484"/>
        <w:spacing w:after="0" w:line="306"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Non-Employee Director Compensation Plan</w:t>
      </w:r>
      <w:r>
        <w:rPr>
          <w:rFonts w:ascii="Arial" w:cs="Arial" w:eastAsia="Arial" w:hAnsi="Arial"/>
          <w:sz w:val="16"/>
          <w:szCs w:val="16"/>
          <w:b w:val="1"/>
          <w:bCs w:val="1"/>
          <w:color w:val="auto"/>
        </w:rPr>
        <w:t>,</w:t>
      </w:r>
      <w:r>
        <w:rPr>
          <w:rFonts w:ascii="Arial" w:cs="Arial" w:eastAsia="Arial" w:hAnsi="Arial"/>
          <w:sz w:val="16"/>
          <w:szCs w:val="16"/>
          <w:color w:val="auto"/>
        </w:rPr>
        <w:t xml:space="preserve"> effective July 1, 2011, except as otherwise specifically provided herein. The purpose of the Plan is to provide Non-Employee Directors of COMCAST CORPORATION (the “Company”) with compensation for services to the Company.</w:t>
      </w:r>
    </w:p>
    <w:p>
      <w:pPr>
        <w:spacing w:after="0" w:line="222"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right="40" w:firstLine="1492"/>
        <w:spacing w:after="0" w:line="268" w:lineRule="auto"/>
        <w:tabs>
          <w:tab w:leader="none" w:pos="17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Retainer</w:t>
      </w:r>
      <w:r>
        <w:rPr>
          <w:rFonts w:ascii="Arial" w:cs="Arial" w:eastAsia="Arial" w:hAnsi="Arial"/>
          <w:sz w:val="18"/>
          <w:szCs w:val="18"/>
          <w:color w:val="auto"/>
        </w:rPr>
        <w:t>” means the amount payable for service as a Non-Employee Director for a calendar year, as a member of the Board, and as a member of one or more Committees as determined under Paragraph 3(a) of the Plan.</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Meeting</w:t>
      </w:r>
      <w:r>
        <w:rPr>
          <w:rFonts w:ascii="Arial" w:cs="Arial" w:eastAsia="Arial" w:hAnsi="Arial"/>
          <w:sz w:val="18"/>
          <w:szCs w:val="18"/>
          <w:color w:val="auto"/>
        </w:rPr>
        <w:t>” means a meeting of the Board, whether in person or by telephone.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duly-constituted committee of the Board.</w:t>
      </w:r>
    </w:p>
    <w:p>
      <w:pPr>
        <w:spacing w:after="0" w:line="171" w:lineRule="exact"/>
        <w:rPr>
          <w:rFonts w:ascii="Arial" w:cs="Arial" w:eastAsia="Arial" w:hAnsi="Arial"/>
          <w:sz w:val="18"/>
          <w:szCs w:val="18"/>
          <w:color w:val="auto"/>
        </w:rPr>
      </w:pPr>
    </w:p>
    <w:p>
      <w:pPr>
        <w:ind w:right="160" w:firstLine="1492"/>
        <w:spacing w:after="0" w:line="268" w:lineRule="auto"/>
        <w:tabs>
          <w:tab w:leader="none" w:pos="17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 Meeting</w:t>
      </w:r>
      <w:r>
        <w:rPr>
          <w:rFonts w:ascii="Arial" w:cs="Arial" w:eastAsia="Arial" w:hAnsi="Arial"/>
          <w:sz w:val="18"/>
          <w:szCs w:val="18"/>
          <w:color w:val="auto"/>
        </w:rPr>
        <w:t>” means a meeting of a Committee, whether in person or by telephone, other than a meeting of a Committee that is convened and held during a Board Meeting.</w:t>
      </w:r>
    </w:p>
    <w:p>
      <w:pPr>
        <w:spacing w:after="0" w:line="131" w:lineRule="exact"/>
        <w:rPr>
          <w:rFonts w:ascii="Arial" w:cs="Arial" w:eastAsia="Arial" w:hAnsi="Arial"/>
          <w:sz w:val="18"/>
          <w:szCs w:val="18"/>
          <w:color w:val="auto"/>
        </w:rPr>
      </w:pPr>
    </w:p>
    <w:p>
      <w:pPr>
        <w:ind w:right="700" w:firstLine="1492"/>
        <w:spacing w:after="0" w:line="268" w:lineRule="auto"/>
        <w:tabs>
          <w:tab w:leader="none" w:pos="17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right="300" w:firstLine="1492"/>
        <w:spacing w:after="0" w:line="268" w:lineRule="auto"/>
        <w:tabs>
          <w:tab w:leader="none" w:pos="17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171" w:lineRule="exact"/>
        <w:rPr>
          <w:rFonts w:ascii="Arial" w:cs="Arial" w:eastAsia="Arial" w:hAnsi="Arial"/>
          <w:sz w:val="18"/>
          <w:szCs w:val="18"/>
          <w:color w:val="auto"/>
        </w:rPr>
      </w:pPr>
    </w:p>
    <w:p>
      <w:pPr>
        <w:ind w:right="180" w:firstLine="1948"/>
        <w:spacing w:after="0" w:line="332" w:lineRule="auto"/>
        <w:tabs>
          <w:tab w:leader="none" w:pos="2150"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ectPr>
          <w:pgSz w:w="11900" w:h="16838" w:orient="portrait"/>
          <w:cols w:equalWidth="0" w:num="1">
            <w:col w:w="11420"/>
          </w:cols>
          <w:pgMar w:left="240" w:top="125" w:right="239" w:bottom="1440" w:gutter="0" w:footer="0" w:header="0"/>
        </w:sectPr>
      </w:pPr>
    </w:p>
    <w:bookmarkStart w:id="65" w:name="page66"/>
    <w:bookmarkEnd w:id="65"/>
    <w:p>
      <w:pPr>
        <w:ind w:right="20" w:firstLine="1948"/>
        <w:spacing w:after="0" w:line="259" w:lineRule="auto"/>
        <w:tabs>
          <w:tab w:leader="none" w:pos="2198" w:val="left"/>
        </w:tabs>
        <w:numPr>
          <w:ilvl w:val="2"/>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2"/>
          <w:numId w:val="22"/>
        </w:numPr>
        <w:rPr>
          <w:rFonts w:ascii="Arial" w:cs="Arial" w:eastAsia="Arial" w:hAnsi="Arial"/>
          <w:sz w:val="15"/>
          <w:szCs w:val="15"/>
          <w:color w:val="auto"/>
        </w:rPr>
      </w:pPr>
      <w:r>
        <w:rPr>
          <w:rFonts w:ascii="Arial" w:cs="Arial" w:eastAsia="Arial" w:hAnsi="Arial"/>
          <w:sz w:val="15"/>
          <w:szCs w:val="15"/>
          <w:color w:val="auto"/>
        </w:rPr>
        <w:t>If Shares are not so listed nor trades of Shares so reported, Fair Market Value shall be determined by the Committee in good faith.</w:t>
      </w:r>
    </w:p>
    <w:p>
      <w:pPr>
        <w:spacing w:after="0" w:line="205" w:lineRule="exact"/>
        <w:rPr>
          <w:rFonts w:ascii="Arial" w:cs="Arial" w:eastAsia="Arial" w:hAnsi="Arial"/>
          <w:sz w:val="15"/>
          <w:szCs w:val="15"/>
          <w:color w:val="auto"/>
        </w:rPr>
      </w:pPr>
    </w:p>
    <w:p>
      <w:pPr>
        <w:ind w:right="40" w:firstLine="1492"/>
        <w:spacing w:after="0" w:line="268" w:lineRule="auto"/>
        <w:tabs>
          <w:tab w:leader="none" w:pos="1693"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Non-Employee Director Compensation Plan, as set forth herein, and as amended from time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rFonts w:ascii="Arial" w:cs="Arial" w:eastAsia="Arial" w:hAnsi="Arial"/>
          <w:sz w:val="18"/>
          <w:szCs w:val="18"/>
          <w:color w:val="auto"/>
        </w:rPr>
      </w:pPr>
    </w:p>
    <w:p>
      <w:pPr>
        <w:ind w:right="440" w:firstLine="1492"/>
        <w:spacing w:after="0" w:line="268" w:lineRule="auto"/>
        <w:tabs>
          <w:tab w:leader="none" w:pos="1693"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such other more recently-adopted generally applicable plan pursuant to which the Company grants restricted stock or restricted stock units).</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Restricted Stock Unit granted under the Restricted Stock Plan.</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Comcast Corporation Class A Common Stock, par value $0.01.</w:t>
      </w:r>
    </w:p>
    <w:p>
      <w:pPr>
        <w:spacing w:after="0" w:line="286" w:lineRule="exact"/>
        <w:rPr>
          <w:rFonts w:ascii="Arial" w:cs="Arial" w:eastAsia="Arial" w:hAnsi="Arial"/>
          <w:sz w:val="18"/>
          <w:szCs w:val="18"/>
          <w:color w:val="auto"/>
        </w:rPr>
      </w:pPr>
    </w:p>
    <w:p>
      <w:pPr>
        <w:ind w:left="1480" w:hanging="567"/>
        <w:spacing w:after="0"/>
        <w:tabs>
          <w:tab w:leader="none" w:pos="1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DIRECTOR COMPENSATION</w:t>
      </w:r>
    </w:p>
    <w:p>
      <w:pPr>
        <w:spacing w:after="0" w:line="96" w:lineRule="exact"/>
        <w:rPr>
          <w:rFonts w:ascii="Arial" w:cs="Arial" w:eastAsia="Arial" w:hAnsi="Arial"/>
          <w:sz w:val="18"/>
          <w:szCs w:val="18"/>
          <w:b w:val="1"/>
          <w:bCs w:val="1"/>
          <w:color w:val="auto"/>
        </w:rPr>
      </w:pPr>
    </w:p>
    <w:p>
      <w:pPr>
        <w:ind w:left="1740" w:hanging="248"/>
        <w:spacing w:after="0"/>
        <w:tabs>
          <w:tab w:leader="none" w:pos="1740" w:val="left"/>
        </w:tabs>
        <w:numPr>
          <w:ilvl w:val="1"/>
          <w:numId w:val="24"/>
        </w:numPr>
        <w:rPr>
          <w:rFonts w:ascii="Arial" w:cs="Arial" w:eastAsia="Arial" w:hAnsi="Arial"/>
          <w:sz w:val="15"/>
          <w:szCs w:val="15"/>
          <w:color w:val="auto"/>
        </w:rPr>
      </w:pPr>
      <w:r>
        <w:rPr>
          <w:rFonts w:ascii="Arial" w:cs="Arial" w:eastAsia="Arial" w:hAnsi="Arial"/>
          <w:sz w:val="15"/>
          <w:szCs w:val="15"/>
          <w:u w:val="single" w:color="auto"/>
          <w:color w:val="auto"/>
        </w:rPr>
        <w:t>Non-Employee Director Compensation Package</w:t>
      </w:r>
      <w:r>
        <w:rPr>
          <w:rFonts w:ascii="Arial" w:cs="Arial" w:eastAsia="Arial" w:hAnsi="Arial"/>
          <w:sz w:val="15"/>
          <w:szCs w:val="15"/>
          <w:color w:val="auto"/>
        </w:rPr>
        <w:t>. Non-Employee Directors shall be entitled to payments, grants and awards determined as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follows:</w:t>
      </w:r>
    </w:p>
    <w:p>
      <w:pPr>
        <w:spacing w:after="0" w:line="164" w:lineRule="exact"/>
        <w:rPr>
          <w:rFonts w:ascii="Arial" w:cs="Arial" w:eastAsia="Arial" w:hAnsi="Arial"/>
          <w:sz w:val="15"/>
          <w:szCs w:val="15"/>
          <w:color w:val="auto"/>
        </w:rPr>
      </w:pPr>
    </w:p>
    <w:p>
      <w:pPr>
        <w:ind w:left="2160" w:hanging="212"/>
        <w:spacing w:after="0"/>
        <w:tabs>
          <w:tab w:leader="none" w:pos="2160"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Annual Retainer</w:t>
      </w:r>
      <w:r>
        <w:rPr>
          <w:rFonts w:ascii="Arial" w:cs="Arial" w:eastAsia="Arial" w:hAnsi="Arial"/>
          <w:sz w:val="18"/>
          <w:szCs w:val="18"/>
          <w:color w:val="auto"/>
        </w:rPr>
        <w:t>. The Annual Retainer for service to the Company as a Non-Employee Director shall be $80,000.</w:t>
      </w:r>
    </w:p>
    <w:p>
      <w:pPr>
        <w:spacing w:after="0" w:line="171" w:lineRule="exact"/>
        <w:rPr>
          <w:rFonts w:ascii="Arial" w:cs="Arial" w:eastAsia="Arial" w:hAnsi="Arial"/>
          <w:sz w:val="18"/>
          <w:szCs w:val="18"/>
          <w:color w:val="auto"/>
        </w:rPr>
      </w:pPr>
    </w:p>
    <w:p>
      <w:pPr>
        <w:ind w:right="140" w:firstLine="1948"/>
        <w:spacing w:after="0" w:line="259" w:lineRule="auto"/>
        <w:tabs>
          <w:tab w:leader="none" w:pos="2198"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Board Meeting Fee</w:t>
      </w:r>
      <w:r>
        <w:rPr>
          <w:rFonts w:ascii="Arial" w:cs="Arial" w:eastAsia="Arial" w:hAnsi="Arial"/>
          <w:sz w:val="18"/>
          <w:szCs w:val="18"/>
          <w:color w:val="auto"/>
        </w:rPr>
        <w:t>. The fee payable for attendance in person or via telephone at a Board Meeting shall be $2,500. The Board Meeting Fee will also be paid when a member of the Board is asked to attend a meeting or otherwise to conduct business on behalf of the Company in his or her capacity as a Director.</w:t>
      </w:r>
    </w:p>
    <w:p>
      <w:pPr>
        <w:spacing w:after="0" w:line="140" w:lineRule="exact"/>
        <w:rPr>
          <w:rFonts w:ascii="Arial" w:cs="Arial" w:eastAsia="Arial" w:hAnsi="Arial"/>
          <w:sz w:val="18"/>
          <w:szCs w:val="18"/>
          <w:color w:val="auto"/>
        </w:rPr>
      </w:pPr>
    </w:p>
    <w:p>
      <w:pPr>
        <w:ind w:left="2260" w:hanging="312"/>
        <w:spacing w:after="0"/>
        <w:tabs>
          <w:tab w:leader="none" w:pos="2260"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Annual Retainer: Chair – Audit Committee</w:t>
      </w:r>
      <w:r>
        <w:rPr>
          <w:rFonts w:ascii="Arial" w:cs="Arial" w:eastAsia="Arial" w:hAnsi="Arial"/>
          <w:sz w:val="16"/>
          <w:szCs w:val="16"/>
          <w:color w:val="auto"/>
        </w:rPr>
        <w:t>. The Annual Retainer for service as Chair of the Audit Committee shall be $20,000</w:t>
      </w:r>
    </w:p>
    <w:p>
      <w:pPr>
        <w:spacing w:after="0" w:line="194" w:lineRule="exact"/>
        <w:rPr>
          <w:rFonts w:ascii="Arial" w:cs="Arial" w:eastAsia="Arial" w:hAnsi="Arial"/>
          <w:sz w:val="16"/>
          <w:szCs w:val="16"/>
          <w:color w:val="auto"/>
        </w:rPr>
      </w:pPr>
    </w:p>
    <w:p>
      <w:pPr>
        <w:ind w:left="2240" w:hanging="292"/>
        <w:spacing w:after="0"/>
        <w:tabs>
          <w:tab w:leader="none" w:pos="2240"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Annual Retainer: Member – Audit Committee</w:t>
      </w:r>
      <w:r>
        <w:rPr>
          <w:rFonts w:ascii="Arial" w:cs="Arial" w:eastAsia="Arial" w:hAnsi="Arial"/>
          <w:sz w:val="16"/>
          <w:szCs w:val="16"/>
          <w:color w:val="auto"/>
        </w:rPr>
        <w:t>. The Annual Retainer for service as a member of the Audit Committee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6" w:name="page67"/>
    <w:bookmarkEnd w:id="66"/>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(v) </w:t>
      </w:r>
      <w:r>
        <w:rPr>
          <w:rFonts w:ascii="Arial" w:cs="Arial" w:eastAsia="Arial" w:hAnsi="Arial"/>
          <w:sz w:val="16"/>
          <w:szCs w:val="16"/>
          <w:u w:val="single" w:color="auto"/>
          <w:color w:val="auto"/>
        </w:rPr>
        <w:t>Annual Retainer: Chair – Compensation Committee</w:t>
      </w:r>
      <w:r>
        <w:rPr>
          <w:rFonts w:ascii="Arial" w:cs="Arial" w:eastAsia="Arial" w:hAnsi="Arial"/>
          <w:sz w:val="16"/>
          <w:szCs w:val="16"/>
          <w:color w:val="auto"/>
        </w:rPr>
        <w:t>. The Annual Retainer for service as Chair of the Compensation Committee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be $20,000.</w:t>
      </w:r>
    </w:p>
    <w:p>
      <w:pPr>
        <w:spacing w:after="0" w:line="165" w:lineRule="exact"/>
        <w:rPr>
          <w:sz w:val="20"/>
          <w:szCs w:val="20"/>
          <w:color w:val="auto"/>
        </w:rPr>
      </w:pPr>
    </w:p>
    <w:p>
      <w:pPr>
        <w:ind w:left="2240" w:hanging="292"/>
        <w:spacing w:after="0"/>
        <w:tabs>
          <w:tab w:leader="none" w:pos="224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Annual Retainer: Member – Compensation Committee</w:t>
      </w:r>
      <w:r>
        <w:rPr>
          <w:rFonts w:ascii="Arial" w:cs="Arial" w:eastAsia="Arial" w:hAnsi="Arial"/>
          <w:sz w:val="16"/>
          <w:szCs w:val="16"/>
          <w:color w:val="auto"/>
        </w:rPr>
        <w:t>. The Annual Retainer for service as a member of the Compensation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 shall be $10,000.</w:t>
      </w:r>
    </w:p>
    <w:p>
      <w:pPr>
        <w:spacing w:after="0" w:line="164" w:lineRule="exact"/>
        <w:rPr>
          <w:rFonts w:ascii="Arial" w:cs="Arial" w:eastAsia="Arial" w:hAnsi="Arial"/>
          <w:sz w:val="16"/>
          <w:szCs w:val="16"/>
          <w:color w:val="auto"/>
        </w:rPr>
      </w:pPr>
    </w:p>
    <w:p>
      <w:pPr>
        <w:ind w:right="300" w:firstLine="1948"/>
        <w:spacing w:after="0" w:line="268" w:lineRule="auto"/>
        <w:tabs>
          <w:tab w:leader="none" w:pos="228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Annual Retainer: Chair – Governance and Directors Nominating Committee</w:t>
      </w:r>
      <w:r>
        <w:rPr>
          <w:rFonts w:ascii="Arial" w:cs="Arial" w:eastAsia="Arial" w:hAnsi="Arial"/>
          <w:sz w:val="18"/>
          <w:szCs w:val="18"/>
          <w:color w:val="auto"/>
        </w:rPr>
        <w:t>. The Annual Retainer for service as Chair of the Governance and Directors Nominating Committee shall be $10,000.</w:t>
      </w:r>
    </w:p>
    <w:p>
      <w:pPr>
        <w:spacing w:after="0" w:line="131" w:lineRule="exact"/>
        <w:rPr>
          <w:rFonts w:ascii="Arial" w:cs="Arial" w:eastAsia="Arial" w:hAnsi="Arial"/>
          <w:sz w:val="18"/>
          <w:szCs w:val="18"/>
          <w:color w:val="auto"/>
        </w:rPr>
      </w:pPr>
    </w:p>
    <w:p>
      <w:pPr>
        <w:ind w:firstLine="1948"/>
        <w:spacing w:after="0" w:line="268" w:lineRule="auto"/>
        <w:tabs>
          <w:tab w:leader="none" w:pos="233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Annual Retainer: Member – Governance and Directors Nominating Committee</w:t>
      </w:r>
      <w:r>
        <w:rPr>
          <w:rFonts w:ascii="Arial" w:cs="Arial" w:eastAsia="Arial" w:hAnsi="Arial"/>
          <w:sz w:val="18"/>
          <w:szCs w:val="18"/>
          <w:color w:val="auto"/>
        </w:rPr>
        <w:t>. The Annual Retainer for service as a member of the Governance and Directors Nominating Committee shall be $5,000.</w:t>
      </w:r>
    </w:p>
    <w:p>
      <w:pPr>
        <w:spacing w:after="0" w:line="131" w:lineRule="exact"/>
        <w:rPr>
          <w:rFonts w:ascii="Arial" w:cs="Arial" w:eastAsia="Arial" w:hAnsi="Arial"/>
          <w:sz w:val="18"/>
          <w:szCs w:val="18"/>
          <w:color w:val="auto"/>
        </w:rPr>
      </w:pPr>
    </w:p>
    <w:p>
      <w:pPr>
        <w:ind w:right="80" w:firstLine="1948"/>
        <w:spacing w:after="0" w:line="306" w:lineRule="auto"/>
        <w:tabs>
          <w:tab w:leader="none" w:pos="223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16"/>
          <w:szCs w:val="16"/>
          <w:color w:val="auto"/>
        </w:rPr>
        <w:t>. The Annual Retainer for service as the Chair of any committee of the Board other than the Audit Committee, the Compensation Committee or the Governance and Directors Nominating Committee shall be $5,000.</w:t>
      </w:r>
    </w:p>
    <w:p>
      <w:pPr>
        <w:spacing w:after="0" w:line="106" w:lineRule="exact"/>
        <w:rPr>
          <w:rFonts w:ascii="Arial" w:cs="Arial" w:eastAsia="Arial" w:hAnsi="Arial"/>
          <w:sz w:val="16"/>
          <w:szCs w:val="16"/>
          <w:color w:val="auto"/>
        </w:rPr>
      </w:pPr>
    </w:p>
    <w:p>
      <w:pPr>
        <w:ind w:right="20" w:firstLine="1948"/>
        <w:spacing w:after="0" w:line="306" w:lineRule="auto"/>
        <w:tabs>
          <w:tab w:leader="none" w:pos="218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16"/>
          <w:szCs w:val="16"/>
          <w:color w:val="auto"/>
        </w:rPr>
        <w:t>. The Annual Retainer for service as a member of any committee of the Board other than the Audit Committee, the Compensation Committee or the Governance and Directors Nominating Committee shall be $2,500.</w:t>
      </w:r>
    </w:p>
    <w:p>
      <w:pPr>
        <w:spacing w:after="0" w:line="106" w:lineRule="exact"/>
        <w:rPr>
          <w:rFonts w:ascii="Arial" w:cs="Arial" w:eastAsia="Arial" w:hAnsi="Arial"/>
          <w:sz w:val="16"/>
          <w:szCs w:val="16"/>
          <w:color w:val="auto"/>
        </w:rPr>
      </w:pPr>
    </w:p>
    <w:p>
      <w:pPr>
        <w:ind w:right="60" w:firstLine="1948"/>
        <w:spacing w:after="0" w:line="259" w:lineRule="auto"/>
        <w:tabs>
          <w:tab w:leader="none" w:pos="223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Committee Meeting Fee – Audit Committee, Compensation Committee and Governance and Directors Nominating Committee</w:t>
      </w:r>
      <w:r>
        <w:rPr>
          <w:rFonts w:ascii="Arial" w:cs="Arial" w:eastAsia="Arial" w:hAnsi="Arial"/>
          <w:sz w:val="18"/>
          <w:szCs w:val="18"/>
          <w:color w:val="auto"/>
        </w:rPr>
        <w:t>. The fee payable for attendance in person or via telephone at a Committee Meeting of the Audit Committee, the Compensation Committee or the Governance and Directors Nominating Committee shall be $2,500.</w:t>
      </w:r>
    </w:p>
    <w:p>
      <w:pPr>
        <w:spacing w:after="0" w:line="140" w:lineRule="exact"/>
        <w:rPr>
          <w:rFonts w:ascii="Arial" w:cs="Arial" w:eastAsia="Arial" w:hAnsi="Arial"/>
          <w:sz w:val="18"/>
          <w:szCs w:val="18"/>
          <w:color w:val="auto"/>
        </w:rPr>
      </w:pPr>
    </w:p>
    <w:p>
      <w:pPr>
        <w:jc w:val="both"/>
        <w:ind w:right="240" w:firstLine="1948"/>
        <w:spacing w:after="0" w:line="306" w:lineRule="auto"/>
        <w:tabs>
          <w:tab w:leader="none" w:pos="228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Committee Meeting Fee – Any Committee of the Board other than the Audit Committee, the Compensation Committee or the Governance and Directors Nominating Committee</w:t>
      </w:r>
      <w:r>
        <w:rPr>
          <w:rFonts w:ascii="Arial" w:cs="Arial" w:eastAsia="Arial" w:hAnsi="Arial"/>
          <w:sz w:val="16"/>
          <w:szCs w:val="16"/>
          <w:color w:val="auto"/>
        </w:rPr>
        <w:t>. The fee payable for attendance in person or via telephone at a Committee Meeting of any Committee other than the Audit Committee, the Compensation Committee or the Governance and Directors Nominating Committee shall be $1,000.</w:t>
      </w:r>
    </w:p>
    <w:p>
      <w:pPr>
        <w:spacing w:after="0" w:line="106" w:lineRule="exact"/>
        <w:rPr>
          <w:rFonts w:ascii="Arial" w:cs="Arial" w:eastAsia="Arial" w:hAnsi="Arial"/>
          <w:sz w:val="16"/>
          <w:szCs w:val="16"/>
          <w:color w:val="auto"/>
        </w:rPr>
      </w:pPr>
    </w:p>
    <w:p>
      <w:pPr>
        <w:ind w:right="240" w:firstLine="1948"/>
        <w:spacing w:after="0" w:line="268" w:lineRule="auto"/>
        <w:tabs>
          <w:tab w:leader="none" w:pos="233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Stock Grants</w:t>
      </w:r>
      <w:r>
        <w:rPr>
          <w:rFonts w:ascii="Arial" w:cs="Arial" w:eastAsia="Arial" w:hAnsi="Arial"/>
          <w:sz w:val="18"/>
          <w:szCs w:val="18"/>
          <w:color w:val="auto"/>
        </w:rPr>
        <w:t>. Except as otherwise specifically provided below, this Paragraph 3(a)(xiii) shall apply as of November 20, 2011 and as of November 20 of each Plan Year beginning after 2011.</w:t>
      </w:r>
    </w:p>
    <w:p>
      <w:pPr>
        <w:spacing w:after="0" w:line="132"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 The Board shall grant Restricted Stock Units for Shares having a Fair Market Value on the date of grant of $145,000,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provided that with respect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7" w:name="page68"/>
    <w:bookmarkEnd w:id="67"/>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each individual who first becomes a Non-Employee Director on or after July 1, 2011, the Board shall grant Restricted Stock Units for Shares determined as follows:</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of Commencement of Service as a Non-Employee Director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After November 20 of a Plan Year and before the next following February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February 20 of a Plan Year and before the next following May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May 20 of a Plan Year and before the next following August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or after August 20 of a Plan Year and before the next following November 20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620"/>
        <w:spacing w:after="0" w:line="318" w:lineRule="auto"/>
        <w:rPr>
          <w:sz w:val="20"/>
          <w:szCs w:val="20"/>
          <w:color w:val="auto"/>
        </w:rPr>
      </w:pPr>
      <w:r>
        <w:rPr>
          <w:rFonts w:ascii="Arial" w:cs="Arial" w:eastAsia="Arial" w:hAnsi="Arial"/>
          <w:sz w:val="15"/>
          <w:szCs w:val="15"/>
          <w:color w:val="auto"/>
        </w:rPr>
        <w:t>Number of Shares Subject to Grant of Restricted Stock Units Shares having a Fair Market Value on the date of grant of $145,000 Shares having a Fair Market Value on the date of grant of $108,750 Shares having a Fair Market Value on the date of grant of $72,500 Shares having a Fair Market Value on the date of grant of $36,250</w:t>
      </w:r>
    </w:p>
    <w:p>
      <w:pPr>
        <w:spacing w:after="0" w:line="100" w:lineRule="exact"/>
        <w:rPr>
          <w:sz w:val="20"/>
          <w:szCs w:val="20"/>
          <w:color w:val="auto"/>
        </w:rPr>
      </w:pPr>
    </w:p>
    <w:p>
      <w:pPr>
        <w:sectPr>
          <w:pgSz w:w="11900" w:h="16838" w:orient="portrait"/>
          <w:cols w:equalWidth="0" w:num="2">
            <w:col w:w="5700" w:space="360"/>
            <w:col w:w="5360"/>
          </w:cols>
          <w:pgMar w:left="240" w:top="280" w:right="239" w:bottom="1440" w:gutter="0" w:footer="0" w:header="0"/>
          <w:type w:val="continuous"/>
        </w:sectPr>
      </w:pPr>
    </w:p>
    <w:p>
      <w:pPr>
        <w:ind w:right="140"/>
        <w:spacing w:after="0" w:line="268" w:lineRule="auto"/>
        <w:rPr>
          <w:sz w:val="20"/>
          <w:szCs w:val="20"/>
          <w:color w:val="auto"/>
        </w:rPr>
      </w:pPr>
      <w:r>
        <w:rPr>
          <w:rFonts w:ascii="Arial" w:cs="Arial" w:eastAsia="Arial" w:hAnsi="Arial"/>
          <w:sz w:val="18"/>
          <w:szCs w:val="18"/>
          <w:color w:val="auto"/>
        </w:rPr>
        <w:t>Each Restricted Stock Unit shall (1) be fully and immediately vested on the date of grant, and (2) bear such other terms and conditions as shall be determined by the Board in its discretion.</w:t>
      </w:r>
    </w:p>
    <w:p>
      <w:pPr>
        <w:spacing w:after="0" w:line="132" w:lineRule="exact"/>
        <w:rPr>
          <w:sz w:val="20"/>
          <w:szCs w:val="20"/>
          <w:color w:val="auto"/>
        </w:rPr>
      </w:pPr>
    </w:p>
    <w:p>
      <w:pPr>
        <w:ind w:right="180" w:firstLine="2404"/>
        <w:spacing w:after="0" w:line="298" w:lineRule="auto"/>
        <w:tabs>
          <w:tab w:leader="none" w:pos="2674" w:val="left"/>
        </w:tabs>
        <w:numPr>
          <w:ilvl w:val="3"/>
          <w:numId w:val="26"/>
        </w:numPr>
        <w:rPr>
          <w:rFonts w:ascii="Arial" w:cs="Arial" w:eastAsia="Arial" w:hAnsi="Arial"/>
          <w:sz w:val="16"/>
          <w:szCs w:val="16"/>
          <w:color w:val="auto"/>
        </w:rPr>
      </w:pPr>
      <w:r>
        <w:rPr>
          <w:rFonts w:ascii="Arial" w:cs="Arial" w:eastAsia="Arial" w:hAnsi="Arial"/>
          <w:sz w:val="16"/>
          <w:szCs w:val="16"/>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12" w:lineRule="exact"/>
        <w:rPr>
          <w:rFonts w:ascii="Arial" w:cs="Arial" w:eastAsia="Arial" w:hAnsi="Arial"/>
          <w:sz w:val="16"/>
          <w:szCs w:val="16"/>
          <w:color w:val="auto"/>
        </w:rPr>
      </w:pPr>
    </w:p>
    <w:p>
      <w:pPr>
        <w:ind w:left="1740" w:hanging="248"/>
        <w:spacing w:after="0"/>
        <w:tabs>
          <w:tab w:leader="none" w:pos="174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Payment Practices</w:t>
      </w:r>
      <w:r>
        <w:rPr>
          <w:rFonts w:ascii="Arial" w:cs="Arial" w:eastAsia="Arial" w:hAnsi="Arial"/>
          <w:sz w:val="16"/>
          <w:szCs w:val="16"/>
          <w:color w:val="auto"/>
        </w:rPr>
        <w:t>. Payments, grants and awards described in Paragraph 3(a) of the Plan shall be subject to the following payment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practices:</w:t>
      </w:r>
    </w:p>
    <w:p>
      <w:pPr>
        <w:spacing w:after="0" w:line="164" w:lineRule="exact"/>
        <w:rPr>
          <w:rFonts w:ascii="Arial" w:cs="Arial" w:eastAsia="Arial" w:hAnsi="Arial"/>
          <w:sz w:val="16"/>
          <w:szCs w:val="16"/>
          <w:color w:val="auto"/>
        </w:rPr>
      </w:pPr>
    </w:p>
    <w:p>
      <w:pPr>
        <w:ind w:left="2160" w:hanging="212"/>
        <w:spacing w:after="0"/>
        <w:tabs>
          <w:tab w:leader="none" w:pos="2160" w:val="left"/>
        </w:tabs>
        <w:numPr>
          <w:ilvl w:val="2"/>
          <w:numId w:val="27"/>
        </w:numPr>
        <w:rPr>
          <w:rFonts w:ascii="Arial" w:cs="Arial" w:eastAsia="Arial" w:hAnsi="Arial"/>
          <w:sz w:val="16"/>
          <w:szCs w:val="16"/>
          <w:color w:val="auto"/>
        </w:rPr>
      </w:pPr>
      <w:r>
        <w:rPr>
          <w:rFonts w:ascii="Arial" w:cs="Arial" w:eastAsia="Arial" w:hAnsi="Arial"/>
          <w:sz w:val="16"/>
          <w:szCs w:val="16"/>
          <w:color w:val="auto"/>
        </w:rPr>
        <w:t>Annual Retainer payments described in Paragraphs 3(a)(i), 3(a)(iii), 3(a)(iv), 3(a)(v), 3(a)(vi), 3(a)(vii), 3(a)(viii), 3(a)(ix) and 3(a)</w:t>
      </w:r>
    </w:p>
    <w:p>
      <w:pPr>
        <w:spacing w:after="0" w:line="38" w:lineRule="exact"/>
        <w:rPr>
          <w:rFonts w:ascii="Arial" w:cs="Arial" w:eastAsia="Arial" w:hAnsi="Arial"/>
          <w:sz w:val="16"/>
          <w:szCs w:val="16"/>
          <w:color w:val="auto"/>
        </w:rPr>
      </w:pPr>
    </w:p>
    <w:p>
      <w:pPr>
        <w:ind w:firstLine="8"/>
        <w:spacing w:after="0" w:line="254"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43" w:lineRule="exact"/>
        <w:rPr>
          <w:rFonts w:ascii="Arial" w:cs="Arial" w:eastAsia="Arial" w:hAnsi="Arial"/>
          <w:sz w:val="18"/>
          <w:szCs w:val="18"/>
          <w:color w:val="auto"/>
        </w:rPr>
      </w:pPr>
    </w:p>
    <w:p>
      <w:pPr>
        <w:ind w:right="200" w:firstLine="1948"/>
        <w:spacing w:after="0" w:line="259" w:lineRule="auto"/>
        <w:tabs>
          <w:tab w:leader="none" w:pos="2198" w:val="left"/>
        </w:tabs>
        <w:numPr>
          <w:ilvl w:val="2"/>
          <w:numId w:val="28"/>
        </w:numPr>
        <w:rPr>
          <w:rFonts w:ascii="Arial" w:cs="Arial" w:eastAsia="Arial" w:hAnsi="Arial"/>
          <w:sz w:val="18"/>
          <w:szCs w:val="18"/>
          <w:color w:val="auto"/>
        </w:rPr>
      </w:pPr>
      <w:r>
        <w:rPr>
          <w:rFonts w:ascii="Arial" w:cs="Arial" w:eastAsia="Arial" w:hAnsi="Arial"/>
          <w:sz w:val="18"/>
          <w:szCs w:val="18"/>
          <w:color w:val="auto"/>
        </w:rPr>
        <w:t>A Non-Employee Director may elect to receive up to 50% of the Annual Retainer amount described in Paragraph 3(a)(i) in the form of Shares. The number of Shares payable to a Non-Employee Director shall be determined based on the closing price of Shares on the last business day of each calendar quarter.</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Special Rules and Payment Practices for Director Emeritus Compensation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type w:val="continuous"/>
        </w:sectPr>
      </w:pPr>
    </w:p>
    <w:bookmarkStart w:id="68" w:name="page69"/>
    <w:bookmarkEnd w:id="68"/>
    <w:p>
      <w:pPr>
        <w:ind w:right="340" w:firstLine="1948"/>
        <w:spacing w:after="0" w:line="306" w:lineRule="auto"/>
        <w:tabs>
          <w:tab w:leader="none" w:pos="215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106" w:lineRule="exact"/>
        <w:rPr>
          <w:rFonts w:ascii="Arial" w:cs="Arial" w:eastAsia="Arial" w:hAnsi="Arial"/>
          <w:sz w:val="16"/>
          <w:szCs w:val="16"/>
          <w:color w:val="auto"/>
        </w:rPr>
      </w:pPr>
    </w:p>
    <w:p>
      <w:pPr>
        <w:jc w:val="both"/>
        <w:ind w:right="100" w:firstLine="1948"/>
        <w:spacing w:after="0" w:line="332" w:lineRule="auto"/>
        <w:tabs>
          <w:tab w:leader="none" w:pos="2198"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Paragraph 3(b)(ii), relating to a Non-Employee Director’s elect to receive up to 50% of the Annual Retainer amount described in Paragraph 3(a)(i) in the form of Shares, shall not apply to a Director Emeritus. All Annual Retainer payments to a Director Emeritus shall be in the form of cash.</w:t>
      </w:r>
    </w:p>
    <w:p>
      <w:pPr>
        <w:spacing w:after="0" w:line="85" w:lineRule="exact"/>
        <w:rPr>
          <w:rFonts w:ascii="Arial" w:cs="Arial" w:eastAsia="Arial" w:hAnsi="Arial"/>
          <w:sz w:val="16"/>
          <w:szCs w:val="16"/>
          <w:color w:val="auto"/>
        </w:rPr>
      </w:pPr>
    </w:p>
    <w:p>
      <w:pPr>
        <w:jc w:val="both"/>
        <w:ind w:right="540" w:firstLine="1948"/>
        <w:spacing w:after="0" w:line="259" w:lineRule="auto"/>
        <w:tabs>
          <w:tab w:leader="none" w:pos="22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Paragraph 3(c)(iii) shall apply to a Director Emeritus in lieu of the Stock Grant provisions of Paragraph 3(a)(xiii). On November 20, 2011 and each anniversary thereof (or the next following business day if November 20</w:t>
      </w:r>
      <w:r>
        <w:rPr>
          <w:rFonts w:ascii="Arial" w:cs="Arial" w:eastAsia="Arial" w:hAnsi="Arial"/>
          <w:sz w:val="11"/>
          <w:szCs w:val="11"/>
          <w:color w:val="auto"/>
        </w:rPr>
        <w:t>th</w:t>
      </w:r>
      <w:r>
        <w:rPr>
          <w:rFonts w:ascii="Arial" w:cs="Arial" w:eastAsia="Arial" w:hAnsi="Arial"/>
          <w:sz w:val="18"/>
          <w:szCs w:val="18"/>
          <w:color w:val="auto"/>
        </w:rPr>
        <w:t xml:space="preserve"> is not a business day), the Company shall pay each Director Emeritus a single cash lump sum of $145,000.</w:t>
      </w:r>
    </w:p>
    <w:p>
      <w:pPr>
        <w:spacing w:after="0" w:line="256"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222"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48"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248" w:lineRule="exact"/>
        <w:rPr>
          <w:sz w:val="20"/>
          <w:szCs w:val="20"/>
          <w:color w:val="auto"/>
        </w:rPr>
      </w:pPr>
    </w:p>
    <w:p>
      <w:pPr>
        <w:ind w:left="1480" w:hanging="567"/>
        <w:spacing w:after="0"/>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effective date of this amendment and restatement of the Plan is July 1, 2011. The original effective date of the Plan is November 18, 2002.</w:t>
      </w:r>
    </w:p>
    <w:p>
      <w:pPr>
        <w:spacing w:after="0" w:line="310"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and all determinations made and actions taken pursuant to the Plan shall be governed in accordance with Pennsylvania law.</w:t>
      </w:r>
    </w:p>
    <w:p>
      <w:pPr>
        <w:spacing w:after="0" w:line="24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5940"/>
        <w:spacing w:after="0"/>
        <w:tabs>
          <w:tab w:leader="none" w:pos="63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14605</wp:posOffset>
            </wp:positionV>
            <wp:extent cx="26073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32" w:lineRule="exact"/>
        <w:rPr>
          <w:sz w:val="20"/>
          <w:szCs w:val="20"/>
          <w:color w:val="auto"/>
        </w:rPr>
      </w:pPr>
    </w:p>
    <w:p>
      <w:pPr>
        <w:ind w:left="5940"/>
        <w:spacing w:after="0"/>
        <w:tabs>
          <w:tab w:leader="none" w:pos="692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14605</wp:posOffset>
            </wp:positionV>
            <wp:extent cx="22555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320"/>
          </w:cols>
          <w:pgMar w:left="1160" w:top="280" w:right="1419" w:bottom="1440" w:gutter="0" w:footer="0" w:header="0"/>
        </w:sectPr>
      </w:pPr>
    </w:p>
    <w:bookmarkStart w:id="70" w:name="page71"/>
    <w:bookmarkEnd w:id="7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COMCAST CORPORATION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20" w:type="dxa"/>
            <w:vAlign w:val="bottom"/>
            <w:gridSpan w:val="2"/>
          </w:tcPr>
          <w:p>
            <w:pPr>
              <w:ind w:left="3760"/>
              <w:spacing w:after="0"/>
              <w:rPr>
                <w:sz w:val="20"/>
                <w:szCs w:val="20"/>
                <w:color w:val="auto"/>
              </w:rPr>
            </w:pPr>
            <w:r>
              <w:rPr>
                <w:rFonts w:ascii="Arial" w:cs="Arial" w:eastAsia="Arial" w:hAnsi="Arial"/>
                <w:sz w:val="18"/>
                <w:szCs w:val="18"/>
                <w:b w:val="1"/>
                <w:bCs w:val="1"/>
                <w:color w:val="auto"/>
              </w:rPr>
              <w:t>NON-EMPLOYEE DIRECTOR COMPENSATION</w:t>
            </w:r>
          </w:p>
        </w:tc>
      </w:tr>
      <w:tr>
        <w:trPr>
          <w:trHeight w:val="228"/>
        </w:trPr>
        <w:tc>
          <w:tcPr>
            <w:tcW w:w="11120" w:type="dxa"/>
            <w:vAlign w:val="bottom"/>
            <w:gridSpan w:val="2"/>
          </w:tcPr>
          <w:p>
            <w:pPr>
              <w:ind w:left="4420"/>
              <w:spacing w:after="0"/>
              <w:rPr>
                <w:sz w:val="20"/>
                <w:szCs w:val="20"/>
                <w:color w:val="auto"/>
              </w:rPr>
            </w:pPr>
            <w:r>
              <w:rPr>
                <w:rFonts w:ascii="Arial" w:cs="Arial" w:eastAsia="Arial" w:hAnsi="Arial"/>
                <w:sz w:val="18"/>
                <w:szCs w:val="18"/>
                <w:b w:val="1"/>
                <w:bCs w:val="1"/>
                <w:color w:val="auto"/>
              </w:rPr>
              <w:t>EFFECTIVE AS OF JULY 1, 2011</w:t>
            </w:r>
          </w:p>
        </w:tc>
      </w:tr>
      <w:tr>
        <w:trPr>
          <w:trHeight w:val="412"/>
        </w:trPr>
        <w:tc>
          <w:tcPr>
            <w:tcW w:w="5800" w:type="dxa"/>
            <w:vAlign w:val="bottom"/>
          </w:tcPr>
          <w:p>
            <w:pPr>
              <w:spacing w:after="0"/>
              <w:rPr>
                <w:sz w:val="20"/>
                <w:szCs w:val="20"/>
                <w:color w:val="auto"/>
              </w:rPr>
            </w:pPr>
            <w:r>
              <w:rPr>
                <w:rFonts w:ascii="Arial" w:cs="Arial" w:eastAsia="Arial" w:hAnsi="Arial"/>
                <w:sz w:val="18"/>
                <w:szCs w:val="18"/>
                <w:color w:val="auto"/>
              </w:rPr>
              <w:t>Director Annual Retainer</w:t>
            </w:r>
          </w:p>
        </w:tc>
        <w:tc>
          <w:tcPr>
            <w:tcW w:w="5320" w:type="dxa"/>
            <w:vAlign w:val="bottom"/>
          </w:tcPr>
          <w:p>
            <w:pPr>
              <w:ind w:left="260"/>
              <w:spacing w:after="0"/>
              <w:rPr>
                <w:sz w:val="20"/>
                <w:szCs w:val="20"/>
                <w:color w:val="auto"/>
              </w:rPr>
            </w:pPr>
            <w:r>
              <w:rPr>
                <w:rFonts w:ascii="Arial" w:cs="Arial" w:eastAsia="Arial" w:hAnsi="Arial"/>
                <w:sz w:val="18"/>
                <w:szCs w:val="18"/>
                <w:color w:val="auto"/>
                <w:w w:val="88"/>
              </w:rPr>
              <w:t>$80,000, subject to election to receive up to half in the form of Comcast</w:t>
            </w:r>
          </w:p>
        </w:tc>
      </w:tr>
      <w:tr>
        <w:trPr>
          <w:trHeight w:val="216"/>
        </w:trPr>
        <w:tc>
          <w:tcPr>
            <w:tcW w:w="580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Corporation Class A Common Stock</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Board Meeting Fee</w:t>
            </w:r>
            <w:r>
              <w:rPr>
                <w:rFonts w:ascii="Arial" w:cs="Arial" w:eastAsia="Arial" w:hAnsi="Arial"/>
                <w:sz w:val="11"/>
                <w:szCs w:val="11"/>
                <w:color w:val="auto"/>
              </w:rPr>
              <w:t>1</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Audit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$20,000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Compensation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$20,000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7"/>
              </w:rPr>
              <w:t>Governance and Directors Nominating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Committee Annual Retainer – Chair</w:t>
            </w:r>
          </w:p>
        </w:tc>
        <w:tc>
          <w:tcPr>
            <w:tcW w:w="5320" w:type="dxa"/>
            <w:vAlign w:val="bottom"/>
          </w:tcPr>
          <w:p>
            <w:pPr>
              <w:ind w:left="260"/>
              <w:spacing w:after="0"/>
              <w:rPr>
                <w:sz w:val="20"/>
                <w:szCs w:val="20"/>
                <w:color w:val="auto"/>
              </w:rPr>
            </w:pPr>
            <w:r>
              <w:rPr>
                <w:rFonts w:ascii="Arial" w:cs="Arial" w:eastAsia="Arial" w:hAnsi="Arial"/>
                <w:sz w:val="18"/>
                <w:szCs w:val="18"/>
                <w:color w:val="auto"/>
              </w:rPr>
              <w:t>$5,000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Audit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Compensation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$10,000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3"/>
              </w:rPr>
              <w:t>Governance and Directors Nominating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$5,000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Committee Annual Retainer – Member</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Audit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Compensation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4"/>
              </w:rPr>
              <w:t>Committee Meeting Fee – Governance and Directors Nominating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$2,500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Committee Meeting Fee – Other Committee</w:t>
            </w:r>
          </w:p>
        </w:tc>
        <w:tc>
          <w:tcPr>
            <w:tcW w:w="5320" w:type="dxa"/>
            <w:vAlign w:val="bottom"/>
          </w:tcPr>
          <w:p>
            <w:pPr>
              <w:ind w:left="260"/>
              <w:spacing w:after="0"/>
              <w:rPr>
                <w:sz w:val="20"/>
                <w:szCs w:val="20"/>
                <w:color w:val="auto"/>
              </w:rPr>
            </w:pPr>
            <w:r>
              <w:rPr>
                <w:rFonts w:ascii="Arial" w:cs="Arial" w:eastAsia="Arial" w:hAnsi="Arial"/>
                <w:sz w:val="18"/>
                <w:szCs w:val="18"/>
                <w:color w:val="auto"/>
              </w:rPr>
              <w:t>$1,000</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Annual Restricted Stock Unit Grant</w:t>
            </w:r>
          </w:p>
        </w:tc>
        <w:tc>
          <w:tcPr>
            <w:tcW w:w="5320" w:type="dxa"/>
            <w:vAlign w:val="bottom"/>
          </w:tcPr>
          <w:p>
            <w:pPr>
              <w:ind w:left="260"/>
              <w:spacing w:after="0"/>
              <w:rPr>
                <w:sz w:val="20"/>
                <w:szCs w:val="20"/>
                <w:color w:val="auto"/>
              </w:rPr>
            </w:pPr>
            <w:r>
              <w:rPr>
                <w:rFonts w:ascii="Arial" w:cs="Arial" w:eastAsia="Arial" w:hAnsi="Arial"/>
                <w:sz w:val="18"/>
                <w:szCs w:val="18"/>
                <w:color w:val="auto"/>
                <w:w w:val="93"/>
              </w:rPr>
              <w:t>Shares having a Fair Market Value on the date of grant of $145,000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28" w:lineRule="auto"/>
        <w:tabs>
          <w:tab w:leader="none" w:pos="22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Fee will also be paid when a member of the Board is asked to attend a meeting or otherwise to conduct business on behalf of the Company in his/her capacity as Director.</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74"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72" w:name="page73"/>
    <w:bookmarkEnd w:id="7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sz w:val="20"/>
          <w:szCs w:val="20"/>
          <w:color w:val="auto"/>
        </w:rPr>
        <w:tab/>
      </w:r>
      <w:r>
        <w:rPr>
          <w:rFonts w:ascii="Arial" w:cs="Arial" w:eastAsia="Arial" w:hAnsi="Arial"/>
          <w:sz w:val="18"/>
          <w:szCs w:val="18"/>
          <w:color w:val="auto"/>
        </w:rPr>
        <w:t>Michael J. Angelakis, certify that:</w:t>
      </w:r>
    </w:p>
    <w:p>
      <w:pPr>
        <w:spacing w:after="0" w:line="14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3, 2011</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Roman"/>
      <w:start w:val="3"/>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2"/>
    </w:lvl>
    <w:lvl w:ilvl="1">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71"/>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decimal"/>
      <w:start w:val="31"/>
    </w:lvl>
  </w:abstractNum>
  <w:abstractNum w:abstractNumId="17">
    <w:nsid w:val="2CA88611"/>
    <w:multiLevelType w:val="hybridMultilevel"/>
    <w:lvl w:ilvl="0">
      <w:lvlJc w:val="left"/>
      <w:lvlText w:val="%1"/>
      <w:numFmt w:val="decimal"/>
      <w:start w:val="10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1">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2">
    <w:nsid w:val="1E7FF521"/>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3">
    <w:nsid w:val="7C3DBD3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737B8DDC"/>
    <w:multiLevelType w:val="hybridMultilevel"/>
    <w:lvl w:ilvl="0">
      <w:lvlJc w:val="left"/>
      <w:lvlText w:val="(%1)"/>
      <w:numFmt w:val="lowerRoman"/>
      <w:start w:val="6"/>
    </w:lvl>
  </w:abstractNum>
  <w:abstractNum w:abstractNumId="25">
    <w:nsid w:val="6CEAF08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26">
    <w:nsid w:val="22221A7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27">
    <w:nsid w:val="4516DDE9"/>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35"/>
    </w:lvl>
    <w:lvl w:ilvl="3">
      <w:lvlJc w:val="left"/>
      <w:lvlText w:val="%4"/>
      <w:numFmt w:val="upperLetter"/>
      <w:start w:val="1"/>
    </w:lvl>
  </w:abstractNum>
  <w:abstractNum w:abstractNumId="28">
    <w:nsid w:val="3006C83E"/>
    <w:multiLevelType w:val="hybridMultilevel"/>
    <w:lvl w:ilvl="0">
      <w:lvlJc w:val="left"/>
      <w:lvlText w:val="(%1)"/>
      <w:numFmt w:val="lowerRoman"/>
      <w:start w:val="1"/>
    </w:lvl>
  </w:abstractNum>
  <w:abstractNum w:abstractNumId="29">
    <w:nsid w:val="614FD4A1"/>
    <w:multiLevelType w:val="hybridMultilevel"/>
    <w:lvl w:ilvl="0">
      <w:lvlJc w:val="left"/>
      <w:lvlText w:val="%1."/>
      <w:numFmt w:val="decimal"/>
      <w:start w:val="4"/>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decimal"/>
      <w:start w:val="6"/>
    </w:lvl>
  </w:abstractNum>
  <w:abstractNum w:abstractNumId="32">
    <w:nsid w:val="440BADFC"/>
    <w:multiLevelType w:val="hybridMultilevel"/>
    <w:lvl w:ilvl="0">
      <w:lvlJc w:val="left"/>
      <w:lvlText w:val="%1."/>
      <w:numFmt w:val="decimal"/>
      <w:start w:val="7"/>
    </w:lvl>
  </w:abstractNum>
  <w:abstractNum w:abstractNumId="33">
    <w:nsid w:val="5072367"/>
    <w:multiLevelType w:val="hybridMultilevel"/>
    <w:lvl w:ilvl="0">
      <w:lvlJc w:val="left"/>
      <w:lvlText w:val="%1."/>
      <w:numFmt w:val="decimal"/>
      <w:start w:val="8"/>
    </w:lvl>
  </w:abstractNum>
  <w:abstractNum w:abstractNumId="34">
    <w:nsid w:val="3804823E"/>
    <w:multiLevelType w:val="hybridMultilevel"/>
    <w:lvl w:ilvl="0">
      <w:lvlJc w:val="left"/>
      <w:lvlText w:val="1"/>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2019-12-10T22:15:25Z</dcterms:created>
  <dcterms:modified xsi:type="dcterms:W3CDTF">2019-12-10T22:15:25Z</dcterms:modified>
</cp:coreProperties>
</file>