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United States Securities and Exchange Commission on May 23,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COMCAST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p>
      <w:pPr>
        <w:spacing w:after="0" w:line="273" w:lineRule="exact"/>
        <w:rPr>
          <w:sz w:val="24"/>
          <w:szCs w:val="24"/>
          <w:color w:val="auto"/>
        </w:rPr>
      </w:pPr>
    </w:p>
    <w:p>
      <w:pPr>
        <w:ind w:left="2360"/>
        <w:spacing w:after="0"/>
        <w:rPr>
          <w:sz w:val="20"/>
          <w:szCs w:val="20"/>
          <w:color w:val="auto"/>
        </w:rPr>
      </w:pPr>
      <w:r>
        <w:rPr>
          <w:rFonts w:ascii="Arial" w:cs="Arial" w:eastAsia="Arial" w:hAnsi="Arial"/>
          <w:sz w:val="15"/>
          <w:szCs w:val="15"/>
          <w:b w:val="1"/>
          <w:bCs w:val="1"/>
          <w:color w:val="auto"/>
        </w:rPr>
        <w:t>Pennsylvania</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27-0000798</w:t>
      </w:r>
    </w:p>
    <w:p>
      <w:pPr>
        <w:spacing w:after="0" w:line="56" w:lineRule="exact"/>
        <w:rPr>
          <w:sz w:val="24"/>
          <w:szCs w:val="24"/>
          <w:color w:val="auto"/>
        </w:rPr>
      </w:pPr>
    </w:p>
    <w:p>
      <w:pPr>
        <w:sectPr>
          <w:pgSz w:w="11900" w:h="16838" w:orient="portrait"/>
          <w:cols w:equalWidth="0" w:num="2">
            <w:col w:w="7540" w:space="720"/>
            <w:col w:w="3160"/>
          </w:cols>
          <w:pgMar w:left="240" w:top="233" w:right="239" w:bottom="1440" w:gutter="0" w:footer="0" w:header="0"/>
          <w:type w:val="continuous"/>
        </w:sect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2" w:lineRule="exact"/>
        <w:rPr>
          <w:sz w:val="24"/>
          <w:szCs w:val="24"/>
          <w:color w:val="auto"/>
        </w:rPr>
      </w:pPr>
    </w:p>
    <w:p>
      <w:pPr>
        <w:sectPr>
          <w:pgSz w:w="11900" w:h="16838" w:orient="portrait"/>
          <w:cols w:equalWidth="0" w:num="2">
            <w:col w:w="7440" w:space="720"/>
            <w:col w:w="3260"/>
          </w:cols>
          <w:pgMar w:left="240" w:top="233"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One Comcast Center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Philadelphia, PA 19103-2838</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286-1700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119380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COMCAST-NBCU</w:t>
      </w:r>
      <w:r>
        <w:rPr>
          <w:rFonts w:ascii="Arial" w:cs="Arial" w:eastAsia="Arial" w:hAnsi="Arial"/>
          <w:sz w:val="14"/>
          <w:szCs w:val="14"/>
          <w:b w:val="1"/>
          <w:bCs w:val="1"/>
          <w:color w:val="auto"/>
        </w:rPr>
        <w:t>NIVERSAL</w:t>
      </w:r>
      <w:r>
        <w:rPr>
          <w:rFonts w:ascii="Arial" w:cs="Arial" w:eastAsia="Arial" w:hAnsi="Arial"/>
          <w:sz w:val="18"/>
          <w:szCs w:val="18"/>
          <w:b w:val="1"/>
          <w:bCs w:val="1"/>
          <w:color w:val="auto"/>
        </w:rPr>
        <w:t xml:space="preserve"> 2011 EMPLOYEE STOCK PURCHASE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Arthur R. Block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Comcast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Philadelphia, PA 19103-2838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286-1700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680" w:type="dxa"/>
            <w:vAlign w:val="bottom"/>
            <w:gridSpan w:val="2"/>
          </w:tcPr>
          <w:p>
            <w:pPr>
              <w:spacing w:after="0"/>
              <w:rPr>
                <w:sz w:val="20"/>
                <w:szCs w:val="20"/>
                <w:color w:val="auto"/>
              </w:rPr>
            </w:pPr>
            <w:r>
              <w:rPr>
                <w:rFonts w:ascii="Arial" w:cs="Arial" w:eastAsia="Arial" w:hAnsi="Arial"/>
                <w:sz w:val="18"/>
                <w:szCs w:val="18"/>
                <w:color w:val="auto"/>
                <w:w w:val="93"/>
              </w:rPr>
              <w:t>Large accelerated filer</w:t>
            </w:r>
          </w:p>
        </w:tc>
        <w:tc>
          <w:tcPr>
            <w:tcW w:w="21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40" w:type="dxa"/>
            <w:vAlign w:val="bottom"/>
            <w:gridSpan w:val="2"/>
          </w:tcPr>
          <w:p>
            <w:pPr>
              <w:ind w:left="600"/>
              <w:spacing w:after="0"/>
              <w:rPr>
                <w:sz w:val="20"/>
                <w:szCs w:val="20"/>
                <w:color w:val="auto"/>
              </w:rPr>
            </w:pPr>
            <w:r>
              <w:rPr>
                <w:rFonts w:ascii="Arial" w:cs="Arial" w:eastAsia="Arial" w:hAnsi="Arial"/>
                <w:sz w:val="18"/>
                <w:szCs w:val="18"/>
                <w:color w:val="auto"/>
                <w:w w:val="94"/>
              </w:rPr>
              <w:t>Accelerated filer</w:t>
            </w:r>
          </w:p>
        </w:tc>
        <w:tc>
          <w:tcPr>
            <w:tcW w:w="1120" w:type="dxa"/>
            <w:vAlign w:val="bottom"/>
          </w:tcPr>
          <w:p>
            <w:pPr>
              <w:spacing w:after="0"/>
              <w:rPr>
                <w:sz w:val="23"/>
                <w:szCs w:val="23"/>
                <w:color w:val="auto"/>
              </w:rPr>
            </w:pP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680" w:type="dxa"/>
            <w:vAlign w:val="bottom"/>
            <w:gridSpan w:val="2"/>
          </w:tcPr>
          <w:p>
            <w:pPr>
              <w:spacing w:after="0"/>
              <w:rPr>
                <w:sz w:val="20"/>
                <w:szCs w:val="20"/>
                <w:color w:val="auto"/>
              </w:rPr>
            </w:pPr>
            <w:r>
              <w:rPr>
                <w:rFonts w:ascii="Arial" w:cs="Arial" w:eastAsia="Arial" w:hAnsi="Arial"/>
                <w:sz w:val="18"/>
                <w:szCs w:val="18"/>
                <w:color w:val="auto"/>
                <w:w w:val="99"/>
              </w:rPr>
              <w:t>Non-accelerated filer</w:t>
            </w:r>
          </w:p>
        </w:tc>
        <w:tc>
          <w:tcPr>
            <w:tcW w:w="21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96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44"/>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460" w:type="dxa"/>
            <w:vAlign w:val="bottom"/>
            <w:gridSpan w:val="5"/>
          </w:tcPr>
          <w:p>
            <w:pPr>
              <w:ind w:left="22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70"/>
        </w:trPr>
        <w:tc>
          <w:tcPr>
            <w:tcW w:w="20" w:type="dxa"/>
            <w:vAlign w:val="bottom"/>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Borders>
              <w:right w:val="single" w:sz="8" w:color="auto"/>
            </w:tcBorders>
          </w:tcPr>
          <w:p>
            <w:pPr>
              <w:jc w:val="center"/>
              <w:ind w:right="70"/>
              <w:spacing w:after="0" w:line="117"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tcPr>
          <w:p>
            <w:pPr>
              <w:jc w:val="center"/>
              <w:ind w:left="25"/>
              <w:spacing w:after="0" w:line="117" w:lineRule="exact"/>
              <w:rPr>
                <w:sz w:val="20"/>
                <w:szCs w:val="20"/>
                <w:color w:val="auto"/>
              </w:rPr>
            </w:pPr>
            <w:r>
              <w:rPr>
                <w:rFonts w:ascii="Arial" w:cs="Arial" w:eastAsia="Arial" w:hAnsi="Arial"/>
                <w:sz w:val="12"/>
                <w:szCs w:val="12"/>
                <w:b w:val="1"/>
                <w:bCs w:val="1"/>
                <w:color w:val="auto"/>
                <w:w w:val="97"/>
              </w:rPr>
              <w:t>Proposed</w:t>
            </w: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70"/>
              <w:spacing w:after="0" w:line="149" w:lineRule="exact"/>
              <w:rPr>
                <w:sz w:val="20"/>
                <w:szCs w:val="20"/>
                <w:color w:val="auto"/>
              </w:rPr>
            </w:pPr>
            <w:r>
              <w:rPr>
                <w:rFonts w:ascii="Arial" w:cs="Arial" w:eastAsia="Arial" w:hAnsi="Arial"/>
                <w:sz w:val="14"/>
                <w:szCs w:val="14"/>
                <w:b w:val="1"/>
                <w:bCs w:val="1"/>
                <w:color w:val="auto"/>
                <w:w w:val="88"/>
              </w:rPr>
              <w:t>maximum</w:t>
            </w:r>
          </w:p>
        </w:tc>
        <w:tc>
          <w:tcPr>
            <w:tcW w:w="1600" w:type="dxa"/>
            <w:vAlign w:val="bottom"/>
            <w:tcBorders>
              <w:right w:val="single" w:sz="8" w:color="auto"/>
            </w:tcBorders>
          </w:tcPr>
          <w:p>
            <w:pPr>
              <w:jc w:val="center"/>
              <w:ind w:left="25"/>
              <w:spacing w:after="0" w:line="149" w:lineRule="exact"/>
              <w:rPr>
                <w:sz w:val="20"/>
                <w:szCs w:val="20"/>
                <w:color w:val="auto"/>
              </w:rPr>
            </w:pPr>
            <w:r>
              <w:rPr>
                <w:rFonts w:ascii="Arial" w:cs="Arial" w:eastAsia="Arial" w:hAnsi="Arial"/>
                <w:sz w:val="14"/>
                <w:szCs w:val="14"/>
                <w:b w:val="1"/>
                <w:bCs w:val="1"/>
                <w:color w:val="auto"/>
                <w:w w:val="88"/>
              </w:rPr>
              <w:t>maximum</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20" w:type="dxa"/>
            <w:vAlign w:val="bottom"/>
          </w:tcPr>
          <w:p>
            <w:pPr>
              <w:jc w:val="center"/>
              <w:ind w:right="362"/>
              <w:spacing w:after="0" w:line="149" w:lineRule="exact"/>
              <w:rPr>
                <w:sz w:val="20"/>
                <w:szCs w:val="20"/>
                <w:color w:val="auto"/>
              </w:rPr>
            </w:pPr>
            <w:r>
              <w:rPr>
                <w:rFonts w:ascii="Arial" w:cs="Arial" w:eastAsia="Arial" w:hAnsi="Arial"/>
                <w:sz w:val="14"/>
                <w:szCs w:val="14"/>
                <w:b w:val="1"/>
                <w:bCs w:val="1"/>
                <w:color w:val="auto"/>
                <w:w w:val="87"/>
              </w:rPr>
              <w:t>Title of</w:t>
            </w:r>
          </w:p>
        </w:tc>
        <w:tc>
          <w:tcPr>
            <w:tcW w:w="7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83"/>
              </w:rPr>
              <w:t>to be</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70"/>
              <w:spacing w:after="0" w:line="149" w:lineRule="exact"/>
              <w:rPr>
                <w:sz w:val="20"/>
                <w:szCs w:val="20"/>
                <w:color w:val="auto"/>
              </w:rPr>
            </w:pPr>
            <w:r>
              <w:rPr>
                <w:rFonts w:ascii="Arial" w:cs="Arial" w:eastAsia="Arial" w:hAnsi="Arial"/>
                <w:sz w:val="14"/>
                <w:szCs w:val="14"/>
                <w:b w:val="1"/>
                <w:bCs w:val="1"/>
                <w:color w:val="auto"/>
                <w:w w:val="87"/>
              </w:rPr>
              <w:t>offering price</w:t>
            </w:r>
          </w:p>
        </w:tc>
        <w:tc>
          <w:tcPr>
            <w:tcW w:w="160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83"/>
              </w:rPr>
              <w:t>aggregate</w:t>
            </w:r>
          </w:p>
        </w:tc>
        <w:tc>
          <w:tcPr>
            <w:tcW w:w="2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20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center"/>
              <w:ind w:right="362"/>
              <w:spacing w:after="0"/>
              <w:rPr>
                <w:sz w:val="20"/>
                <w:szCs w:val="20"/>
                <w:color w:val="auto"/>
              </w:rPr>
            </w:pPr>
            <w:r>
              <w:rPr>
                <w:rFonts w:ascii="Arial" w:cs="Arial" w:eastAsia="Arial" w:hAnsi="Arial"/>
                <w:sz w:val="14"/>
                <w:szCs w:val="14"/>
                <w:b w:val="1"/>
                <w:bCs w:val="1"/>
                <w:color w:val="auto"/>
                <w:w w:val="84"/>
              </w:rPr>
              <w:t>securities to be registered</w:t>
            </w:r>
          </w:p>
        </w:tc>
        <w:tc>
          <w:tcPr>
            <w:tcW w:w="72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86"/>
              </w:rPr>
              <w:t>registered(1)(2)</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4"/>
                <w:szCs w:val="14"/>
                <w:b w:val="1"/>
                <w:bCs w:val="1"/>
                <w:color w:val="auto"/>
                <w:w w:val="87"/>
              </w:rPr>
              <w:t>per share(3)</w:t>
            </w:r>
          </w:p>
        </w:tc>
        <w:tc>
          <w:tcPr>
            <w:tcW w:w="1600" w:type="dxa"/>
            <w:vAlign w:val="bottom"/>
            <w:tcBorders>
              <w:bottom w:val="single" w:sz="8" w:color="auto"/>
              <w:right w:val="single" w:sz="8" w:color="auto"/>
            </w:tcBorders>
          </w:tcPr>
          <w:p>
            <w:pPr>
              <w:jc w:val="center"/>
              <w:ind w:left="25"/>
              <w:spacing w:after="0"/>
              <w:rPr>
                <w:sz w:val="20"/>
                <w:szCs w:val="20"/>
                <w:color w:val="auto"/>
              </w:rPr>
            </w:pPr>
            <w:r>
              <w:rPr>
                <w:rFonts w:ascii="Arial" w:cs="Arial" w:eastAsia="Arial" w:hAnsi="Arial"/>
                <w:sz w:val="14"/>
                <w:szCs w:val="14"/>
                <w:b w:val="1"/>
                <w:bCs w:val="1"/>
                <w:color w:val="auto"/>
                <w:w w:val="88"/>
              </w:rPr>
              <w:t>offering price(3)</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registration fee(3)</w:t>
            </w:r>
          </w:p>
        </w:tc>
        <w:tc>
          <w:tcPr>
            <w:tcW w:w="200" w:type="dxa"/>
            <w:vAlign w:val="bottom"/>
            <w:tcBorders>
              <w:bottom w:val="single" w:sz="8" w:color="auto"/>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Class A Common Stock, par value $0.01 per share</w:t>
            </w:r>
          </w:p>
        </w:tc>
        <w:tc>
          <w:tcPr>
            <w:tcW w:w="1260" w:type="dxa"/>
            <w:vAlign w:val="bottom"/>
            <w:tcBorders>
              <w:bottom w:val="single" w:sz="8" w:color="auto"/>
              <w:right w:val="single" w:sz="8" w:color="auto"/>
            </w:tcBorders>
            <w:gridSpan w:val="2"/>
          </w:tcPr>
          <w:p>
            <w:pPr>
              <w:spacing w:after="0"/>
              <w:rPr>
                <w:sz w:val="18"/>
                <w:szCs w:val="18"/>
                <w:color w:val="auto"/>
              </w:rPr>
            </w:pPr>
          </w:p>
        </w:tc>
        <w:tc>
          <w:tcPr>
            <w:tcW w:w="1600" w:type="dxa"/>
            <w:vAlign w:val="bottom"/>
            <w:tcBorders>
              <w:bottom w:val="single" w:sz="8" w:color="auto"/>
              <w:right w:val="single" w:sz="8" w:color="auto"/>
            </w:tcBorders>
          </w:tcPr>
          <w:p>
            <w:pPr>
              <w:jc w:val="right"/>
              <w:ind w:right="347"/>
              <w:spacing w:after="0"/>
              <w:rPr>
                <w:sz w:val="20"/>
                <w:szCs w:val="20"/>
                <w:color w:val="auto"/>
              </w:rPr>
            </w:pPr>
            <w:r>
              <w:rPr>
                <w:rFonts w:ascii="Arial" w:cs="Arial" w:eastAsia="Arial" w:hAnsi="Arial"/>
                <w:sz w:val="18"/>
                <w:szCs w:val="18"/>
                <w:color w:val="auto"/>
              </w:rPr>
              <w:t>2,600,000</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87"/>
              </w:rPr>
              <w:t>$24.79</w:t>
            </w:r>
          </w:p>
        </w:tc>
        <w:tc>
          <w:tcPr>
            <w:tcW w:w="160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8"/>
                <w:szCs w:val="18"/>
                <w:color w:val="auto"/>
                <w:w w:val="87"/>
              </w:rPr>
              <w:t>$64,454,000</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$7,484</w:t>
            </w:r>
          </w:p>
        </w:tc>
        <w:tc>
          <w:tcPr>
            <w:tcW w:w="20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460" w:right="140" w:hanging="452"/>
        <w:spacing w:after="0" w:line="28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registration statement (the “Registration Statement”) registers shares of Class A Common Stock (the “Common Stock”) of Comcast Corporation (the “Registrant”), par value $0.01, which are issuable pursuant to the Comcast-NBCUniversal 2011 Employee Stock Purchase Plan (the “Plan”).</w:t>
      </w:r>
    </w:p>
    <w:p>
      <w:pPr>
        <w:ind w:left="460" w:right="26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there shall also be deemed covered hereby such additional shares as may result from anti-dilution adjustments under the Plans and which may hereinafter be offered or issued to prevent dilution resulting from stock splits, stock dividends, recapitalizations or certain other capital adjustments.</w:t>
      </w:r>
    </w:p>
    <w:p>
      <w:pPr>
        <w:spacing w:after="0" w:line="1"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pursuant to paragraphs (c) and (h) of Rule 457 of the Securities Act of 1933, as amended (the “Securities Act”), solely for the purpose of calculating the registration fee on the basis of the high and low sales prices of shares of Class A Common Stock on the Nasdaq National Market on May 17,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96"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The document(s) containing the information specified in Part I of Form S-8 will be sent or given to participants in the Plan as specified by Rule 428(b)(1) of the Securities Act. Such documents are not being filed with the Securities and Exchange Commission (the “Commission”), but constitute, along with the documents incorporated by reference to this Registration Statement, a prospectus that meets the requirements of Section 10(a) of the Securities Act.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96"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The Registrant will furnish, without charge, to each person to whom the prospectus is delivered, upon the written or oral request of such person, a copy of any and all of the documents incorporated by reference, other than exhibits to such documents (unless such documents are specifically incorporated by reference to the information that is incorporated). Requests should be directed to: Comcast Corporation, One Comcast Center, Philadelphia, Pennsylvania 19103-2838; telephone (215) 286-1700.</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documents, which have been filed by the Registrant with the Commission, are incorporated by reference into this Registration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Statement:</w:t>
      </w:r>
    </w:p>
    <w:p>
      <w:pPr>
        <w:spacing w:after="0" w:line="84"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Annual Report on Form 10-K for the fiscal year ended December 31, 2010 filed with the Commission on February 25, 2011.</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Quarterly Report on Form 10-Q for the quarter ended March 31, 2011 filed with the Commission on May 5, 2011.</w:t>
      </w:r>
    </w:p>
    <w:p>
      <w:pPr>
        <w:spacing w:after="0" w:line="90" w:lineRule="exact"/>
        <w:rPr>
          <w:rFonts w:ascii="Arial" w:cs="Arial" w:eastAsia="Arial" w:hAnsi="Arial"/>
          <w:sz w:val="18"/>
          <w:szCs w:val="18"/>
          <w:color w:val="auto"/>
        </w:rPr>
      </w:pPr>
    </w:p>
    <w:p>
      <w:pPr>
        <w:ind w:left="900" w:right="80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Reports on Form 8-K filed with the Commission on January 3, 2011; January 31, 2011, as amended on April 15, 2011; February 25, 2011; and May 16, 2011.</w:t>
      </w:r>
    </w:p>
    <w:p>
      <w:pPr>
        <w:spacing w:after="0" w:line="50" w:lineRule="exact"/>
        <w:rPr>
          <w:rFonts w:ascii="Arial" w:cs="Arial" w:eastAsia="Arial" w:hAnsi="Arial"/>
          <w:sz w:val="18"/>
          <w:szCs w:val="18"/>
          <w:color w:val="auto"/>
        </w:rPr>
      </w:pPr>
    </w:p>
    <w:p>
      <w:pPr>
        <w:jc w:val="both"/>
        <w:ind w:left="900" w:right="32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Common Stock contained in the Registration Statement on Form S-4 (File No. 333-82460), filed with the Commission on February 11, 2002, including any amendments or reports filed for the purpose of updating such description in which there is described the terms, rights and provisions applicable to the Registrant’s Common Stock.</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Registrant is not incorporating by reference any Form 8-Ks through which it furnished, rather than filed, information with the Commission.</w:t>
      </w:r>
    </w:p>
    <w:p>
      <w:pPr>
        <w:sectPr>
          <w:pgSz w:w="11900" w:h="16838" w:orient="portrait"/>
          <w:cols w:equalWidth="0" w:num="1">
            <w:col w:w="11380"/>
          </w:cols>
          <w:pgMar w:left="240" w:top="274" w:right="279" w:bottom="1440" w:gutter="0" w:footer="0" w:header="0"/>
        </w:sectPr>
      </w:pPr>
    </w:p>
    <w:bookmarkStart w:id="2" w:name="page3"/>
    <w:bookmarkEnd w:id="2"/>
    <w:p>
      <w:pPr>
        <w:ind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documents filed by the Registrant pursuant to Sections 13(a), 13(c), 14 or 15(d) of the Securities Exchange Act of 1934, as amended (the “Exchange Act”), after the date hereof and prior to the filing of a post-effective amendment that indicates that all securities offered pursuant to this Registration Statement have been sold or that deregisters all securities then remaining unsold, shall be deemed to be incorporated by reference herein and to be a part hereof from the date of filing of such documents, except for the documents, or portions thereof, that are “furnished” rather than filed with the Commission. Any statement contained in a document incorporated or deemed to be incorporated herein by reference shall be deemed to be modified or superseded for purposes of this Registration Statement to the extent that a statement contained herein or in any other subsequently filed document that also is or is deemed to be incorporated by reference herein modifies or supersedes such statement.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96" w:lineRule="exact"/>
        <w:rPr>
          <w:sz w:val="20"/>
          <w:szCs w:val="20"/>
          <w:color w:val="auto"/>
        </w:rPr>
      </w:pPr>
    </w:p>
    <w:p>
      <w:pPr>
        <w:ind w:right="200" w:firstLine="913"/>
        <w:spacing w:after="0" w:line="332" w:lineRule="auto"/>
        <w:rPr>
          <w:sz w:val="20"/>
          <w:szCs w:val="20"/>
          <w:color w:val="auto"/>
        </w:rPr>
      </w:pPr>
      <w:r>
        <w:rPr>
          <w:rFonts w:ascii="Arial" w:cs="Arial" w:eastAsia="Arial" w:hAnsi="Arial"/>
          <w:sz w:val="16"/>
          <w:szCs w:val="16"/>
          <w:color w:val="auto"/>
        </w:rPr>
        <w:t>Sections 1741 through 1750 of Subchapter D, Chapter 17, of the Pennsylvania Business Corporation Law of 1988 (the “BCL”) contain provisions for mandatory and discretionary indemnification of a corporation’s directors, officers and other personnel, and related matters.</w:t>
      </w:r>
    </w:p>
    <w:p>
      <w:pPr>
        <w:spacing w:after="0" w:line="85"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Under Section 1741,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to which any of them is a party by reason of his being a director, officer, employee or agent of the corporation or serving at the request of the corporation as a director, officer, employee or agent of another corporation, partnership, joint venture, trust or other enterprise if he acted in good faith and in a manner he reasonably believed to be in, or not opposed to, the best interests of the corporation and, with respect to any criminal proceeding, has no reasonable cause to believe his conduct was unlawful. Under Section 1743, indemnification against expenses actually and reasonably incurred, is mandatory to the extent that the director, officer, employee or agent has been successful on the merits or otherwise in defense of any action or proceeding relating to third-party or derivative and corporate actions or in defense of any claim, issue or matter therein.</w:t>
      </w:r>
    </w:p>
    <w:p>
      <w:pPr>
        <w:spacing w:after="0" w:line="118" w:lineRule="exact"/>
        <w:rPr>
          <w:sz w:val="20"/>
          <w:szCs w:val="20"/>
          <w:color w:val="auto"/>
        </w:rPr>
      </w:pPr>
    </w:p>
    <w:p>
      <w:pPr>
        <w:jc w:val="both"/>
        <w:ind w:right="140" w:firstLine="913"/>
        <w:spacing w:after="0" w:line="335" w:lineRule="auto"/>
        <w:rPr>
          <w:sz w:val="20"/>
          <w:szCs w:val="20"/>
          <w:color w:val="auto"/>
        </w:rPr>
      </w:pPr>
      <w:r>
        <w:rPr>
          <w:rFonts w:ascii="Arial" w:cs="Arial" w:eastAsia="Arial" w:hAnsi="Arial"/>
          <w:sz w:val="15"/>
          <w:szCs w:val="15"/>
          <w:color w:val="auto"/>
        </w:rPr>
        <w:t>Section 1742 provides for indemnification in derivative and corporate actions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88" w:lineRule="exact"/>
        <w:rPr>
          <w:sz w:val="20"/>
          <w:szCs w:val="20"/>
          <w:color w:val="auto"/>
        </w:rPr>
      </w:pPr>
    </w:p>
    <w:p>
      <w:pPr>
        <w:ind w:right="360" w:firstLine="913"/>
        <w:spacing w:after="0" w:line="332" w:lineRule="auto"/>
        <w:rPr>
          <w:sz w:val="20"/>
          <w:szCs w:val="20"/>
          <w:color w:val="auto"/>
        </w:rPr>
      </w:pPr>
      <w:r>
        <w:rPr>
          <w:rFonts w:ascii="Arial" w:cs="Arial" w:eastAsia="Arial" w:hAnsi="Arial"/>
          <w:sz w:val="16"/>
          <w:szCs w:val="16"/>
          <w:color w:val="auto"/>
        </w:rPr>
        <w:t>Section 1744 provides that, unless ordered by a court, any indemnification under Section 1741 or 1742 shall be made by the corporation only as authorized in the specific case upon a determination that the representative met the applicable standard of conduct set forth in those sections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3" w:name="page4"/>
    <w:bookmarkEnd w:id="3"/>
    <w:p>
      <w:pPr>
        <w:ind w:right="4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such determination shall be made: (1) by the board of directors by majority vote of a quorum of directors not parties to the action or proceeding; (2) if a quorum is not obtainable and a majority of disinterested directors so directs, by independent legal counsel in a written opinion; or (3) by the shareholders.</w:t>
      </w:r>
    </w:p>
    <w:p>
      <w:pPr>
        <w:spacing w:after="0" w:line="85"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Section 1745 provides that expenses incurred by an officer, director, employee or agent in defending a civil or criminal action or proceeding may be paid by the corporation in advance of the final disposition of such action or proceeding upon receipt of an undertaking by or on behalf of such person to repay such amount if it shall ultimately be determined that he is not entitled to be indemnified by the corporation. Advancement of expenses must be authorized by the board of directors.</w:t>
      </w:r>
    </w:p>
    <w:p>
      <w:pPr>
        <w:spacing w:after="0" w:line="143"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Section 1746 provides generally that except in any case where the act or failure to act giving rise to the claim for indemnification is determined by the court to have constituted willful misconduct or recklessness, the indemnification and advancement of expenses provided by this Subchapter of the 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 Section 1746 also provides that a corporation may create a fund of any nature, which may, but need not be, under the control of a trustee, or otherwise secure or insure in any manner its indemnification obligations.</w:t>
      </w:r>
    </w:p>
    <w:p>
      <w:pPr>
        <w:spacing w:after="0" w:line="120"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Section 1747 grants a corporation the power to purchase and maintain insurance on behalf of any person who is or was a representative of the corporation or is or was serving at the request of the corporation as a representative of another corporation, partnership, joint venture, trust or other enterprise, against any liability incurred by him in any such capacity, whether or not the corporation would have the power to indemnify him against that liability under this Subchapter of the BCL.</w:t>
      </w:r>
    </w:p>
    <w:p>
      <w:pPr>
        <w:spacing w:after="0" w:line="143"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Sections 1748 and 1749 extend the indemnification and advancement of expenses provisions contained in Sections 1741 through 1750 of the BCL to constituent corporations absorbed in a consolidation, merger or division, as well as the surviving or new corporations surviving or resulting therefrom and to representatives serving as fiduciaries of employee benefit plans.</w:t>
      </w:r>
    </w:p>
    <w:p>
      <w:pPr>
        <w:spacing w:after="0" w:line="140"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Section 1750 provides that the indemnification and advancement of expenses provided by, or granted pursuant to, Sections 1741 through 1750 of the BCL shall, unless otherwise provided when authorized or ratified, continue as to a person who has ceased to be a representative of the corporation and shall inure to the benefit of the heirs and personal representatives of such person.</w:t>
      </w:r>
    </w:p>
    <w:p>
      <w:pPr>
        <w:spacing w:after="0" w:line="140"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Section 7.01 of the Registrant’s By-laws provides that the Registrant will indemnify any director or officer of the Registrant (including those who have ceased serving in any such capacity) to the fullest extent permitted by Pennsylvania law against all expense, liability and loss reasonably incurred or suffered by such person in connection with any threatened pending or completed action, suit, claim, counterclaim, cross claim, arbitration, alternate dispute resolution mechanism, investigation, inquiry, administrative hearing or any other threatened, actual or completed proceeding (a “Proceeding”) arising out of or related to such person’s service at any time as a director or officer of the Registrant or in any capacity at the request or for the benefit of the Registrant or in any other capacity for another corporation or other enterprise. No indemnification pursuant to Section 7.01 may be made, however, in any case where the act or failure to act giving rise to the claim for indemnification is determined by a court to have constituted willful misconduct or recklessness.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4" w:name="page5"/>
    <w:bookmarkEnd w:id="4"/>
    <w:p>
      <w:pPr>
        <w:ind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7.01 further provides that the right to indemnification includes the right to have the expenses incurred by the indemnified person in defending any Proceeding paid by the Registrant in advance of the final disposition of the Proceeding to the fullest extent permitted by Pennsylvania law. In addition, Section 7.01 provides that, to the extent that an indemnified person has been successful on the merits or otherwise in defense of any Proceeding or in defense of any claim, issue or matter therein, the Registrant shall indemnify such person against expenses actually and reasonably incurred by such person in connection therewith. Section 7.01 also provides that the Registrant may purchase and maintain insurance for the benefit of any person on behalf of whom insurance is permitted to be purchased by Pennsylvania law against any expense, liability or loss whether or not the Registrant would have the power to indemnify such person under Pennsylvania or other law. The Registrant may also purchase and maintain insurance to insure its indemnification obligations, whether arising under the By-laws or otherwise. Furthermore, Section 7.01 states that the Registrant may create a fund of any nature or otherwise may secure in any manner its indemnification obligations, whether arising under the By-laws or otherwise. Indemnification pursuant to Section 7.01 shall continue as to an indemnified person who has ceased to be a director or officer and shall inure to the benefit of his heirs, executors and administrators. The rights to indemnification and to the advancement of expenses provided in or pursuant to Article 7 of the By-laws are not exclusive of any other rights that any person may have or acquire under any provision of the By-Laws or otherwise.</w:t>
      </w:r>
    </w:p>
    <w:p>
      <w:pPr>
        <w:spacing w:after="0" w:line="124" w:lineRule="exact"/>
        <w:rPr>
          <w:sz w:val="20"/>
          <w:szCs w:val="20"/>
          <w:color w:val="auto"/>
        </w:rPr>
      </w:pPr>
    </w:p>
    <w:p>
      <w:pPr>
        <w:ind w:right="100" w:firstLine="913"/>
        <w:spacing w:after="0" w:line="290" w:lineRule="auto"/>
        <w:rPr>
          <w:sz w:val="20"/>
          <w:szCs w:val="20"/>
          <w:color w:val="auto"/>
        </w:rPr>
      </w:pPr>
      <w:r>
        <w:rPr>
          <w:rFonts w:ascii="Arial" w:cs="Arial" w:eastAsia="Arial" w:hAnsi="Arial"/>
          <w:sz w:val="16"/>
          <w:szCs w:val="16"/>
          <w:color w:val="auto"/>
        </w:rPr>
        <w:t>Section 7.02 of the Registrant’s By-laws states that the provisions of the By-laws relating to indemnification constitute a contract between the Registrant and each of its directors and officers which may be modified as to any director and officer only with that person’s consent or as provided in Section 7.02. Furthermore, any repeal or amendment of the indemnification provisions of the By-laws adverse to any director or officer will apply only on a prospective basis. In addition, no repeal or amendment of the By-laws may affect the indemnification provisions of the By-laws so as either to reduce the limitation of directors’ liability or limit indemnification or the advancement of expenses in any manner unless adopted by (a) the unanimous vote of the directors of the Registrant then serving or (b) the affirmative vote of shareholders entitled to cast at least 80% of the votes that all shareholders are entitled to cast in the election of directors, provided that no such amendment will have a retroactive effect inconsistent with the preceding sentence.</w:t>
      </w:r>
    </w:p>
    <w:p>
      <w:pPr>
        <w:spacing w:after="0" w:line="118"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The Registrant has entered into indemnification agreements with each of its directors pursuant to which the Registrant has agreed to indemnify each director and hold him or her harmless from and against any and all expenses and liabilities reasonably incurred by such director by reason of his or her service as a director of the Registrant, or service in any other capacity of any other corporation or enterprise at the request or for the benefit of the Registrant, to the fullest extent permitted by applicable law. Pursuant to such indemnification agreements, the Registrant also has agreed to pay or reimburse any expenses reasonably incurred by any such director by reason of his or her service as a director of the Registrant, or service in any other capacity of any other corporation or enterprise at the request or for the benefit of the Registrant; provided that the Registrant’s obligation to pay or reimburse any such expenses prior to the final disposition of a Proceeding is subject to the condition that, if, when and to the extent a final, non-appealable judgment of a court of competent jurisdiction determines that such director would not be permitted to be indemnified by law, then the Registrant shall be entitled to be reimbursed promptly by such director for all such amounts theretofore paid. The Registrant is not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5" w:name="page6"/>
    <w:bookmarkEnd w:id="5"/>
    <w:p>
      <w:pPr>
        <w:ind w:right="2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obligated under such indemnification agreements to indemnify a director or pay or reimburse any expenses (i) in connection with any claims arising under applicable laws concerning insider trading or claims for an accounting of profits from the purchase or sale of the Registrant’s securities by such director within the meaning of Section 16(b) of the Securities Exchange Act of 1934, as amended, unless such director is ultimately successful with respect to such claim (it being understood that the Registrant’s obligations pursuant to the foregoing sentence shall remain in full force and effect with respect to such claims); or (ii) in connection with any action, suit or proceeding initiated by such director (other than to establish or enforce such director’s rights under the indemnification agreement) against the Registrant or its directors, officers, employees or other indemnitees, unless the Board of Directors authorized such action, suit or proceeding before its initiation.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96"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Pepper Hamilton LLP.</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KPMG LLP.</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Pepper Hamilton LLP (contained in Exhibit 5.1).</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(contained in the signature pages hereto).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undersigned Registrant hereby undertakes:</w:t>
      </w:r>
    </w:p>
    <w:p>
      <w:pPr>
        <w:spacing w:after="0" w:line="171" w:lineRule="exact"/>
        <w:rPr>
          <w:sz w:val="20"/>
          <w:szCs w:val="20"/>
          <w:color w:val="auto"/>
        </w:rPr>
      </w:pPr>
    </w:p>
    <w:p>
      <w:pPr>
        <w:ind w:left="1160" w:hanging="239"/>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ind w:left="1480" w:hanging="567"/>
        <w:spacing w:after="0" w:line="290" w:lineRule="auto"/>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37" w:lineRule="exact"/>
        <w:rPr>
          <w:rFonts w:ascii="Arial" w:cs="Arial" w:eastAsia="Arial" w:hAnsi="Arial"/>
          <w:sz w:val="16"/>
          <w:szCs w:val="16"/>
          <w:color w:val="auto"/>
        </w:rPr>
      </w:pPr>
    </w:p>
    <w:p>
      <w:pPr>
        <w:ind w:left="1480" w:right="340" w:hanging="567"/>
        <w:spacing w:after="0" w:line="268"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6" w:name="page7"/>
    <w:bookmarkEnd w:id="6"/>
    <w:p>
      <w:pPr>
        <w:ind w:right="4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 however, that paragraphs (a)(1)(i) and (a)(1)(ii)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140" w:lineRule="exact"/>
        <w:rPr>
          <w:sz w:val="20"/>
          <w:szCs w:val="20"/>
          <w:color w:val="auto"/>
        </w:rPr>
      </w:pPr>
    </w:p>
    <w:p>
      <w:pPr>
        <w:ind w:right="140" w:firstLine="921"/>
        <w:spacing w:after="0" w:line="259" w:lineRule="auto"/>
        <w:tabs>
          <w:tab w:leader="none" w:pos="1162"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remove from registration by means of a post-effective amendment any of the securities being registered that remain unsold at the termination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offering.</w:t>
      </w:r>
    </w:p>
    <w:p>
      <w:pPr>
        <w:spacing w:after="0" w:line="165" w:lineRule="exact"/>
        <w:rPr>
          <w:sz w:val="20"/>
          <w:szCs w:val="20"/>
          <w:color w:val="auto"/>
        </w:rPr>
      </w:pPr>
    </w:p>
    <w:p>
      <w:pPr>
        <w:jc w:val="both"/>
        <w:ind w:right="120" w:firstLine="921"/>
        <w:spacing w:after="0" w:line="256" w:lineRule="auto"/>
        <w:tabs>
          <w:tab w:leader="none" w:pos="1162"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43" w:lineRule="exact"/>
        <w:rPr>
          <w:rFonts w:ascii="Arial" w:cs="Arial" w:eastAsia="Arial" w:hAnsi="Arial"/>
          <w:sz w:val="18"/>
          <w:szCs w:val="18"/>
          <w:color w:val="auto"/>
        </w:rPr>
      </w:pPr>
    </w:p>
    <w:p>
      <w:pPr>
        <w:ind w:firstLine="921"/>
        <w:spacing w:after="0" w:line="290" w:lineRule="auto"/>
        <w:tabs>
          <w:tab w:leader="none" w:pos="1152"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Philadelphia, Commonwealth of Pennsylvania, on May 23, 2011.</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Arthur R. Block, Senior Vice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General Counsel and Secretary</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each of Brian L. Roberts, Michael J. Angelakis, David L. Cohen, Arthur R. Block and Lawrence J. Salva and each of them, his true and lawful attorneys-in-fact and agents, with full power of substitution and resubstitution, for him and in his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either of them, or their substitute or substitutes, may lawfully do or cause to be done by virtue hereof.</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40" w:type="dxa"/>
            <w:vAlign w:val="bottom"/>
          </w:tcPr>
          <w:p>
            <w:pPr>
              <w:ind w:left="1840"/>
              <w:spacing w:after="0"/>
              <w:rPr>
                <w:sz w:val="20"/>
                <w:szCs w:val="20"/>
                <w:color w:val="auto"/>
              </w:rPr>
            </w:pPr>
            <w:r>
              <w:rPr>
                <w:rFonts w:ascii="Arial" w:cs="Arial" w:eastAsia="Arial" w:hAnsi="Arial"/>
                <w:sz w:val="14"/>
                <w:szCs w:val="14"/>
                <w:b w:val="1"/>
                <w:bCs w:val="1"/>
                <w:color w:val="auto"/>
              </w:rPr>
              <w:t>Signature</w:t>
            </w:r>
          </w:p>
        </w:tc>
        <w:tc>
          <w:tcPr>
            <w:tcW w:w="4860" w:type="dxa"/>
            <w:vAlign w:val="bottom"/>
          </w:tcPr>
          <w:p>
            <w:pPr>
              <w:jc w:val="center"/>
              <w:ind w:left="535"/>
              <w:spacing w:after="0"/>
              <w:rPr>
                <w:sz w:val="20"/>
                <w:szCs w:val="20"/>
                <w:color w:val="auto"/>
              </w:rPr>
            </w:pPr>
            <w:r>
              <w:rPr>
                <w:rFonts w:ascii="Arial" w:cs="Arial" w:eastAsia="Arial" w:hAnsi="Arial"/>
                <w:sz w:val="14"/>
                <w:szCs w:val="14"/>
                <w:b w:val="1"/>
                <w:bCs w:val="1"/>
                <w:color w:val="auto"/>
                <w:w w:val="97"/>
              </w:rPr>
              <w:t>Title</w:t>
            </w:r>
          </w:p>
        </w:tc>
        <w:tc>
          <w:tcPr>
            <w:tcW w:w="1600" w:type="dxa"/>
            <w:vAlign w:val="bottom"/>
          </w:tcPr>
          <w:p>
            <w:pPr>
              <w:ind w:left="1340"/>
              <w:spacing w:after="0"/>
              <w:rPr>
                <w:sz w:val="20"/>
                <w:szCs w:val="20"/>
                <w:color w:val="auto"/>
              </w:rPr>
            </w:pPr>
            <w:r>
              <w:rPr>
                <w:rFonts w:ascii="Arial" w:cs="Arial" w:eastAsia="Arial" w:hAnsi="Arial"/>
                <w:sz w:val="14"/>
                <w:szCs w:val="14"/>
                <w:b w:val="1"/>
                <w:bCs w:val="1"/>
                <w:color w:val="auto"/>
                <w:w w:val="78"/>
              </w:rPr>
              <w:t>Date</w:t>
            </w:r>
          </w:p>
        </w:tc>
      </w:tr>
      <w:tr>
        <w:trPr>
          <w:trHeight w:val="417"/>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 Roberts</w:t>
            </w:r>
          </w:p>
        </w:tc>
        <w:tc>
          <w:tcPr>
            <w:tcW w:w="4860" w:type="dxa"/>
            <w:vAlign w:val="bottom"/>
          </w:tcPr>
          <w:p>
            <w:pPr>
              <w:jc w:val="center"/>
              <w:ind w:left="515"/>
              <w:spacing w:after="0"/>
              <w:rPr>
                <w:sz w:val="20"/>
                <w:szCs w:val="20"/>
                <w:color w:val="auto"/>
              </w:rPr>
            </w:pPr>
            <w:r>
              <w:rPr>
                <w:rFonts w:ascii="Arial" w:cs="Arial" w:eastAsia="Arial" w:hAnsi="Arial"/>
                <w:sz w:val="18"/>
                <w:szCs w:val="18"/>
                <w:color w:val="auto"/>
                <w:w w:val="89"/>
              </w:rPr>
              <w:t>Chairman and CEO; Director</w:t>
            </w:r>
          </w:p>
        </w:tc>
        <w:tc>
          <w:tcPr>
            <w:tcW w:w="1600" w:type="dxa"/>
            <w:vAlign w:val="bottom"/>
          </w:tcPr>
          <w:p>
            <w:pPr>
              <w:ind w:left="620"/>
              <w:spacing w:after="0"/>
              <w:rPr>
                <w:sz w:val="20"/>
                <w:szCs w:val="20"/>
                <w:color w:val="auto"/>
              </w:rPr>
            </w:pPr>
            <w:r>
              <w:rPr>
                <w:rFonts w:ascii="Arial" w:cs="Arial" w:eastAsia="Arial" w:hAnsi="Arial"/>
                <w:sz w:val="18"/>
                <w:szCs w:val="18"/>
                <w:color w:val="auto"/>
                <w:w w:val="87"/>
              </w:rPr>
              <w:t>May 23, 2011</w:t>
            </w:r>
          </w:p>
        </w:tc>
      </w:tr>
      <w:tr>
        <w:trPr>
          <w:trHeight w:val="218"/>
        </w:trPr>
        <w:tc>
          <w:tcPr>
            <w:tcW w:w="4240" w:type="dxa"/>
            <w:vAlign w:val="bottom"/>
          </w:tcPr>
          <w:p>
            <w:pPr>
              <w:spacing w:after="0"/>
              <w:rPr>
                <w:sz w:val="20"/>
                <w:szCs w:val="20"/>
                <w:color w:val="auto"/>
              </w:rPr>
            </w:pPr>
            <w:r>
              <w:rPr>
                <w:rFonts w:ascii="Arial" w:cs="Arial" w:eastAsia="Arial" w:hAnsi="Arial"/>
                <w:sz w:val="18"/>
                <w:szCs w:val="18"/>
                <w:color w:val="auto"/>
              </w:rPr>
              <w:t>Brian L. Roberts</w:t>
            </w:r>
          </w:p>
        </w:tc>
        <w:tc>
          <w:tcPr>
            <w:tcW w:w="4860" w:type="dxa"/>
            <w:vAlign w:val="bottom"/>
          </w:tcPr>
          <w:p>
            <w:pPr>
              <w:jc w:val="center"/>
              <w:ind w:left="535"/>
              <w:spacing w:after="0" w:line="202" w:lineRule="exact"/>
              <w:rPr>
                <w:sz w:val="20"/>
                <w:szCs w:val="20"/>
                <w:color w:val="auto"/>
              </w:rPr>
            </w:pPr>
            <w:r>
              <w:rPr>
                <w:rFonts w:ascii="Arial" w:cs="Arial" w:eastAsia="Arial" w:hAnsi="Arial"/>
                <w:sz w:val="18"/>
                <w:szCs w:val="18"/>
                <w:color w:val="auto"/>
                <w:w w:val="91"/>
              </w:rPr>
              <w:t>(Principal Executive Officer)</w:t>
            </w:r>
          </w:p>
        </w:tc>
        <w:tc>
          <w:tcPr>
            <w:tcW w:w="1600" w:type="dxa"/>
            <w:vAlign w:val="bottom"/>
          </w:tcPr>
          <w:p>
            <w:pPr>
              <w:spacing w:after="0"/>
              <w:rPr>
                <w:sz w:val="18"/>
                <w:szCs w:val="18"/>
                <w:color w:val="auto"/>
              </w:rPr>
            </w:pPr>
          </w:p>
        </w:tc>
      </w:tr>
      <w:tr>
        <w:trPr>
          <w:trHeight w:val="437"/>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Ralph J. Roberts</w:t>
            </w:r>
          </w:p>
        </w:tc>
        <w:tc>
          <w:tcPr>
            <w:tcW w:w="4860" w:type="dxa"/>
            <w:vAlign w:val="bottom"/>
          </w:tcPr>
          <w:p>
            <w:pPr>
              <w:jc w:val="center"/>
              <w:ind w:left="515"/>
              <w:spacing w:after="0"/>
              <w:rPr>
                <w:sz w:val="20"/>
                <w:szCs w:val="20"/>
                <w:color w:val="auto"/>
              </w:rPr>
            </w:pPr>
            <w:r>
              <w:rPr>
                <w:rFonts w:ascii="Arial" w:cs="Arial" w:eastAsia="Arial" w:hAnsi="Arial"/>
                <w:sz w:val="18"/>
                <w:szCs w:val="18"/>
                <w:color w:val="auto"/>
                <w:w w:val="89"/>
              </w:rPr>
              <w:t>Founder; Chairman Emeritus of the Board;</w:t>
            </w:r>
          </w:p>
        </w:tc>
        <w:tc>
          <w:tcPr>
            <w:tcW w:w="1600" w:type="dxa"/>
            <w:vAlign w:val="bottom"/>
          </w:tcPr>
          <w:p>
            <w:pPr>
              <w:ind w:left="620"/>
              <w:spacing w:after="0"/>
              <w:rPr>
                <w:sz w:val="20"/>
                <w:szCs w:val="20"/>
                <w:color w:val="auto"/>
              </w:rPr>
            </w:pPr>
            <w:r>
              <w:rPr>
                <w:rFonts w:ascii="Arial" w:cs="Arial" w:eastAsia="Arial" w:hAnsi="Arial"/>
                <w:sz w:val="18"/>
                <w:szCs w:val="18"/>
                <w:color w:val="auto"/>
                <w:w w:val="87"/>
              </w:rPr>
              <w:t>May 23, 2011</w:t>
            </w:r>
          </w:p>
        </w:tc>
      </w:tr>
      <w:tr>
        <w:trPr>
          <w:trHeight w:val="218"/>
        </w:trPr>
        <w:tc>
          <w:tcPr>
            <w:tcW w:w="4240" w:type="dxa"/>
            <w:vAlign w:val="bottom"/>
          </w:tcPr>
          <w:p>
            <w:pPr>
              <w:spacing w:after="0"/>
              <w:rPr>
                <w:sz w:val="20"/>
                <w:szCs w:val="20"/>
                <w:color w:val="auto"/>
              </w:rPr>
            </w:pPr>
            <w:r>
              <w:rPr>
                <w:rFonts w:ascii="Arial" w:cs="Arial" w:eastAsia="Arial" w:hAnsi="Arial"/>
                <w:sz w:val="18"/>
                <w:szCs w:val="18"/>
                <w:color w:val="auto"/>
              </w:rPr>
              <w:t>Ralph J. Roberts</w:t>
            </w:r>
          </w:p>
        </w:tc>
        <w:tc>
          <w:tcPr>
            <w:tcW w:w="4860" w:type="dxa"/>
            <w:vAlign w:val="bottom"/>
          </w:tcPr>
          <w:p>
            <w:pPr>
              <w:jc w:val="center"/>
              <w:ind w:left="515"/>
              <w:spacing w:after="0" w:line="202" w:lineRule="exact"/>
              <w:rPr>
                <w:sz w:val="20"/>
                <w:szCs w:val="20"/>
                <w:color w:val="auto"/>
              </w:rPr>
            </w:pPr>
            <w:r>
              <w:rPr>
                <w:rFonts w:ascii="Arial" w:cs="Arial" w:eastAsia="Arial" w:hAnsi="Arial"/>
                <w:sz w:val="18"/>
                <w:szCs w:val="18"/>
                <w:color w:val="auto"/>
                <w:w w:val="91"/>
              </w:rPr>
              <w:t>Director</w:t>
            </w:r>
          </w:p>
        </w:tc>
        <w:tc>
          <w:tcPr>
            <w:tcW w:w="1600" w:type="dxa"/>
            <w:vAlign w:val="bottom"/>
          </w:tcPr>
          <w:p>
            <w:pPr>
              <w:spacing w:after="0"/>
              <w:rPr>
                <w:sz w:val="18"/>
                <w:szCs w:val="18"/>
                <w:color w:val="auto"/>
              </w:rPr>
            </w:pPr>
          </w:p>
        </w:tc>
      </w:tr>
      <w:tr>
        <w:trPr>
          <w:trHeight w:val="437"/>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Angelakis</w:t>
            </w:r>
          </w:p>
        </w:tc>
        <w:tc>
          <w:tcPr>
            <w:tcW w:w="4860" w:type="dxa"/>
            <w:vAlign w:val="bottom"/>
          </w:tcPr>
          <w:p>
            <w:pPr>
              <w:jc w:val="center"/>
              <w:ind w:left="535"/>
              <w:spacing w:after="0"/>
              <w:rPr>
                <w:sz w:val="20"/>
                <w:szCs w:val="20"/>
                <w:color w:val="auto"/>
              </w:rPr>
            </w:pPr>
            <w:r>
              <w:rPr>
                <w:rFonts w:ascii="Arial" w:cs="Arial" w:eastAsia="Arial" w:hAnsi="Arial"/>
                <w:sz w:val="18"/>
                <w:szCs w:val="18"/>
                <w:color w:val="auto"/>
                <w:w w:val="88"/>
              </w:rPr>
              <w:t>Executive Vice President</w:t>
            </w:r>
          </w:p>
        </w:tc>
        <w:tc>
          <w:tcPr>
            <w:tcW w:w="1600" w:type="dxa"/>
            <w:vAlign w:val="bottom"/>
          </w:tcPr>
          <w:p>
            <w:pPr>
              <w:ind w:left="620"/>
              <w:spacing w:after="0"/>
              <w:rPr>
                <w:sz w:val="20"/>
                <w:szCs w:val="20"/>
                <w:color w:val="auto"/>
              </w:rPr>
            </w:pPr>
            <w:r>
              <w:rPr>
                <w:rFonts w:ascii="Arial" w:cs="Arial" w:eastAsia="Arial" w:hAnsi="Arial"/>
                <w:sz w:val="18"/>
                <w:szCs w:val="18"/>
                <w:color w:val="auto"/>
                <w:w w:val="87"/>
              </w:rPr>
              <w:t>May 23, 2011</w:t>
            </w:r>
          </w:p>
        </w:tc>
      </w:tr>
      <w:tr>
        <w:trPr>
          <w:trHeight w:val="218"/>
        </w:trPr>
        <w:tc>
          <w:tcPr>
            <w:tcW w:w="4240" w:type="dxa"/>
            <w:vAlign w:val="bottom"/>
          </w:tcPr>
          <w:p>
            <w:pPr>
              <w:spacing w:after="0"/>
              <w:rPr>
                <w:sz w:val="20"/>
                <w:szCs w:val="20"/>
                <w:color w:val="auto"/>
              </w:rPr>
            </w:pPr>
            <w:r>
              <w:rPr>
                <w:rFonts w:ascii="Arial" w:cs="Arial" w:eastAsia="Arial" w:hAnsi="Arial"/>
                <w:sz w:val="18"/>
                <w:szCs w:val="18"/>
                <w:color w:val="auto"/>
              </w:rPr>
              <w:t>Michael J. Angelakis</w:t>
            </w:r>
          </w:p>
        </w:tc>
        <w:tc>
          <w:tcPr>
            <w:tcW w:w="4860" w:type="dxa"/>
            <w:vAlign w:val="bottom"/>
          </w:tcPr>
          <w:p>
            <w:pPr>
              <w:jc w:val="center"/>
              <w:ind w:left="535"/>
              <w:spacing w:after="0" w:line="202" w:lineRule="exact"/>
              <w:rPr>
                <w:sz w:val="20"/>
                <w:szCs w:val="20"/>
                <w:color w:val="auto"/>
              </w:rPr>
            </w:pPr>
            <w:r>
              <w:rPr>
                <w:rFonts w:ascii="Arial" w:cs="Arial" w:eastAsia="Arial" w:hAnsi="Arial"/>
                <w:sz w:val="18"/>
                <w:szCs w:val="18"/>
                <w:color w:val="auto"/>
                <w:w w:val="92"/>
              </w:rPr>
              <w:t>(Principal Financial Officer)</w:t>
            </w:r>
          </w:p>
        </w:tc>
        <w:tc>
          <w:tcPr>
            <w:tcW w:w="1600" w:type="dxa"/>
            <w:vAlign w:val="bottom"/>
          </w:tcPr>
          <w:p>
            <w:pPr>
              <w:spacing w:after="0"/>
              <w:rPr>
                <w:sz w:val="18"/>
                <w:szCs w:val="18"/>
                <w:color w:val="auto"/>
              </w:rPr>
            </w:pPr>
          </w:p>
        </w:tc>
      </w:tr>
    </w:tbl>
    <w:p>
      <w:pPr>
        <w:sectPr>
          <w:pgSz w:w="11900" w:h="16838" w:orient="portrait"/>
          <w:cols w:equalWidth="0" w:num="1">
            <w:col w:w="11360"/>
          </w:cols>
          <w:pgMar w:left="240" w:top="274" w:right="29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20" w:type="dxa"/>
            <w:vAlign w:val="bottom"/>
          </w:tcPr>
          <w:p>
            <w:pPr>
              <w:ind w:left="1820"/>
              <w:spacing w:after="0"/>
              <w:rPr>
                <w:sz w:val="20"/>
                <w:szCs w:val="20"/>
                <w:color w:val="auto"/>
              </w:rPr>
            </w:pPr>
            <w:r>
              <w:rPr>
                <w:rFonts w:ascii="Arial" w:cs="Arial" w:eastAsia="Arial" w:hAnsi="Arial"/>
                <w:sz w:val="14"/>
                <w:szCs w:val="14"/>
                <w:b w:val="1"/>
                <w:bCs w:val="1"/>
                <w:color w:val="auto"/>
              </w:rPr>
              <w:t>Signature</w:t>
            </w:r>
          </w:p>
        </w:tc>
        <w:tc>
          <w:tcPr>
            <w:tcW w:w="4820" w:type="dxa"/>
            <w:vAlign w:val="bottom"/>
          </w:tcPr>
          <w:p>
            <w:pPr>
              <w:jc w:val="center"/>
              <w:ind w:left="574"/>
              <w:spacing w:after="0"/>
              <w:rPr>
                <w:sz w:val="20"/>
                <w:szCs w:val="20"/>
                <w:color w:val="auto"/>
              </w:rPr>
            </w:pPr>
            <w:r>
              <w:rPr>
                <w:rFonts w:ascii="Arial" w:cs="Arial" w:eastAsia="Arial" w:hAnsi="Arial"/>
                <w:sz w:val="14"/>
                <w:szCs w:val="14"/>
                <w:b w:val="1"/>
                <w:bCs w:val="1"/>
                <w:color w:val="auto"/>
                <w:w w:val="97"/>
              </w:rPr>
              <w:t>Title</w:t>
            </w:r>
          </w:p>
        </w:tc>
        <w:tc>
          <w:tcPr>
            <w:tcW w:w="1640" w:type="dxa"/>
            <w:vAlign w:val="bottom"/>
          </w:tcPr>
          <w:p>
            <w:pPr>
              <w:ind w:left="1380"/>
              <w:spacing w:after="0"/>
              <w:rPr>
                <w:sz w:val="20"/>
                <w:szCs w:val="20"/>
                <w:color w:val="auto"/>
              </w:rPr>
            </w:pPr>
            <w:r>
              <w:rPr>
                <w:rFonts w:ascii="Arial" w:cs="Arial" w:eastAsia="Arial" w:hAnsi="Arial"/>
                <w:sz w:val="14"/>
                <w:szCs w:val="14"/>
                <w:b w:val="1"/>
                <w:bCs w:val="1"/>
                <w:color w:val="auto"/>
                <w:w w:val="78"/>
              </w:rPr>
              <w:t>Date</w:t>
            </w:r>
          </w:p>
        </w:tc>
      </w:tr>
      <w:tr>
        <w:trPr>
          <w:trHeight w:val="417"/>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Lawrence J. Salva</w:t>
            </w:r>
          </w:p>
        </w:tc>
        <w:tc>
          <w:tcPr>
            <w:tcW w:w="4820" w:type="dxa"/>
            <w:vAlign w:val="bottom"/>
          </w:tcPr>
          <w:p>
            <w:pPr>
              <w:jc w:val="center"/>
              <w:ind w:left="554"/>
              <w:spacing w:after="0"/>
              <w:rPr>
                <w:sz w:val="20"/>
                <w:szCs w:val="20"/>
                <w:color w:val="auto"/>
              </w:rPr>
            </w:pPr>
            <w:r>
              <w:rPr>
                <w:rFonts w:ascii="Arial" w:cs="Arial" w:eastAsia="Arial" w:hAnsi="Arial"/>
                <w:sz w:val="18"/>
                <w:szCs w:val="18"/>
                <w:color w:val="auto"/>
                <w:w w:val="89"/>
              </w:rPr>
              <w:t>Senior Vice President, Chief Accounting</w:t>
            </w:r>
          </w:p>
        </w:tc>
        <w:tc>
          <w:tcPr>
            <w:tcW w:w="1640" w:type="dxa"/>
            <w:vAlign w:val="bottom"/>
          </w:tcPr>
          <w:p>
            <w:pPr>
              <w:ind w:left="660"/>
              <w:spacing w:after="0"/>
              <w:rPr>
                <w:sz w:val="20"/>
                <w:szCs w:val="20"/>
                <w:color w:val="auto"/>
              </w:rPr>
            </w:pPr>
            <w:r>
              <w:rPr>
                <w:rFonts w:ascii="Arial" w:cs="Arial" w:eastAsia="Arial" w:hAnsi="Arial"/>
                <w:sz w:val="18"/>
                <w:szCs w:val="18"/>
                <w:color w:val="auto"/>
                <w:w w:val="87"/>
              </w:rPr>
              <w:t>May 23, 2011</w:t>
            </w:r>
          </w:p>
        </w:tc>
      </w:tr>
      <w:tr>
        <w:trPr>
          <w:trHeight w:val="190"/>
        </w:trPr>
        <w:tc>
          <w:tcPr>
            <w:tcW w:w="4240" w:type="dxa"/>
            <w:vAlign w:val="bottom"/>
            <w:gridSpan w:val="2"/>
          </w:tcPr>
          <w:p>
            <w:pPr>
              <w:spacing w:after="0" w:line="190" w:lineRule="exact"/>
              <w:rPr>
                <w:sz w:val="20"/>
                <w:szCs w:val="20"/>
                <w:color w:val="auto"/>
              </w:rPr>
            </w:pPr>
            <w:r>
              <w:rPr>
                <w:rFonts w:ascii="Arial" w:cs="Arial" w:eastAsia="Arial" w:hAnsi="Arial"/>
                <w:sz w:val="18"/>
                <w:szCs w:val="18"/>
                <w:color w:val="auto"/>
              </w:rPr>
              <w:t>Lawrence J. Salva</w:t>
            </w:r>
          </w:p>
        </w:tc>
        <w:tc>
          <w:tcPr>
            <w:tcW w:w="4820" w:type="dxa"/>
            <w:vAlign w:val="bottom"/>
          </w:tcPr>
          <w:p>
            <w:pPr>
              <w:jc w:val="center"/>
              <w:ind w:left="574"/>
              <w:spacing w:after="0" w:line="190" w:lineRule="exact"/>
              <w:rPr>
                <w:sz w:val="20"/>
                <w:szCs w:val="20"/>
                <w:color w:val="auto"/>
              </w:rPr>
            </w:pPr>
            <w:r>
              <w:rPr>
                <w:rFonts w:ascii="Arial" w:cs="Arial" w:eastAsia="Arial" w:hAnsi="Arial"/>
                <w:sz w:val="18"/>
                <w:szCs w:val="18"/>
                <w:color w:val="auto"/>
                <w:w w:val="91"/>
              </w:rPr>
              <w:t>Officer and Controller</w:t>
            </w:r>
          </w:p>
        </w:tc>
        <w:tc>
          <w:tcPr>
            <w:tcW w:w="1640" w:type="dxa"/>
            <w:vAlign w:val="bottom"/>
          </w:tcPr>
          <w:p>
            <w:pPr>
              <w:spacing w:after="0"/>
              <w:rPr>
                <w:sz w:val="16"/>
                <w:szCs w:val="16"/>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4820" w:type="dxa"/>
            <w:vAlign w:val="bottom"/>
          </w:tcPr>
          <w:p>
            <w:pPr>
              <w:jc w:val="center"/>
              <w:ind w:left="574"/>
              <w:spacing w:after="0"/>
              <w:rPr>
                <w:sz w:val="20"/>
                <w:szCs w:val="20"/>
                <w:color w:val="auto"/>
              </w:rPr>
            </w:pPr>
            <w:r>
              <w:rPr>
                <w:rFonts w:ascii="Arial" w:cs="Arial" w:eastAsia="Arial" w:hAnsi="Arial"/>
                <w:sz w:val="18"/>
                <w:szCs w:val="18"/>
                <w:color w:val="auto"/>
                <w:w w:val="92"/>
              </w:rPr>
              <w:t>(Principal Accounting Officer)</w:t>
            </w:r>
          </w:p>
        </w:tc>
        <w:tc>
          <w:tcPr>
            <w:tcW w:w="1640" w:type="dxa"/>
            <w:vAlign w:val="bottom"/>
          </w:tcPr>
          <w:p>
            <w:pPr>
              <w:spacing w:after="0"/>
              <w:rPr>
                <w:sz w:val="19"/>
                <w:szCs w:val="19"/>
                <w:color w:val="auto"/>
              </w:rPr>
            </w:pPr>
          </w:p>
        </w:tc>
      </w:tr>
      <w:tr>
        <w:trPr>
          <w:trHeight w:val="447"/>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 Decker Anstrom</w:t>
            </w:r>
          </w:p>
        </w:tc>
        <w:tc>
          <w:tcPr>
            <w:tcW w:w="4820" w:type="dxa"/>
            <w:vAlign w:val="bottom"/>
          </w:tcPr>
          <w:p>
            <w:pPr>
              <w:jc w:val="center"/>
              <w:ind w:left="554"/>
              <w:spacing w:after="0"/>
              <w:rPr>
                <w:sz w:val="20"/>
                <w:szCs w:val="20"/>
                <w:color w:val="auto"/>
              </w:rPr>
            </w:pPr>
            <w:r>
              <w:rPr>
                <w:rFonts w:ascii="Arial" w:cs="Arial" w:eastAsia="Arial" w:hAnsi="Arial"/>
                <w:sz w:val="18"/>
                <w:szCs w:val="18"/>
                <w:color w:val="auto"/>
                <w:w w:val="91"/>
              </w:rPr>
              <w:t>Director</w:t>
            </w:r>
          </w:p>
        </w:tc>
        <w:tc>
          <w:tcPr>
            <w:tcW w:w="1640" w:type="dxa"/>
            <w:vAlign w:val="bottom"/>
          </w:tcPr>
          <w:p>
            <w:pPr>
              <w:ind w:left="660"/>
              <w:spacing w:after="0"/>
              <w:rPr>
                <w:sz w:val="20"/>
                <w:szCs w:val="20"/>
                <w:color w:val="auto"/>
              </w:rPr>
            </w:pPr>
            <w:r>
              <w:rPr>
                <w:rFonts w:ascii="Arial" w:cs="Arial" w:eastAsia="Arial" w:hAnsi="Arial"/>
                <w:sz w:val="18"/>
                <w:szCs w:val="18"/>
                <w:color w:val="auto"/>
                <w:w w:val="87"/>
              </w:rPr>
              <w:t>May 23, 2011</w:t>
            </w:r>
          </w:p>
        </w:tc>
      </w:tr>
      <w:tr>
        <w:trPr>
          <w:trHeight w:val="217"/>
        </w:trPr>
        <w:tc>
          <w:tcPr>
            <w:tcW w:w="4240" w:type="dxa"/>
            <w:vAlign w:val="bottom"/>
            <w:gridSpan w:val="2"/>
          </w:tcPr>
          <w:p>
            <w:pPr>
              <w:spacing w:after="0"/>
              <w:rPr>
                <w:sz w:val="20"/>
                <w:szCs w:val="20"/>
                <w:color w:val="auto"/>
              </w:rPr>
            </w:pPr>
            <w:r>
              <w:rPr>
                <w:rFonts w:ascii="Arial" w:cs="Arial" w:eastAsia="Arial" w:hAnsi="Arial"/>
                <w:sz w:val="18"/>
                <w:szCs w:val="18"/>
                <w:color w:val="auto"/>
              </w:rPr>
              <w:t>S. Decker Anstrom</w:t>
            </w:r>
          </w:p>
        </w:tc>
        <w:tc>
          <w:tcPr>
            <w:tcW w:w="48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4820" w:type="dxa"/>
            <w:vAlign w:val="bottom"/>
          </w:tcPr>
          <w:p>
            <w:pPr>
              <w:jc w:val="center"/>
              <w:ind w:left="554"/>
              <w:spacing w:after="0"/>
              <w:rPr>
                <w:sz w:val="20"/>
                <w:szCs w:val="20"/>
                <w:color w:val="auto"/>
              </w:rPr>
            </w:pPr>
            <w:r>
              <w:rPr>
                <w:rFonts w:ascii="Arial" w:cs="Arial" w:eastAsia="Arial" w:hAnsi="Arial"/>
                <w:sz w:val="18"/>
                <w:szCs w:val="18"/>
                <w:color w:val="auto"/>
                <w:w w:val="91"/>
              </w:rPr>
              <w:t>Director</w:t>
            </w:r>
          </w:p>
        </w:tc>
        <w:tc>
          <w:tcPr>
            <w:tcW w:w="1640" w:type="dxa"/>
            <w:vAlign w:val="bottom"/>
          </w:tcPr>
          <w:p>
            <w:pPr>
              <w:ind w:left="660"/>
              <w:spacing w:after="0"/>
              <w:rPr>
                <w:sz w:val="20"/>
                <w:szCs w:val="20"/>
                <w:color w:val="auto"/>
              </w:rPr>
            </w:pPr>
            <w:r>
              <w:rPr>
                <w:rFonts w:ascii="Arial" w:cs="Arial" w:eastAsia="Arial" w:hAnsi="Arial"/>
                <w:sz w:val="18"/>
                <w:szCs w:val="18"/>
                <w:color w:val="auto"/>
                <w:w w:val="87"/>
              </w:rPr>
              <w:t>May 23, 2011</w:t>
            </w:r>
          </w:p>
        </w:tc>
      </w:tr>
      <w:tr>
        <w:trPr>
          <w:trHeight w:val="217"/>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Kenneth J. Bacon</w:t>
            </w:r>
          </w:p>
        </w:tc>
        <w:tc>
          <w:tcPr>
            <w:tcW w:w="48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438"/>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Sheldon M. Bonovitz</w:t>
            </w:r>
          </w:p>
        </w:tc>
        <w:tc>
          <w:tcPr>
            <w:tcW w:w="4820" w:type="dxa"/>
            <w:vAlign w:val="bottom"/>
          </w:tcPr>
          <w:p>
            <w:pPr>
              <w:jc w:val="center"/>
              <w:ind w:left="554"/>
              <w:spacing w:after="0"/>
              <w:rPr>
                <w:sz w:val="20"/>
                <w:szCs w:val="20"/>
                <w:color w:val="auto"/>
              </w:rPr>
            </w:pPr>
            <w:r>
              <w:rPr>
                <w:rFonts w:ascii="Arial" w:cs="Arial" w:eastAsia="Arial" w:hAnsi="Arial"/>
                <w:sz w:val="18"/>
                <w:szCs w:val="18"/>
                <w:color w:val="auto"/>
                <w:w w:val="91"/>
              </w:rPr>
              <w:t>Director</w:t>
            </w:r>
          </w:p>
        </w:tc>
        <w:tc>
          <w:tcPr>
            <w:tcW w:w="1640" w:type="dxa"/>
            <w:vAlign w:val="bottom"/>
          </w:tcPr>
          <w:p>
            <w:pPr>
              <w:ind w:left="660"/>
              <w:spacing w:after="0"/>
              <w:rPr>
                <w:sz w:val="20"/>
                <w:szCs w:val="20"/>
                <w:color w:val="auto"/>
              </w:rPr>
            </w:pPr>
            <w:r>
              <w:rPr>
                <w:rFonts w:ascii="Arial" w:cs="Arial" w:eastAsia="Arial" w:hAnsi="Arial"/>
                <w:sz w:val="18"/>
                <w:szCs w:val="18"/>
                <w:color w:val="auto"/>
                <w:w w:val="87"/>
              </w:rPr>
              <w:t>May 23, 2011</w:t>
            </w:r>
          </w:p>
        </w:tc>
      </w:tr>
      <w:tr>
        <w:trPr>
          <w:trHeight w:val="217"/>
        </w:trPr>
        <w:tc>
          <w:tcPr>
            <w:tcW w:w="4240" w:type="dxa"/>
            <w:vAlign w:val="bottom"/>
            <w:gridSpan w:val="2"/>
          </w:tcPr>
          <w:p>
            <w:pPr>
              <w:spacing w:after="0"/>
              <w:rPr>
                <w:sz w:val="20"/>
                <w:szCs w:val="20"/>
                <w:color w:val="auto"/>
              </w:rPr>
            </w:pPr>
            <w:r>
              <w:rPr>
                <w:rFonts w:ascii="Arial" w:cs="Arial" w:eastAsia="Arial" w:hAnsi="Arial"/>
                <w:sz w:val="18"/>
                <w:szCs w:val="18"/>
                <w:color w:val="auto"/>
              </w:rPr>
              <w:t>Sheldon M. Bonovitz</w:t>
            </w:r>
          </w:p>
        </w:tc>
        <w:tc>
          <w:tcPr>
            <w:tcW w:w="48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438"/>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Edward D. Breen</w:t>
            </w:r>
          </w:p>
        </w:tc>
        <w:tc>
          <w:tcPr>
            <w:tcW w:w="4820" w:type="dxa"/>
            <w:vAlign w:val="bottom"/>
          </w:tcPr>
          <w:p>
            <w:pPr>
              <w:jc w:val="center"/>
              <w:ind w:left="554"/>
              <w:spacing w:after="0"/>
              <w:rPr>
                <w:sz w:val="20"/>
                <w:szCs w:val="20"/>
                <w:color w:val="auto"/>
              </w:rPr>
            </w:pPr>
            <w:r>
              <w:rPr>
                <w:rFonts w:ascii="Arial" w:cs="Arial" w:eastAsia="Arial" w:hAnsi="Arial"/>
                <w:sz w:val="18"/>
                <w:szCs w:val="18"/>
                <w:color w:val="auto"/>
                <w:w w:val="91"/>
              </w:rPr>
              <w:t>Director</w:t>
            </w:r>
          </w:p>
        </w:tc>
        <w:tc>
          <w:tcPr>
            <w:tcW w:w="1640" w:type="dxa"/>
            <w:vAlign w:val="bottom"/>
          </w:tcPr>
          <w:p>
            <w:pPr>
              <w:ind w:left="660"/>
              <w:spacing w:after="0"/>
              <w:rPr>
                <w:sz w:val="20"/>
                <w:szCs w:val="20"/>
                <w:color w:val="auto"/>
              </w:rPr>
            </w:pPr>
            <w:r>
              <w:rPr>
                <w:rFonts w:ascii="Arial" w:cs="Arial" w:eastAsia="Arial" w:hAnsi="Arial"/>
                <w:sz w:val="18"/>
                <w:szCs w:val="18"/>
                <w:color w:val="auto"/>
                <w:w w:val="87"/>
              </w:rPr>
              <w:t>May 23, 2011</w:t>
            </w:r>
          </w:p>
        </w:tc>
      </w:tr>
      <w:tr>
        <w:trPr>
          <w:trHeight w:val="217"/>
        </w:trPr>
        <w:tc>
          <w:tcPr>
            <w:tcW w:w="4240" w:type="dxa"/>
            <w:vAlign w:val="bottom"/>
            <w:gridSpan w:val="2"/>
          </w:tcPr>
          <w:p>
            <w:pPr>
              <w:spacing w:after="0"/>
              <w:rPr>
                <w:sz w:val="20"/>
                <w:szCs w:val="20"/>
                <w:color w:val="auto"/>
              </w:rPr>
            </w:pPr>
            <w:r>
              <w:rPr>
                <w:rFonts w:ascii="Arial" w:cs="Arial" w:eastAsia="Arial" w:hAnsi="Arial"/>
                <w:sz w:val="18"/>
                <w:szCs w:val="18"/>
                <w:color w:val="auto"/>
              </w:rPr>
              <w:t>Edward D. Breen</w:t>
            </w:r>
          </w:p>
        </w:tc>
        <w:tc>
          <w:tcPr>
            <w:tcW w:w="48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438"/>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J. Collins</w:t>
            </w:r>
          </w:p>
        </w:tc>
        <w:tc>
          <w:tcPr>
            <w:tcW w:w="4820" w:type="dxa"/>
            <w:vAlign w:val="bottom"/>
          </w:tcPr>
          <w:p>
            <w:pPr>
              <w:jc w:val="center"/>
              <w:ind w:left="554"/>
              <w:spacing w:after="0"/>
              <w:rPr>
                <w:sz w:val="20"/>
                <w:szCs w:val="20"/>
                <w:color w:val="auto"/>
              </w:rPr>
            </w:pPr>
            <w:r>
              <w:rPr>
                <w:rFonts w:ascii="Arial" w:cs="Arial" w:eastAsia="Arial" w:hAnsi="Arial"/>
                <w:sz w:val="18"/>
                <w:szCs w:val="18"/>
                <w:color w:val="auto"/>
                <w:w w:val="91"/>
              </w:rPr>
              <w:t>Director</w:t>
            </w:r>
          </w:p>
        </w:tc>
        <w:tc>
          <w:tcPr>
            <w:tcW w:w="1640" w:type="dxa"/>
            <w:vAlign w:val="bottom"/>
          </w:tcPr>
          <w:p>
            <w:pPr>
              <w:ind w:left="660"/>
              <w:spacing w:after="0"/>
              <w:rPr>
                <w:sz w:val="20"/>
                <w:szCs w:val="20"/>
                <w:color w:val="auto"/>
              </w:rPr>
            </w:pPr>
            <w:r>
              <w:rPr>
                <w:rFonts w:ascii="Arial" w:cs="Arial" w:eastAsia="Arial" w:hAnsi="Arial"/>
                <w:sz w:val="18"/>
                <w:szCs w:val="18"/>
                <w:color w:val="auto"/>
                <w:w w:val="87"/>
              </w:rPr>
              <w:t>May 23, 2011</w:t>
            </w:r>
          </w:p>
        </w:tc>
      </w:tr>
      <w:tr>
        <w:trPr>
          <w:trHeight w:val="217"/>
        </w:trPr>
        <w:tc>
          <w:tcPr>
            <w:tcW w:w="4240" w:type="dxa"/>
            <w:vAlign w:val="bottom"/>
            <w:gridSpan w:val="2"/>
          </w:tcPr>
          <w:p>
            <w:pPr>
              <w:spacing w:after="0"/>
              <w:rPr>
                <w:sz w:val="20"/>
                <w:szCs w:val="20"/>
                <w:color w:val="auto"/>
              </w:rPr>
            </w:pPr>
            <w:r>
              <w:rPr>
                <w:rFonts w:ascii="Arial" w:cs="Arial" w:eastAsia="Arial" w:hAnsi="Arial"/>
                <w:sz w:val="18"/>
                <w:szCs w:val="18"/>
                <w:color w:val="auto"/>
              </w:rPr>
              <w:t>Joseph J. Collins</w:t>
            </w:r>
          </w:p>
        </w:tc>
        <w:tc>
          <w:tcPr>
            <w:tcW w:w="48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438"/>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 Michael Cook</w:t>
            </w:r>
          </w:p>
        </w:tc>
        <w:tc>
          <w:tcPr>
            <w:tcW w:w="4820" w:type="dxa"/>
            <w:vAlign w:val="bottom"/>
          </w:tcPr>
          <w:p>
            <w:pPr>
              <w:jc w:val="center"/>
              <w:ind w:left="554"/>
              <w:spacing w:after="0"/>
              <w:rPr>
                <w:sz w:val="20"/>
                <w:szCs w:val="20"/>
                <w:color w:val="auto"/>
              </w:rPr>
            </w:pPr>
            <w:r>
              <w:rPr>
                <w:rFonts w:ascii="Arial" w:cs="Arial" w:eastAsia="Arial" w:hAnsi="Arial"/>
                <w:sz w:val="18"/>
                <w:szCs w:val="18"/>
                <w:color w:val="auto"/>
                <w:w w:val="91"/>
              </w:rPr>
              <w:t>Director</w:t>
            </w:r>
          </w:p>
        </w:tc>
        <w:tc>
          <w:tcPr>
            <w:tcW w:w="1640" w:type="dxa"/>
            <w:vAlign w:val="bottom"/>
          </w:tcPr>
          <w:p>
            <w:pPr>
              <w:ind w:left="660"/>
              <w:spacing w:after="0"/>
              <w:rPr>
                <w:sz w:val="20"/>
                <w:szCs w:val="20"/>
                <w:color w:val="auto"/>
              </w:rPr>
            </w:pPr>
            <w:r>
              <w:rPr>
                <w:rFonts w:ascii="Arial" w:cs="Arial" w:eastAsia="Arial" w:hAnsi="Arial"/>
                <w:sz w:val="18"/>
                <w:szCs w:val="18"/>
                <w:color w:val="auto"/>
                <w:w w:val="87"/>
              </w:rPr>
              <w:t>May 23, 2011</w:t>
            </w:r>
          </w:p>
        </w:tc>
      </w:tr>
      <w:tr>
        <w:trPr>
          <w:trHeight w:val="217"/>
        </w:trPr>
        <w:tc>
          <w:tcPr>
            <w:tcW w:w="4240" w:type="dxa"/>
            <w:vAlign w:val="bottom"/>
            <w:gridSpan w:val="2"/>
          </w:tcPr>
          <w:p>
            <w:pPr>
              <w:spacing w:after="0"/>
              <w:rPr>
                <w:sz w:val="20"/>
                <w:szCs w:val="20"/>
                <w:color w:val="auto"/>
              </w:rPr>
            </w:pPr>
            <w:r>
              <w:rPr>
                <w:rFonts w:ascii="Arial" w:cs="Arial" w:eastAsia="Arial" w:hAnsi="Arial"/>
                <w:sz w:val="18"/>
                <w:szCs w:val="18"/>
                <w:color w:val="auto"/>
              </w:rPr>
              <w:t>J. Michael Cook</w:t>
            </w:r>
          </w:p>
        </w:tc>
        <w:tc>
          <w:tcPr>
            <w:tcW w:w="48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4820" w:type="dxa"/>
            <w:vAlign w:val="bottom"/>
          </w:tcPr>
          <w:p>
            <w:pPr>
              <w:jc w:val="center"/>
              <w:ind w:left="554"/>
              <w:spacing w:after="0"/>
              <w:rPr>
                <w:sz w:val="20"/>
                <w:szCs w:val="20"/>
                <w:color w:val="auto"/>
              </w:rPr>
            </w:pPr>
            <w:r>
              <w:rPr>
                <w:rFonts w:ascii="Arial" w:cs="Arial" w:eastAsia="Arial" w:hAnsi="Arial"/>
                <w:sz w:val="18"/>
                <w:szCs w:val="18"/>
                <w:color w:val="auto"/>
                <w:w w:val="91"/>
              </w:rPr>
              <w:t>Director</w:t>
            </w:r>
          </w:p>
        </w:tc>
        <w:tc>
          <w:tcPr>
            <w:tcW w:w="1640" w:type="dxa"/>
            <w:vAlign w:val="bottom"/>
          </w:tcPr>
          <w:p>
            <w:pPr>
              <w:ind w:left="660"/>
              <w:spacing w:after="0"/>
              <w:rPr>
                <w:sz w:val="20"/>
                <w:szCs w:val="20"/>
                <w:color w:val="auto"/>
              </w:rPr>
            </w:pPr>
            <w:r>
              <w:rPr>
                <w:rFonts w:ascii="Arial" w:cs="Arial" w:eastAsia="Arial" w:hAnsi="Arial"/>
                <w:sz w:val="18"/>
                <w:szCs w:val="18"/>
                <w:color w:val="auto"/>
                <w:w w:val="87"/>
              </w:rPr>
              <w:t>May 23, 2011</w:t>
            </w:r>
          </w:p>
        </w:tc>
      </w:tr>
      <w:tr>
        <w:trPr>
          <w:trHeight w:val="217"/>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Gerald L. Hassell</w:t>
            </w:r>
          </w:p>
        </w:tc>
        <w:tc>
          <w:tcPr>
            <w:tcW w:w="48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438"/>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Jeffrey A. Honickman</w:t>
            </w:r>
          </w:p>
        </w:tc>
        <w:tc>
          <w:tcPr>
            <w:tcW w:w="4820" w:type="dxa"/>
            <w:vAlign w:val="bottom"/>
          </w:tcPr>
          <w:p>
            <w:pPr>
              <w:jc w:val="center"/>
              <w:ind w:left="554"/>
              <w:spacing w:after="0"/>
              <w:rPr>
                <w:sz w:val="20"/>
                <w:szCs w:val="20"/>
                <w:color w:val="auto"/>
              </w:rPr>
            </w:pPr>
            <w:r>
              <w:rPr>
                <w:rFonts w:ascii="Arial" w:cs="Arial" w:eastAsia="Arial" w:hAnsi="Arial"/>
                <w:sz w:val="18"/>
                <w:szCs w:val="18"/>
                <w:color w:val="auto"/>
                <w:w w:val="91"/>
              </w:rPr>
              <w:t>Director</w:t>
            </w:r>
          </w:p>
        </w:tc>
        <w:tc>
          <w:tcPr>
            <w:tcW w:w="1640" w:type="dxa"/>
            <w:vAlign w:val="bottom"/>
          </w:tcPr>
          <w:p>
            <w:pPr>
              <w:ind w:left="660"/>
              <w:spacing w:after="0"/>
              <w:rPr>
                <w:sz w:val="20"/>
                <w:szCs w:val="20"/>
                <w:color w:val="auto"/>
              </w:rPr>
            </w:pPr>
            <w:r>
              <w:rPr>
                <w:rFonts w:ascii="Arial" w:cs="Arial" w:eastAsia="Arial" w:hAnsi="Arial"/>
                <w:sz w:val="18"/>
                <w:szCs w:val="18"/>
                <w:color w:val="auto"/>
                <w:w w:val="87"/>
              </w:rPr>
              <w:t>May 23, 2011</w:t>
            </w:r>
          </w:p>
        </w:tc>
      </w:tr>
      <w:tr>
        <w:trPr>
          <w:trHeight w:val="217"/>
        </w:trPr>
        <w:tc>
          <w:tcPr>
            <w:tcW w:w="4240" w:type="dxa"/>
            <w:vAlign w:val="bottom"/>
            <w:gridSpan w:val="2"/>
          </w:tcPr>
          <w:p>
            <w:pPr>
              <w:spacing w:after="0"/>
              <w:rPr>
                <w:sz w:val="20"/>
                <w:szCs w:val="20"/>
                <w:color w:val="auto"/>
              </w:rPr>
            </w:pPr>
            <w:r>
              <w:rPr>
                <w:rFonts w:ascii="Arial" w:cs="Arial" w:eastAsia="Arial" w:hAnsi="Arial"/>
                <w:sz w:val="18"/>
                <w:szCs w:val="18"/>
                <w:color w:val="auto"/>
              </w:rPr>
              <w:t>Jeffrey A. Honickman</w:t>
            </w:r>
          </w:p>
        </w:tc>
        <w:tc>
          <w:tcPr>
            <w:tcW w:w="48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438"/>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Eduardo G. Mestre</w:t>
            </w:r>
          </w:p>
        </w:tc>
        <w:tc>
          <w:tcPr>
            <w:tcW w:w="4820" w:type="dxa"/>
            <w:vAlign w:val="bottom"/>
          </w:tcPr>
          <w:p>
            <w:pPr>
              <w:jc w:val="center"/>
              <w:ind w:left="554"/>
              <w:spacing w:after="0"/>
              <w:rPr>
                <w:sz w:val="20"/>
                <w:szCs w:val="20"/>
                <w:color w:val="auto"/>
              </w:rPr>
            </w:pPr>
            <w:r>
              <w:rPr>
                <w:rFonts w:ascii="Arial" w:cs="Arial" w:eastAsia="Arial" w:hAnsi="Arial"/>
                <w:sz w:val="18"/>
                <w:szCs w:val="18"/>
                <w:color w:val="auto"/>
                <w:w w:val="91"/>
              </w:rPr>
              <w:t>Director</w:t>
            </w:r>
          </w:p>
        </w:tc>
        <w:tc>
          <w:tcPr>
            <w:tcW w:w="1640" w:type="dxa"/>
            <w:vAlign w:val="bottom"/>
          </w:tcPr>
          <w:p>
            <w:pPr>
              <w:ind w:left="660"/>
              <w:spacing w:after="0"/>
              <w:rPr>
                <w:sz w:val="20"/>
                <w:szCs w:val="20"/>
                <w:color w:val="auto"/>
              </w:rPr>
            </w:pPr>
            <w:r>
              <w:rPr>
                <w:rFonts w:ascii="Arial" w:cs="Arial" w:eastAsia="Arial" w:hAnsi="Arial"/>
                <w:sz w:val="18"/>
                <w:szCs w:val="18"/>
                <w:color w:val="auto"/>
                <w:w w:val="87"/>
              </w:rPr>
              <w:t>May 23, 2011</w:t>
            </w:r>
          </w:p>
        </w:tc>
      </w:tr>
      <w:tr>
        <w:trPr>
          <w:trHeight w:val="217"/>
        </w:trPr>
        <w:tc>
          <w:tcPr>
            <w:tcW w:w="4240" w:type="dxa"/>
            <w:vAlign w:val="bottom"/>
            <w:gridSpan w:val="2"/>
          </w:tcPr>
          <w:p>
            <w:pPr>
              <w:spacing w:after="0"/>
              <w:rPr>
                <w:sz w:val="20"/>
                <w:szCs w:val="20"/>
                <w:color w:val="auto"/>
              </w:rPr>
            </w:pPr>
            <w:r>
              <w:rPr>
                <w:rFonts w:ascii="Arial" w:cs="Arial" w:eastAsia="Arial" w:hAnsi="Arial"/>
                <w:sz w:val="18"/>
                <w:szCs w:val="18"/>
                <w:color w:val="auto"/>
              </w:rPr>
              <w:t>Eduardo G. Mestre</w:t>
            </w:r>
          </w:p>
        </w:tc>
        <w:tc>
          <w:tcPr>
            <w:tcW w:w="48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438"/>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Dr. Judith Rodin</w:t>
            </w:r>
          </w:p>
        </w:tc>
        <w:tc>
          <w:tcPr>
            <w:tcW w:w="4820" w:type="dxa"/>
            <w:vAlign w:val="bottom"/>
          </w:tcPr>
          <w:p>
            <w:pPr>
              <w:jc w:val="center"/>
              <w:ind w:left="554"/>
              <w:spacing w:after="0"/>
              <w:rPr>
                <w:sz w:val="20"/>
                <w:szCs w:val="20"/>
                <w:color w:val="auto"/>
              </w:rPr>
            </w:pPr>
            <w:r>
              <w:rPr>
                <w:rFonts w:ascii="Arial" w:cs="Arial" w:eastAsia="Arial" w:hAnsi="Arial"/>
                <w:sz w:val="18"/>
                <w:szCs w:val="18"/>
                <w:color w:val="auto"/>
                <w:w w:val="91"/>
              </w:rPr>
              <w:t>Director</w:t>
            </w:r>
          </w:p>
        </w:tc>
        <w:tc>
          <w:tcPr>
            <w:tcW w:w="1640" w:type="dxa"/>
            <w:vAlign w:val="bottom"/>
          </w:tcPr>
          <w:p>
            <w:pPr>
              <w:ind w:left="660"/>
              <w:spacing w:after="0"/>
              <w:rPr>
                <w:sz w:val="20"/>
                <w:szCs w:val="20"/>
                <w:color w:val="auto"/>
              </w:rPr>
            </w:pPr>
            <w:r>
              <w:rPr>
                <w:rFonts w:ascii="Arial" w:cs="Arial" w:eastAsia="Arial" w:hAnsi="Arial"/>
                <w:sz w:val="18"/>
                <w:szCs w:val="18"/>
                <w:color w:val="auto"/>
                <w:w w:val="87"/>
              </w:rPr>
              <w:t>May 23, 2011</w:t>
            </w:r>
          </w:p>
        </w:tc>
      </w:tr>
      <w:tr>
        <w:trPr>
          <w:trHeight w:val="217"/>
        </w:trPr>
        <w:tc>
          <w:tcPr>
            <w:tcW w:w="4240" w:type="dxa"/>
            <w:vAlign w:val="bottom"/>
            <w:gridSpan w:val="2"/>
          </w:tcPr>
          <w:p>
            <w:pPr>
              <w:spacing w:after="0"/>
              <w:rPr>
                <w:sz w:val="20"/>
                <w:szCs w:val="20"/>
                <w:color w:val="auto"/>
              </w:rPr>
            </w:pPr>
            <w:r>
              <w:rPr>
                <w:rFonts w:ascii="Arial" w:cs="Arial" w:eastAsia="Arial" w:hAnsi="Arial"/>
                <w:sz w:val="18"/>
                <w:szCs w:val="18"/>
                <w:color w:val="auto"/>
              </w:rPr>
              <w:t>Dr. Judith Rodin</w:t>
            </w:r>
          </w:p>
        </w:tc>
        <w:tc>
          <w:tcPr>
            <w:tcW w:w="4820" w:type="dxa"/>
            <w:vAlign w:val="bottom"/>
          </w:tcPr>
          <w:p>
            <w:pPr>
              <w:spacing w:after="0"/>
              <w:rPr>
                <w:sz w:val="18"/>
                <w:szCs w:val="18"/>
                <w:color w:val="auto"/>
              </w:rPr>
            </w:pPr>
          </w:p>
        </w:tc>
        <w:tc>
          <w:tcPr>
            <w:tcW w:w="1640" w:type="dxa"/>
            <w:vAlign w:val="bottom"/>
          </w:tcPr>
          <w:p>
            <w:pPr>
              <w:spacing w:after="0"/>
              <w:rPr>
                <w:sz w:val="18"/>
                <w:szCs w:val="18"/>
                <w:color w:val="auto"/>
              </w:rPr>
            </w:pPr>
          </w:p>
        </w:tc>
      </w:tr>
    </w:tbl>
    <w:p>
      <w:pPr>
        <w:sectPr>
          <w:pgSz w:w="11900" w:h="16838" w:orient="portrait"/>
          <w:cols w:equalWidth="0" w:num="1">
            <w:col w:w="10700"/>
          </w:cols>
          <w:pgMar w:left="240" w:top="275" w:right="959" w:bottom="1440" w:gutter="0" w:footer="0" w:header="0"/>
        </w:sectPr>
      </w:pPr>
    </w:p>
    <w:bookmarkStart w:id="9" w:name="page10"/>
    <w:bookmarkEnd w:id="9"/>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jc w:val="right"/>
              <w:spacing w:after="0"/>
              <w:rPr>
                <w:sz w:val="20"/>
                <w:szCs w:val="20"/>
                <w:color w:val="auto"/>
              </w:rPr>
            </w:pPr>
            <w:r>
              <w:rPr>
                <w:rFonts w:ascii="Arial" w:cs="Arial" w:eastAsia="Arial" w:hAnsi="Arial"/>
                <w:sz w:val="14"/>
                <w:szCs w:val="14"/>
                <w:color w:val="auto"/>
                <w:w w:val="99"/>
              </w:rPr>
              <w:t>Exhibit</w:t>
            </w:r>
          </w:p>
        </w:tc>
        <w:tc>
          <w:tcPr>
            <w:tcW w:w="4800" w:type="dxa"/>
            <w:vAlign w:val="bottom"/>
            <w:gridSpan w:val="3"/>
          </w:tcPr>
          <w:p>
            <w:pPr>
              <w:ind w:left="560"/>
              <w:spacing w:after="0"/>
              <w:rPr>
                <w:sz w:val="20"/>
                <w:szCs w:val="20"/>
                <w:color w:val="auto"/>
              </w:rPr>
            </w:pPr>
            <w:r>
              <w:rPr>
                <w:rFonts w:ascii="Arial" w:cs="Arial" w:eastAsia="Arial" w:hAnsi="Arial"/>
                <w:sz w:val="14"/>
                <w:szCs w:val="14"/>
                <w:color w:val="auto"/>
              </w:rPr>
              <w:t>Exhibit</w:t>
            </w:r>
          </w:p>
        </w:tc>
      </w:tr>
      <w:tr>
        <w:trPr>
          <w:trHeight w:val="159"/>
        </w:trPr>
        <w:tc>
          <w:tcPr>
            <w:tcW w:w="480" w:type="dxa"/>
            <w:vAlign w:val="bottom"/>
          </w:tcPr>
          <w:p>
            <w:pPr>
              <w:jc w:val="right"/>
              <w:spacing w:after="0" w:line="159" w:lineRule="exact"/>
              <w:rPr>
                <w:sz w:val="20"/>
                <w:szCs w:val="20"/>
                <w:color w:val="auto"/>
              </w:rPr>
            </w:pPr>
            <w:r>
              <w:rPr>
                <w:rFonts w:ascii="Arial" w:cs="Arial" w:eastAsia="Arial" w:hAnsi="Arial"/>
                <w:sz w:val="14"/>
                <w:szCs w:val="14"/>
                <w:color w:val="auto"/>
                <w:w w:val="88"/>
              </w:rPr>
              <w:t>Number</w:t>
            </w:r>
          </w:p>
        </w:tc>
        <w:tc>
          <w:tcPr>
            <w:tcW w:w="4800" w:type="dxa"/>
            <w:vAlign w:val="bottom"/>
            <w:gridSpan w:val="3"/>
          </w:tcPr>
          <w:p>
            <w:pPr>
              <w:ind w:left="560"/>
              <w:spacing w:after="0" w:line="159" w:lineRule="exact"/>
              <w:rPr>
                <w:sz w:val="20"/>
                <w:szCs w:val="20"/>
                <w:color w:val="auto"/>
              </w:rPr>
            </w:pPr>
            <w:r>
              <w:rPr>
                <w:rFonts w:ascii="Arial" w:cs="Arial" w:eastAsia="Arial" w:hAnsi="Arial"/>
                <w:sz w:val="14"/>
                <w:szCs w:val="14"/>
                <w:color w:val="auto"/>
              </w:rPr>
              <w:t>Description</w:t>
            </w:r>
          </w:p>
        </w:tc>
      </w:tr>
      <w:tr>
        <w:trPr>
          <w:trHeight w:val="27"/>
        </w:trPr>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580" w:type="dxa"/>
            <w:vAlign w:val="bottom"/>
          </w:tcPr>
          <w:p>
            <w:pPr>
              <w:spacing w:after="0"/>
              <w:rPr>
                <w:sz w:val="2"/>
                <w:szCs w:val="2"/>
                <w:color w:val="auto"/>
              </w:rPr>
            </w:pPr>
          </w:p>
        </w:tc>
      </w:tr>
      <w:tr>
        <w:trPr>
          <w:trHeight w:val="322"/>
        </w:trPr>
        <w:tc>
          <w:tcPr>
            <w:tcW w:w="480" w:type="dxa"/>
            <w:vAlign w:val="bottom"/>
          </w:tcPr>
          <w:p>
            <w:pPr>
              <w:jc w:val="right"/>
              <w:ind w:right="78"/>
              <w:spacing w:after="0"/>
              <w:rPr>
                <w:sz w:val="20"/>
                <w:szCs w:val="20"/>
                <w:color w:val="auto"/>
              </w:rPr>
            </w:pPr>
            <w:r>
              <w:rPr>
                <w:rFonts w:ascii="Arial" w:cs="Arial" w:eastAsia="Arial" w:hAnsi="Arial"/>
                <w:sz w:val="18"/>
                <w:szCs w:val="18"/>
                <w:color w:val="auto"/>
              </w:rPr>
              <w:t>5.1</w:t>
            </w:r>
          </w:p>
        </w:tc>
        <w:tc>
          <w:tcPr>
            <w:tcW w:w="4800" w:type="dxa"/>
            <w:vAlign w:val="bottom"/>
            <w:gridSpan w:val="3"/>
          </w:tcPr>
          <w:p>
            <w:pPr>
              <w:ind w:left="560"/>
              <w:spacing w:after="0"/>
              <w:rPr>
                <w:sz w:val="20"/>
                <w:szCs w:val="20"/>
                <w:color w:val="auto"/>
              </w:rPr>
            </w:pPr>
            <w:r>
              <w:rPr>
                <w:rFonts w:ascii="Arial" w:cs="Arial" w:eastAsia="Arial" w:hAnsi="Arial"/>
                <w:sz w:val="18"/>
                <w:szCs w:val="18"/>
                <w:color w:val="auto"/>
              </w:rPr>
              <w:t>Opinion of Pepper Hamilton LLP.</w:t>
            </w:r>
          </w:p>
        </w:tc>
      </w:tr>
      <w:tr>
        <w:trPr>
          <w:trHeight w:val="324"/>
        </w:trPr>
        <w:tc>
          <w:tcPr>
            <w:tcW w:w="480" w:type="dxa"/>
            <w:vAlign w:val="bottom"/>
          </w:tcPr>
          <w:p>
            <w:pPr>
              <w:jc w:val="right"/>
              <w:ind w:right="78"/>
              <w:spacing w:after="0"/>
              <w:rPr>
                <w:sz w:val="20"/>
                <w:szCs w:val="20"/>
                <w:color w:val="auto"/>
              </w:rPr>
            </w:pPr>
            <w:r>
              <w:rPr>
                <w:rFonts w:ascii="Arial" w:cs="Arial" w:eastAsia="Arial" w:hAnsi="Arial"/>
                <w:sz w:val="18"/>
                <w:szCs w:val="18"/>
                <w:color w:val="auto"/>
                <w:w w:val="85"/>
              </w:rPr>
              <w:t>23.1</w:t>
            </w:r>
          </w:p>
        </w:tc>
        <w:tc>
          <w:tcPr>
            <w:tcW w:w="4800" w:type="dxa"/>
            <w:vAlign w:val="bottom"/>
            <w:gridSpan w:val="3"/>
          </w:tcPr>
          <w:p>
            <w:pPr>
              <w:ind w:left="560"/>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480" w:type="dxa"/>
            <w:vAlign w:val="bottom"/>
          </w:tcPr>
          <w:p>
            <w:pPr>
              <w:jc w:val="right"/>
              <w:ind w:right="78"/>
              <w:spacing w:after="0"/>
              <w:rPr>
                <w:sz w:val="20"/>
                <w:szCs w:val="20"/>
                <w:color w:val="auto"/>
              </w:rPr>
            </w:pPr>
            <w:r>
              <w:rPr>
                <w:rFonts w:ascii="Arial" w:cs="Arial" w:eastAsia="Arial" w:hAnsi="Arial"/>
                <w:sz w:val="18"/>
                <w:szCs w:val="18"/>
                <w:color w:val="auto"/>
                <w:w w:val="85"/>
              </w:rPr>
              <w:t>23.2</w:t>
            </w:r>
          </w:p>
        </w:tc>
        <w:tc>
          <w:tcPr>
            <w:tcW w:w="4800" w:type="dxa"/>
            <w:vAlign w:val="bottom"/>
            <w:gridSpan w:val="3"/>
          </w:tcPr>
          <w:p>
            <w:pPr>
              <w:ind w:left="560"/>
              <w:spacing w:after="0"/>
              <w:rPr>
                <w:sz w:val="20"/>
                <w:szCs w:val="20"/>
                <w:color w:val="auto"/>
              </w:rPr>
            </w:pPr>
            <w:r>
              <w:rPr>
                <w:rFonts w:ascii="Arial" w:cs="Arial" w:eastAsia="Arial" w:hAnsi="Arial"/>
                <w:sz w:val="18"/>
                <w:szCs w:val="18"/>
                <w:color w:val="auto"/>
              </w:rPr>
              <w:t>Consent of KPMG LLP.</w:t>
            </w:r>
          </w:p>
        </w:tc>
      </w:tr>
      <w:tr>
        <w:trPr>
          <w:trHeight w:val="324"/>
        </w:trPr>
        <w:tc>
          <w:tcPr>
            <w:tcW w:w="480" w:type="dxa"/>
            <w:vAlign w:val="bottom"/>
          </w:tcPr>
          <w:p>
            <w:pPr>
              <w:jc w:val="right"/>
              <w:ind w:right="78"/>
              <w:spacing w:after="0"/>
              <w:rPr>
                <w:sz w:val="20"/>
                <w:szCs w:val="20"/>
                <w:color w:val="auto"/>
              </w:rPr>
            </w:pPr>
            <w:r>
              <w:rPr>
                <w:rFonts w:ascii="Arial" w:cs="Arial" w:eastAsia="Arial" w:hAnsi="Arial"/>
                <w:sz w:val="18"/>
                <w:szCs w:val="18"/>
                <w:color w:val="auto"/>
                <w:w w:val="85"/>
              </w:rPr>
              <w:t>23.3</w:t>
            </w:r>
          </w:p>
        </w:tc>
        <w:tc>
          <w:tcPr>
            <w:tcW w:w="4800" w:type="dxa"/>
            <w:vAlign w:val="bottom"/>
            <w:gridSpan w:val="3"/>
          </w:tcPr>
          <w:p>
            <w:pPr>
              <w:ind w:left="560"/>
              <w:spacing w:after="0"/>
              <w:rPr>
                <w:sz w:val="20"/>
                <w:szCs w:val="20"/>
                <w:color w:val="auto"/>
              </w:rPr>
            </w:pPr>
            <w:r>
              <w:rPr>
                <w:rFonts w:ascii="Arial" w:cs="Arial" w:eastAsia="Arial" w:hAnsi="Arial"/>
                <w:sz w:val="18"/>
                <w:szCs w:val="18"/>
                <w:color w:val="auto"/>
                <w:w w:val="89"/>
              </w:rPr>
              <w:t>Consent of Pepper Hamilton LLP (contained in Exhibit 5.1).</w:t>
            </w:r>
          </w:p>
        </w:tc>
      </w:tr>
      <w:tr>
        <w:trPr>
          <w:trHeight w:val="324"/>
        </w:trPr>
        <w:tc>
          <w:tcPr>
            <w:tcW w:w="480" w:type="dxa"/>
            <w:vAlign w:val="bottom"/>
          </w:tcPr>
          <w:p>
            <w:pPr>
              <w:jc w:val="right"/>
              <w:ind w:right="78"/>
              <w:spacing w:after="0"/>
              <w:rPr>
                <w:sz w:val="20"/>
                <w:szCs w:val="20"/>
                <w:color w:val="auto"/>
              </w:rPr>
            </w:pPr>
            <w:r>
              <w:rPr>
                <w:rFonts w:ascii="Arial" w:cs="Arial" w:eastAsia="Arial" w:hAnsi="Arial"/>
                <w:sz w:val="18"/>
                <w:szCs w:val="18"/>
                <w:color w:val="auto"/>
                <w:w w:val="85"/>
              </w:rPr>
              <w:t>24.1</w:t>
            </w:r>
          </w:p>
        </w:tc>
        <w:tc>
          <w:tcPr>
            <w:tcW w:w="4800" w:type="dxa"/>
            <w:vAlign w:val="bottom"/>
            <w:gridSpan w:val="3"/>
          </w:tcPr>
          <w:p>
            <w:pPr>
              <w:ind w:left="560"/>
              <w:spacing w:after="0"/>
              <w:rPr>
                <w:sz w:val="20"/>
                <w:szCs w:val="20"/>
                <w:color w:val="auto"/>
              </w:rPr>
            </w:pPr>
            <w:r>
              <w:rPr>
                <w:rFonts w:ascii="Arial" w:cs="Arial" w:eastAsia="Arial" w:hAnsi="Arial"/>
                <w:sz w:val="18"/>
                <w:szCs w:val="18"/>
                <w:color w:val="auto"/>
                <w:w w:val="87"/>
              </w:rPr>
              <w:t>Power of Attorney (contained in the signature pages hereto).</w:t>
            </w:r>
          </w:p>
        </w:tc>
      </w:tr>
    </w:tbl>
    <w:p>
      <w:pPr>
        <w:sectPr>
          <w:pgSz w:w="11900" w:h="16838" w:orient="portrait"/>
          <w:cols w:equalWidth="0" w:num="1">
            <w:col w:w="10219"/>
          </w:cols>
          <w:pgMar w:left="240" w:top="274" w:right="1440"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Pepper Hamilton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Attorneys at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3000 Two Logan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Eighteenth and Arch Streets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19103-2799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215.981.4000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215.981.4750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23,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205"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Reference is made to a Registration Statement on Form S-8 of Comcast Corporation (the “Company”) which is being filed with the Securities and Exchange Commission (the “Registration Statement”). Capitalized terms not otherwise defined herein shall have the meanings ascribed to them in the Registration Statement.</w:t>
      </w:r>
    </w:p>
    <w:p>
      <w:pPr>
        <w:spacing w:after="0" w:line="140" w:lineRule="exact"/>
        <w:rPr>
          <w:sz w:val="20"/>
          <w:szCs w:val="20"/>
          <w:color w:val="auto"/>
        </w:rPr>
      </w:pPr>
    </w:p>
    <w:p>
      <w:pPr>
        <w:ind w:right="320" w:firstLine="913"/>
        <w:spacing w:after="0" w:line="332" w:lineRule="auto"/>
        <w:rPr>
          <w:sz w:val="20"/>
          <w:szCs w:val="20"/>
          <w:color w:val="auto"/>
        </w:rPr>
      </w:pPr>
      <w:r>
        <w:rPr>
          <w:rFonts w:ascii="Arial" w:cs="Arial" w:eastAsia="Arial" w:hAnsi="Arial"/>
          <w:sz w:val="16"/>
          <w:szCs w:val="16"/>
          <w:color w:val="auto"/>
        </w:rPr>
        <w:t>The Registration Statement relates to 2,600,000 shares of Class A Common Stock, par value $.01, of the Company (the “Shares”), which may be issued by the Company pursuant to the Comcast-NBCUniversal 2011 Employee Stock Purchase Plan effective May 11, 2011 (the “Plan”).</w:t>
      </w:r>
    </w:p>
    <w:p>
      <w:pPr>
        <w:spacing w:after="0" w:line="8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In connection with our representation of the Company, as a basis for our opinions hereinafter set forth, we have examined the Registration Statement, including the exhibits thereto, the Company’s Articles of Incorporation, as amended, the Company’s By-laws, the Plan and such other documents as we have deemed appropriate in rendering this opinion. As to matters of fact, we have relied on representations of officers of the Company. In our examination, we have assumed the genuineness of all signatures, the authenticity of all documents submitted to us as originals and the authenticity of all documents submitted to us as copies of originals.</w:t>
      </w:r>
    </w:p>
    <w:p>
      <w:pPr>
        <w:spacing w:after="0" w:line="143"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Based on the foregoing, we are of the opinion that the Shares, when issued in accordance with the terms of the Plan, will be validly issued, fully paid and non-assessable. This opinion is being furnished to you solely for submission to the Securities and Exchange Commission as an exhibit to the Registration Statement and, accordingly, may not be relied upon, quoted in any manner to, or delivered to any other person or entity, without in each instance our prior written consent.</w:t>
      </w:r>
    </w:p>
    <w:p>
      <w:pPr>
        <w:sectPr>
          <w:pgSz w:w="11900" w:h="16838" w:orient="portrait"/>
          <w:cols w:equalWidth="0" w:num="1">
            <w:col w:w="11420"/>
          </w:cols>
          <w:pgMar w:left="240" w:top="125" w:right="239" w:bottom="1440" w:gutter="0" w:footer="0" w:header="0"/>
        </w:sectPr>
      </w:pPr>
    </w:p>
    <w:bookmarkStart w:id="11" w:name="page12"/>
    <w:bookmarkEnd w:id="11"/>
    <w:p>
      <w:pPr>
        <w:ind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opinion is limited to the Business Corporation Law of the Commonwealth of Pennsylvania, as amended, including the statutory provisions and all applicable provisions of the Constitution of the Commonwealth of Pennsylvania, and the federal securities laws, each as in effect on the date hereof. We assume no obligation to supplement this opinion if any applicable law changes after the date hereof or if we become aware of any fact that might change the opinion expressed herein after the date hereof.</w:t>
      </w:r>
    </w:p>
    <w:p>
      <w:pPr>
        <w:spacing w:after="0" w:line="143"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this consent, we do not thereby admit that we come within the category of persons whose consent is required under Section 7 of the Securities Act of 1933, as amended, or the rules and regulations of the Securities and Exchange Commission thereunder.</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Pepper Hamilton LLP</w:t>
      </w:r>
    </w:p>
    <w:p>
      <w:pPr>
        <w:sectPr>
          <w:pgSz w:w="11900" w:h="16838" w:orient="portrait"/>
          <w:cols w:equalWidth="0" w:num="1">
            <w:col w:w="11260"/>
          </w:cols>
          <w:pgMar w:left="240" w:top="280" w:right="39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We consent to the incorporation by reference in this Registration Statement on Form S-8 of our reports dated February 25, 2011, relating to the consolidated financial statements and financial statement schedule of Comcast Corporation, and the effectiveness of Comcast Corporation’s internal control over financial reporting, appearing in the Annual Report on Form 10-K of Comcast Corporation for the year ended December 31, 2010.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23, 2011</w:t>
      </w:r>
    </w:p>
    <w:p>
      <w:pPr>
        <w:sectPr>
          <w:pgSz w:w="11900" w:h="16838" w:orient="portrait"/>
          <w:cols w:equalWidth="0" w:num="1">
            <w:col w:w="11420"/>
          </w:cols>
          <w:pgMar w:left="240" w:top="125"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23.2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NBC Universal, Inc.:</w:t>
      </w:r>
    </w:p>
    <w:p>
      <w:pPr>
        <w:spacing w:after="0" w:line="16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consent to the incorporation by reference in this registration statement on Form S-8 of Comcast Corporation of our report dated February 28, 2011, with respect to the consolidated balance sheets of NBC Universal, Inc. as of December 31, 2010 and 2009, and the related consolidated statements of income, equity and cash flows for each of the years in the three-year period ended December 31, 2010, not included herein, which report appears in the Form 8-K/A of Comcast Corporation dated April 15, 2011.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23, 2011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Roman"/>
      <w:start w:val="1"/>
    </w:lvl>
  </w:abstractNum>
  <w:abstractNum w:abstractNumId="2">
    <w:nsid w:val="238E1F29"/>
    <w:multiLevelType w:val="hybridMultilevel"/>
    <w:lvl w:ilvl="0">
      <w:lvlJc w:val="left"/>
      <w:lvlText w:val="%1"/>
      <w:numFmt w:val="lowerRoman"/>
      <w:start w:val="1"/>
    </w:lvl>
    <w:lvl w:ilvl="1">
      <w:lvlJc w:val="left"/>
      <w:lvlText w:val="(%2)"/>
      <w:numFmt w:val="decimal"/>
      <w:start w:val="1"/>
    </w:lvl>
  </w:abstractNum>
  <w:abstractNum w:abstractNumId="3">
    <w:nsid w:val="46E87CCD"/>
    <w:multiLevelType w:val="hybridMultilevel"/>
    <w:lvl w:ilvl="0">
      <w:lvlJc w:val="left"/>
      <w:lvlText w:val="(%1)"/>
      <w:numFmt w:val="lowerRoman"/>
      <w:start w:val="1"/>
    </w:lvl>
    <w:lvl w:ilvl="1">
      <w:lvlJc w:val="left"/>
      <w:lvlText w:val="%2"/>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2019-12-10T21:36:00Z</dcterms:created>
  <dcterms:modified xsi:type="dcterms:W3CDTF">2019-12-10T21:36:00Z</dcterms:modified>
</cp:coreProperties>
</file>