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5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259"/>
        <w:spacing w:after="0" w:line="238" w:lineRule="auto"/>
        <w:rPr>
          <w:sz w:val="20"/>
          <w:szCs w:val="20"/>
          <w:color w:val="auto"/>
        </w:rPr>
      </w:pPr>
      <w:r>
        <w:rPr>
          <w:rFonts w:ascii="Courier New" w:cs="Courier New" w:eastAsia="Courier New" w:hAnsi="Courier New"/>
          <w:sz w:val="17"/>
          <w:szCs w:val="17"/>
          <w:color w:val="auto"/>
        </w:rPr>
        <w:t>WASHINGTON, D.C. 20549</w:t>
      </w:r>
    </w:p>
    <w:p>
      <w:pPr>
        <w:spacing w:after="0" w:line="190" w:lineRule="exact"/>
        <w:rPr>
          <w:sz w:val="24"/>
          <w:szCs w:val="24"/>
          <w:color w:val="auto"/>
        </w:rPr>
      </w:pPr>
    </w:p>
    <w:p>
      <w:pPr>
        <w:ind w:left="34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FORM 8-K</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CURRENT REPORT</w:t>
      </w:r>
    </w:p>
    <w:p>
      <w:pPr>
        <w:spacing w:after="0" w:line="190"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PURSUANT TO SECTION 13 OR 15(d) of the</w:t>
      </w:r>
    </w:p>
    <w:p>
      <w:pPr>
        <w:ind w:left="2480"/>
        <w:spacing w:after="0" w:line="238" w:lineRule="auto"/>
        <w:rPr>
          <w:sz w:val="20"/>
          <w:szCs w:val="20"/>
          <w:color w:val="auto"/>
        </w:rPr>
      </w:pPr>
      <w:r>
        <w:rPr>
          <w:rFonts w:ascii="Courier New" w:cs="Courier New" w:eastAsia="Courier New" w:hAnsi="Courier New"/>
          <w:sz w:val="17"/>
          <w:szCs w:val="17"/>
          <w:color w:val="auto"/>
        </w:rPr>
        <w:t>SECURITIES EXCHANGE ACT OF 1934</w:t>
      </w:r>
    </w:p>
    <w:p>
      <w:pPr>
        <w:spacing w:after="0" w:line="190" w:lineRule="exact"/>
        <w:rPr>
          <w:sz w:val="24"/>
          <w:szCs w:val="24"/>
          <w:color w:val="auto"/>
        </w:rPr>
      </w:pPr>
    </w:p>
    <w:p>
      <w:pPr>
        <w:ind w:left="1000"/>
        <w:spacing w:after="0"/>
        <w:rPr>
          <w:sz w:val="20"/>
          <w:szCs w:val="20"/>
          <w:color w:val="auto"/>
        </w:rPr>
      </w:pPr>
      <w:r>
        <w:rPr>
          <w:rFonts w:ascii="Courier New" w:cs="Courier New" w:eastAsia="Courier New" w:hAnsi="Courier New"/>
          <w:sz w:val="17"/>
          <w:szCs w:val="17"/>
          <w:color w:val="auto"/>
        </w:rPr>
        <w:t>Date of Report (Date of earliest event reported): February 3, 2005</w:t>
      </w:r>
    </w:p>
    <w:p>
      <w:pPr>
        <w:spacing w:after="0" w:line="19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COMCAST CORPORATION</w:t>
      </w:r>
    </w:p>
    <w:p>
      <w:pPr>
        <w:ind w:left="1300"/>
        <w:spacing w:after="0" w:line="238" w:lineRule="auto"/>
        <w:rPr>
          <w:sz w:val="20"/>
          <w:szCs w:val="20"/>
          <w:color w:val="auto"/>
        </w:rPr>
      </w:pPr>
      <w:r>
        <w:rPr>
          <w:rFonts w:ascii="Courier New" w:cs="Courier New" w:eastAsia="Courier New" w:hAnsi="Courier New"/>
          <w:sz w:val="17"/>
          <w:szCs w:val="17"/>
          <w:color w:val="auto"/>
        </w:rPr>
        <w:t>------------------------------------------------------</w:t>
      </w:r>
    </w:p>
    <w:p>
      <w:pPr>
        <w:ind w:left="1300"/>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190" w:lineRule="exact"/>
        <w:rPr>
          <w:sz w:val="24"/>
          <w:szCs w:val="24"/>
          <w:color w:val="auto"/>
        </w:rPr>
      </w:pPr>
    </w:p>
    <w:tbl>
      <w:tblPr>
        <w:tblLayout w:type="fixed"/>
        <w:tblInd w:w="400" w:type="dxa"/>
        <w:tblCellMar>
          <w:top w:w="0" w:type="dxa"/>
          <w:left w:w="0" w:type="dxa"/>
          <w:bottom w:w="0" w:type="dxa"/>
          <w:right w:w="0" w:type="dxa"/>
        </w:tblCellMar>
      </w:tblPr>
      <w:tr>
        <w:trPr>
          <w:trHeight w:val="193"/>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Pennsylvania</w:t>
            </w:r>
          </w:p>
        </w:tc>
        <w:tc>
          <w:tcPr>
            <w:tcW w:w="214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000-50093</w:t>
            </w:r>
          </w:p>
        </w:tc>
        <w:tc>
          <w:tcPr>
            <w:tcW w:w="2440" w:type="dxa"/>
            <w:vAlign w:val="bottom"/>
          </w:tcPr>
          <w:p>
            <w:pPr>
              <w:ind w:left="940"/>
              <w:spacing w:after="0"/>
              <w:rPr>
                <w:sz w:val="20"/>
                <w:szCs w:val="20"/>
                <w:color w:val="auto"/>
              </w:rPr>
            </w:pPr>
            <w:r>
              <w:rPr>
                <w:rFonts w:ascii="Courier New" w:cs="Courier New" w:eastAsia="Courier New" w:hAnsi="Courier New"/>
                <w:sz w:val="17"/>
                <w:szCs w:val="17"/>
                <w:color w:val="auto"/>
              </w:rPr>
              <w:t>27-0000798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21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w w:val="96"/>
              </w:rPr>
              <w:t>----------------</w:t>
            </w:r>
          </w:p>
        </w:tc>
        <w:tc>
          <w:tcPr>
            <w:tcW w:w="2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(State or other</w:t>
            </w:r>
          </w:p>
        </w:tc>
        <w:tc>
          <w:tcPr>
            <w:tcW w:w="21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w w:val="96"/>
              </w:rPr>
              <w:t>(Commission file</w:t>
            </w:r>
          </w:p>
        </w:tc>
        <w:tc>
          <w:tcPr>
            <w:tcW w:w="244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(IRS employer</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jurisdiction of</w:t>
            </w:r>
          </w:p>
        </w:tc>
        <w:tc>
          <w:tcPr>
            <w:tcW w:w="2140" w:type="dxa"/>
            <w:vAlign w:val="bottom"/>
          </w:tcPr>
          <w:p>
            <w:pPr>
              <w:jc w:val="right"/>
              <w:ind w:right="857"/>
              <w:spacing w:after="0" w:line="191" w:lineRule="exact"/>
              <w:rPr>
                <w:sz w:val="20"/>
                <w:szCs w:val="20"/>
                <w:color w:val="auto"/>
              </w:rPr>
            </w:pPr>
            <w:r>
              <w:rPr>
                <w:rFonts w:ascii="Courier New" w:cs="Courier New" w:eastAsia="Courier New" w:hAnsi="Courier New"/>
                <w:sz w:val="17"/>
                <w:szCs w:val="17"/>
                <w:color w:val="auto"/>
              </w:rPr>
              <w:t>number)</w:t>
            </w:r>
          </w:p>
        </w:tc>
        <w:tc>
          <w:tcPr>
            <w:tcW w:w="24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w w:val="95"/>
              </w:rPr>
              <w:t>identification no.)</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incorporation)</w:t>
            </w:r>
          </w:p>
        </w:tc>
        <w:tc>
          <w:tcPr>
            <w:tcW w:w="214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383"/>
        </w:trPr>
        <w:tc>
          <w:tcPr>
            <w:tcW w:w="4720" w:type="dxa"/>
            <w:vAlign w:val="bottom"/>
            <w:gridSpan w:val="2"/>
          </w:tcPr>
          <w:p>
            <w:pPr>
              <w:jc w:val="right"/>
              <w:ind w:right="857"/>
              <w:spacing w:after="0"/>
              <w:rPr>
                <w:sz w:val="20"/>
                <w:szCs w:val="20"/>
                <w:color w:val="auto"/>
              </w:rPr>
            </w:pPr>
            <w:r>
              <w:rPr>
                <w:rFonts w:ascii="Courier New" w:cs="Courier New" w:eastAsia="Courier New" w:hAnsi="Courier New"/>
                <w:sz w:val="17"/>
                <w:szCs w:val="17"/>
                <w:color w:val="auto"/>
              </w:rPr>
              <w:t>1500 Market Street, Philadelphia, PA</w:t>
            </w:r>
          </w:p>
        </w:tc>
        <w:tc>
          <w:tcPr>
            <w:tcW w:w="2440" w:type="dxa"/>
            <w:vAlign w:val="bottom"/>
          </w:tcPr>
          <w:p>
            <w:pPr>
              <w:ind w:left="940"/>
              <w:spacing w:after="0"/>
              <w:rPr>
                <w:sz w:val="20"/>
                <w:szCs w:val="20"/>
                <w:color w:val="auto"/>
              </w:rPr>
            </w:pPr>
            <w:r>
              <w:rPr>
                <w:rFonts w:ascii="Courier New" w:cs="Courier New" w:eastAsia="Courier New" w:hAnsi="Courier New"/>
                <w:sz w:val="17"/>
                <w:szCs w:val="17"/>
                <w:color w:val="auto"/>
              </w:rPr>
              <w:t>19102-2148</w:t>
            </w:r>
          </w:p>
        </w:tc>
      </w:tr>
      <w:tr>
        <w:trPr>
          <w:trHeight w:val="191"/>
        </w:trPr>
        <w:tc>
          <w:tcPr>
            <w:tcW w:w="47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tcPr>
          <w:p>
            <w:pPr>
              <w:ind w:left="9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(Address of principal executive offices)</w:t>
            </w:r>
          </w:p>
        </w:tc>
        <w:tc>
          <w:tcPr>
            <w:tcW w:w="2440" w:type="dxa"/>
            <w:vAlign w:val="bottom"/>
          </w:tcPr>
          <w:p>
            <w:pPr>
              <w:ind w:left="940"/>
              <w:spacing w:after="0" w:line="191" w:lineRule="exact"/>
              <w:rPr>
                <w:sz w:val="20"/>
                <w:szCs w:val="20"/>
                <w:color w:val="auto"/>
              </w:rPr>
            </w:pPr>
            <w:r>
              <w:rPr>
                <w:rFonts w:ascii="Courier New" w:cs="Courier New" w:eastAsia="Courier New" w:hAnsi="Courier New"/>
                <w:sz w:val="17"/>
                <w:szCs w:val="17"/>
                <w:color w:val="auto"/>
              </w:rPr>
              <w:t>(Zip Code)</w:t>
            </w:r>
          </w:p>
        </w:tc>
      </w:tr>
    </w:tbl>
    <w:p>
      <w:pPr>
        <w:spacing w:after="0" w:line="190"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Registrant's telephone number, including area code (215) 665-1700</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52" w:lineRule="exact"/>
        <w:rPr>
          <w:sz w:val="24"/>
          <w:szCs w:val="24"/>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196" w:lineRule="exact"/>
        <w:rPr>
          <w:sz w:val="24"/>
          <w:szCs w:val="24"/>
          <w:color w:val="auto"/>
        </w:rPr>
      </w:pPr>
    </w:p>
    <w:p>
      <w:pPr>
        <w:ind w:right="2359" w:firstLine="796"/>
        <w:spacing w:after="0" w:line="254" w:lineRule="auto"/>
        <w:rPr>
          <w:sz w:val="20"/>
          <w:szCs w:val="20"/>
          <w:color w:val="auto"/>
        </w:rPr>
      </w:pPr>
      <w:r>
        <w:rPr>
          <w:rFonts w:ascii="Courier New" w:cs="Courier New" w:eastAsia="Courier New" w:hAnsi="Courier New"/>
          <w:sz w:val="16"/>
          <w:szCs w:val="16"/>
          <w:color w:val="auto"/>
        </w:rPr>
        <w:t>On February 3, 2005, Comcast Corporation ("Comcast") issued a press release reporting the results of its operations for the three and twelve months ended December 31, 2004.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181" w:lineRule="exact"/>
        <w:rPr>
          <w:sz w:val="24"/>
          <w:szCs w:val="24"/>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Item 9.01.</w:t>
      </w:r>
      <w:r>
        <w:rPr>
          <w:sz w:val="20"/>
          <w:szCs w:val="20"/>
          <w:color w:val="auto"/>
        </w:rPr>
        <w:tab/>
      </w:r>
      <w:r>
        <w:rPr>
          <w:rFonts w:ascii="Courier New" w:cs="Courier New" w:eastAsia="Courier New" w:hAnsi="Courier New"/>
          <w:sz w:val="16"/>
          <w:szCs w:val="16"/>
          <w:color w:val="auto"/>
        </w:rPr>
        <w:t>Exhibits</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Exhibit 99.1 Comcast Corporation press release dated February 3, 2005.</w:t>
      </w:r>
    </w:p>
    <w:p>
      <w:pPr>
        <w:sectPr>
          <w:pgSz w:w="11900" w:h="16838" w:orient="portrait"/>
          <w:cols w:equalWidth="0" w:num="1">
            <w:col w:w="10219"/>
          </w:cols>
          <w:pgMar w:left="240" w:top="244" w:right="1440" w:bottom="1440" w:gutter="0" w:footer="0" w:header="0"/>
        </w:sectPr>
      </w:pPr>
    </w:p>
    <w:bookmarkStart w:id="1" w:name="page2"/>
    <w:bookmarkEnd w:id="1"/>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jc w:val="both"/>
        <w:ind w:right="3059"/>
        <w:spacing w:after="0" w:line="23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83" w:right="1440" w:bottom="1440" w:gutter="0" w:footer="0" w:header="0"/>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3, 2005</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195" w:lineRule="exact"/>
        <w:rPr>
          <w:sz w:val="20"/>
          <w:szCs w:val="20"/>
          <w:color w:val="auto"/>
        </w:rPr>
      </w:pPr>
    </w:p>
    <w:p>
      <w:pPr>
        <w:sectPr>
          <w:pgSz w:w="11900" w:h="16838" w:orient="portrait"/>
          <w:cols w:equalWidth="0" w:num="3">
            <w:col w:w="600" w:space="200"/>
            <w:col w:w="1960" w:space="720"/>
            <w:col w:w="6739"/>
          </w:cols>
          <w:pgMar w:left="240" w:top="683" w:right="1440" w:bottom="1440" w:gutter="0" w:footer="0" w:header="0"/>
          <w:type w:val="continuous"/>
        </w:sectPr>
      </w:pP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 Lawrence J. Salva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Lawrence J. Salva</w:t>
      </w:r>
    </w:p>
    <w:p>
      <w:pPr>
        <w:spacing w:after="0" w:line="238" w:lineRule="auto"/>
        <w:rPr>
          <w:sz w:val="20"/>
          <w:szCs w:val="20"/>
          <w:color w:val="auto"/>
        </w:rPr>
      </w:pPr>
      <w:r>
        <w:rPr>
          <w:rFonts w:ascii="Courier New" w:cs="Courier New" w:eastAsia="Courier New" w:hAnsi="Courier New"/>
          <w:sz w:val="17"/>
          <w:szCs w:val="17"/>
          <w:color w:val="auto"/>
        </w:rPr>
        <w:t>Senior Vice President,</w:t>
      </w:r>
    </w:p>
    <w:p>
      <w:pPr>
        <w:spacing w:after="0" w:line="238" w:lineRule="auto"/>
        <w:rPr>
          <w:sz w:val="20"/>
          <w:szCs w:val="20"/>
          <w:color w:val="auto"/>
        </w:rPr>
      </w:pPr>
      <w:r>
        <w:rPr>
          <w:rFonts w:ascii="Courier New" w:cs="Courier New" w:eastAsia="Courier New" w:hAnsi="Courier New"/>
          <w:sz w:val="17"/>
          <w:szCs w:val="17"/>
          <w:color w:val="auto"/>
        </w:rPr>
        <w:t>Chief Accounting Officer and Controller</w:t>
      </w:r>
    </w:p>
    <w:p>
      <w:pPr>
        <w:spacing w:after="0"/>
        <w:rPr>
          <w:sz w:val="20"/>
          <w:szCs w:val="20"/>
          <w:color w:val="auto"/>
        </w:rPr>
      </w:pPr>
      <w:r>
        <w:rPr>
          <w:rFonts w:ascii="Courier New" w:cs="Courier New" w:eastAsia="Courier New" w:hAnsi="Courier New"/>
          <w:sz w:val="17"/>
          <w:szCs w:val="17"/>
          <w:color w:val="auto"/>
        </w:rPr>
        <w:t>(Principal Accounting Officer)</w:t>
      </w:r>
    </w:p>
    <w:p>
      <w:pPr>
        <w:sectPr>
          <w:pgSz w:w="11900" w:h="16838" w:orient="portrait"/>
          <w:cols w:equalWidth="0" w:num="2">
            <w:col w:w="3780" w:space="200"/>
            <w:col w:w="6239"/>
          </w:cols>
          <w:pgMar w:left="240" w:top="683" w:right="1440" w:bottom="1440" w:gutter="0" w:footer="0" w:header="0"/>
          <w:type w:val="continuous"/>
        </w:sectPr>
      </w:pPr>
    </w:p>
    <w:bookmarkStart w:id="2" w:name="page3"/>
    <w:bookmarkEnd w:id="2"/>
    <w:p>
      <w:pPr>
        <w:jc w:val="right"/>
        <w:ind w:right="2259"/>
        <w:spacing w:after="0"/>
        <w:rPr>
          <w:sz w:val="20"/>
          <w:szCs w:val="20"/>
          <w:color w:val="auto"/>
        </w:rPr>
      </w:pPr>
      <w:r>
        <w:rPr>
          <w:rFonts w:ascii="Courier New" w:cs="Courier New" w:eastAsia="Courier New" w:hAnsi="Courier New"/>
          <w:sz w:val="17"/>
          <w:szCs w:val="17"/>
          <w:color w:val="auto"/>
        </w:rPr>
        <w:t>Exhibit 99.1</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COMCAST REPORTS FOURTH QUARTER AND YEAR END 2004 RESULTS</w:t>
      </w:r>
    </w:p>
    <w:p>
      <w:pPr>
        <w:spacing w:after="0" w:line="196" w:lineRule="exact"/>
        <w:rPr>
          <w:sz w:val="20"/>
          <w:szCs w:val="20"/>
          <w:color w:val="auto"/>
        </w:rPr>
      </w:pPr>
    </w:p>
    <w:p>
      <w:pPr>
        <w:jc w:val="right"/>
        <w:ind w:left="200" w:right="2459"/>
        <w:spacing w:after="0" w:line="259" w:lineRule="auto"/>
        <w:rPr>
          <w:sz w:val="20"/>
          <w:szCs w:val="20"/>
          <w:color w:val="auto"/>
        </w:rPr>
      </w:pPr>
      <w:r>
        <w:rPr>
          <w:rFonts w:ascii="Courier New" w:cs="Courier New" w:eastAsia="Courier New" w:hAnsi="Courier New"/>
          <w:sz w:val="16"/>
          <w:szCs w:val="16"/>
          <w:color w:val="auto"/>
        </w:rPr>
        <w:t>Comcast Reports Record Number of High-Speed Internet Subscriber Additions in 2004; Adds 1.7 Million New Customers to End 2004 with 7 Million Subscribers</w:t>
      </w:r>
    </w:p>
    <w:p>
      <w:pPr>
        <w:spacing w:after="0" w:line="176"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Cable Revenue Increased 10.4% to $19.321 Billion and</w:t>
      </w:r>
    </w:p>
    <w:p>
      <w:pPr>
        <w:ind w:left="700"/>
        <w:spacing w:after="0" w:line="238" w:lineRule="auto"/>
        <w:rPr>
          <w:sz w:val="20"/>
          <w:szCs w:val="20"/>
          <w:color w:val="auto"/>
        </w:rPr>
      </w:pPr>
      <w:r>
        <w:rPr>
          <w:rFonts w:ascii="Courier New" w:cs="Courier New" w:eastAsia="Courier New" w:hAnsi="Courier New"/>
          <w:sz w:val="17"/>
          <w:szCs w:val="17"/>
          <w:color w:val="auto"/>
        </w:rPr>
        <w:t>Cable Operating Cash Flow Increased 17.6% to $7.473 Billion in 2004</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Consolidated Operating Income in 2004 Increased 48.8% to $2.908 Billion</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Expect Strong Growth to Continue in 2005</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PHILADELPHIA, Feb. 3 -- Comcast Corporation (Nasdaq: CMCSA, CMCSK) today reported results for the quarter and year ended December 31, 2004. Comcast will discuss its 2004 results and 2005 outlook on a conference call and webcast today at 8:30 AM Eastern Time. A live broadcast of the conference call will be available on the investor relations website at http://www.cmcsa.com and http://www.cmcsk.com.</w:t>
      </w:r>
    </w:p>
    <w:p>
      <w:pPr>
        <w:spacing w:after="0" w:line="198" w:lineRule="exact"/>
        <w:rPr>
          <w:sz w:val="20"/>
          <w:szCs w:val="20"/>
          <w:color w:val="auto"/>
        </w:rPr>
      </w:pPr>
    </w:p>
    <w:p>
      <w:pPr>
        <w:ind w:right="2659" w:firstLine="497"/>
        <w:spacing w:after="0" w:line="254" w:lineRule="auto"/>
        <w:rPr>
          <w:sz w:val="20"/>
          <w:szCs w:val="20"/>
          <w:color w:val="auto"/>
        </w:rPr>
      </w:pPr>
      <w:r>
        <w:rPr>
          <w:rFonts w:ascii="Courier New" w:cs="Courier New" w:eastAsia="Courier New" w:hAnsi="Courier New"/>
          <w:sz w:val="16"/>
          <w:szCs w:val="16"/>
          <w:color w:val="auto"/>
        </w:rPr>
        <w:t>Brian L. Roberts, Chairman and CEO of Comcast Corporation said, "We are delighted to report terrific results for 2004 that include surpassing $20 billion in revenue for the first time in our history. Cable division revenue increased more than 10% to $19.3 billion, and cable Operating Cash Flow increased nearly 18% to $7.5 billion. We generated nearly $2 billion of Free Cash Flow, made strategic investments to drive product differentiation and growth, and returned $1.3 billion to shareholders through our stock buyback program. As we begin 2005, we are well positioned for sustained growth."</w:t>
      </w:r>
    </w:p>
    <w:p>
      <w:pPr>
        <w:spacing w:after="0" w:line="18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"Our 2004 results demonstrate clear consumer demand for all of our new product offerings, led by Comcast High-Speed Internet that added a record 1.7 million new customers in 2004. We expect robust customer additions to continue in 2005 as we maintain our focus on adding new applications and value to this service."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"More than 8.6 million, or 40%, of our subscribers now subscribe to Comcast Digital Cable, enjoying new digital features like ON DEMAND, HDTV programming and DVR functionality. Our ON DEMAND service is taking off - our customers ordered more than 560 million ON DEMAND programs during 2004 and we expect to exceed one billion orders in 2005. With features like ON DEMAND now widely available to our customers, 2005 promises to be another great year for our video services."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"It is an exciting time at Comcast as we drive product innovation and differentiation in every area of our business. In 2004, we made several strategic investments in new technologies and content to strengthen our competitive advantage. I am thrilled with the way our talented team is enhancing our services, including our extensive and rapidly-growing ON DEMAND offering, our expanding portfolio of regional sports programming and our industry-leading Comcast.net portal. These features distinguish our video and high-speed Internet products and will contribute to our growth."</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2005, we will extend our product offerings even further with the introduction of Comcast Digital Voice. As we begin to integrate this new service with Comcast's video and High-Speed Internet services, our goal is to build a unique experience for our customers, to differentiate our products and our company from the competition, and to deliver growth and increasing value to our shareholders."</w:t>
      </w:r>
    </w:p>
    <w:p>
      <w:pPr>
        <w:spacing w:after="0" w:line="1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Comcast Cable Results</w:t>
      </w:r>
    </w:p>
    <w:p>
      <w:pPr>
        <w:spacing w:after="0" w:line="5"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Cable results are presented on a pro forma basis. Pro forma cable results adjust only for significant acquisitions and dispositions and are presented as if the acquisitions and dispositions were effective on January 1, 2003. Please refer to Table 7-A for a reconciliation of pro forma data.</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Fiscal Year 2004</w:t>
      </w:r>
    </w:p>
    <w:p>
      <w:pPr>
        <w:ind w:left="500"/>
        <w:spacing w:after="0" w:line="238" w:lineRule="auto"/>
        <w:rPr>
          <w:sz w:val="20"/>
          <w:szCs w:val="20"/>
          <w:color w:val="auto"/>
        </w:rPr>
      </w:pPr>
      <w:r>
        <w:rPr>
          <w:rFonts w:ascii="Courier New" w:cs="Courier New" w:eastAsia="Courier New" w:hAnsi="Courier New"/>
          <w:sz w:val="17"/>
          <w:szCs w:val="17"/>
          <w:color w:val="auto"/>
        </w:rPr>
        <w:t>Comcast Cable delivered solid results for 2004:</w:t>
      </w:r>
    </w:p>
    <w:p>
      <w:pPr>
        <w:sectPr>
          <w:pgSz w:w="11900" w:h="16838" w:orient="portrait"/>
          <w:cols w:equalWidth="0" w:num="1">
            <w:col w:w="10219"/>
          </w:cols>
          <w:pgMar w:left="240" w:top="135" w:right="1440" w:bottom="0" w:gutter="0" w:footer="0" w:header="0"/>
        </w:sect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Revenue growth</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left="-99"/>
        <w:spacing w:after="0"/>
        <w:rPr>
          <w:sz w:val="20"/>
          <w:szCs w:val="20"/>
          <w:color w:val="auto"/>
        </w:rPr>
      </w:pPr>
      <w:r>
        <w:rPr>
          <w:rFonts w:ascii="Courier New" w:cs="Courier New" w:eastAsia="Courier New" w:hAnsi="Courier New"/>
          <w:sz w:val="17"/>
          <w:szCs w:val="17"/>
          <w:color w:val="auto"/>
        </w:rPr>
        <w:t>Guidance</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Approximately 10%</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Results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10.4%</w:t>
      </w:r>
    </w:p>
    <w:p>
      <w:pPr>
        <w:spacing w:after="0" w:line="196" w:lineRule="exact"/>
        <w:rPr>
          <w:sz w:val="20"/>
          <w:szCs w:val="20"/>
          <w:color w:val="auto"/>
        </w:rPr>
      </w:pPr>
    </w:p>
    <w:p>
      <w:pPr>
        <w:sectPr>
          <w:pgSz w:w="11900" w:h="16838" w:orient="portrait"/>
          <w:cols w:equalWidth="0" w:num="3">
            <w:col w:w="1900" w:space="680"/>
            <w:col w:w="3100" w:space="180"/>
            <w:col w:w="4359"/>
          </w:cols>
          <w:pgMar w:left="240" w:top="135" w:right="1440" w:bottom="0" w:gutter="0" w:footer="0" w:header="0"/>
          <w:type w:val="continuous"/>
        </w:sectPr>
      </w:pPr>
    </w:p>
    <w:p>
      <w:pPr>
        <w:ind w:left="500"/>
        <w:spacing w:after="0"/>
        <w:rPr>
          <w:sz w:val="20"/>
          <w:szCs w:val="20"/>
          <w:color w:val="auto"/>
        </w:rPr>
      </w:pPr>
      <w:r>
        <w:rPr>
          <w:rFonts w:ascii="Courier New" w:cs="Courier New" w:eastAsia="Courier New" w:hAnsi="Courier New"/>
          <w:sz w:val="16"/>
          <w:szCs w:val="16"/>
          <w:color w:val="auto"/>
        </w:rPr>
        <w:t>Operating Cash Flow</w:t>
      </w:r>
    </w:p>
    <w:p>
      <w:pPr>
        <w:spacing w:after="0" w:line="20" w:lineRule="exact"/>
        <w:rPr>
          <w:sz w:val="20"/>
          <w:szCs w:val="20"/>
          <w:color w:val="auto"/>
        </w:rPr>
      </w:pPr>
      <w:r>
        <w:rPr>
          <w:sz w:val="20"/>
          <w:szCs w:val="20"/>
          <w:color w:val="auto"/>
        </w:rPr>
        <w:br w:type="column"/>
      </w:r>
    </w:p>
    <w:p>
      <w:pPr>
        <w:jc w:val="center"/>
        <w:spacing w:after="0" w:line="235" w:lineRule="auto"/>
        <w:rPr>
          <w:sz w:val="20"/>
          <w:szCs w:val="20"/>
          <w:color w:val="auto"/>
        </w:rPr>
      </w:pPr>
      <w:r>
        <w:rPr>
          <w:rFonts w:ascii="Courier New" w:cs="Courier New" w:eastAsia="Courier New" w:hAnsi="Courier New"/>
          <w:sz w:val="17"/>
          <w:szCs w:val="17"/>
          <w:color w:val="auto"/>
        </w:rPr>
        <w:t>Approximately $7.5 billion or 18% growth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$7.473 billion or</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17.6% growth</w:t>
      </w:r>
    </w:p>
    <w:p>
      <w:pPr>
        <w:spacing w:after="0" w:line="196" w:lineRule="exact"/>
        <w:rPr>
          <w:sz w:val="20"/>
          <w:szCs w:val="20"/>
          <w:color w:val="auto"/>
        </w:rPr>
      </w:pPr>
    </w:p>
    <w:p>
      <w:pPr>
        <w:sectPr>
          <w:pgSz w:w="11900" w:h="16838" w:orient="portrait"/>
          <w:cols w:equalWidth="0" w:num="3">
            <w:col w:w="2380" w:space="300"/>
            <w:col w:w="2900" w:space="280"/>
            <w:col w:w="4359"/>
          </w:cols>
          <w:pgMar w:left="240" w:top="135" w:right="1440" w:bottom="0" w:gutter="0" w:footer="0" w:header="0"/>
          <w:type w:val="continuous"/>
        </w:sectPr>
      </w:pPr>
    </w:p>
    <w:p>
      <w:pPr>
        <w:ind w:left="500"/>
        <w:spacing w:after="0"/>
        <w:rPr>
          <w:sz w:val="20"/>
          <w:szCs w:val="20"/>
          <w:color w:val="auto"/>
        </w:rPr>
      </w:pPr>
      <w:r>
        <w:rPr>
          <w:rFonts w:ascii="Courier New" w:cs="Courier New" w:eastAsia="Courier New" w:hAnsi="Courier New"/>
          <w:sz w:val="16"/>
          <w:szCs w:val="16"/>
          <w:color w:val="auto"/>
        </w:rPr>
        <w:t>Basic subscribers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Remain unchanged at 21.5 million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21.548 million</w:t>
      </w:r>
    </w:p>
    <w:p>
      <w:pPr>
        <w:spacing w:after="0" w:line="200" w:lineRule="exact"/>
        <w:rPr>
          <w:sz w:val="20"/>
          <w:szCs w:val="20"/>
          <w:color w:val="auto"/>
        </w:rPr>
      </w:pPr>
    </w:p>
    <w:p>
      <w:pPr>
        <w:sectPr>
          <w:pgSz w:w="11900" w:h="16838" w:orient="portrait"/>
          <w:cols w:equalWidth="0" w:num="3">
            <w:col w:w="2180" w:space="400"/>
            <w:col w:w="3200" w:space="280"/>
            <w:col w:w="4159"/>
          </w:cols>
          <w:pgMar w:left="240" w:top="135" w:right="1440" w:bottom="0" w:gutter="0" w:footer="0" w:header="0"/>
          <w:type w:val="continuous"/>
        </w:sectPr>
      </w:pPr>
    </w:p>
    <w:p>
      <w:pPr>
        <w:spacing w:after="0" w:line="1"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Digital subscribers</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6"/>
          <w:szCs w:val="16"/>
          <w:color w:val="auto"/>
        </w:rPr>
        <w:t>Approximately 1 million</w:t>
      </w:r>
    </w:p>
    <w:p>
      <w:pPr>
        <w:spacing w:after="0" w:line="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7"/>
          <w:szCs w:val="17"/>
          <w:color w:val="auto"/>
        </w:rPr>
        <w:t>net additions</w:t>
      </w:r>
    </w:p>
    <w:p>
      <w:pPr>
        <w:spacing w:after="0" w:line="20" w:lineRule="exact"/>
        <w:rPr>
          <w:sz w:val="20"/>
          <w:szCs w:val="20"/>
          <w:color w:val="auto"/>
        </w:rPr>
      </w:pPr>
      <w:r>
        <w:rPr>
          <w:sz w:val="20"/>
          <w:szCs w:val="20"/>
          <w:color w:val="auto"/>
        </w:rPr>
        <w:br w:type="column"/>
      </w:r>
    </w:p>
    <w:p>
      <w:pPr>
        <w:jc w:val="center"/>
        <w:ind w:right="2959"/>
        <w:spacing w:after="0"/>
        <w:rPr>
          <w:sz w:val="20"/>
          <w:szCs w:val="20"/>
          <w:color w:val="auto"/>
        </w:rPr>
      </w:pPr>
      <w:r>
        <w:rPr>
          <w:rFonts w:ascii="Courier New" w:cs="Courier New" w:eastAsia="Courier New" w:hAnsi="Courier New"/>
          <w:sz w:val="16"/>
          <w:szCs w:val="16"/>
          <w:color w:val="auto"/>
        </w:rPr>
        <w:t>990,000 net</w:t>
      </w:r>
    </w:p>
    <w:p>
      <w:pPr>
        <w:spacing w:after="0" w:line="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7"/>
          <w:szCs w:val="17"/>
          <w:color w:val="auto"/>
        </w:rPr>
        <w:t>additions</w:t>
      </w:r>
    </w:p>
    <w:p>
      <w:pPr>
        <w:sectPr>
          <w:pgSz w:w="11900" w:h="16838" w:orient="portrait"/>
          <w:cols w:equalWidth="0" w:num="3">
            <w:col w:w="2380" w:space="600"/>
            <w:col w:w="2460" w:space="720"/>
            <w:col w:w="4059"/>
          </w:cols>
          <w:pgMar w:left="240" w:top="135" w:right="1440" w:bottom="0" w:gutter="0" w:footer="0" w:header="0"/>
          <w:type w:val="continuous"/>
        </w:sectPr>
      </w:pPr>
    </w:p>
    <w:bookmarkStart w:id="3" w:name="page4"/>
    <w:bookmarkEnd w:id="3"/>
    <w:p>
      <w:pPr>
        <w:ind w:left="600" w:right="180" w:hanging="98"/>
        <w:spacing w:after="0" w:line="259" w:lineRule="auto"/>
        <w:rPr>
          <w:sz w:val="20"/>
          <w:szCs w:val="20"/>
          <w:color w:val="auto"/>
        </w:rPr>
      </w:pPr>
      <w:r>
        <w:rPr>
          <w:rFonts w:ascii="Courier New" w:cs="Courier New" w:eastAsia="Courier New" w:hAnsi="Courier New"/>
          <w:sz w:val="16"/>
          <w:szCs w:val="16"/>
          <w:color w:val="auto"/>
        </w:rPr>
        <w:t>High-speed Internet subscribers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1.6 to 1.7 million</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net additions</w:t>
      </w:r>
    </w:p>
    <w:p>
      <w:pPr>
        <w:spacing w:after="0" w:line="20" w:lineRule="exact"/>
        <w:rPr>
          <w:sz w:val="20"/>
          <w:szCs w:val="20"/>
          <w:color w:val="auto"/>
        </w:rPr>
      </w:pPr>
      <w:r>
        <w:rPr>
          <w:sz w:val="20"/>
          <w:szCs w:val="20"/>
          <w:color w:val="auto"/>
        </w:rPr>
        <w:br w:type="column"/>
      </w:r>
    </w:p>
    <w:p>
      <w:pPr>
        <w:jc w:val="center"/>
        <w:ind w:right="2659"/>
        <w:spacing w:after="0"/>
        <w:rPr>
          <w:sz w:val="20"/>
          <w:szCs w:val="20"/>
          <w:color w:val="auto"/>
        </w:rPr>
      </w:pPr>
      <w:r>
        <w:rPr>
          <w:rFonts w:ascii="Courier New" w:cs="Courier New" w:eastAsia="Courier New" w:hAnsi="Courier New"/>
          <w:sz w:val="16"/>
          <w:szCs w:val="16"/>
          <w:color w:val="auto"/>
        </w:rPr>
        <w:t>1.707 million net</w:t>
      </w:r>
    </w:p>
    <w:p>
      <w:pPr>
        <w:spacing w:after="0" w:line="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7"/>
          <w:szCs w:val="17"/>
          <w:color w:val="auto"/>
        </w:rPr>
        <w:t>additions</w:t>
      </w:r>
    </w:p>
    <w:p>
      <w:pPr>
        <w:spacing w:after="0" w:line="196" w:lineRule="exact"/>
        <w:rPr>
          <w:sz w:val="20"/>
          <w:szCs w:val="20"/>
          <w:color w:val="auto"/>
        </w:rPr>
      </w:pPr>
    </w:p>
    <w:p>
      <w:pPr>
        <w:sectPr>
          <w:pgSz w:w="11900" w:h="16838" w:orient="portrait"/>
          <w:cols w:equalWidth="0" w:num="3">
            <w:col w:w="2560" w:space="720"/>
            <w:col w:w="1860" w:space="720"/>
            <w:col w:w="4359"/>
          </w:cols>
          <w:pgMar w:left="240" w:top="142" w:right="1440" w:bottom="1440" w:gutter="0" w:footer="0" w:header="0"/>
        </w:sectPr>
      </w:pPr>
    </w:p>
    <w:p>
      <w:pPr>
        <w:ind w:left="500"/>
        <w:spacing w:after="0"/>
        <w:rPr>
          <w:sz w:val="20"/>
          <w:szCs w:val="20"/>
          <w:color w:val="auto"/>
        </w:rPr>
      </w:pPr>
      <w:r>
        <w:rPr>
          <w:rFonts w:ascii="Courier New" w:cs="Courier New" w:eastAsia="Courier New" w:hAnsi="Courier New"/>
          <w:sz w:val="16"/>
          <w:szCs w:val="16"/>
          <w:color w:val="auto"/>
        </w:rPr>
        <w:t>Cable phone subscribers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Decline by up to 100,000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Decline by 44,000</w:t>
      </w:r>
    </w:p>
    <w:p>
      <w:pPr>
        <w:spacing w:after="0" w:line="200" w:lineRule="exact"/>
        <w:rPr>
          <w:sz w:val="20"/>
          <w:szCs w:val="20"/>
          <w:color w:val="auto"/>
        </w:rPr>
      </w:pPr>
    </w:p>
    <w:p>
      <w:pPr>
        <w:sectPr>
          <w:pgSz w:w="11900" w:h="16838" w:orient="portrait"/>
          <w:cols w:equalWidth="0" w:num="3">
            <w:col w:w="2780" w:space="200"/>
            <w:col w:w="2400" w:space="480"/>
            <w:col w:w="4359"/>
          </w:cols>
          <w:pgMar w:left="240" w:top="142" w:right="1440" w:bottom="1440" w:gutter="0" w:footer="0" w:header="0"/>
          <w:type w:val="continuous"/>
        </w:sectPr>
      </w:pPr>
    </w:p>
    <w:p>
      <w:pPr>
        <w:spacing w:after="0" w:line="1"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Capital expenditures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$3.3 - $3.4 billion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$3.622 billion</w:t>
      </w:r>
    </w:p>
    <w:p>
      <w:pPr>
        <w:spacing w:after="0" w:line="200" w:lineRule="exact"/>
        <w:rPr>
          <w:sz w:val="20"/>
          <w:szCs w:val="20"/>
          <w:color w:val="auto"/>
        </w:rPr>
      </w:pPr>
    </w:p>
    <w:p>
      <w:pPr>
        <w:sectPr>
          <w:pgSz w:w="11900" w:h="16838" w:orient="portrait"/>
          <w:cols w:equalWidth="0" w:num="3">
            <w:col w:w="2480" w:space="700"/>
            <w:col w:w="2060" w:space="720"/>
            <w:col w:w="4259"/>
          </w:cols>
          <w:pgMar w:left="240" w:top="142" w:right="1440" w:bottom="1440" w:gutter="0" w:footer="0" w:header="0"/>
          <w:type w:val="continuous"/>
        </w:sectPr>
      </w:pPr>
    </w:p>
    <w:p>
      <w:pPr>
        <w:spacing w:after="0" w:line="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For the year ended December 31, 2004, Comcast Cable reported revenue of $19.321 billion, a 10.4% increase from the same period in 2003. Video revenue increased 6.5% during the period, reflecting the addition of 990,000 new digital cable subscribers and price increases to our video service. Growth in video revenue and digital subscribers also reflects increasing consumer demand for new digital features, including Comcast ON DEMAND, high-definition television (HDTV) programming and digital video recorders (DVRs). With more than 8.6 million subscribers, digital cable penetration reached 40.2% at December 31, 2004, an increase from the 35.6% penetration reported one year ago. During 2004, pay-per-view revenues increased nearly 21% to $393 million, driven by more movie and event purchases through the Comcast ON DEMAND service. Comcast Cable added 8,000 basic subscribers during 2004, ending the year at 21.548 million.</w:t>
      </w:r>
    </w:p>
    <w:p>
      <w:pPr>
        <w:sectPr>
          <w:pgSz w:w="11900" w:h="16838" w:orient="portrait"/>
          <w:cols w:equalWidth="0" w:num="1">
            <w:col w:w="10219"/>
          </w:cols>
          <w:pgMar w:left="240" w:top="142" w:right="1440" w:bottom="1440" w:gutter="0" w:footer="0" w:header="0"/>
          <w:type w:val="continuous"/>
        </w:sectPr>
      </w:pPr>
    </w:p>
    <w:bookmarkStart w:id="4" w:name="page5"/>
    <w:bookmarkEnd w:id="4"/>
    <w:p>
      <w:pPr>
        <w:jc w:val="both"/>
        <w:ind w:right="2259" w:firstLine="497"/>
        <w:spacing w:after="0" w:line="253" w:lineRule="auto"/>
        <w:rPr>
          <w:sz w:val="20"/>
          <w:szCs w:val="20"/>
          <w:color w:val="auto"/>
        </w:rPr>
      </w:pPr>
      <w:r>
        <w:rPr>
          <w:rFonts w:ascii="Courier New" w:cs="Courier New" w:eastAsia="Courier New" w:hAnsi="Courier New"/>
          <w:sz w:val="16"/>
          <w:szCs w:val="16"/>
          <w:color w:val="auto"/>
        </w:rPr>
        <w:t>Comcast High-Speed Internet service revenue increased 38.6% during the year ended December 31, 2004, to $3.124 billion, reflecting the record addition of</w:t>
      </w:r>
    </w:p>
    <w:p>
      <w:pPr>
        <w:jc w:val="both"/>
        <w:ind w:right="2259"/>
        <w:spacing w:after="0" w:line="236" w:lineRule="auto"/>
        <w:rPr>
          <w:sz w:val="20"/>
          <w:szCs w:val="20"/>
          <w:color w:val="auto"/>
        </w:rPr>
      </w:pPr>
      <w:r>
        <w:rPr>
          <w:rFonts w:ascii="Courier New" w:cs="Courier New" w:eastAsia="Courier New" w:hAnsi="Courier New"/>
          <w:sz w:val="17"/>
          <w:szCs w:val="17"/>
          <w:color w:val="auto"/>
        </w:rPr>
        <w:t>1.707 million new subscribers and stable average monthly revenue per subscriber for the year of $42.41 compared to $42.20 for 2003. Comcast High-Speed Internet service is now available to 40 million homes, almost all of Comcast's footprint, as compared to 35 million homes at the start of 2004.</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Advertising revenue increased 15.7% from the year-ago period to $1.287 billion, reflecting growth of 7.0% in local advertising and growth of 23.3% in regional/national advertising as a result of the ongoing success of our regional interconnect strategy and a significant increase in political advertising during the third and fourth quarters of 2004.</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expected, cable phone revenue declined 12.5% during 2004 to $701 million, the result of a 3.4% decrease in subscribers and a 4.9% decrease in average monthly revenue per subscriber to $46.90. Cable phone results reflect the Company's ongoing focus on profitability, rather than unit growth, of its circuit-switched telephone business as it begins the transition to Comcast Digital Voice service using IP technology in 2005. Comcast expects to market Comcast Digital Voice service to 15 million homes by the end of 2005 with most markets launching in the second half of the year. Excluding phone revenue, which is expected to continue to decline in 2005, total revenue for Comcast Cable increased 11.5% during 2004 to $18.620 billion.</w:t>
      </w:r>
    </w:p>
    <w:p>
      <w:pPr>
        <w:spacing w:after="0" w:line="202"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Comcast Cable operating income before depreciation and amortization (Operating Cash Flow) grew 17.6% during 2004 to $7.473 billion, reflecting strong revenue growth and the Company's continuing success in controlling the growth of expenses in nearly every area of the business.</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Cable capital expenditures for the year ended December 31, 2004, declined 11.6% to $3.622 billion compared to $4.097 billion in the prior year. The decline in 2004 cable capital expenditures reflects a $512 million, or 36% decrease in upgrade investment due to the substantial completion of the Company's cable system upgrade. Upgrade capital expenditures of $902 million in 2004 will decline further in 2005, by approximately 75% due to the substantial completion of our cable system upgrade. Capital expenditures were approximately $200 million greater than guidance due primarily to the purchase of advanced set-top boxes at the end of December 2004.</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Fourth Quarter 2004</w:t>
      </w:r>
    </w:p>
    <w:p>
      <w:pPr>
        <w:spacing w:after="0" w:line="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For the quarter ended December 31, 2004, Comcast Cable reported revenue of $4.987 billion, representing a 10.6% increase from the prior year quarter. Video revenue increased 5.9% during the period, reflecting the addition of digital cable subscribers and price increases to our video service. Comcast Cable added more than 250,000 digital cable subscribers during the fourth quarter to end the period with greater than 8.6 million subscribers. Comcast Cable added 60,000 basic subscribers during the seasonally strong fourth quarter of 2004, ending the year at 21.548 million.</w:t>
      </w:r>
    </w:p>
    <w:p>
      <w:pPr>
        <w:spacing w:after="0" w:line="200" w:lineRule="exact"/>
        <w:rPr>
          <w:sz w:val="20"/>
          <w:szCs w:val="20"/>
          <w:color w:val="auto"/>
        </w:rPr>
      </w:pPr>
    </w:p>
    <w:p>
      <w:pPr>
        <w:ind w:right="2559" w:firstLine="497"/>
        <w:spacing w:after="0" w:line="255" w:lineRule="auto"/>
        <w:rPr>
          <w:sz w:val="20"/>
          <w:szCs w:val="20"/>
          <w:color w:val="auto"/>
        </w:rPr>
      </w:pPr>
      <w:r>
        <w:rPr>
          <w:rFonts w:ascii="Courier New" w:cs="Courier New" w:eastAsia="Courier New" w:hAnsi="Courier New"/>
          <w:sz w:val="16"/>
          <w:szCs w:val="16"/>
          <w:color w:val="auto"/>
        </w:rPr>
        <w:t>During the fourth quarter of 2004, Comcast Cable added more than 437,000 high-speed internet subscribers to end the quarter with nearly 7.0 million subscribers. Revenues for this service increased 35.9% from the prior year quarter to $855 million, reflecting solid subscriber growth and slightly</w:t>
      </w:r>
    </w:p>
    <w:p>
      <w:pPr>
        <w:sectPr>
          <w:pgSz w:w="11900" w:h="16838" w:orient="portrait"/>
          <w:cols w:equalWidth="0" w:num="1">
            <w:col w:w="10219"/>
          </w:cols>
          <w:pgMar w:left="240" w:top="690" w:right="1440" w:bottom="1440" w:gutter="0" w:footer="0" w:header="0"/>
        </w:sectPr>
      </w:pPr>
    </w:p>
    <w:bookmarkStart w:id="5" w:name="page6"/>
    <w:bookmarkEnd w:id="5"/>
    <w:p>
      <w:pPr>
        <w:ind w:right="2259"/>
        <w:spacing w:after="0" w:line="237" w:lineRule="auto"/>
        <w:rPr>
          <w:sz w:val="20"/>
          <w:szCs w:val="20"/>
          <w:color w:val="auto"/>
        </w:rPr>
      </w:pPr>
      <w:r>
        <w:rPr>
          <w:rFonts w:ascii="Courier New" w:cs="Courier New" w:eastAsia="Courier New" w:hAnsi="Courier New"/>
          <w:sz w:val="17"/>
          <w:szCs w:val="17"/>
          <w:color w:val="auto"/>
        </w:rPr>
        <w:t>higher average monthly revenue per subscriber for the quarter of $42.07, an increase from $41.33 during the same quarter of 2003. Advertising revenue increased 17.2% from the fourth quarter of 2003 to $369 million, including increased political advertising during the quarter. Cable phone revenue declined 5.2% from the same period one year ago to $173 million, primarily due to fewer subscribers in the fourth quarter of 2004 compared to 2003. Comcast Cable added more than 10,000 phone subscribers in the fourth quarter of 2004.</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Operating Cash Flow grew 15.2% from the same quarter one year ago to $1.974 billion, reflecting strong revenue growth and the Company's success in controlling the growth of operating costs. Comcast Cable capital expenditures were $1.044 billion in the fourth quarter of 2004 compared to $1.052 billion in the fourth quarter of 2003.</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Content</w:t>
      </w:r>
    </w:p>
    <w:p>
      <w:pPr>
        <w:spacing w:after="0" w:line="5" w:lineRule="exact"/>
        <w:rPr>
          <w:sz w:val="20"/>
          <w:szCs w:val="20"/>
          <w:color w:val="auto"/>
        </w:rPr>
      </w:pPr>
    </w:p>
    <w:p>
      <w:pPr>
        <w:ind w:right="2759" w:firstLine="497"/>
        <w:spacing w:after="0" w:line="256" w:lineRule="auto"/>
        <w:rPr>
          <w:sz w:val="20"/>
          <w:szCs w:val="20"/>
          <w:color w:val="auto"/>
        </w:rPr>
      </w:pPr>
      <w:r>
        <w:rPr>
          <w:rFonts w:ascii="Courier New" w:cs="Courier New" w:eastAsia="Courier New" w:hAnsi="Courier New"/>
          <w:sz w:val="16"/>
          <w:szCs w:val="16"/>
          <w:color w:val="auto"/>
        </w:rPr>
        <w:t>Comcast's content segment consists of the national networks E! Entertainment Television and Style Network (E! Networks), The Golf Channel, Outdoor Life Network, G4techTV and International Channel Networks.</w:t>
      </w:r>
    </w:p>
    <w:p>
      <w:pPr>
        <w:spacing w:after="0" w:line="17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Comcast's content businesses reported strong results in 2004:</w:t>
      </w:r>
    </w:p>
    <w:p>
      <w:pPr>
        <w:spacing w:after="0" w:line="190"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2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7"/>
                <w:szCs w:val="17"/>
                <w:color w:val="auto"/>
              </w:rPr>
              <w:t>Results Comparable</w:t>
            </w:r>
          </w:p>
        </w:tc>
        <w:tc>
          <w:tcPr>
            <w:tcW w:w="900" w:type="dxa"/>
            <w:vAlign w:val="bottom"/>
          </w:tcPr>
          <w:p>
            <w:pPr>
              <w:ind w:left="200"/>
              <w:spacing w:after="0"/>
              <w:rPr>
                <w:sz w:val="20"/>
                <w:szCs w:val="20"/>
                <w:color w:val="auto"/>
              </w:rPr>
            </w:pPr>
            <w:r>
              <w:rPr>
                <w:rFonts w:ascii="Courier New" w:cs="Courier New" w:eastAsia="Courier New" w:hAnsi="Courier New"/>
                <w:sz w:val="17"/>
                <w:szCs w:val="17"/>
                <w:color w:val="auto"/>
                <w:w w:val="95"/>
              </w:rPr>
              <w:t>Segment</w:t>
            </w:r>
          </w:p>
        </w:tc>
      </w:tr>
      <w:tr>
        <w:trPr>
          <w:trHeight w:val="191"/>
        </w:trPr>
        <w:tc>
          <w:tcPr>
            <w:tcW w:w="2780" w:type="dxa"/>
            <w:vAlign w:val="bottom"/>
          </w:tcPr>
          <w:p>
            <w:pPr>
              <w:spacing w:after="0"/>
              <w:rPr>
                <w:sz w:val="16"/>
                <w:szCs w:val="16"/>
                <w:color w:val="auto"/>
              </w:rPr>
            </w:pPr>
          </w:p>
        </w:tc>
        <w:tc>
          <w:tcPr>
            <w:tcW w:w="154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Guidance (1)</w:t>
            </w:r>
          </w:p>
        </w:tc>
        <w:tc>
          <w:tcPr>
            <w:tcW w:w="2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6"/>
              </w:rPr>
              <w:t>to Guidance (1)</w:t>
            </w:r>
          </w:p>
        </w:tc>
        <w:tc>
          <w:tcPr>
            <w:tcW w:w="9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5"/>
              </w:rPr>
              <w:t>Results</w:t>
            </w:r>
          </w:p>
        </w:tc>
      </w:tr>
      <w:tr>
        <w:trPr>
          <w:trHeight w:val="191"/>
        </w:trPr>
        <w:tc>
          <w:tcPr>
            <w:tcW w:w="2780" w:type="dxa"/>
            <w:vAlign w:val="bottom"/>
          </w:tcPr>
          <w:p>
            <w:pPr>
              <w:spacing w:after="0"/>
              <w:rPr>
                <w:sz w:val="16"/>
                <w:szCs w:val="16"/>
                <w:color w:val="auto"/>
              </w:rPr>
            </w:pPr>
          </w:p>
        </w:tc>
        <w:tc>
          <w:tcPr>
            <w:tcW w:w="15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2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Revenue growth</w:t>
            </w:r>
          </w:p>
        </w:tc>
        <w:tc>
          <w:tcPr>
            <w:tcW w:w="1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At least</w:t>
            </w:r>
          </w:p>
        </w:tc>
        <w:tc>
          <w:tcPr>
            <w:tcW w:w="5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w:t>
            </w:r>
          </w:p>
        </w:tc>
        <w:tc>
          <w:tcPr>
            <w:tcW w:w="2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4"/>
              </w:rPr>
              <w:t>20.8%</w:t>
            </w:r>
          </w:p>
        </w:tc>
        <w:tc>
          <w:tcPr>
            <w:tcW w:w="9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25.3%</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 growth</w:t>
            </w:r>
          </w:p>
        </w:tc>
        <w:tc>
          <w:tcPr>
            <w:tcW w:w="1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At least</w:t>
            </w:r>
          </w:p>
        </w:tc>
        <w:tc>
          <w:tcPr>
            <w:tcW w:w="5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30%</w:t>
            </w:r>
          </w:p>
        </w:tc>
        <w:tc>
          <w:tcPr>
            <w:tcW w:w="2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4"/>
              </w:rPr>
              <w:t>29.0%</w:t>
            </w:r>
          </w:p>
        </w:tc>
        <w:tc>
          <w:tcPr>
            <w:tcW w:w="9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24.0%</w:t>
            </w:r>
          </w:p>
        </w:tc>
      </w:tr>
    </w:tbl>
    <w:p>
      <w:pPr>
        <w:spacing w:after="0" w:line="196" w:lineRule="exact"/>
        <w:rPr>
          <w:sz w:val="20"/>
          <w:szCs w:val="20"/>
          <w:color w:val="auto"/>
        </w:rPr>
      </w:pPr>
    </w:p>
    <w:p>
      <w:pPr>
        <w:ind w:left="900" w:right="2859" w:hanging="401"/>
        <w:spacing w:after="0" w:line="235" w:lineRule="auto"/>
        <w:tabs>
          <w:tab w:leader="none" w:pos="9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Guidance excluded the results of TechTV and International Channel Networks that were acquired during the year.</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content businesses essentially met guidance for the year that excluded the results of TechTV and International Channel Networks. The content businesses posted solid results reflecting double digit revenue growth at all of the networks and strong growth in Operating Cash Flow.</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Comcast's content segment reported 2004 revenue for the year ended December 31, 2004, of $787 million, a 25.3% increase from 2003 reflecting increases in distribution and advertising revenue for all of the networks and the inclusion of TechTV and International Channel Networks in the 2004 results. The Content segment reported Operating Cash Flow of $265 million in 2004, a 24.0% year over year increase to 2003, reflecting strong growth at The Golf Channel and Outdoor Life Network offset by higher operating expenses at E! Networks and the inclusion of TechTV and International Channel Networks in the 2004 results.</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For the quarter ended December 31, 2004, Comcast's Content segment reported revenue of $205 million, a 23.4% increase compared to the prior year period, and Operating Cash Flow of $57 million, a decline of 2.8% from the fourth quarter of 2003. The decline in fourth quarter 2004 Operating Cash Flow was due to strong growth at the Outdoor Life Network offset by higher operating expenses at E! Networks and G4techTV.</w:t>
      </w:r>
    </w:p>
    <w:p>
      <w:pPr>
        <w:sectPr>
          <w:pgSz w:w="11900" w:h="16838" w:orient="portrait"/>
          <w:cols w:equalWidth="0" w:num="1">
            <w:col w:w="10219"/>
          </w:cols>
          <w:pgMar w:left="240" w:top="690" w:right="1440" w:bottom="1440" w:gutter="0" w:footer="0" w:header="0"/>
        </w:sectPr>
      </w:pPr>
    </w:p>
    <w:bookmarkStart w:id="6" w:name="page7"/>
    <w:bookmarkEnd w:id="6"/>
    <w:p>
      <w:pPr>
        <w:ind w:left="500"/>
        <w:spacing w:after="0"/>
        <w:rPr>
          <w:sz w:val="20"/>
          <w:szCs w:val="20"/>
          <w:color w:val="auto"/>
        </w:rPr>
      </w:pPr>
      <w:r>
        <w:rPr>
          <w:rFonts w:ascii="Courier New" w:cs="Courier New" w:eastAsia="Courier New" w:hAnsi="Courier New"/>
          <w:sz w:val="17"/>
          <w:szCs w:val="17"/>
          <w:color w:val="auto"/>
        </w:rPr>
        <w:t>Corporate and Other</w:t>
      </w:r>
    </w:p>
    <w:p>
      <w:pPr>
        <w:spacing w:after="0" w:line="5" w:lineRule="exact"/>
        <w:rPr>
          <w:sz w:val="20"/>
          <w:szCs w:val="20"/>
          <w:color w:val="auto"/>
        </w:rPr>
      </w:pPr>
    </w:p>
    <w:p>
      <w:pPr>
        <w:jc w:val="both"/>
        <w:ind w:right="2459" w:firstLine="497"/>
        <w:spacing w:after="0" w:line="254" w:lineRule="auto"/>
        <w:rPr>
          <w:sz w:val="20"/>
          <w:szCs w:val="20"/>
          <w:color w:val="auto"/>
        </w:rPr>
      </w:pPr>
      <w:r>
        <w:rPr>
          <w:rFonts w:ascii="Courier New" w:cs="Courier New" w:eastAsia="Courier New" w:hAnsi="Courier New"/>
          <w:sz w:val="16"/>
          <w:szCs w:val="16"/>
          <w:color w:val="auto"/>
        </w:rPr>
        <w:t>Corporate and Other includes Comcast-Spectacor, corporate overhead and other operations and eliminations between Comcast's businesses. For the year ended December 31, 2004, Comcast reported Corporate and Other revenue of $204 million and an Operating Cash Flow loss of $205 million compared to revenue of $228 million and an Operating Cash Flow loss of $172 million in 2003.</w:t>
      </w:r>
    </w:p>
    <w:p>
      <w:pPr>
        <w:spacing w:after="0" w:line="1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For the three months ended December 31, 2004, Corporate and Other revenue declined to $43 million from the $69 million reported in the same period of 2003. The Operating Cash Flow loss for the quarter ended December 31, 2004, was $45 million compared to $51 million in 2003. Results for the year and quarter ended December 31, 2004, were impacted by the absence of National Hockey League games.</w:t>
      </w:r>
    </w:p>
    <w:p>
      <w:pPr>
        <w:spacing w:after="0" w:line="1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Consolidated Results</w:t>
      </w:r>
    </w:p>
    <w:p>
      <w:pPr>
        <w:spacing w:after="0" w:line="5"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Comcast sold its 57% ownership interest in QVC in September 2003. QVC's results, prior to its sale, are presented as discontinued operations. Consolidated amounts primarily reflect the results of the cable division, as discussed above.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For the year ended December 31, 2004, the Company reported consolidated revenues of $20.307 billion, a 10.7% increase from the $18.348 billion reported in 2003. Consolidated Operating Cash Flow increased to $7.531 billion, or 17.8%, in 2004 from the $6.392 billion reported in the prior year. Operating income increased 48.8% to $2.908 billion in 2004 compared to operating income of $1.954 billion in 2003. Investment income increased from a loss of $84 million in 2003 to income of $472 million in 2004. The increase in investment income was due to mark-to-market adjustments to our investment portfolio. Other income increased from $71 million in 2003 to $394 million in 2004, reflecting the positive impact of the settlement of previously disclosed litigation for an amount significantly less than previously estimated.</w:t>
      </w:r>
    </w:p>
    <w:p>
      <w:pPr>
        <w:spacing w:after="0" w:line="20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For the year ended December 31, 2004, the Company reported consolidated net income of $970 million, or $0.43 per share compared to a consolidated loss from continuing operations of $218 million, or a loss of $0.10 per share in 2003. Please refer to the "Reconciliation of Net Income to Free Cash Flow" in Table</w:t>
      </w:r>
    </w:p>
    <w:p>
      <w:pPr>
        <w:spacing w:after="0" w:line="1"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7-B at the end of this release and the Company's Form 10-K for further details on items affecting net income.</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Comcast reported significant Free Cash Flow in 2004:</w:t>
      </w:r>
    </w:p>
    <w:p>
      <w:pPr>
        <w:sectPr>
          <w:pgSz w:w="11900" w:h="16838" w:orient="portrait"/>
          <w:cols w:equalWidth="0" w:num="1">
            <w:col w:w="10219"/>
          </w:cols>
          <w:pgMar w:left="240" w:top="683"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Consolidated Free Cash Flow</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Guidance</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 billion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Results</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$1.937 billion</w:t>
      </w:r>
    </w:p>
    <w:p>
      <w:pPr>
        <w:spacing w:after="0" w:line="200" w:lineRule="exact"/>
        <w:rPr>
          <w:sz w:val="20"/>
          <w:szCs w:val="20"/>
          <w:color w:val="auto"/>
        </w:rPr>
      </w:pPr>
    </w:p>
    <w:p>
      <w:pPr>
        <w:sectPr>
          <w:pgSz w:w="11900" w:h="16838" w:orient="portrait"/>
          <w:cols w:equalWidth="0" w:num="3">
            <w:col w:w="3180" w:space="700"/>
            <w:col w:w="1000" w:space="500"/>
            <w:col w:w="4839"/>
          </w:cols>
          <w:pgMar w:left="240" w:top="683" w:right="1440" w:bottom="1440" w:gutter="0" w:footer="0" w:header="0"/>
          <w:type w:val="continuous"/>
        </w:sectPr>
      </w:pPr>
    </w:p>
    <w:p>
      <w:pPr>
        <w:spacing w:after="0" w:line="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Free Cash Flow (which is defined in Table 4) was $1.937 billion in 2004, a significant increase from the $74 million of Free Cash Flow reported in 2003. The increase was driven by growth in Operating Cash Flow and lower capital expenditures as a result of the substantial completion of the Company's cable system upgrade. Free Cash Flow results for 2004 were slightly less than guidance of $2 billion due to increased capital expenditures in December 2004, as described above.</w:t>
      </w:r>
    </w:p>
    <w:p>
      <w:pPr>
        <w:sectPr>
          <w:pgSz w:w="11900" w:h="16838" w:orient="portrait"/>
          <w:cols w:equalWidth="0" w:num="1">
            <w:col w:w="10219"/>
          </w:cols>
          <w:pgMar w:left="240" w:top="683" w:right="1440" w:bottom="1440" w:gutter="0" w:footer="0" w:header="0"/>
          <w:type w:val="continuous"/>
        </w:sectPr>
      </w:pPr>
    </w:p>
    <w:bookmarkStart w:id="7" w:name="page8"/>
    <w:bookmarkEnd w:id="7"/>
    <w:p>
      <w:pPr>
        <w:ind w:right="2259" w:firstLine="497"/>
        <w:spacing w:after="0" w:line="253" w:lineRule="auto"/>
        <w:rPr>
          <w:sz w:val="20"/>
          <w:szCs w:val="20"/>
          <w:color w:val="auto"/>
        </w:rPr>
      </w:pPr>
      <w:r>
        <w:rPr>
          <w:rFonts w:ascii="Courier New" w:cs="Courier New" w:eastAsia="Courier New" w:hAnsi="Courier New"/>
          <w:sz w:val="16"/>
          <w:szCs w:val="16"/>
          <w:color w:val="auto"/>
        </w:rPr>
        <w:t>For the three months ended December 31, 2004, the Company reported consolidated revenues of $5.235 billion, a 10.4% increase from the $4.742 billion reported in the same period of 2003. Consolidated Operating Cash Flow increased to $1.986 billion, or 15.5%, in the fourth quarter of 2004 from the $1.720 billion reported in the same prior year period. Operating income decreased 4.1% to $711 million in the fourth quarter of 2004 compared to operating income of $742 million in 2003. The decline in operating income was due to higher depreciation expense related to capital expenditures in 2004 and the effect of acquisition adjustments that lowered amortization expense in the fourth quarter of 2003. Other income increased from $11 million in 2003 to $312 million in 2004, reflecting the positive impact of the settlement of previously disclosed litigation for an amount significantly less than previously estimated.</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For the three months ended December 31, 2004, the Company reported consolidated net income of $423 million, or $0.19 per share compared to consolidated income from continuing operations of $383 million, or $0.17 per share for the three months ended December 31, 2003. Please refer to the "Reconciliation of Net Income to Free Cash Flow" in Table 7-B at the end of this release and the Company's Form 10-K for further details on items affecting net income.</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Share Repurchase Program</w:t>
      </w:r>
    </w:p>
    <w:p>
      <w:pPr>
        <w:ind w:left="500"/>
        <w:spacing w:after="0" w:line="238" w:lineRule="auto"/>
        <w:rPr>
          <w:sz w:val="20"/>
          <w:szCs w:val="20"/>
          <w:color w:val="auto"/>
        </w:rPr>
      </w:pPr>
      <w:r>
        <w:rPr>
          <w:rFonts w:ascii="Courier New" w:cs="Courier New" w:eastAsia="Courier New" w:hAnsi="Courier New"/>
          <w:sz w:val="17"/>
          <w:szCs w:val="17"/>
          <w:color w:val="auto"/>
        </w:rPr>
        <w:t>Comcast repurchased $1.3 billion, or 46.9 million shares, of its common</w:t>
      </w:r>
    </w:p>
    <w:p>
      <w:pPr>
        <w:spacing w:after="0" w:line="238" w:lineRule="auto"/>
        <w:rPr>
          <w:sz w:val="20"/>
          <w:szCs w:val="20"/>
          <w:color w:val="auto"/>
        </w:rPr>
      </w:pPr>
      <w:r>
        <w:rPr>
          <w:rFonts w:ascii="Courier New" w:cs="Courier New" w:eastAsia="Courier New" w:hAnsi="Courier New"/>
          <w:sz w:val="17"/>
          <w:szCs w:val="17"/>
          <w:color w:val="auto"/>
        </w:rPr>
        <w:t>stock under its stock repurchase program during 2004. Comcast expects such</w:t>
      </w:r>
    </w:p>
    <w:p>
      <w:pPr>
        <w:spacing w:after="0"/>
        <w:rPr>
          <w:sz w:val="20"/>
          <w:szCs w:val="20"/>
          <w:color w:val="auto"/>
        </w:rPr>
      </w:pPr>
      <w:r>
        <w:rPr>
          <w:rFonts w:ascii="Courier New" w:cs="Courier New" w:eastAsia="Courier New" w:hAnsi="Courier New"/>
          <w:sz w:val="17"/>
          <w:szCs w:val="17"/>
          <w:color w:val="auto"/>
        </w:rPr>
        <w:t>repurchases to continue to occur from time to time in the open market or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private transactions, subject to market conditions. During the fourth quarter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2004, Comcast repurchased $303 million, or 10.1 million shares of its common</w:t>
      </w:r>
    </w:p>
    <w:p>
      <w:pPr>
        <w:spacing w:after="0" w:line="238" w:lineRule="auto"/>
        <w:rPr>
          <w:sz w:val="20"/>
          <w:szCs w:val="20"/>
          <w:color w:val="auto"/>
        </w:rPr>
      </w:pPr>
      <w:r>
        <w:rPr>
          <w:rFonts w:ascii="Courier New" w:cs="Courier New" w:eastAsia="Courier New" w:hAnsi="Courier New"/>
          <w:sz w:val="17"/>
          <w:szCs w:val="17"/>
          <w:color w:val="auto"/>
        </w:rPr>
        <w:t>stock.</w:t>
      </w:r>
    </w:p>
    <w:p>
      <w:pPr>
        <w:spacing w:after="0" w:line="197"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In addition, the Company elected to redeem, in cash, several debt issues during 2004 for a total of $609 million that were exchangeable into Comcast Class A Special Common Stock, eliminating the need to issue 22.5 million additional shares.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Since the inception of the program in December 2003 through December 31, 2004, the Company has repurchased $1.4 billion of its Class A Special Common Stock, or 47.8 million shares, under its $2 billion share repurchase program. Including the $609 million paid in cash to redeem several debt issues exchangeable into Comcast common stock, the Company has invested $2.0 billion in its common stock and related securities.</w:t>
      </w:r>
    </w:p>
    <w:p>
      <w:pPr>
        <w:spacing w:after="0" w:line="1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2005 Financial Outlook:</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For 2005, Comcast expects:</w:t>
      </w:r>
    </w:p>
    <w:p>
      <w:pPr>
        <w:spacing w:after="0" w:line="190" w:lineRule="exact"/>
        <w:rPr>
          <w:sz w:val="20"/>
          <w:szCs w:val="20"/>
          <w:color w:val="auto"/>
        </w:rPr>
      </w:pPr>
    </w:p>
    <w:p>
      <w:pPr>
        <w:ind w:left="1000" w:hanging="501"/>
        <w:spacing w:after="0"/>
        <w:tabs>
          <w:tab w:leader="none" w:pos="10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revenue growth of approximately 10%</w:t>
      </w:r>
    </w:p>
    <w:p>
      <w:pPr>
        <w:ind w:left="1000" w:hanging="501"/>
        <w:spacing w:after="0" w:line="238" w:lineRule="auto"/>
        <w:tabs>
          <w:tab w:leader="none" w:pos="10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Operating Cash Flow growth of at least 12%*</w:t>
      </w:r>
    </w:p>
    <w:p>
      <w:pPr>
        <w:ind w:left="1000" w:hanging="501"/>
        <w:spacing w:after="0" w:line="238" w:lineRule="auto"/>
        <w:tabs>
          <w:tab w:leader="none" w:pos="10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capital expenditures of approximately $3 billion</w:t>
      </w:r>
    </w:p>
    <w:p>
      <w:pPr>
        <w:ind w:left="1000" w:hanging="501"/>
        <w:spacing w:after="0" w:line="238" w:lineRule="auto"/>
        <w:tabs>
          <w:tab w:leader="none" w:pos="10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Free Cash Flow growth of between 35% and 45%*</w:t>
      </w:r>
    </w:p>
    <w:p>
      <w:pPr>
        <w:ind w:left="1000" w:hanging="501"/>
        <w:spacing w:after="0" w:line="238" w:lineRule="auto"/>
        <w:tabs>
          <w:tab w:leader="none" w:pos="10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Revenue Generating Unit growth of at least 2.5 million units</w:t>
      </w:r>
    </w:p>
    <w:p>
      <w:pPr>
        <w:spacing w:after="0" w:line="197" w:lineRule="exact"/>
        <w:rPr>
          <w:sz w:val="20"/>
          <w:szCs w:val="20"/>
          <w:color w:val="auto"/>
        </w:rPr>
      </w:pPr>
    </w:p>
    <w:p>
      <w:pPr>
        <w:ind w:left="700" w:right="3359" w:hanging="201"/>
        <w:spacing w:after="0" w:line="259" w:lineRule="auto"/>
        <w:tabs>
          <w:tab w:leader="none" w:pos="7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any impact from the adoption of SFAS No. 123R (Accounting for stock-based compensation), expected in 2005.</w:t>
      </w:r>
    </w:p>
    <w:p>
      <w:pPr>
        <w:sectPr>
          <w:pgSz w:w="11900" w:h="16838" w:orient="portrait"/>
          <w:cols w:equalWidth="0" w:num="1">
            <w:col w:w="10219"/>
          </w:cols>
          <w:pgMar w:left="240" w:top="690" w:right="1440" w:bottom="1440" w:gutter="0" w:footer="0" w:header="0"/>
        </w:sectPr>
      </w:pPr>
    </w:p>
    <w:bookmarkStart w:id="8" w:name="page9"/>
    <w:bookmarkEnd w:id="8"/>
    <w:p>
      <w:pPr>
        <w:ind w:right="2359" w:firstLine="497"/>
        <w:spacing w:after="0" w:line="254" w:lineRule="auto"/>
        <w:rPr>
          <w:sz w:val="20"/>
          <w:szCs w:val="20"/>
          <w:color w:val="auto"/>
        </w:rPr>
      </w:pPr>
      <w:r>
        <w:rPr>
          <w:rFonts w:ascii="Courier New" w:cs="Courier New" w:eastAsia="Courier New" w:hAnsi="Courier New"/>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for a description of such risks and uncertainties.</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this discussion we sometimes refer to financial measures that are not presented according to generally accepted accounting principles (GAAP). Certain of these measures are considered "non-GAAP financial measures" under the Securities and Exchange Commission (SEC) regulations; those rules require the supplemental explanation and reconciliation provided in Table 7 of this release. All percentages are calculated based on actual amounts. Minor differences may exist due to rounding.</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Comcast Corporation will host a conference call with the financial community today February 3, 2005 at 8:30 a.m. Eastern Time (ET). The conference call will be broadcast live on the Company's Investor Relations website at http://www.cmcsa.com or http://www.cmcsk.com. A recording of the call will be available on the Investor Relations website starting at 12:30 p.m. ET on February 3, 2005. Those parties interested in participating via telephone should dial (847) 413-2408. A telephone replay will begin immediately following the call until February 4, 2005 at midnight ET. To access the rebroadcast, please dial (630) 652-3000 and enter passcode number 10679571#. To automatically receive Comcast financial news by email, please visit http://www.cmcsa.com or http://www.cmcsk.com and subscribe to e-mail alerts.</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Comcast Corporation (http://www.comcast.com) is principally involved in the development, management and operation of broadband cable networks and in the provision of programming content. The Company is the largest provider of cable and broadband services in the United States, serving more than 21 million cable television subscribers and 7 million high-speed Internet customers. The Company's content businesses include Comcast SportsNet, Comcast-Spectacor, E! Entertainment Television, Style Network, G4techTV, The Golf Channel, International Channel Networks and Outdoor Life Network. Comcast Class A common stock and Class A Special common stock trade on The NASDAQ Stock Market under the symbols CMCSA and CMCSK, respectively.</w:t>
      </w:r>
    </w:p>
    <w:p>
      <w:pPr>
        <w:sectPr>
          <w:pgSz w:w="11900" w:h="16838" w:orient="portrait"/>
          <w:cols w:equalWidth="0" w:num="1">
            <w:col w:w="10219"/>
          </w:cols>
          <w:pgMar w:left="240" w:top="690" w:right="1440" w:bottom="1440" w:gutter="0" w:footer="0" w:header="0"/>
        </w:sectPr>
      </w:pPr>
    </w:p>
    <w:bookmarkStart w:id="9" w:name="page10"/>
    <w:bookmarkEnd w:id="9"/>
    <w:p>
      <w:pPr>
        <w:jc w:val="center"/>
        <w:ind w:right="2159"/>
        <w:spacing w:after="0"/>
        <w:rPr>
          <w:sz w:val="20"/>
          <w:szCs w:val="20"/>
          <w:color w:val="auto"/>
        </w:rPr>
      </w:pPr>
      <w:r>
        <w:rPr>
          <w:rFonts w:ascii="Courier New" w:cs="Courier New" w:eastAsia="Courier New" w:hAnsi="Courier New"/>
          <w:sz w:val="17"/>
          <w:szCs w:val="17"/>
          <w:color w:val="auto"/>
        </w:rPr>
        <w:t>COMCAST CORPORATION</w:t>
      </w:r>
    </w:p>
    <w:p>
      <w:pPr>
        <w:jc w:val="center"/>
        <w:ind w:right="2159"/>
        <w:spacing w:after="0" w:line="238" w:lineRule="auto"/>
        <w:rPr>
          <w:sz w:val="20"/>
          <w:szCs w:val="20"/>
          <w:color w:val="auto"/>
        </w:rPr>
      </w:pPr>
      <w:r>
        <w:rPr>
          <w:rFonts w:ascii="Courier New" w:cs="Courier New" w:eastAsia="Courier New" w:hAnsi="Courier New"/>
          <w:sz w:val="17"/>
          <w:szCs w:val="17"/>
          <w:color w:val="auto"/>
        </w:rPr>
        <w:t>Table 1</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Condensed Consolidated Statement of Operations (Unaudited)</w:t>
      </w:r>
    </w:p>
    <w:p>
      <w:pPr>
        <w:jc w:val="center"/>
        <w:ind w:right="2259"/>
        <w:spacing w:after="0" w:line="238" w:lineRule="auto"/>
        <w:rPr>
          <w:sz w:val="20"/>
          <w:szCs w:val="20"/>
          <w:color w:val="auto"/>
        </w:rPr>
      </w:pPr>
      <w:r>
        <w:rPr>
          <w:rFonts w:ascii="Courier New" w:cs="Courier New" w:eastAsia="Courier New" w:hAnsi="Courier New"/>
          <w:sz w:val="17"/>
          <w:szCs w:val="17"/>
          <w:color w:val="auto"/>
        </w:rPr>
        <w:t>(amounts in millions, except per share data)</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00" w:type="dxa"/>
            <w:vAlign w:val="bottom"/>
            <w:gridSpan w:val="3"/>
          </w:tcPr>
          <w:p>
            <w:pPr>
              <w:jc w:val="right"/>
              <w:ind w:right="677"/>
              <w:spacing w:after="0"/>
              <w:rPr>
                <w:sz w:val="20"/>
                <w:szCs w:val="20"/>
                <w:color w:val="auto"/>
              </w:rPr>
            </w:pPr>
            <w:r>
              <w:rPr>
                <w:rFonts w:ascii="Courier New" w:cs="Courier New" w:eastAsia="Courier New" w:hAnsi="Courier New"/>
                <w:sz w:val="17"/>
                <w:szCs w:val="17"/>
                <w:color w:val="auto"/>
              </w:rPr>
              <w:t>Three Months</w:t>
            </w:r>
          </w:p>
        </w:tc>
        <w:tc>
          <w:tcPr>
            <w:tcW w:w="300" w:type="dxa"/>
            <w:vAlign w:val="bottom"/>
          </w:tcPr>
          <w:p>
            <w:pPr>
              <w:spacing w:after="0"/>
              <w:rPr>
                <w:sz w:val="16"/>
                <w:szCs w:val="16"/>
                <w:color w:val="auto"/>
              </w:rPr>
            </w:pPr>
          </w:p>
        </w:tc>
        <w:tc>
          <w:tcPr>
            <w:tcW w:w="2140" w:type="dxa"/>
            <w:vAlign w:val="bottom"/>
            <w:gridSpan w:val="3"/>
          </w:tcPr>
          <w:p>
            <w:pPr>
              <w:jc w:val="right"/>
              <w:ind w:right="517"/>
              <w:spacing w:after="0"/>
              <w:rPr>
                <w:sz w:val="20"/>
                <w:szCs w:val="20"/>
                <w:color w:val="auto"/>
              </w:rPr>
            </w:pPr>
            <w:r>
              <w:rPr>
                <w:rFonts w:ascii="Courier New" w:cs="Courier New" w:eastAsia="Courier New" w:hAnsi="Courier New"/>
                <w:sz w:val="17"/>
                <w:szCs w:val="17"/>
                <w:color w:val="auto"/>
              </w:rPr>
              <w:t>Twelve Months</w:t>
            </w:r>
          </w:p>
        </w:tc>
      </w:tr>
      <w:tr>
        <w:trPr>
          <w:trHeight w:val="191"/>
        </w:trPr>
        <w:tc>
          <w:tcPr>
            <w:tcW w:w="3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Ended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Ended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00" w:type="dxa"/>
            <w:vAlign w:val="bottom"/>
            <w:gridSpan w:val="3"/>
          </w:tcPr>
          <w:p>
            <w:pPr>
              <w:jc w:val="right"/>
              <w:ind w:right="577"/>
              <w:spacing w:after="0" w:line="191" w:lineRule="exact"/>
              <w:rPr>
                <w:sz w:val="20"/>
                <w:szCs w:val="20"/>
                <w:color w:val="auto"/>
              </w:rPr>
            </w:pPr>
            <w:r>
              <w:rPr>
                <w:rFonts w:ascii="Courier New" w:cs="Courier New" w:eastAsia="Courier New" w:hAnsi="Courier New"/>
                <w:sz w:val="17"/>
                <w:szCs w:val="17"/>
                <w:color w:val="auto"/>
              </w:rPr>
              <w:t>December 31,</w:t>
            </w:r>
          </w:p>
        </w:tc>
        <w:tc>
          <w:tcPr>
            <w:tcW w:w="300" w:type="dxa"/>
            <w:vAlign w:val="bottom"/>
          </w:tcPr>
          <w:p>
            <w:pPr>
              <w:spacing w:after="0"/>
              <w:rPr>
                <w:sz w:val="16"/>
                <w:szCs w:val="16"/>
                <w:color w:val="auto"/>
              </w:rPr>
            </w:pPr>
          </w:p>
        </w:tc>
        <w:tc>
          <w:tcPr>
            <w:tcW w:w="2140" w:type="dxa"/>
            <w:vAlign w:val="bottom"/>
            <w:gridSpan w:val="3"/>
          </w:tcPr>
          <w:p>
            <w:pPr>
              <w:jc w:val="right"/>
              <w:ind w:right="417"/>
              <w:spacing w:after="0" w:line="191" w:lineRule="exact"/>
              <w:rPr>
                <w:sz w:val="20"/>
                <w:szCs w:val="20"/>
                <w:color w:val="auto"/>
              </w:rPr>
            </w:pPr>
            <w:r>
              <w:rPr>
                <w:rFonts w:ascii="Courier New" w:cs="Courier New" w:eastAsia="Courier New" w:hAnsi="Courier New"/>
                <w:sz w:val="17"/>
                <w:szCs w:val="17"/>
                <w:color w:val="auto"/>
              </w:rPr>
              <w:t>December 31,</w:t>
            </w:r>
          </w:p>
        </w:tc>
      </w:tr>
      <w:tr>
        <w:trPr>
          <w:trHeight w:val="191"/>
        </w:trPr>
        <w:tc>
          <w:tcPr>
            <w:tcW w:w="3940" w:type="dxa"/>
            <w:vAlign w:val="bottom"/>
          </w:tcPr>
          <w:p>
            <w:pPr>
              <w:spacing w:after="0"/>
              <w:rPr>
                <w:sz w:val="16"/>
                <w:szCs w:val="16"/>
                <w:color w:val="auto"/>
              </w:rPr>
            </w:pPr>
          </w:p>
        </w:tc>
        <w:tc>
          <w:tcPr>
            <w:tcW w:w="2780" w:type="dxa"/>
            <w:vAlign w:val="bottom"/>
            <w:gridSpan w:val="4"/>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2004</w:t>
            </w:r>
          </w:p>
        </w:tc>
        <w:tc>
          <w:tcPr>
            <w:tcW w:w="200" w:type="dxa"/>
            <w:vAlign w:val="bottom"/>
          </w:tcPr>
          <w:p>
            <w:pPr>
              <w:spacing w:after="0"/>
              <w:rPr>
                <w:sz w:val="16"/>
                <w:szCs w:val="16"/>
                <w:color w:val="auto"/>
              </w:rPr>
            </w:pPr>
          </w:p>
        </w:tc>
        <w:tc>
          <w:tcPr>
            <w:tcW w:w="9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2003</w:t>
            </w:r>
          </w:p>
        </w:tc>
        <w:tc>
          <w:tcPr>
            <w:tcW w:w="300" w:type="dxa"/>
            <w:vAlign w:val="bottom"/>
          </w:tcPr>
          <w:p>
            <w:pPr>
              <w:spacing w:after="0"/>
              <w:rPr>
                <w:sz w:val="16"/>
                <w:szCs w:val="16"/>
                <w:color w:val="auto"/>
              </w:rPr>
            </w:pP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2004</w:t>
            </w:r>
          </w:p>
        </w:tc>
        <w:tc>
          <w:tcPr>
            <w:tcW w:w="140" w:type="dxa"/>
            <w:vAlign w:val="bottom"/>
          </w:tcPr>
          <w:p>
            <w:pPr>
              <w:spacing w:after="0"/>
              <w:rPr>
                <w:sz w:val="16"/>
                <w:szCs w:val="16"/>
                <w:color w:val="auto"/>
              </w:rPr>
            </w:pPr>
          </w:p>
        </w:tc>
        <w:tc>
          <w:tcPr>
            <w:tcW w:w="8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2003</w:t>
            </w:r>
          </w:p>
        </w:tc>
      </w:tr>
      <w:tr>
        <w:trPr>
          <w:trHeight w:val="191"/>
        </w:trPr>
        <w:tc>
          <w:tcPr>
            <w:tcW w:w="3940" w:type="dxa"/>
            <w:vAlign w:val="bottom"/>
          </w:tcPr>
          <w:p>
            <w:pPr>
              <w:spacing w:after="0"/>
              <w:rPr>
                <w:sz w:val="16"/>
                <w:szCs w:val="16"/>
                <w:color w:val="auto"/>
              </w:rPr>
            </w:pPr>
          </w:p>
        </w:tc>
        <w:tc>
          <w:tcPr>
            <w:tcW w:w="16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w w:val="93"/>
              </w:rPr>
              <w:t>---------</w:t>
            </w:r>
          </w:p>
        </w:tc>
        <w:tc>
          <w:tcPr>
            <w:tcW w:w="14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383"/>
        </w:trPr>
        <w:tc>
          <w:tcPr>
            <w:tcW w:w="39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5,235</w:t>
            </w:r>
          </w:p>
        </w:tc>
        <w:tc>
          <w:tcPr>
            <w:tcW w:w="2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4,742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20,307</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18,348</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expenses</w:t>
            </w: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1,962</w:t>
            </w:r>
          </w:p>
        </w:tc>
        <w:tc>
          <w:tcPr>
            <w:tcW w:w="2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1,775</w:t>
            </w:r>
          </w:p>
        </w:tc>
        <w:tc>
          <w:tcPr>
            <w:tcW w:w="3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7,462</w:t>
            </w:r>
          </w:p>
        </w:tc>
        <w:tc>
          <w:tcPr>
            <w:tcW w:w="14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7,041</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Selling, general and administrative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expenses</w:t>
            </w: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1,287</w:t>
            </w:r>
          </w:p>
        </w:tc>
        <w:tc>
          <w:tcPr>
            <w:tcW w:w="2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1,247</w:t>
            </w:r>
          </w:p>
        </w:tc>
        <w:tc>
          <w:tcPr>
            <w:tcW w:w="3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5,314</w:t>
            </w:r>
          </w:p>
        </w:tc>
        <w:tc>
          <w:tcPr>
            <w:tcW w:w="14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4,915</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w:t>
            </w: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1,986</w:t>
            </w:r>
          </w:p>
        </w:tc>
        <w:tc>
          <w:tcPr>
            <w:tcW w:w="2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1,720</w:t>
            </w:r>
          </w:p>
        </w:tc>
        <w:tc>
          <w:tcPr>
            <w:tcW w:w="3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7,531</w:t>
            </w:r>
          </w:p>
        </w:tc>
        <w:tc>
          <w:tcPr>
            <w:tcW w:w="14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6,392</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w:t>
            </w: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940</w:t>
            </w:r>
          </w:p>
        </w:tc>
        <w:tc>
          <w:tcPr>
            <w:tcW w:w="2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796</w:t>
            </w:r>
          </w:p>
        </w:tc>
        <w:tc>
          <w:tcPr>
            <w:tcW w:w="3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3,420</w:t>
            </w:r>
          </w:p>
        </w:tc>
        <w:tc>
          <w:tcPr>
            <w:tcW w:w="14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3,166</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Amortization</w:t>
            </w: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335</w:t>
            </w:r>
          </w:p>
        </w:tc>
        <w:tc>
          <w:tcPr>
            <w:tcW w:w="2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182</w:t>
            </w:r>
          </w:p>
        </w:tc>
        <w:tc>
          <w:tcPr>
            <w:tcW w:w="3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1,203</w:t>
            </w:r>
          </w:p>
        </w:tc>
        <w:tc>
          <w:tcPr>
            <w:tcW w:w="14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1,272</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w:t>
            </w: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711</w:t>
            </w:r>
          </w:p>
        </w:tc>
        <w:tc>
          <w:tcPr>
            <w:tcW w:w="2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742</w:t>
            </w:r>
          </w:p>
        </w:tc>
        <w:tc>
          <w:tcPr>
            <w:tcW w:w="3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2,908</w:t>
            </w:r>
          </w:p>
        </w:tc>
        <w:tc>
          <w:tcPr>
            <w:tcW w:w="14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1,954</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480" w:type="dxa"/>
            <w:vAlign w:val="bottom"/>
          </w:tcPr>
          <w:p>
            <w:pPr>
              <w:spacing w:after="0"/>
              <w:rPr>
                <w:sz w:val="16"/>
                <w:szCs w:val="16"/>
                <w:color w:val="auto"/>
              </w:rPr>
            </w:pPr>
          </w:p>
        </w:tc>
        <w:tc>
          <w:tcPr>
            <w:tcW w:w="11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(457)</w:t>
            </w:r>
          </w:p>
        </w:tc>
        <w:tc>
          <w:tcPr>
            <w:tcW w:w="20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(439)</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(1,876)</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(2,018)</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Investment income (loss), net</w:t>
            </w: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241</w:t>
            </w:r>
          </w:p>
        </w:tc>
        <w:tc>
          <w:tcPr>
            <w:tcW w:w="2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323</w:t>
            </w:r>
          </w:p>
        </w:tc>
        <w:tc>
          <w:tcPr>
            <w:tcW w:w="3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472</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(84)</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Equity in net losses of affiliates</w:t>
            </w:r>
          </w:p>
        </w:tc>
        <w:tc>
          <w:tcPr>
            <w:tcW w:w="480" w:type="dxa"/>
            <w:vAlign w:val="bottom"/>
          </w:tcPr>
          <w:p>
            <w:pPr>
              <w:spacing w:after="0"/>
              <w:rPr>
                <w:sz w:val="16"/>
                <w:szCs w:val="16"/>
                <w:color w:val="auto"/>
              </w:rPr>
            </w:pPr>
          </w:p>
        </w:tc>
        <w:tc>
          <w:tcPr>
            <w:tcW w:w="11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(22)</w:t>
            </w:r>
          </w:p>
        </w:tc>
        <w:tc>
          <w:tcPr>
            <w:tcW w:w="20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(88)</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w:t>
            </w: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312</w:t>
            </w:r>
          </w:p>
        </w:tc>
        <w:tc>
          <w:tcPr>
            <w:tcW w:w="2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11</w:t>
            </w:r>
          </w:p>
        </w:tc>
        <w:tc>
          <w:tcPr>
            <w:tcW w:w="3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394</w:t>
            </w:r>
          </w:p>
        </w:tc>
        <w:tc>
          <w:tcPr>
            <w:tcW w:w="14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71</w:t>
            </w:r>
          </w:p>
        </w:tc>
      </w:tr>
      <w:tr>
        <w:trPr>
          <w:trHeight w:val="191"/>
        </w:trPr>
        <w:tc>
          <w:tcPr>
            <w:tcW w:w="3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74</w:t>
            </w:r>
          </w:p>
        </w:tc>
        <w:tc>
          <w:tcPr>
            <w:tcW w:w="20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(132)</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(1,098)</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(2,091)</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from Continuing</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before Income Taxes</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Minority Interest</w:t>
            </w: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785</w:t>
            </w:r>
          </w:p>
        </w:tc>
        <w:tc>
          <w:tcPr>
            <w:tcW w:w="2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610</w:t>
            </w:r>
          </w:p>
        </w:tc>
        <w:tc>
          <w:tcPr>
            <w:tcW w:w="3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1,810</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(137)</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tax (expense) benefit</w:t>
            </w:r>
          </w:p>
        </w:tc>
        <w:tc>
          <w:tcPr>
            <w:tcW w:w="480" w:type="dxa"/>
            <w:vAlign w:val="bottom"/>
          </w:tcPr>
          <w:p>
            <w:pPr>
              <w:spacing w:after="0"/>
              <w:rPr>
                <w:sz w:val="16"/>
                <w:szCs w:val="16"/>
                <w:color w:val="auto"/>
              </w:rPr>
            </w:pPr>
          </w:p>
        </w:tc>
        <w:tc>
          <w:tcPr>
            <w:tcW w:w="11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(360)</w:t>
            </w:r>
          </w:p>
        </w:tc>
        <w:tc>
          <w:tcPr>
            <w:tcW w:w="20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(215)</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(826)</w:t>
            </w:r>
          </w:p>
        </w:tc>
        <w:tc>
          <w:tcPr>
            <w:tcW w:w="14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from Continuing</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Before Minority Interest</w:t>
            </w: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425</w:t>
            </w:r>
          </w:p>
        </w:tc>
        <w:tc>
          <w:tcPr>
            <w:tcW w:w="2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395</w:t>
            </w:r>
          </w:p>
        </w:tc>
        <w:tc>
          <w:tcPr>
            <w:tcW w:w="3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984</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(121)</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Minority interest</w:t>
            </w:r>
          </w:p>
        </w:tc>
        <w:tc>
          <w:tcPr>
            <w:tcW w:w="480" w:type="dxa"/>
            <w:vAlign w:val="bottom"/>
          </w:tcPr>
          <w:p>
            <w:pPr>
              <w:spacing w:after="0"/>
              <w:rPr>
                <w:sz w:val="16"/>
                <w:szCs w:val="16"/>
                <w:color w:val="auto"/>
              </w:rPr>
            </w:pPr>
          </w:p>
        </w:tc>
        <w:tc>
          <w:tcPr>
            <w:tcW w:w="11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w:t>
            </w:r>
          </w:p>
        </w:tc>
        <w:tc>
          <w:tcPr>
            <w:tcW w:w="20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(97)</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from Continuing</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w:t>
            </w: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423</w:t>
            </w:r>
          </w:p>
        </w:tc>
        <w:tc>
          <w:tcPr>
            <w:tcW w:w="2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383</w:t>
            </w:r>
          </w:p>
        </w:tc>
        <w:tc>
          <w:tcPr>
            <w:tcW w:w="3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970</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(218)</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discontinued</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net of tax (1)</w:t>
            </w: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168</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Gain on discontinued</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operations, net of tax (1)</w:t>
            </w: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3,290</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423</w:t>
            </w:r>
          </w:p>
        </w:tc>
        <w:tc>
          <w:tcPr>
            <w:tcW w:w="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383</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970</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3,240</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earnings (loss)</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per common share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Income (loss) from continuing</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9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operations</w:t>
            </w:r>
          </w:p>
        </w:tc>
        <w:tc>
          <w:tcPr>
            <w:tcW w:w="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0.19</w:t>
            </w:r>
          </w:p>
        </w:tc>
        <w:tc>
          <w:tcPr>
            <w:tcW w:w="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0.17</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0.43</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(0.10)</w:t>
            </w:r>
          </w:p>
        </w:tc>
      </w:tr>
      <w:tr>
        <w:trPr>
          <w:trHeight w:val="191"/>
        </w:trPr>
        <w:tc>
          <w:tcPr>
            <w:tcW w:w="3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Income from discontinued</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9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operations</w:t>
            </w: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0.08</w:t>
            </w:r>
          </w:p>
        </w:tc>
      </w:tr>
      <w:tr>
        <w:trPr>
          <w:trHeight w:val="191"/>
        </w:trPr>
        <w:tc>
          <w:tcPr>
            <w:tcW w:w="3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Gain on discontinued operations</w:t>
            </w: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1.46</w:t>
            </w:r>
          </w:p>
        </w:tc>
      </w:tr>
      <w:tr>
        <w:trPr>
          <w:trHeight w:val="191"/>
        </w:trPr>
        <w:tc>
          <w:tcPr>
            <w:tcW w:w="3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Net Income per common share</w:t>
            </w:r>
          </w:p>
        </w:tc>
        <w:tc>
          <w:tcPr>
            <w:tcW w:w="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0.19</w:t>
            </w:r>
          </w:p>
        </w:tc>
        <w:tc>
          <w:tcPr>
            <w:tcW w:w="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0.17</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0.43</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1.44</w:t>
            </w:r>
          </w:p>
        </w:tc>
      </w:tr>
      <w:tr>
        <w:trPr>
          <w:trHeight w:val="191"/>
        </w:trPr>
        <w:tc>
          <w:tcPr>
            <w:tcW w:w="394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weighted average number of</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shares outstanding</w:t>
            </w:r>
          </w:p>
        </w:tc>
        <w:tc>
          <w:tcPr>
            <w:tcW w:w="48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2,228</w:t>
            </w:r>
          </w:p>
        </w:tc>
        <w:tc>
          <w:tcPr>
            <w:tcW w:w="2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2,269</w:t>
            </w:r>
          </w:p>
        </w:tc>
        <w:tc>
          <w:tcPr>
            <w:tcW w:w="3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2,250</w:t>
            </w:r>
          </w:p>
        </w:tc>
        <w:tc>
          <w:tcPr>
            <w:tcW w:w="14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2,256</w:t>
            </w:r>
          </w:p>
        </w:tc>
      </w:tr>
    </w:tbl>
    <w:p>
      <w:pPr>
        <w:spacing w:after="0" w:line="388" w:lineRule="exact"/>
        <w:rPr>
          <w:sz w:val="20"/>
          <w:szCs w:val="20"/>
          <w:color w:val="auto"/>
        </w:rPr>
      </w:pPr>
    </w:p>
    <w:p>
      <w:pPr>
        <w:ind w:left="500" w:right="2359" w:hanging="498"/>
        <w:spacing w:after="0" w:line="236"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September 17, 2003, the Company completed the sale of its approximate 57% interest in QVC, Inc. Accordingly, the results of QVC are presented as discontinued operations.</w:t>
      </w:r>
    </w:p>
    <w:p>
      <w:pPr>
        <w:sectPr>
          <w:pgSz w:w="11900" w:h="16838" w:orient="portrait"/>
          <w:cols w:equalWidth="0" w:num="1">
            <w:col w:w="10219"/>
          </w:cols>
          <w:pgMar w:left="240" w:top="683" w:right="1440" w:bottom="1440" w:gutter="0" w:footer="0" w:header="0"/>
        </w:sectPr>
      </w:pPr>
    </w:p>
    <w:bookmarkStart w:id="10" w:name="page11"/>
    <w:bookmarkEnd w:id="10"/>
    <w:p>
      <w:pPr>
        <w:jc w:val="center"/>
        <w:ind w:right="2159"/>
        <w:spacing w:after="0"/>
        <w:rPr>
          <w:sz w:val="20"/>
          <w:szCs w:val="20"/>
          <w:color w:val="auto"/>
        </w:rPr>
      </w:pPr>
      <w:r>
        <w:rPr>
          <w:rFonts w:ascii="Courier New" w:cs="Courier New" w:eastAsia="Courier New" w:hAnsi="Courier New"/>
          <w:sz w:val="17"/>
          <w:szCs w:val="17"/>
          <w:color w:val="auto"/>
        </w:rPr>
        <w:t>COMCAST CORPORATION</w:t>
      </w:r>
    </w:p>
    <w:p>
      <w:pPr>
        <w:jc w:val="center"/>
        <w:ind w:right="2159"/>
        <w:spacing w:after="0" w:line="238" w:lineRule="auto"/>
        <w:rPr>
          <w:sz w:val="20"/>
          <w:szCs w:val="20"/>
          <w:color w:val="auto"/>
        </w:rPr>
      </w:pPr>
      <w:r>
        <w:rPr>
          <w:rFonts w:ascii="Courier New" w:cs="Courier New" w:eastAsia="Courier New" w:hAnsi="Courier New"/>
          <w:sz w:val="17"/>
          <w:szCs w:val="17"/>
          <w:color w:val="auto"/>
        </w:rPr>
        <w:t>TABLE 2</w:t>
      </w:r>
    </w:p>
    <w:p>
      <w:pPr>
        <w:jc w:val="center"/>
        <w:ind w:right="2259"/>
        <w:spacing w:after="0" w:line="238" w:lineRule="auto"/>
        <w:rPr>
          <w:sz w:val="20"/>
          <w:szCs w:val="20"/>
          <w:color w:val="auto"/>
        </w:rPr>
      </w:pPr>
      <w:r>
        <w:rPr>
          <w:rFonts w:ascii="Courier New" w:cs="Courier New" w:eastAsia="Courier New" w:hAnsi="Courier New"/>
          <w:sz w:val="17"/>
          <w:szCs w:val="17"/>
          <w:color w:val="auto"/>
        </w:rPr>
        <w:t>Condensed Consolidated Balance Sheet (Unaudited)</w:t>
      </w:r>
    </w:p>
    <w:tbl>
      <w:tblPr>
        <w:tblLayout w:type="fixed"/>
        <w:tblInd w:w="0" w:type="dxa"/>
        <w:tblCellMar>
          <w:top w:w="0" w:type="dxa"/>
          <w:left w:w="0" w:type="dxa"/>
          <w:bottom w:w="0" w:type="dxa"/>
          <w:right w:w="0" w:type="dxa"/>
        </w:tblCellMar>
      </w:tblPr>
      <w:tr>
        <w:trPr>
          <w:trHeight w:val="192"/>
        </w:trPr>
        <w:tc>
          <w:tcPr>
            <w:tcW w:w="5120" w:type="dxa"/>
            <w:vAlign w:val="bottom"/>
            <w:gridSpan w:val="2"/>
          </w:tcPr>
          <w:p>
            <w:pPr>
              <w:ind w:left="2980"/>
              <w:spacing w:after="0"/>
              <w:rPr>
                <w:sz w:val="20"/>
                <w:szCs w:val="20"/>
                <w:color w:val="auto"/>
              </w:rPr>
            </w:pPr>
            <w:r>
              <w:rPr>
                <w:rFonts w:ascii="Courier New" w:cs="Courier New" w:eastAsia="Courier New" w:hAnsi="Courier New"/>
                <w:sz w:val="17"/>
                <w:szCs w:val="17"/>
                <w:color w:val="auto"/>
                <w:w w:val="98"/>
              </w:rPr>
              <w:t>(dollars in millions)</w:t>
            </w: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3"/>
        </w:trPr>
        <w:tc>
          <w:tcPr>
            <w:tcW w:w="4480" w:type="dxa"/>
            <w:vAlign w:val="bottom"/>
          </w:tcPr>
          <w:p>
            <w:pPr>
              <w:spacing w:after="0"/>
              <w:rPr>
                <w:sz w:val="24"/>
                <w:szCs w:val="24"/>
                <w:color w:val="auto"/>
              </w:rPr>
            </w:pPr>
          </w:p>
        </w:tc>
        <w:tc>
          <w:tcPr>
            <w:tcW w:w="164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December 31,</w:t>
            </w:r>
          </w:p>
        </w:tc>
        <w:tc>
          <w:tcPr>
            <w:tcW w:w="134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6"/>
              </w:rPr>
              <w:t>December 31,</w:t>
            </w:r>
          </w:p>
        </w:tc>
      </w:tr>
      <w:tr>
        <w:trPr>
          <w:trHeight w:val="191"/>
        </w:trPr>
        <w:tc>
          <w:tcPr>
            <w:tcW w:w="4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2004</w:t>
            </w:r>
          </w:p>
        </w:tc>
        <w:tc>
          <w:tcPr>
            <w:tcW w:w="400" w:type="dxa"/>
            <w:vAlign w:val="bottom"/>
          </w:tcPr>
          <w:p>
            <w:pPr>
              <w:spacing w:after="0"/>
              <w:rPr>
                <w:sz w:val="16"/>
                <w:szCs w:val="16"/>
                <w:color w:val="auto"/>
              </w:rPr>
            </w:pPr>
          </w:p>
        </w:tc>
        <w:tc>
          <w:tcPr>
            <w:tcW w:w="9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2003</w:t>
            </w:r>
          </w:p>
        </w:tc>
      </w:tr>
      <w:tr>
        <w:trPr>
          <w:trHeight w:val="191"/>
        </w:trPr>
        <w:tc>
          <w:tcPr>
            <w:tcW w:w="4480" w:type="dxa"/>
            <w:vAlign w:val="bottom"/>
          </w:tcPr>
          <w:p>
            <w:pPr>
              <w:spacing w:after="0"/>
              <w:rPr>
                <w:sz w:val="16"/>
                <w:szCs w:val="16"/>
                <w:color w:val="auto"/>
              </w:rPr>
            </w:pPr>
          </w:p>
        </w:tc>
        <w:tc>
          <w:tcPr>
            <w:tcW w:w="16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480" w:type="dxa"/>
            <w:vAlign w:val="bottom"/>
          </w:tcPr>
          <w:p>
            <w:pPr>
              <w:spacing w:after="0" w:line="191" w:lineRule="exact"/>
              <w:rPr>
                <w:sz w:val="20"/>
                <w:szCs w:val="20"/>
                <w:color w:val="auto"/>
              </w:rPr>
            </w:pPr>
            <w:r>
              <w:rPr>
                <w:rFonts w:ascii="Courier New" w:cs="Courier New" w:eastAsia="Courier New" w:hAnsi="Courier New"/>
                <w:sz w:val="17"/>
                <w:szCs w:val="17"/>
                <w:color w:val="auto"/>
              </w:rPr>
              <w:t>ASSETS</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3"/>
        </w:trPr>
        <w:tc>
          <w:tcPr>
            <w:tcW w:w="4480" w:type="dxa"/>
            <w:vAlign w:val="bottom"/>
          </w:tcPr>
          <w:p>
            <w:pPr>
              <w:ind w:left="200"/>
              <w:spacing w:after="0"/>
              <w:rPr>
                <w:sz w:val="20"/>
                <w:szCs w:val="20"/>
                <w:color w:val="auto"/>
              </w:rPr>
            </w:pPr>
            <w:r>
              <w:rPr>
                <w:rFonts w:ascii="Courier New" w:cs="Courier New" w:eastAsia="Courier New" w:hAnsi="Courier New"/>
                <w:sz w:val="17"/>
                <w:szCs w:val="17"/>
                <w:color w:val="auto"/>
              </w:rPr>
              <w:t>CURRENT ASSETS</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1"/>
        </w:trPr>
        <w:tc>
          <w:tcPr>
            <w:tcW w:w="44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Cash and cash equivalents</w:t>
            </w:r>
          </w:p>
        </w:tc>
        <w:tc>
          <w:tcPr>
            <w:tcW w:w="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452</w:t>
            </w:r>
          </w:p>
        </w:tc>
        <w:tc>
          <w:tcPr>
            <w:tcW w:w="4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1,550</w:t>
            </w:r>
          </w:p>
        </w:tc>
      </w:tr>
      <w:tr>
        <w:trPr>
          <w:trHeight w:val="191"/>
        </w:trPr>
        <w:tc>
          <w:tcPr>
            <w:tcW w:w="44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Investments</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1,555</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2,493</w:t>
            </w:r>
          </w:p>
        </w:tc>
      </w:tr>
      <w:tr>
        <w:trPr>
          <w:trHeight w:val="191"/>
        </w:trPr>
        <w:tc>
          <w:tcPr>
            <w:tcW w:w="44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Accounts receivable, net</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959</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907</w:t>
            </w:r>
          </w:p>
        </w:tc>
      </w:tr>
      <w:tr>
        <w:trPr>
          <w:trHeight w:val="191"/>
        </w:trPr>
        <w:tc>
          <w:tcPr>
            <w:tcW w:w="44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Other current assets</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450</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453</w:t>
            </w:r>
          </w:p>
        </w:tc>
      </w:tr>
      <w:tr>
        <w:trPr>
          <w:trHeight w:val="191"/>
        </w:trPr>
        <w:tc>
          <w:tcPr>
            <w:tcW w:w="4480" w:type="dxa"/>
            <w:vAlign w:val="bottom"/>
          </w:tcPr>
          <w:p>
            <w:pPr>
              <w:ind w:left="1200"/>
              <w:spacing w:after="0" w:line="191" w:lineRule="exact"/>
              <w:rPr>
                <w:sz w:val="20"/>
                <w:szCs w:val="20"/>
                <w:color w:val="auto"/>
              </w:rPr>
            </w:pPr>
            <w:r>
              <w:rPr>
                <w:rFonts w:ascii="Courier New" w:cs="Courier New" w:eastAsia="Courier New" w:hAnsi="Courier New"/>
                <w:sz w:val="17"/>
                <w:szCs w:val="17"/>
                <w:color w:val="auto"/>
              </w:rPr>
              <w:t>Total current assets</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3,416</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5,403</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INVESTMENTS</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12,812</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14,818</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PROPERTY AND EQUIPMENT, NET</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18,711</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18,473</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FRANCHISE RIGHTS</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51,071</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51,050</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GOODWILL</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14,320</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14,841</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INTANGIBLE ASSETS, net</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3,851</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3,859</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NONCURRENT ASSETS, net</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694</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715</w:t>
            </w:r>
          </w:p>
        </w:tc>
      </w:tr>
      <w:tr>
        <w:trPr>
          <w:trHeight w:val="191"/>
        </w:trPr>
        <w:tc>
          <w:tcPr>
            <w:tcW w:w="4480" w:type="dxa"/>
            <w:vAlign w:val="bottom"/>
          </w:tcPr>
          <w:p>
            <w:pPr>
              <w:spacing w:after="0"/>
              <w:rPr>
                <w:sz w:val="16"/>
                <w:szCs w:val="16"/>
                <w:color w:val="auto"/>
              </w:rPr>
            </w:pPr>
          </w:p>
        </w:tc>
        <w:tc>
          <w:tcPr>
            <w:tcW w:w="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104,875</w:t>
            </w:r>
          </w:p>
        </w:tc>
        <w:tc>
          <w:tcPr>
            <w:tcW w:w="4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109,159</w:t>
            </w:r>
          </w:p>
        </w:tc>
      </w:tr>
      <w:tr>
        <w:trPr>
          <w:trHeight w:val="382"/>
        </w:trPr>
        <w:tc>
          <w:tcPr>
            <w:tcW w:w="448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3"/>
        </w:trPr>
        <w:tc>
          <w:tcPr>
            <w:tcW w:w="4480" w:type="dxa"/>
            <w:vAlign w:val="bottom"/>
          </w:tcPr>
          <w:p>
            <w:pPr>
              <w:ind w:left="200"/>
              <w:spacing w:after="0"/>
              <w:rPr>
                <w:sz w:val="20"/>
                <w:szCs w:val="20"/>
                <w:color w:val="auto"/>
              </w:rPr>
            </w:pPr>
            <w:r>
              <w:rPr>
                <w:rFonts w:ascii="Courier New" w:cs="Courier New" w:eastAsia="Courier New" w:hAnsi="Courier New"/>
                <w:sz w:val="17"/>
                <w:szCs w:val="17"/>
                <w:color w:val="auto"/>
              </w:rPr>
              <w:t>CURRENT LIABILITIES</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1"/>
        </w:trPr>
        <w:tc>
          <w:tcPr>
            <w:tcW w:w="44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Accounts payable, Accrued expenses</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48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and other current liabilities</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4,957</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5,814</w:t>
            </w:r>
          </w:p>
        </w:tc>
      </w:tr>
      <w:tr>
        <w:trPr>
          <w:trHeight w:val="191"/>
        </w:trPr>
        <w:tc>
          <w:tcPr>
            <w:tcW w:w="44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360</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679</w:t>
            </w:r>
          </w:p>
        </w:tc>
      </w:tr>
      <w:tr>
        <w:trPr>
          <w:trHeight w:val="191"/>
        </w:trPr>
        <w:tc>
          <w:tcPr>
            <w:tcW w:w="44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Current portion of long-term debt</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1,854</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734</w:t>
            </w:r>
          </w:p>
        </w:tc>
      </w:tr>
      <w:tr>
        <w:trPr>
          <w:trHeight w:val="191"/>
        </w:trPr>
        <w:tc>
          <w:tcPr>
            <w:tcW w:w="44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Current portion of</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48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exchangeable debt</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1,645</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2,427</w:t>
            </w:r>
          </w:p>
        </w:tc>
      </w:tr>
      <w:tr>
        <w:trPr>
          <w:trHeight w:val="191"/>
        </w:trPr>
        <w:tc>
          <w:tcPr>
            <w:tcW w:w="4480" w:type="dxa"/>
            <w:vAlign w:val="bottom"/>
          </w:tcPr>
          <w:p>
            <w:pPr>
              <w:ind w:left="1200"/>
              <w:spacing w:after="0" w:line="191" w:lineRule="exact"/>
              <w:rPr>
                <w:sz w:val="20"/>
                <w:szCs w:val="20"/>
                <w:color w:val="auto"/>
              </w:rPr>
            </w:pPr>
            <w:r>
              <w:rPr>
                <w:rFonts w:ascii="Courier New" w:cs="Courier New" w:eastAsia="Courier New" w:hAnsi="Courier New"/>
                <w:sz w:val="17"/>
                <w:szCs w:val="17"/>
                <w:color w:val="auto"/>
              </w:rPr>
              <w:t>Total current liabilities</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8,816</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9,654</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LONG-TERM DEBT, less current portion</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20,039</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21,944</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LONG-TERM EXCHANGEABLE DEBT, less</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current portion</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54</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1,891</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26,815</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25,900</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NONCURRENT LIABILITIES</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7,261</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7,716</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MINORITY INTEREST</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468</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392</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STOCKHOLDERS' EQUITY</w:t>
            </w:r>
          </w:p>
        </w:tc>
        <w:tc>
          <w:tcPr>
            <w:tcW w:w="64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41,422</w:t>
            </w:r>
          </w:p>
        </w:tc>
        <w:tc>
          <w:tcPr>
            <w:tcW w:w="4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41,662</w:t>
            </w:r>
          </w:p>
        </w:tc>
      </w:tr>
      <w:tr>
        <w:trPr>
          <w:trHeight w:val="191"/>
        </w:trPr>
        <w:tc>
          <w:tcPr>
            <w:tcW w:w="4480" w:type="dxa"/>
            <w:vAlign w:val="bottom"/>
          </w:tcPr>
          <w:p>
            <w:pPr>
              <w:spacing w:after="0"/>
              <w:rPr>
                <w:sz w:val="16"/>
                <w:szCs w:val="16"/>
                <w:color w:val="auto"/>
              </w:rPr>
            </w:pPr>
          </w:p>
        </w:tc>
        <w:tc>
          <w:tcPr>
            <w:tcW w:w="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104,875</w:t>
            </w:r>
          </w:p>
        </w:tc>
        <w:tc>
          <w:tcPr>
            <w:tcW w:w="4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109,159</w:t>
            </w:r>
          </w:p>
        </w:tc>
      </w:tr>
    </w:tbl>
    <w:p>
      <w:pPr>
        <w:sectPr>
          <w:pgSz w:w="11900" w:h="16838" w:orient="portrait"/>
          <w:cols w:equalWidth="0" w:num="1">
            <w:col w:w="10219"/>
          </w:cols>
          <w:pgMar w:left="240" w:top="683" w:right="1440" w:bottom="1440" w:gutter="0" w:footer="0" w:header="0"/>
        </w:sectPr>
      </w:pPr>
    </w:p>
    <w:bookmarkStart w:id="11" w:name="page12"/>
    <w:bookmarkEnd w:id="11"/>
    <w:p>
      <w:pPr>
        <w:jc w:val="center"/>
        <w:ind w:right="2159"/>
        <w:spacing w:after="0"/>
        <w:rPr>
          <w:sz w:val="20"/>
          <w:szCs w:val="20"/>
          <w:color w:val="auto"/>
        </w:rPr>
      </w:pPr>
      <w:r>
        <w:rPr>
          <w:rFonts w:ascii="Courier New" w:cs="Courier New" w:eastAsia="Courier New" w:hAnsi="Courier New"/>
          <w:sz w:val="17"/>
          <w:szCs w:val="17"/>
          <w:color w:val="auto"/>
        </w:rPr>
        <w:t>TABLE 3</w:t>
      </w:r>
    </w:p>
    <w:p>
      <w:pPr>
        <w:jc w:val="center"/>
        <w:ind w:right="2259"/>
        <w:spacing w:after="0" w:line="238" w:lineRule="auto"/>
        <w:rPr>
          <w:sz w:val="20"/>
          <w:szCs w:val="20"/>
          <w:color w:val="auto"/>
        </w:rPr>
      </w:pPr>
      <w:r>
        <w:rPr>
          <w:rFonts w:ascii="Courier New" w:cs="Courier New" w:eastAsia="Courier New" w:hAnsi="Courier New"/>
          <w:sz w:val="17"/>
          <w:szCs w:val="17"/>
          <w:color w:val="auto"/>
        </w:rPr>
        <w:t>Condensed Consolidated Statement of Cash Flows (Unaudited)</w:t>
      </w:r>
    </w:p>
    <w:tbl>
      <w:tblPr>
        <w:tblLayout w:type="fixed"/>
        <w:tblInd w:w="0" w:type="dxa"/>
        <w:tblCellMar>
          <w:top w:w="0" w:type="dxa"/>
          <w:left w:w="0" w:type="dxa"/>
          <w:bottom w:w="0" w:type="dxa"/>
          <w:right w:w="0" w:type="dxa"/>
        </w:tblCellMar>
      </w:tblPr>
      <w:tr>
        <w:trPr>
          <w:trHeight w:val="192"/>
        </w:trPr>
        <w:tc>
          <w:tcPr>
            <w:tcW w:w="5120" w:type="dxa"/>
            <w:vAlign w:val="bottom"/>
            <w:gridSpan w:val="2"/>
          </w:tcPr>
          <w:p>
            <w:pPr>
              <w:ind w:left="2980"/>
              <w:spacing w:after="0" w:line="191" w:lineRule="exact"/>
              <w:rPr>
                <w:sz w:val="20"/>
                <w:szCs w:val="20"/>
                <w:color w:val="auto"/>
              </w:rPr>
            </w:pPr>
            <w:r>
              <w:rPr>
                <w:rFonts w:ascii="Courier New" w:cs="Courier New" w:eastAsia="Courier New" w:hAnsi="Courier New"/>
                <w:sz w:val="17"/>
                <w:szCs w:val="17"/>
                <w:color w:val="auto"/>
                <w:w w:val="98"/>
              </w:rPr>
              <w:t>(dollars in millions)</w:t>
            </w: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3"/>
        </w:trPr>
        <w:tc>
          <w:tcPr>
            <w:tcW w:w="4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Twelve Months Ended</w:t>
            </w:r>
          </w:p>
        </w:tc>
      </w:tr>
      <w:tr>
        <w:trPr>
          <w:trHeight w:val="191"/>
        </w:trPr>
        <w:tc>
          <w:tcPr>
            <w:tcW w:w="4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gridSpan w:val="2"/>
          </w:tcPr>
          <w:p>
            <w:pPr>
              <w:ind w:left="460"/>
              <w:spacing w:after="0" w:line="191" w:lineRule="exact"/>
              <w:rPr>
                <w:sz w:val="20"/>
                <w:szCs w:val="20"/>
                <w:color w:val="auto"/>
              </w:rPr>
            </w:pPr>
            <w:r>
              <w:rPr>
                <w:rFonts w:ascii="Courier New" w:cs="Courier New" w:eastAsia="Courier New" w:hAnsi="Courier New"/>
                <w:sz w:val="17"/>
                <w:szCs w:val="17"/>
                <w:color w:val="auto"/>
                <w:w w:val="94"/>
              </w:rPr>
              <w:t>December 31,</w:t>
            </w:r>
          </w:p>
        </w:tc>
        <w:tc>
          <w:tcPr>
            <w:tcW w:w="900" w:type="dxa"/>
            <w:vAlign w:val="bottom"/>
          </w:tcPr>
          <w:p>
            <w:pPr>
              <w:spacing w:after="0"/>
              <w:rPr>
                <w:sz w:val="16"/>
                <w:szCs w:val="16"/>
                <w:color w:val="auto"/>
              </w:rPr>
            </w:pPr>
          </w:p>
        </w:tc>
      </w:tr>
      <w:tr>
        <w:trPr>
          <w:trHeight w:val="191"/>
        </w:trPr>
        <w:tc>
          <w:tcPr>
            <w:tcW w:w="4480" w:type="dxa"/>
            <w:vAlign w:val="bottom"/>
          </w:tcPr>
          <w:p>
            <w:pPr>
              <w:spacing w:after="0"/>
              <w:rPr>
                <w:sz w:val="16"/>
                <w:szCs w:val="16"/>
                <w:color w:val="auto"/>
              </w:rPr>
            </w:pPr>
          </w:p>
        </w:tc>
        <w:tc>
          <w:tcPr>
            <w:tcW w:w="318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2004</w:t>
            </w:r>
          </w:p>
        </w:tc>
        <w:tc>
          <w:tcPr>
            <w:tcW w:w="540" w:type="dxa"/>
            <w:vAlign w:val="bottom"/>
          </w:tcPr>
          <w:p>
            <w:pPr>
              <w:spacing w:after="0"/>
              <w:rPr>
                <w:sz w:val="16"/>
                <w:szCs w:val="16"/>
                <w:color w:val="auto"/>
              </w:rPr>
            </w:pPr>
          </w:p>
        </w:tc>
        <w:tc>
          <w:tcPr>
            <w:tcW w:w="9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w w:val="93"/>
              </w:rPr>
              <w:t>2003</w:t>
            </w:r>
          </w:p>
        </w:tc>
      </w:tr>
      <w:tr>
        <w:trPr>
          <w:trHeight w:val="191"/>
        </w:trPr>
        <w:tc>
          <w:tcPr>
            <w:tcW w:w="4480" w:type="dxa"/>
            <w:vAlign w:val="bottom"/>
          </w:tcPr>
          <w:p>
            <w:pPr>
              <w:spacing w:after="0"/>
              <w:rPr>
                <w:sz w:val="16"/>
                <w:szCs w:val="16"/>
                <w:color w:val="auto"/>
              </w:rPr>
            </w:pPr>
          </w:p>
        </w:tc>
        <w:tc>
          <w:tcPr>
            <w:tcW w:w="17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4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ACTIVITIES</w:t>
            </w: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4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Net cash provided by operating</w:t>
            </w: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4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activities from continuing</w:t>
            </w: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4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operations</w:t>
            </w:r>
          </w:p>
        </w:tc>
        <w:tc>
          <w:tcPr>
            <w:tcW w:w="6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5,930</w:t>
            </w:r>
          </w:p>
        </w:tc>
        <w:tc>
          <w:tcPr>
            <w:tcW w:w="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2,854</w:t>
            </w:r>
          </w:p>
        </w:tc>
      </w:tr>
      <w:tr>
        <w:trPr>
          <w:trHeight w:val="383"/>
        </w:trPr>
        <w:tc>
          <w:tcPr>
            <w:tcW w:w="4480" w:type="dxa"/>
            <w:vAlign w:val="bottom"/>
          </w:tcPr>
          <w:p>
            <w:pPr>
              <w:spacing w:after="0"/>
              <w:rPr>
                <w:sz w:val="20"/>
                <w:szCs w:val="20"/>
                <w:color w:val="auto"/>
              </w:rPr>
            </w:pPr>
            <w:r>
              <w:rPr>
                <w:rFonts w:ascii="Courier New" w:cs="Courier New" w:eastAsia="Courier New" w:hAnsi="Courier New"/>
                <w:sz w:val="17"/>
                <w:szCs w:val="17"/>
                <w:color w:val="auto"/>
              </w:rPr>
              <w:t>FINANCING ACTIVITIES</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Proceeds from borrowings</w:t>
            </w:r>
          </w:p>
        </w:tc>
        <w:tc>
          <w:tcPr>
            <w:tcW w:w="640" w:type="dxa"/>
            <w:vAlign w:val="bottom"/>
          </w:tcPr>
          <w:p>
            <w:pPr>
              <w:spacing w:after="0"/>
              <w:rPr>
                <w:sz w:val="16"/>
                <w:szCs w:val="16"/>
                <w:color w:val="auto"/>
              </w:rPr>
            </w:pP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1,030</w:t>
            </w:r>
          </w:p>
        </w:tc>
        <w:tc>
          <w:tcPr>
            <w:tcW w:w="5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9,398</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Retirements and repayments of debt</w:t>
            </w:r>
          </w:p>
        </w:tc>
        <w:tc>
          <w:tcPr>
            <w:tcW w:w="640" w:type="dxa"/>
            <w:vAlign w:val="bottom"/>
          </w:tcPr>
          <w:p>
            <w:pPr>
              <w:spacing w:after="0"/>
              <w:rPr>
                <w:sz w:val="16"/>
                <w:szCs w:val="16"/>
                <w:color w:val="auto"/>
              </w:rPr>
            </w:pP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(2,323)</w:t>
            </w:r>
          </w:p>
        </w:tc>
        <w:tc>
          <w:tcPr>
            <w:tcW w:w="5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(16,465)</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Repurchases of common stock and stock</w:t>
            </w: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options</w:t>
            </w:r>
          </w:p>
        </w:tc>
        <w:tc>
          <w:tcPr>
            <w:tcW w:w="640" w:type="dxa"/>
            <w:vAlign w:val="bottom"/>
          </w:tcPr>
          <w:p>
            <w:pPr>
              <w:spacing w:after="0"/>
              <w:rPr>
                <w:sz w:val="16"/>
                <w:szCs w:val="16"/>
                <w:color w:val="auto"/>
              </w:rPr>
            </w:pP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(1,361)</w:t>
            </w:r>
          </w:p>
        </w:tc>
        <w:tc>
          <w:tcPr>
            <w:tcW w:w="5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net</w:t>
            </w:r>
          </w:p>
        </w:tc>
        <w:tc>
          <w:tcPr>
            <w:tcW w:w="640" w:type="dxa"/>
            <w:vAlign w:val="bottom"/>
          </w:tcPr>
          <w:p>
            <w:pPr>
              <w:spacing w:after="0"/>
              <w:rPr>
                <w:sz w:val="16"/>
                <w:szCs w:val="16"/>
                <w:color w:val="auto"/>
              </w:rPr>
            </w:pP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138</w:t>
            </w:r>
          </w:p>
        </w:tc>
        <w:tc>
          <w:tcPr>
            <w:tcW w:w="5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w:t>
            </w:r>
          </w:p>
        </w:tc>
      </w:tr>
      <w:tr>
        <w:trPr>
          <w:trHeight w:val="191"/>
        </w:trPr>
        <w:tc>
          <w:tcPr>
            <w:tcW w:w="44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Net cash used in financing activities</w:t>
            </w: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4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from continuing operations</w:t>
            </w:r>
          </w:p>
        </w:tc>
        <w:tc>
          <w:tcPr>
            <w:tcW w:w="640" w:type="dxa"/>
            <w:vAlign w:val="bottom"/>
          </w:tcPr>
          <w:p>
            <w:pPr>
              <w:spacing w:after="0"/>
              <w:rPr>
                <w:sz w:val="16"/>
                <w:szCs w:val="16"/>
                <w:color w:val="auto"/>
              </w:rPr>
            </w:pP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(2,516)</w:t>
            </w:r>
          </w:p>
        </w:tc>
        <w:tc>
          <w:tcPr>
            <w:tcW w:w="5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(7,048)</w:t>
            </w:r>
          </w:p>
        </w:tc>
      </w:tr>
      <w:tr>
        <w:trPr>
          <w:trHeight w:val="382"/>
        </w:trPr>
        <w:tc>
          <w:tcPr>
            <w:tcW w:w="4480" w:type="dxa"/>
            <w:vAlign w:val="bottom"/>
          </w:tcPr>
          <w:p>
            <w:pPr>
              <w:spacing w:after="0"/>
              <w:rPr>
                <w:sz w:val="20"/>
                <w:szCs w:val="20"/>
                <w:color w:val="auto"/>
              </w:rPr>
            </w:pPr>
            <w:r>
              <w:rPr>
                <w:rFonts w:ascii="Courier New" w:cs="Courier New" w:eastAsia="Courier New" w:hAnsi="Courier New"/>
                <w:sz w:val="17"/>
                <w:szCs w:val="17"/>
                <w:color w:val="auto"/>
              </w:rPr>
              <w:t>INVESTING ACTIVITIES</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Capital expenditures</w:t>
            </w:r>
          </w:p>
        </w:tc>
        <w:tc>
          <w:tcPr>
            <w:tcW w:w="640" w:type="dxa"/>
            <w:vAlign w:val="bottom"/>
          </w:tcPr>
          <w:p>
            <w:pPr>
              <w:spacing w:after="0"/>
              <w:rPr>
                <w:sz w:val="16"/>
                <w:szCs w:val="16"/>
                <w:color w:val="auto"/>
              </w:rPr>
            </w:pP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(3,660)</w:t>
            </w:r>
          </w:p>
        </w:tc>
        <w:tc>
          <w:tcPr>
            <w:tcW w:w="5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(4,161)</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Proceeds from restructuring of TWE</w:t>
            </w: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investment</w:t>
            </w: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2,100</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Proceeds from sales of investments</w:t>
            </w: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and assets held for sale</w:t>
            </w:r>
          </w:p>
        </w:tc>
        <w:tc>
          <w:tcPr>
            <w:tcW w:w="640" w:type="dxa"/>
            <w:vAlign w:val="bottom"/>
          </w:tcPr>
          <w:p>
            <w:pPr>
              <w:spacing w:after="0"/>
              <w:rPr>
                <w:sz w:val="16"/>
                <w:szCs w:val="16"/>
                <w:color w:val="auto"/>
              </w:rPr>
            </w:pP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228</w:t>
            </w:r>
          </w:p>
        </w:tc>
        <w:tc>
          <w:tcPr>
            <w:tcW w:w="5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5,871</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Acquisitions, net of cash acquired</w:t>
            </w:r>
          </w:p>
        </w:tc>
        <w:tc>
          <w:tcPr>
            <w:tcW w:w="640" w:type="dxa"/>
            <w:vAlign w:val="bottom"/>
          </w:tcPr>
          <w:p>
            <w:pPr>
              <w:spacing w:after="0"/>
              <w:rPr>
                <w:sz w:val="16"/>
                <w:szCs w:val="16"/>
                <w:color w:val="auto"/>
              </w:rPr>
            </w:pP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(296)</w:t>
            </w:r>
          </w:p>
        </w:tc>
        <w:tc>
          <w:tcPr>
            <w:tcW w:w="5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(152)</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Additions to intangibles and other</w:t>
            </w: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noncurrent assets</w:t>
            </w:r>
          </w:p>
        </w:tc>
        <w:tc>
          <w:tcPr>
            <w:tcW w:w="640" w:type="dxa"/>
            <w:vAlign w:val="bottom"/>
          </w:tcPr>
          <w:p>
            <w:pPr>
              <w:spacing w:after="0"/>
              <w:rPr>
                <w:sz w:val="16"/>
                <w:szCs w:val="16"/>
                <w:color w:val="auto"/>
              </w:rPr>
            </w:pP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(628)</w:t>
            </w:r>
          </w:p>
        </w:tc>
        <w:tc>
          <w:tcPr>
            <w:tcW w:w="5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(155)</w:t>
            </w:r>
          </w:p>
        </w:tc>
      </w:tr>
      <w:tr>
        <w:trPr>
          <w:trHeight w:val="191"/>
        </w:trPr>
        <w:tc>
          <w:tcPr>
            <w:tcW w:w="4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net</w:t>
            </w:r>
          </w:p>
        </w:tc>
        <w:tc>
          <w:tcPr>
            <w:tcW w:w="640" w:type="dxa"/>
            <w:vAlign w:val="bottom"/>
          </w:tcPr>
          <w:p>
            <w:pPr>
              <w:spacing w:after="0"/>
              <w:rPr>
                <w:sz w:val="16"/>
                <w:szCs w:val="16"/>
                <w:color w:val="auto"/>
              </w:rPr>
            </w:pP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(156)</w:t>
            </w:r>
          </w:p>
        </w:tc>
        <w:tc>
          <w:tcPr>
            <w:tcW w:w="5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1,736</w:t>
            </w:r>
          </w:p>
        </w:tc>
      </w:tr>
      <w:tr>
        <w:trPr>
          <w:trHeight w:val="191"/>
        </w:trPr>
        <w:tc>
          <w:tcPr>
            <w:tcW w:w="44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Net cash (used in) provided by</w:t>
            </w: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4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investing activities from</w:t>
            </w: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4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continuing operations</w:t>
            </w:r>
          </w:p>
        </w:tc>
        <w:tc>
          <w:tcPr>
            <w:tcW w:w="640" w:type="dxa"/>
            <w:vAlign w:val="bottom"/>
          </w:tcPr>
          <w:p>
            <w:pPr>
              <w:spacing w:after="0"/>
              <w:rPr>
                <w:sz w:val="16"/>
                <w:szCs w:val="16"/>
                <w:color w:val="auto"/>
              </w:rPr>
            </w:pP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(4,512)</w:t>
            </w:r>
          </w:p>
        </w:tc>
        <w:tc>
          <w:tcPr>
            <w:tcW w:w="5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5,239</w:t>
            </w:r>
          </w:p>
        </w:tc>
      </w:tr>
      <w:tr>
        <w:trPr>
          <w:trHeight w:val="382"/>
        </w:trPr>
        <w:tc>
          <w:tcPr>
            <w:tcW w:w="4480" w:type="dxa"/>
            <w:vAlign w:val="bottom"/>
          </w:tcPr>
          <w:p>
            <w:pPr>
              <w:spacing w:after="0"/>
              <w:rPr>
                <w:sz w:val="20"/>
                <w:szCs w:val="20"/>
                <w:color w:val="auto"/>
              </w:rPr>
            </w:pPr>
            <w:r>
              <w:rPr>
                <w:rFonts w:ascii="Courier New" w:cs="Courier New" w:eastAsia="Courier New" w:hAnsi="Courier New"/>
                <w:sz w:val="17"/>
                <w:szCs w:val="17"/>
                <w:color w:val="auto"/>
              </w:rPr>
              <w:t>(DECREASE) INCREASE IN CASH AND CASH</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4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EQUIVALENTS</w:t>
            </w:r>
          </w:p>
        </w:tc>
        <w:tc>
          <w:tcPr>
            <w:tcW w:w="640" w:type="dxa"/>
            <w:vAlign w:val="bottom"/>
          </w:tcPr>
          <w:p>
            <w:pPr>
              <w:spacing w:after="0"/>
              <w:rPr>
                <w:sz w:val="16"/>
                <w:szCs w:val="16"/>
                <w:color w:val="auto"/>
              </w:rPr>
            </w:pP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(1,098)</w:t>
            </w:r>
          </w:p>
        </w:tc>
        <w:tc>
          <w:tcPr>
            <w:tcW w:w="5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1,045</w:t>
            </w:r>
          </w:p>
        </w:tc>
      </w:tr>
      <w:tr>
        <w:trPr>
          <w:trHeight w:val="191"/>
        </w:trPr>
        <w:tc>
          <w:tcPr>
            <w:tcW w:w="448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AND CASH EQUIVALENTS, beginning</w:t>
            </w: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period</w:t>
            </w:r>
          </w:p>
        </w:tc>
        <w:tc>
          <w:tcPr>
            <w:tcW w:w="640" w:type="dxa"/>
            <w:vAlign w:val="bottom"/>
          </w:tcPr>
          <w:p>
            <w:pPr>
              <w:spacing w:after="0"/>
              <w:rPr>
                <w:sz w:val="16"/>
                <w:szCs w:val="16"/>
                <w:color w:val="auto"/>
              </w:rPr>
            </w:pP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1,550</w:t>
            </w:r>
          </w:p>
        </w:tc>
        <w:tc>
          <w:tcPr>
            <w:tcW w:w="5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505</w:t>
            </w:r>
          </w:p>
        </w:tc>
      </w:tr>
      <w:tr>
        <w:trPr>
          <w:trHeight w:val="191"/>
        </w:trPr>
        <w:tc>
          <w:tcPr>
            <w:tcW w:w="448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AND CASH EQUIVALENTS, end of period</w:t>
            </w:r>
          </w:p>
        </w:tc>
        <w:tc>
          <w:tcPr>
            <w:tcW w:w="6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452</w:t>
            </w:r>
          </w:p>
        </w:tc>
        <w:tc>
          <w:tcPr>
            <w:tcW w:w="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1,550</w:t>
            </w:r>
          </w:p>
        </w:tc>
      </w:tr>
    </w:tbl>
    <w:p>
      <w:pPr>
        <w:sectPr>
          <w:pgSz w:w="11900" w:h="16838" w:orient="portrait"/>
          <w:cols w:equalWidth="0" w:num="1">
            <w:col w:w="10219"/>
          </w:cols>
          <w:pgMar w:left="240" w:top="683" w:right="1440" w:bottom="1440" w:gutter="0" w:footer="0" w:header="0"/>
        </w:sectPr>
      </w:pPr>
    </w:p>
    <w:bookmarkStart w:id="12" w:name="page13"/>
    <w:bookmarkEnd w:id="12"/>
    <w:p>
      <w:pPr>
        <w:jc w:val="center"/>
        <w:ind w:right="2159"/>
        <w:spacing w:after="0"/>
        <w:rPr>
          <w:sz w:val="20"/>
          <w:szCs w:val="20"/>
          <w:color w:val="auto"/>
        </w:rPr>
      </w:pPr>
      <w:r>
        <w:rPr>
          <w:rFonts w:ascii="Courier New" w:cs="Courier New" w:eastAsia="Courier New" w:hAnsi="Courier New"/>
          <w:sz w:val="17"/>
          <w:szCs w:val="17"/>
          <w:color w:val="auto"/>
        </w:rPr>
        <w:t>TABLE 4</w:t>
      </w:r>
    </w:p>
    <w:p>
      <w:pPr>
        <w:jc w:val="center"/>
        <w:ind w:right="2159"/>
        <w:spacing w:after="0" w:line="238" w:lineRule="auto"/>
        <w:rPr>
          <w:sz w:val="20"/>
          <w:szCs w:val="20"/>
          <w:color w:val="auto"/>
        </w:rPr>
      </w:pPr>
      <w:r>
        <w:rPr>
          <w:rFonts w:ascii="Courier New" w:cs="Courier New" w:eastAsia="Courier New" w:hAnsi="Courier New"/>
          <w:sz w:val="17"/>
          <w:szCs w:val="17"/>
          <w:color w:val="auto"/>
        </w:rPr>
        <w:t>Calculation of Free Cash Flow (Unaudited) (1)</w:t>
      </w:r>
    </w:p>
    <w:p>
      <w:pPr>
        <w:jc w:val="center"/>
        <w:ind w:right="2159"/>
        <w:spacing w:after="0" w:line="238" w:lineRule="auto"/>
        <w:rPr>
          <w:sz w:val="20"/>
          <w:szCs w:val="20"/>
          <w:color w:val="auto"/>
        </w:rPr>
      </w:pPr>
      <w:r>
        <w:rPr>
          <w:rFonts w:ascii="Courier New" w:cs="Courier New" w:eastAsia="Courier New" w:hAnsi="Courier New"/>
          <w:sz w:val="17"/>
          <w:szCs w:val="17"/>
          <w:color w:val="auto"/>
        </w:rPr>
        <w:t>(dollars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4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Twelve Months Ended</w:t>
            </w:r>
          </w:p>
        </w:tc>
      </w:tr>
      <w:tr>
        <w:trPr>
          <w:trHeight w:val="191"/>
        </w:trPr>
        <w:tc>
          <w:tcPr>
            <w:tcW w:w="4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December 31,</w:t>
            </w:r>
          </w:p>
        </w:tc>
        <w:tc>
          <w:tcPr>
            <w:tcW w:w="900" w:type="dxa"/>
            <w:vAlign w:val="bottom"/>
          </w:tcPr>
          <w:p>
            <w:pPr>
              <w:spacing w:after="0"/>
              <w:rPr>
                <w:sz w:val="16"/>
                <w:szCs w:val="16"/>
                <w:color w:val="auto"/>
              </w:rPr>
            </w:pPr>
          </w:p>
        </w:tc>
      </w:tr>
      <w:tr>
        <w:trPr>
          <w:trHeight w:val="191"/>
        </w:trPr>
        <w:tc>
          <w:tcPr>
            <w:tcW w:w="4220" w:type="dxa"/>
            <w:vAlign w:val="bottom"/>
          </w:tcPr>
          <w:p>
            <w:pPr>
              <w:spacing w:after="0"/>
              <w:rPr>
                <w:sz w:val="16"/>
                <w:szCs w:val="16"/>
                <w:color w:val="auto"/>
              </w:rPr>
            </w:pPr>
          </w:p>
        </w:tc>
        <w:tc>
          <w:tcPr>
            <w:tcW w:w="344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2004</w:t>
            </w:r>
          </w:p>
        </w:tc>
        <w:tc>
          <w:tcPr>
            <w:tcW w:w="540" w:type="dxa"/>
            <w:vAlign w:val="bottom"/>
          </w:tcPr>
          <w:p>
            <w:pPr>
              <w:spacing w:after="0"/>
              <w:rPr>
                <w:sz w:val="16"/>
                <w:szCs w:val="16"/>
                <w:color w:val="auto"/>
              </w:rPr>
            </w:pPr>
          </w:p>
        </w:tc>
        <w:tc>
          <w:tcPr>
            <w:tcW w:w="9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w w:val="93"/>
              </w:rPr>
              <w:t>2003</w:t>
            </w:r>
          </w:p>
        </w:tc>
      </w:tr>
      <w:tr>
        <w:trPr>
          <w:trHeight w:val="191"/>
        </w:trPr>
        <w:tc>
          <w:tcPr>
            <w:tcW w:w="4220" w:type="dxa"/>
            <w:vAlign w:val="bottom"/>
          </w:tcPr>
          <w:p>
            <w:pPr>
              <w:spacing w:after="0"/>
              <w:rPr>
                <w:sz w:val="16"/>
                <w:szCs w:val="16"/>
                <w:color w:val="auto"/>
              </w:rPr>
            </w:pPr>
          </w:p>
        </w:tc>
        <w:tc>
          <w:tcPr>
            <w:tcW w:w="20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7,531</w:t>
            </w:r>
          </w:p>
        </w:tc>
        <w:tc>
          <w:tcPr>
            <w:tcW w:w="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6,392</w:t>
            </w: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Net (2)</w:t>
            </w:r>
          </w:p>
        </w:tc>
        <w:tc>
          <w:tcPr>
            <w:tcW w:w="800" w:type="dxa"/>
            <w:vAlign w:val="bottom"/>
          </w:tcPr>
          <w:p>
            <w:pPr>
              <w:spacing w:after="0"/>
              <w:rPr>
                <w:sz w:val="16"/>
                <w:szCs w:val="16"/>
                <w:color w:val="auto"/>
              </w:rPr>
            </w:pP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(1,729)</w:t>
            </w:r>
          </w:p>
        </w:tc>
        <w:tc>
          <w:tcPr>
            <w:tcW w:w="5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(2,062)</w:t>
            </w: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Paid for Income Taxes (3)</w:t>
            </w:r>
          </w:p>
        </w:tc>
        <w:tc>
          <w:tcPr>
            <w:tcW w:w="800" w:type="dxa"/>
            <w:vAlign w:val="bottom"/>
          </w:tcPr>
          <w:p>
            <w:pPr>
              <w:spacing w:after="0"/>
              <w:rPr>
                <w:sz w:val="16"/>
                <w:szCs w:val="16"/>
                <w:color w:val="auto"/>
              </w:rPr>
            </w:pP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(205)</w:t>
            </w:r>
          </w:p>
        </w:tc>
        <w:tc>
          <w:tcPr>
            <w:tcW w:w="5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(95)</w:t>
            </w: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Expenditures</w:t>
            </w:r>
          </w:p>
        </w:tc>
        <w:tc>
          <w:tcPr>
            <w:tcW w:w="800" w:type="dxa"/>
            <w:vAlign w:val="bottom"/>
          </w:tcPr>
          <w:p>
            <w:pPr>
              <w:spacing w:after="0"/>
              <w:rPr>
                <w:sz w:val="16"/>
                <w:szCs w:val="16"/>
                <w:color w:val="auto"/>
              </w:rPr>
            </w:pP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(3,660)</w:t>
            </w:r>
          </w:p>
        </w:tc>
        <w:tc>
          <w:tcPr>
            <w:tcW w:w="5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(4,161)</w:t>
            </w: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rPr>
              <w:t>FREE CASH FLOW</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1,937</w:t>
            </w:r>
          </w:p>
        </w:tc>
        <w:tc>
          <w:tcPr>
            <w:tcW w:w="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74</w:t>
            </w:r>
          </w:p>
        </w:tc>
      </w:tr>
      <w:tr>
        <w:trPr>
          <w:trHeight w:val="383"/>
        </w:trPr>
        <w:tc>
          <w:tcPr>
            <w:tcW w:w="4220" w:type="dxa"/>
            <w:vAlign w:val="bottom"/>
          </w:tcPr>
          <w:p>
            <w:pPr>
              <w:spacing w:after="0"/>
              <w:rPr>
                <w:sz w:val="20"/>
                <w:szCs w:val="20"/>
                <w:color w:val="auto"/>
              </w:rPr>
            </w:pPr>
            <w:r>
              <w:rPr>
                <w:rFonts w:ascii="Courier New" w:cs="Courier New" w:eastAsia="Courier New" w:hAnsi="Courier New"/>
                <w:sz w:val="17"/>
                <w:szCs w:val="17"/>
                <w:color w:val="auto"/>
              </w:rPr>
              <w:t>Changes in Working Capital and Other</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83"/>
        </w:trPr>
        <w:tc>
          <w:tcPr>
            <w:tcW w:w="4220" w:type="dxa"/>
            <w:vAlign w:val="bottom"/>
          </w:tcPr>
          <w:p>
            <w:pPr>
              <w:ind w:left="100"/>
              <w:spacing w:after="0"/>
              <w:rPr>
                <w:sz w:val="20"/>
                <w:szCs w:val="20"/>
                <w:color w:val="auto"/>
              </w:rPr>
            </w:pPr>
            <w:r>
              <w:rPr>
                <w:rFonts w:ascii="Courier New" w:cs="Courier New" w:eastAsia="Courier New" w:hAnsi="Courier New"/>
                <w:sz w:val="17"/>
                <w:szCs w:val="17"/>
                <w:color w:val="auto"/>
              </w:rPr>
              <w:t>Items (4)</w:t>
            </w:r>
          </w:p>
        </w:tc>
        <w:tc>
          <w:tcPr>
            <w:tcW w:w="800" w:type="dxa"/>
            <w:vAlign w:val="bottom"/>
          </w:tcPr>
          <w:p>
            <w:pPr>
              <w:spacing w:after="0"/>
              <w:rPr>
                <w:sz w:val="24"/>
                <w:szCs w:val="24"/>
                <w:color w:val="auto"/>
              </w:rPr>
            </w:pP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333</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(1,381)</w:t>
            </w:r>
          </w:p>
        </w:tc>
      </w:tr>
      <w:tr>
        <w:trPr>
          <w:trHeight w:val="383"/>
        </w:trPr>
        <w:tc>
          <w:tcPr>
            <w:tcW w:w="422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82"/>
        </w:trPr>
        <w:tc>
          <w:tcPr>
            <w:tcW w:w="4220" w:type="dxa"/>
            <w:vAlign w:val="bottom"/>
          </w:tcPr>
          <w:p>
            <w:pPr>
              <w:ind w:left="100"/>
              <w:spacing w:after="0"/>
              <w:rPr>
                <w:sz w:val="20"/>
                <w:szCs w:val="20"/>
                <w:color w:val="auto"/>
              </w:rPr>
            </w:pPr>
            <w:r>
              <w:rPr>
                <w:rFonts w:ascii="Courier New" w:cs="Courier New" w:eastAsia="Courier New" w:hAnsi="Courier New"/>
                <w:sz w:val="17"/>
                <w:szCs w:val="17"/>
                <w:color w:val="auto"/>
              </w:rPr>
              <w:t>Activities Less Capital Expenditures</w:t>
            </w:r>
          </w:p>
        </w:tc>
        <w:tc>
          <w:tcPr>
            <w:tcW w:w="8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2,270</w:t>
            </w:r>
          </w:p>
        </w:tc>
        <w:tc>
          <w:tcPr>
            <w:tcW w:w="5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(1,307)</w:t>
            </w:r>
          </w:p>
        </w:tc>
      </w:tr>
    </w:tbl>
    <w:p>
      <w:pPr>
        <w:spacing w:after="0" w:line="196" w:lineRule="exact"/>
        <w:rPr>
          <w:sz w:val="20"/>
          <w:szCs w:val="20"/>
          <w:color w:val="auto"/>
        </w:rPr>
      </w:pPr>
    </w:p>
    <w:p>
      <w:pPr>
        <w:ind w:left="500" w:right="2259" w:hanging="498"/>
        <w:spacing w:after="0" w:line="254" w:lineRule="auto"/>
        <w:tabs>
          <w:tab w:leader="none" w:pos="5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Free Cash Flow is defined as Operating Cash Flow less net interest, cash paid for taxes, and capital expenditures. It is unaffected by fluctuations in working capital levels from period to period and cash payments associated with intangible and other noncurrent assets. Cash payments for intangible and other noncurrent assets include long-term technology license agreements including computer software, long term rights to service multi-dwelling properties and programming content for our cable networks. In 2004, cash payments for intangible assets also included a long-term strategic license agreement with Gemstar of approximately $250 million.</w:t>
      </w:r>
    </w:p>
    <w:p>
      <w:pPr>
        <w:spacing w:after="0" w:line="186" w:lineRule="exact"/>
        <w:rPr>
          <w:rFonts w:ascii="Courier New" w:cs="Courier New" w:eastAsia="Courier New" w:hAnsi="Courier New"/>
          <w:sz w:val="16"/>
          <w:szCs w:val="16"/>
          <w:color w:val="auto"/>
        </w:rPr>
      </w:pPr>
    </w:p>
    <w:p>
      <w:pPr>
        <w:ind w:left="500" w:right="2759" w:hanging="498"/>
        <w:spacing w:after="0" w:line="235" w:lineRule="auto"/>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interest expense net of interest income and excludes non-cash interest and subsidiary preferred dividends.</w:t>
      </w:r>
    </w:p>
    <w:p>
      <w:pPr>
        <w:sectPr>
          <w:pgSz w:w="11900" w:h="16838" w:orient="portrait"/>
          <w:cols w:equalWidth="0" w:num="1">
            <w:col w:w="10219"/>
          </w:cols>
          <w:pgMar w:left="240" w:top="683" w:right="1440" w:bottom="1440" w:gutter="0" w:footer="0" w:header="0"/>
        </w:sectPr>
      </w:pPr>
    </w:p>
    <w:bookmarkStart w:id="13" w:name="page14"/>
    <w:bookmarkEnd w:id="13"/>
    <w:p>
      <w:pPr>
        <w:ind w:left="500" w:right="2359" w:hanging="498"/>
        <w:spacing w:after="0" w:line="235" w:lineRule="auto"/>
        <w:tabs>
          <w:tab w:leader="none" w:pos="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income tax refunds of $591 million received in 2004 and a payment of $850 million associated with the sale of QVC in 4Q03.</w:t>
      </w:r>
    </w:p>
    <w:p>
      <w:pPr>
        <w:spacing w:after="0" w:line="196" w:lineRule="exact"/>
        <w:rPr>
          <w:rFonts w:ascii="Courier New" w:cs="Courier New" w:eastAsia="Courier New" w:hAnsi="Courier New"/>
          <w:sz w:val="17"/>
          <w:szCs w:val="17"/>
          <w:color w:val="auto"/>
        </w:rPr>
      </w:pPr>
    </w:p>
    <w:p>
      <w:pPr>
        <w:ind w:left="500" w:right="2259" w:hanging="498"/>
        <w:spacing w:after="0" w:line="253" w:lineRule="auto"/>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Free Cash Flow excludes amounts necessary to reconcile Free Cash Flow to "Net Cash Provided by Operating Activities Less Capital Expenditures." In 2004, these amounts include proceeds of $680 million related to the exchange/sale of Liberty Media and Liberty Media International stock and proceeds of $591 million related to income tax refunds, offset by $515 million in cash payments for liabilities recorded as part of the acquisition of AT&amp;T Broadband and the timing of payments made during the first quarter of 2004. For 2003, these amounts include $836 million in cash payments associated with the acquisition of AT&amp;T Broadband and a cash payment of $850 million for income taxes associated with the sale of QVC.</w:t>
      </w:r>
    </w:p>
    <w:p>
      <w:pPr>
        <w:spacing w:after="0" w:line="187"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COMCAST CORPORATION</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TABLE 5</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Pro Forma Financial Data by Business Segment (Unaudited) (1)</w:t>
      </w:r>
    </w:p>
    <w:p>
      <w:pPr>
        <w:jc w:val="center"/>
        <w:ind w:right="2159"/>
        <w:spacing w:after="0" w:line="238" w:lineRule="auto"/>
        <w:rPr>
          <w:sz w:val="20"/>
          <w:szCs w:val="20"/>
          <w:color w:val="auto"/>
        </w:rPr>
      </w:pPr>
      <w:r>
        <w:rPr>
          <w:rFonts w:ascii="Courier New" w:cs="Courier New" w:eastAsia="Courier New" w:hAnsi="Courier New"/>
          <w:sz w:val="17"/>
          <w:szCs w:val="17"/>
          <w:color w:val="auto"/>
        </w:rPr>
        <w:t>(dollars in millions)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Corporate</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and</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2"/>
              </w:rPr>
              <w:t>Content</w:t>
            </w:r>
          </w:p>
        </w:tc>
        <w:tc>
          <w:tcPr>
            <w:tcW w:w="200" w:type="dxa"/>
            <w:vAlign w:val="bottom"/>
          </w:tcPr>
          <w:p>
            <w:pPr>
              <w:spacing w:after="0"/>
              <w:rPr>
                <w:sz w:val="16"/>
                <w:szCs w:val="16"/>
                <w:color w:val="auto"/>
              </w:rPr>
            </w:pPr>
          </w:p>
        </w:tc>
        <w:tc>
          <w:tcPr>
            <w:tcW w:w="10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w w:val="94"/>
              </w:rPr>
              <w:t>Other</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840" w:type="dxa"/>
            <w:vAlign w:val="bottom"/>
          </w:tcPr>
          <w:p>
            <w:pPr>
              <w:spacing w:after="0"/>
              <w:rPr>
                <w:sz w:val="16"/>
                <w:szCs w:val="16"/>
                <w:color w:val="auto"/>
              </w:rPr>
            </w:pPr>
          </w:p>
        </w:tc>
        <w:tc>
          <w:tcPr>
            <w:tcW w:w="12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Cable (2)</w:t>
            </w:r>
          </w:p>
        </w:tc>
        <w:tc>
          <w:tcPr>
            <w:tcW w:w="200" w:type="dxa"/>
            <w:vAlign w:val="bottom"/>
          </w:tcPr>
          <w:p>
            <w:pPr>
              <w:spacing w:after="0"/>
              <w:rPr>
                <w:sz w:val="16"/>
                <w:szCs w:val="16"/>
                <w:color w:val="auto"/>
              </w:rPr>
            </w:pPr>
          </w:p>
        </w:tc>
        <w:tc>
          <w:tcPr>
            <w:tcW w:w="9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(3)</w:t>
            </w:r>
          </w:p>
        </w:tc>
        <w:tc>
          <w:tcPr>
            <w:tcW w:w="200" w:type="dxa"/>
            <w:vAlign w:val="bottom"/>
          </w:tcPr>
          <w:p>
            <w:pPr>
              <w:spacing w:after="0"/>
              <w:rPr>
                <w:sz w:val="16"/>
                <w:szCs w:val="16"/>
                <w:color w:val="auto"/>
              </w:rPr>
            </w:pPr>
          </w:p>
        </w:tc>
        <w:tc>
          <w:tcPr>
            <w:tcW w:w="10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w:t>
            </w:r>
          </w:p>
        </w:tc>
        <w:tc>
          <w:tcPr>
            <w:tcW w:w="240" w:type="dxa"/>
            <w:vAlign w:val="bottom"/>
          </w:tcPr>
          <w:p>
            <w:pPr>
              <w:spacing w:after="0"/>
              <w:rPr>
                <w:sz w:val="16"/>
                <w:szCs w:val="16"/>
                <w:color w:val="auto"/>
              </w:rPr>
            </w:pPr>
          </w:p>
        </w:tc>
        <w:tc>
          <w:tcPr>
            <w:tcW w:w="8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3840" w:type="dxa"/>
            <w:vAlign w:val="bottom"/>
          </w:tcPr>
          <w:p>
            <w:pPr>
              <w:spacing w:after="0"/>
              <w:rPr>
                <w:sz w:val="16"/>
                <w:szCs w:val="16"/>
                <w:color w:val="auto"/>
              </w:rPr>
            </w:pPr>
          </w:p>
        </w:tc>
        <w:tc>
          <w:tcPr>
            <w:tcW w:w="12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Three Months Ended December 31, 2004</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Revenues</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4,987</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205</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43</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5,235</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1,974</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57</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1,986</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 (Loss)</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771</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(71)</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711</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 Margin</w:t>
            </w: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39.6%</w:t>
            </w:r>
          </w:p>
        </w:tc>
        <w:tc>
          <w:tcPr>
            <w:tcW w:w="200" w:type="dxa"/>
            <w:vAlign w:val="bottom"/>
          </w:tcPr>
          <w:p>
            <w:pPr>
              <w:spacing w:after="0"/>
              <w:rPr>
                <w:sz w:val="16"/>
                <w:szCs w:val="16"/>
                <w:color w:val="auto"/>
              </w:rPr>
            </w:pP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27.6%</w:t>
            </w:r>
          </w:p>
        </w:tc>
        <w:tc>
          <w:tcPr>
            <w:tcW w:w="20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NM</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37.9%</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Expenditures (5)</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1,044</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1,050</w:t>
            </w: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Three Months Ended December 31, 2003</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34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4,510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166</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71</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4,747</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1,714</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59</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1,721</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 (Loss)</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790</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743</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 Margin</w:t>
            </w: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38.0%</w:t>
            </w:r>
          </w:p>
        </w:tc>
        <w:tc>
          <w:tcPr>
            <w:tcW w:w="200" w:type="dxa"/>
            <w:vAlign w:val="bottom"/>
          </w:tcPr>
          <w:p>
            <w:pPr>
              <w:spacing w:after="0"/>
              <w:rPr>
                <w:sz w:val="16"/>
                <w:szCs w:val="16"/>
                <w:color w:val="auto"/>
              </w:rPr>
            </w:pP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35.1%</w:t>
            </w:r>
          </w:p>
        </w:tc>
        <w:tc>
          <w:tcPr>
            <w:tcW w:w="20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NM</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36.3%</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Expenditures (5)</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1,052</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1,068</w:t>
            </w: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Twelve Months Ended December 31, 2004</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Revenues</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19,321</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787</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204</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20,312</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7,473</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265</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(205)</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7,533</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 (Loss)</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3,098</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103</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(291)</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2,910</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 Margin</w:t>
            </w: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38.7%</w:t>
            </w:r>
          </w:p>
        </w:tc>
        <w:tc>
          <w:tcPr>
            <w:tcW w:w="200" w:type="dxa"/>
            <w:vAlign w:val="bottom"/>
          </w:tcPr>
          <w:p>
            <w:pPr>
              <w:spacing w:after="0"/>
              <w:rPr>
                <w:sz w:val="16"/>
                <w:szCs w:val="16"/>
                <w:color w:val="auto"/>
              </w:rPr>
            </w:pP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33.6%</w:t>
            </w:r>
          </w:p>
        </w:tc>
        <w:tc>
          <w:tcPr>
            <w:tcW w:w="20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NM</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37.1%</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Expenditures (5)</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3,622</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3,660</w:t>
            </w: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Twelve Months Ended December 31, 2003</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Revenues</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17,506</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628</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229</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18,363</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6,357</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214</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(173)</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6,398</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 (Loss)</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2,134</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85</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(259)</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1,960</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 Margin</w:t>
            </w: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36.3%</w:t>
            </w:r>
          </w:p>
        </w:tc>
        <w:tc>
          <w:tcPr>
            <w:tcW w:w="200" w:type="dxa"/>
            <w:vAlign w:val="bottom"/>
          </w:tcPr>
          <w:p>
            <w:pPr>
              <w:spacing w:after="0"/>
              <w:rPr>
                <w:sz w:val="16"/>
                <w:szCs w:val="16"/>
                <w:color w:val="auto"/>
              </w:rPr>
            </w:pP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34.0%</w:t>
            </w:r>
          </w:p>
        </w:tc>
        <w:tc>
          <w:tcPr>
            <w:tcW w:w="20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NM</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34.8%</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Expenditures (5)</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4,097</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46</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4,161</w:t>
            </w:r>
          </w:p>
        </w:tc>
      </w:tr>
    </w:tbl>
    <w:p>
      <w:pPr>
        <w:spacing w:after="0" w:line="388" w:lineRule="exact"/>
        <w:rPr>
          <w:sz w:val="20"/>
          <w:szCs w:val="20"/>
          <w:color w:val="auto"/>
        </w:rPr>
      </w:pPr>
    </w:p>
    <w:p>
      <w:pPr>
        <w:ind w:left="500" w:right="2359" w:hanging="498"/>
        <w:spacing w:after="0" w:line="237" w:lineRule="auto"/>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Non-GAAP and Other Financial Measures in Table 7. Historical financial data by business segment, as required under generally accepted accounting principles, is available in the Company's annual report on Form 10-K. All percentages are calculated based on actual amounts. Minor differences may exist due to rounding.</w:t>
      </w:r>
    </w:p>
    <w:p>
      <w:pPr>
        <w:sectPr>
          <w:pgSz w:w="11900" w:h="16838" w:orient="portrait"/>
          <w:cols w:equalWidth="0" w:num="1">
            <w:col w:w="10219"/>
          </w:cols>
          <w:pgMar w:left="240" w:top="690" w:right="1440" w:bottom="1440" w:gutter="0" w:footer="0" w:header="0"/>
        </w:sectPr>
      </w:pPr>
    </w:p>
    <w:bookmarkStart w:id="14" w:name="page15"/>
    <w:bookmarkEnd w:id="14"/>
    <w:p>
      <w:pPr>
        <w:ind w:left="498" w:right="2459" w:hanging="498"/>
        <w:spacing w:after="0" w:line="237" w:lineRule="auto"/>
        <w:tabs>
          <w:tab w:leader="none" w:pos="4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financial data excludes the results of the 314,000 cable subscribers sold to Bresnan Communications in March 2003 and excludes the results of the net reduction of 16,000 subscribers associated with the cable system exchange with Insight Communications in February 2003. Pro forma financial data includes the results of the 30,000 cable subscribers acquired from US Coastal Cable in April 2004.</w:t>
      </w:r>
    </w:p>
    <w:p>
      <w:pPr>
        <w:spacing w:after="0" w:line="197" w:lineRule="exact"/>
        <w:rPr>
          <w:rFonts w:ascii="Courier New" w:cs="Courier New" w:eastAsia="Courier New" w:hAnsi="Courier New"/>
          <w:sz w:val="17"/>
          <w:szCs w:val="17"/>
          <w:color w:val="auto"/>
        </w:rPr>
      </w:pPr>
    </w:p>
    <w:p>
      <w:pPr>
        <w:ind w:left="498" w:right="2759" w:hanging="498"/>
        <w:spacing w:after="0" w:line="236" w:lineRule="auto"/>
        <w:tabs>
          <w:tab w:leader="none" w:pos="4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Content includes our national networks E! Entertainment Television and Style Network (E! Networks), The Golf Channel, Outdoor Life Network, G4techTV and International Channel Networks.</w:t>
      </w:r>
    </w:p>
    <w:p>
      <w:pPr>
        <w:spacing w:after="0" w:line="196" w:lineRule="exact"/>
        <w:rPr>
          <w:rFonts w:ascii="Courier New" w:cs="Courier New" w:eastAsia="Courier New" w:hAnsi="Courier New"/>
          <w:sz w:val="17"/>
          <w:szCs w:val="17"/>
          <w:color w:val="auto"/>
        </w:rPr>
      </w:pPr>
    </w:p>
    <w:p>
      <w:pPr>
        <w:ind w:left="498" w:right="2259" w:hanging="498"/>
        <w:spacing w:after="0" w:line="237" w:lineRule="auto"/>
        <w:tabs>
          <w:tab w:leader="none" w:pos="4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and Other includes Comcast-Spectacor, the Company's domestic wireline telecommunications business, international wireless operations, Corporate and elimination entries. Prior to the first quarter of 2004, Comcast-Spectacor was included in Content, which now only consists of our national networks. For all periods presented, Comcast-Spectacor is included in Corporate and Other. In addition, beginning in the third quarter of 2004, Comcast-Spectacor includes the operating results of its investment in a sports-event related business.</w:t>
      </w:r>
    </w:p>
    <w:p>
      <w:pPr>
        <w:spacing w:after="0" w:line="199" w:lineRule="exact"/>
        <w:rPr>
          <w:rFonts w:ascii="Courier New" w:cs="Courier New" w:eastAsia="Courier New" w:hAnsi="Courier New"/>
          <w:sz w:val="17"/>
          <w:szCs w:val="17"/>
          <w:color w:val="auto"/>
        </w:rPr>
      </w:pPr>
    </w:p>
    <w:p>
      <w:pPr>
        <w:ind w:left="498" w:right="2659" w:hanging="498"/>
        <w:spacing w:after="0" w:line="235" w:lineRule="auto"/>
        <w:tabs>
          <w:tab w:leader="none" w:pos="4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Cable segment's capital expenditures are comprised of the following categories:</w:t>
      </w:r>
    </w:p>
    <w:p>
      <w:pPr>
        <w:spacing w:after="0" w:line="200" w:lineRule="exact"/>
        <w:rPr>
          <w:sz w:val="20"/>
          <w:szCs w:val="20"/>
          <w:color w:val="auto"/>
        </w:rPr>
      </w:pPr>
    </w:p>
    <w:p>
      <w:pPr>
        <w:spacing w:after="0" w:line="373" w:lineRule="exact"/>
        <w:rPr>
          <w:sz w:val="20"/>
          <w:szCs w:val="20"/>
          <w:color w:val="auto"/>
        </w:rPr>
      </w:pPr>
    </w:p>
    <w:tbl>
      <w:tblPr>
        <w:tblLayout w:type="fixed"/>
        <w:tblInd w:w="498" w:type="dxa"/>
        <w:tblCellMar>
          <w:top w:w="0" w:type="dxa"/>
          <w:left w:w="0" w:type="dxa"/>
          <w:bottom w:w="0" w:type="dxa"/>
          <w:right w:w="0" w:type="dxa"/>
        </w:tblCellMar>
      </w:tblPr>
      <w:tr>
        <w:trPr>
          <w:trHeight w:val="193"/>
        </w:trPr>
        <w:tc>
          <w:tcPr>
            <w:tcW w:w="3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YTD</w:t>
            </w:r>
          </w:p>
        </w:tc>
        <w:tc>
          <w:tcPr>
            <w:tcW w:w="360" w:type="dxa"/>
            <w:vAlign w:val="bottom"/>
          </w:tcPr>
          <w:p>
            <w:pPr>
              <w:spacing w:after="0"/>
              <w:rPr>
                <w:sz w:val="16"/>
                <w:szCs w:val="16"/>
                <w:color w:val="auto"/>
              </w:rPr>
            </w:pPr>
          </w:p>
        </w:tc>
        <w:tc>
          <w:tcPr>
            <w:tcW w:w="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YTD</w:t>
            </w:r>
          </w:p>
        </w:tc>
      </w:tr>
      <w:tr>
        <w:trPr>
          <w:trHeight w:val="191"/>
        </w:trPr>
        <w:tc>
          <w:tcPr>
            <w:tcW w:w="3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4Q04</w:t>
            </w:r>
          </w:p>
        </w:tc>
        <w:tc>
          <w:tcPr>
            <w:tcW w:w="34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4Q03</w:t>
            </w:r>
          </w:p>
        </w:tc>
        <w:tc>
          <w:tcPr>
            <w:tcW w:w="2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12/31/04</w:t>
            </w:r>
          </w:p>
        </w:tc>
        <w:tc>
          <w:tcPr>
            <w:tcW w:w="106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12/31/03</w:t>
            </w:r>
          </w:p>
        </w:tc>
      </w:tr>
      <w:tr>
        <w:trPr>
          <w:trHeight w:val="191"/>
        </w:trPr>
        <w:tc>
          <w:tcPr>
            <w:tcW w:w="3580" w:type="dxa"/>
            <w:vAlign w:val="bottom"/>
          </w:tcPr>
          <w:p>
            <w:pPr>
              <w:spacing w:after="0"/>
              <w:rPr>
                <w:sz w:val="16"/>
                <w:szCs w:val="16"/>
                <w:color w:val="auto"/>
              </w:rPr>
            </w:pPr>
          </w:p>
        </w:tc>
        <w:tc>
          <w:tcPr>
            <w:tcW w:w="14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580" w:type="dxa"/>
            <w:vAlign w:val="bottom"/>
          </w:tcPr>
          <w:p>
            <w:pPr>
              <w:spacing w:after="0"/>
              <w:rPr>
                <w:sz w:val="20"/>
                <w:szCs w:val="20"/>
                <w:color w:val="auto"/>
              </w:rPr>
            </w:pPr>
            <w:r>
              <w:rPr>
                <w:rFonts w:ascii="Courier New" w:cs="Courier New" w:eastAsia="Courier New" w:hAnsi="Courier New"/>
                <w:sz w:val="17"/>
                <w:szCs w:val="17"/>
                <w:color w:val="auto"/>
              </w:rPr>
              <w:t>Customer Premise Equipment (CPE)</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523</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rPr>
                <w:sz w:val="20"/>
                <w:szCs w:val="20"/>
                <w:color w:val="auto"/>
              </w:rPr>
            </w:pPr>
            <w:r>
              <w:rPr>
                <w:rFonts w:ascii="Courier New" w:cs="Courier New" w:eastAsia="Courier New" w:hAnsi="Courier New"/>
                <w:sz w:val="17"/>
                <w:szCs w:val="17"/>
                <w:color w:val="auto"/>
              </w:rPr>
              <w:t>425</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1,545</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1,573</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Scalable Infrastructure</w:t>
            </w:r>
          </w:p>
        </w:tc>
        <w:tc>
          <w:tcPr>
            <w:tcW w:w="540" w:type="dxa"/>
            <w:vAlign w:val="bottom"/>
          </w:tcPr>
          <w:p>
            <w:pPr>
              <w:spacing w:after="0"/>
              <w:rPr>
                <w:sz w:val="16"/>
                <w:szCs w:val="16"/>
                <w:color w:val="auto"/>
              </w:rPr>
            </w:pP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178</w:t>
            </w:r>
          </w:p>
        </w:tc>
        <w:tc>
          <w:tcPr>
            <w:tcW w:w="3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123</w:t>
            </w:r>
          </w:p>
        </w:tc>
        <w:tc>
          <w:tcPr>
            <w:tcW w:w="2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561</w:t>
            </w:r>
          </w:p>
        </w:tc>
        <w:tc>
          <w:tcPr>
            <w:tcW w:w="3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350</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Line Extensions</w:t>
            </w:r>
          </w:p>
        </w:tc>
        <w:tc>
          <w:tcPr>
            <w:tcW w:w="540" w:type="dxa"/>
            <w:vAlign w:val="bottom"/>
          </w:tcPr>
          <w:p>
            <w:pPr>
              <w:spacing w:after="0"/>
              <w:rPr>
                <w:sz w:val="16"/>
                <w:szCs w:val="16"/>
                <w:color w:val="auto"/>
              </w:rPr>
            </w:pP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86</w:t>
            </w:r>
          </w:p>
        </w:tc>
        <w:tc>
          <w:tcPr>
            <w:tcW w:w="3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78</w:t>
            </w:r>
          </w:p>
        </w:tc>
        <w:tc>
          <w:tcPr>
            <w:tcW w:w="2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311</w:t>
            </w:r>
          </w:p>
        </w:tc>
        <w:tc>
          <w:tcPr>
            <w:tcW w:w="3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251</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Upgrades</w:t>
            </w:r>
          </w:p>
        </w:tc>
        <w:tc>
          <w:tcPr>
            <w:tcW w:w="540" w:type="dxa"/>
            <w:vAlign w:val="bottom"/>
          </w:tcPr>
          <w:p>
            <w:pPr>
              <w:spacing w:after="0"/>
              <w:rPr>
                <w:sz w:val="16"/>
                <w:szCs w:val="16"/>
                <w:color w:val="auto"/>
              </w:rPr>
            </w:pP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164</w:t>
            </w:r>
          </w:p>
        </w:tc>
        <w:tc>
          <w:tcPr>
            <w:tcW w:w="3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279</w:t>
            </w:r>
          </w:p>
        </w:tc>
        <w:tc>
          <w:tcPr>
            <w:tcW w:w="2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902</w:t>
            </w:r>
          </w:p>
        </w:tc>
        <w:tc>
          <w:tcPr>
            <w:tcW w:w="3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1,414</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Support Capital</w:t>
            </w:r>
          </w:p>
        </w:tc>
        <w:tc>
          <w:tcPr>
            <w:tcW w:w="540" w:type="dxa"/>
            <w:vAlign w:val="bottom"/>
          </w:tcPr>
          <w:p>
            <w:pPr>
              <w:spacing w:after="0"/>
              <w:rPr>
                <w:sz w:val="16"/>
                <w:szCs w:val="16"/>
                <w:color w:val="auto"/>
              </w:rPr>
            </w:pP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93</w:t>
            </w:r>
          </w:p>
        </w:tc>
        <w:tc>
          <w:tcPr>
            <w:tcW w:w="3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147</w:t>
            </w:r>
          </w:p>
        </w:tc>
        <w:tc>
          <w:tcPr>
            <w:tcW w:w="2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303</w:t>
            </w:r>
          </w:p>
        </w:tc>
        <w:tc>
          <w:tcPr>
            <w:tcW w:w="3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509</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1,044</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1,052</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3,622</w:t>
            </w:r>
          </w:p>
        </w:tc>
        <w:tc>
          <w:tcPr>
            <w:tcW w:w="3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4,097</w:t>
            </w:r>
          </w:p>
        </w:tc>
      </w:tr>
    </w:tbl>
    <w:p>
      <w:pPr>
        <w:spacing w:after="0" w:line="388" w:lineRule="exact"/>
        <w:rPr>
          <w:sz w:val="20"/>
          <w:szCs w:val="20"/>
          <w:color w:val="auto"/>
        </w:rPr>
      </w:pPr>
    </w:p>
    <w:p>
      <w:pPr>
        <w:ind w:left="498" w:right="2359"/>
        <w:spacing w:after="0" w:line="253" w:lineRule="auto"/>
        <w:rPr>
          <w:sz w:val="20"/>
          <w:szCs w:val="20"/>
          <w:color w:val="auto"/>
        </w:rPr>
      </w:pPr>
      <w:r>
        <w:rPr>
          <w:rFonts w:ascii="Courier New" w:cs="Courier New" w:eastAsia="Courier New" w:hAnsi="Courier New"/>
          <w:sz w:val="16"/>
          <w:szCs w:val="16"/>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Upgrades include costs to enhance or replace existing fiber/coaxial cable networks, including recurring betterments. Support capital includes costs associated with the replacement or enhancement of non-network assets due to obsolescence and wear out (e.g. non-network equipment, land, buildings and vehicles).</w:t>
      </w:r>
    </w:p>
    <w:p>
      <w:pPr>
        <w:sectPr>
          <w:pgSz w:w="11900" w:h="16838" w:orient="portrait"/>
          <w:cols w:equalWidth="0" w:num="1">
            <w:col w:w="10217"/>
          </w:cols>
          <w:pgMar w:left="242" w:top="690" w:right="1440" w:bottom="1440" w:gutter="0" w:footer="0" w:header="0"/>
        </w:sectPr>
      </w:pPr>
    </w:p>
    <w:bookmarkStart w:id="15" w:name="page16"/>
    <w:bookmarkEnd w:id="15"/>
    <w:p>
      <w:pPr>
        <w:jc w:val="center"/>
        <w:ind w:right="2280"/>
        <w:spacing w:after="0"/>
        <w:rPr>
          <w:sz w:val="20"/>
          <w:szCs w:val="20"/>
          <w:color w:val="auto"/>
        </w:rPr>
      </w:pPr>
      <w:r>
        <w:rPr>
          <w:rFonts w:ascii="Courier New" w:cs="Courier New" w:eastAsia="Courier New" w:hAnsi="Courier New"/>
          <w:sz w:val="17"/>
          <w:szCs w:val="17"/>
          <w:color w:val="auto"/>
        </w:rPr>
        <w:t>COMCAST CORPORATION</w:t>
      </w:r>
    </w:p>
    <w:p>
      <w:pPr>
        <w:spacing w:after="0" w:line="190" w:lineRule="exact"/>
        <w:rPr>
          <w:sz w:val="20"/>
          <w:szCs w:val="20"/>
          <w:color w:val="auto"/>
        </w:rPr>
      </w:pPr>
    </w:p>
    <w:p>
      <w:pPr>
        <w:jc w:val="center"/>
        <w:ind w:right="2280"/>
        <w:spacing w:after="0"/>
        <w:rPr>
          <w:sz w:val="20"/>
          <w:szCs w:val="20"/>
          <w:color w:val="auto"/>
        </w:rPr>
      </w:pPr>
      <w:r>
        <w:rPr>
          <w:rFonts w:ascii="Courier New" w:cs="Courier New" w:eastAsia="Courier New" w:hAnsi="Courier New"/>
          <w:sz w:val="17"/>
          <w:szCs w:val="17"/>
          <w:color w:val="auto"/>
        </w:rPr>
        <w:t>TABLE 6</w:t>
      </w:r>
    </w:p>
    <w:p>
      <w:pPr>
        <w:spacing w:after="0" w:line="190" w:lineRule="exact"/>
        <w:rPr>
          <w:sz w:val="20"/>
          <w:szCs w:val="20"/>
          <w:color w:val="auto"/>
        </w:rPr>
      </w:pPr>
    </w:p>
    <w:p>
      <w:pPr>
        <w:jc w:val="center"/>
        <w:ind w:right="2280"/>
        <w:spacing w:after="0"/>
        <w:rPr>
          <w:sz w:val="20"/>
          <w:szCs w:val="20"/>
          <w:color w:val="auto"/>
        </w:rPr>
      </w:pPr>
      <w:r>
        <w:rPr>
          <w:rFonts w:ascii="Courier New" w:cs="Courier New" w:eastAsia="Courier New" w:hAnsi="Courier New"/>
          <w:sz w:val="17"/>
          <w:szCs w:val="17"/>
          <w:color w:val="auto"/>
        </w:rPr>
        <w:t>Pro Forma Data - Cable Segment Components (Unaudited) (1) (2)</w:t>
      </w:r>
    </w:p>
    <w:p>
      <w:pPr>
        <w:jc w:val="center"/>
        <w:ind w:right="2280"/>
        <w:spacing w:after="0" w:line="238" w:lineRule="auto"/>
        <w:rPr>
          <w:sz w:val="20"/>
          <w:szCs w:val="20"/>
          <w:color w:val="auto"/>
        </w:rPr>
      </w:pPr>
      <w:r>
        <w:rPr>
          <w:rFonts w:ascii="Courier New" w:cs="Courier New" w:eastAsia="Courier New" w:hAnsi="Courier New"/>
          <w:sz w:val="17"/>
          <w:szCs w:val="17"/>
          <w:color w:val="auto"/>
        </w:rPr>
        <w:t>(dollars in millions, except average monthly revenue per subscriber data)</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3"/>
          </w:tcPr>
          <w:p>
            <w:pPr>
              <w:jc w:val="right"/>
              <w:ind w:right="497"/>
              <w:spacing w:after="0"/>
              <w:rPr>
                <w:sz w:val="20"/>
                <w:szCs w:val="20"/>
                <w:color w:val="auto"/>
              </w:rPr>
            </w:pPr>
            <w:r>
              <w:rPr>
                <w:rFonts w:ascii="Courier New" w:cs="Courier New" w:eastAsia="Courier New" w:hAnsi="Courier New"/>
                <w:sz w:val="17"/>
                <w:szCs w:val="17"/>
                <w:color w:val="auto"/>
              </w:rPr>
              <w:t>Three Months</w:t>
            </w:r>
          </w:p>
        </w:tc>
        <w:tc>
          <w:tcPr>
            <w:tcW w:w="260" w:type="dxa"/>
            <w:vAlign w:val="bottom"/>
          </w:tcPr>
          <w:p>
            <w:pPr>
              <w:spacing w:after="0"/>
              <w:rPr>
                <w:sz w:val="16"/>
                <w:szCs w:val="16"/>
                <w:color w:val="auto"/>
              </w:rPr>
            </w:pPr>
          </w:p>
        </w:tc>
        <w:tc>
          <w:tcPr>
            <w:tcW w:w="2040" w:type="dxa"/>
            <w:vAlign w:val="bottom"/>
            <w:gridSpan w:val="3"/>
          </w:tcPr>
          <w:p>
            <w:pPr>
              <w:jc w:val="right"/>
              <w:ind w:right="317"/>
              <w:spacing w:after="0"/>
              <w:rPr>
                <w:sz w:val="20"/>
                <w:szCs w:val="20"/>
                <w:color w:val="auto"/>
              </w:rPr>
            </w:pPr>
            <w:r>
              <w:rPr>
                <w:rFonts w:ascii="Courier New" w:cs="Courier New" w:eastAsia="Courier New" w:hAnsi="Courier New"/>
                <w:sz w:val="17"/>
                <w:szCs w:val="17"/>
                <w:color w:val="auto"/>
              </w:rPr>
              <w:t>Twelve Months</w:t>
            </w:r>
          </w:p>
        </w:tc>
      </w:tr>
      <w:tr>
        <w:trPr>
          <w:trHeight w:val="191"/>
        </w:trPr>
        <w:tc>
          <w:tcPr>
            <w:tcW w:w="3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Ended</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Ended</w:t>
            </w:r>
          </w:p>
        </w:tc>
        <w:tc>
          <w:tcPr>
            <w:tcW w:w="800" w:type="dxa"/>
            <w:vAlign w:val="bottom"/>
          </w:tcPr>
          <w:p>
            <w:pPr>
              <w:spacing w:after="0"/>
              <w:rPr>
                <w:sz w:val="16"/>
                <w:szCs w:val="16"/>
                <w:color w:val="auto"/>
              </w:rPr>
            </w:pPr>
          </w:p>
        </w:tc>
      </w:tr>
      <w:tr>
        <w:trPr>
          <w:trHeight w:val="191"/>
        </w:trPr>
        <w:tc>
          <w:tcPr>
            <w:tcW w:w="3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3"/>
          </w:tcPr>
          <w:p>
            <w:pPr>
              <w:jc w:val="right"/>
              <w:ind w:right="497"/>
              <w:spacing w:after="0" w:line="191" w:lineRule="exact"/>
              <w:rPr>
                <w:sz w:val="20"/>
                <w:szCs w:val="20"/>
                <w:color w:val="auto"/>
              </w:rPr>
            </w:pPr>
            <w:r>
              <w:rPr>
                <w:rFonts w:ascii="Courier New" w:cs="Courier New" w:eastAsia="Courier New" w:hAnsi="Courier New"/>
                <w:sz w:val="17"/>
                <w:szCs w:val="17"/>
                <w:color w:val="auto"/>
              </w:rPr>
              <w:t>December 31,</w:t>
            </w:r>
          </w:p>
        </w:tc>
        <w:tc>
          <w:tcPr>
            <w:tcW w:w="260" w:type="dxa"/>
            <w:vAlign w:val="bottom"/>
          </w:tcPr>
          <w:p>
            <w:pPr>
              <w:spacing w:after="0"/>
              <w:rPr>
                <w:sz w:val="16"/>
                <w:szCs w:val="16"/>
                <w:color w:val="auto"/>
              </w:rPr>
            </w:pPr>
          </w:p>
        </w:tc>
        <w:tc>
          <w:tcPr>
            <w:tcW w:w="2040" w:type="dxa"/>
            <w:vAlign w:val="bottom"/>
            <w:gridSpan w:val="3"/>
          </w:tcPr>
          <w:p>
            <w:pPr>
              <w:jc w:val="right"/>
              <w:ind w:right="417"/>
              <w:spacing w:after="0" w:line="191" w:lineRule="exact"/>
              <w:rPr>
                <w:sz w:val="20"/>
                <w:szCs w:val="20"/>
                <w:color w:val="auto"/>
              </w:rPr>
            </w:pPr>
            <w:r>
              <w:rPr>
                <w:rFonts w:ascii="Courier New" w:cs="Courier New" w:eastAsia="Courier New" w:hAnsi="Courier New"/>
                <w:sz w:val="17"/>
                <w:szCs w:val="17"/>
                <w:color w:val="auto"/>
              </w:rPr>
              <w:t>December 31,</w:t>
            </w:r>
          </w:p>
        </w:tc>
      </w:tr>
      <w:tr>
        <w:trPr>
          <w:trHeight w:val="191"/>
        </w:trPr>
        <w:tc>
          <w:tcPr>
            <w:tcW w:w="3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2004</w:t>
            </w:r>
          </w:p>
        </w:tc>
        <w:tc>
          <w:tcPr>
            <w:tcW w:w="240" w:type="dxa"/>
            <w:vAlign w:val="bottom"/>
          </w:tcPr>
          <w:p>
            <w:pPr>
              <w:spacing w:after="0"/>
              <w:rPr>
                <w:sz w:val="16"/>
                <w:szCs w:val="16"/>
                <w:color w:val="auto"/>
              </w:rPr>
            </w:pPr>
          </w:p>
        </w:tc>
        <w:tc>
          <w:tcPr>
            <w:tcW w:w="9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2003</w:t>
            </w:r>
          </w:p>
        </w:tc>
        <w:tc>
          <w:tcPr>
            <w:tcW w:w="260" w:type="dxa"/>
            <w:vAlign w:val="bottom"/>
          </w:tcPr>
          <w:p>
            <w:pPr>
              <w:spacing w:after="0"/>
              <w:rPr>
                <w:sz w:val="16"/>
                <w:szCs w:val="16"/>
                <w:color w:val="auto"/>
              </w:rPr>
            </w:pPr>
          </w:p>
        </w:tc>
        <w:tc>
          <w:tcPr>
            <w:tcW w:w="9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2004</w:t>
            </w:r>
          </w:p>
        </w:tc>
        <w:tc>
          <w:tcPr>
            <w:tcW w:w="3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2003</w:t>
            </w:r>
          </w:p>
        </w:tc>
      </w:tr>
      <w:tr>
        <w:trPr>
          <w:trHeight w:val="191"/>
        </w:trPr>
        <w:tc>
          <w:tcPr>
            <w:tcW w:w="3740" w:type="dxa"/>
            <w:vAlign w:val="bottom"/>
          </w:tcPr>
          <w:p>
            <w:pPr>
              <w:spacing w:after="0"/>
              <w:rPr>
                <w:sz w:val="16"/>
                <w:szCs w:val="16"/>
                <w:color w:val="auto"/>
              </w:rPr>
            </w:pPr>
          </w:p>
        </w:tc>
        <w:tc>
          <w:tcPr>
            <w:tcW w:w="13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7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Video (3)</w:t>
            </w:r>
          </w:p>
        </w:tc>
        <w:tc>
          <w:tcPr>
            <w:tcW w:w="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3,242</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3,061</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12,897</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12,110</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High-Speed Internet</w:t>
            </w:r>
          </w:p>
        </w:tc>
        <w:tc>
          <w:tcPr>
            <w:tcW w:w="380" w:type="dxa"/>
            <w:vAlign w:val="bottom"/>
          </w:tcPr>
          <w:p>
            <w:pPr>
              <w:spacing w:after="0"/>
              <w:rPr>
                <w:sz w:val="16"/>
                <w:szCs w:val="16"/>
                <w:color w:val="auto"/>
              </w:rPr>
            </w:pP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855</w:t>
            </w:r>
          </w:p>
        </w:tc>
        <w:tc>
          <w:tcPr>
            <w:tcW w:w="24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629</w:t>
            </w:r>
          </w:p>
        </w:tc>
        <w:tc>
          <w:tcPr>
            <w:tcW w:w="26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3,124</w:t>
            </w:r>
          </w:p>
        </w:tc>
        <w:tc>
          <w:tcPr>
            <w:tcW w:w="30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2,255</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Phone</w:t>
            </w:r>
          </w:p>
        </w:tc>
        <w:tc>
          <w:tcPr>
            <w:tcW w:w="380" w:type="dxa"/>
            <w:vAlign w:val="bottom"/>
          </w:tcPr>
          <w:p>
            <w:pPr>
              <w:spacing w:after="0"/>
              <w:rPr>
                <w:sz w:val="16"/>
                <w:szCs w:val="16"/>
                <w:color w:val="auto"/>
              </w:rPr>
            </w:pP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173</w:t>
            </w:r>
          </w:p>
        </w:tc>
        <w:tc>
          <w:tcPr>
            <w:tcW w:w="24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183</w:t>
            </w:r>
          </w:p>
        </w:tc>
        <w:tc>
          <w:tcPr>
            <w:tcW w:w="26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701</w:t>
            </w:r>
          </w:p>
        </w:tc>
        <w:tc>
          <w:tcPr>
            <w:tcW w:w="30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801</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Advertising</w:t>
            </w:r>
          </w:p>
        </w:tc>
        <w:tc>
          <w:tcPr>
            <w:tcW w:w="380" w:type="dxa"/>
            <w:vAlign w:val="bottom"/>
          </w:tcPr>
          <w:p>
            <w:pPr>
              <w:spacing w:after="0"/>
              <w:rPr>
                <w:sz w:val="16"/>
                <w:szCs w:val="16"/>
                <w:color w:val="auto"/>
              </w:rPr>
            </w:pP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369</w:t>
            </w:r>
          </w:p>
        </w:tc>
        <w:tc>
          <w:tcPr>
            <w:tcW w:w="24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315</w:t>
            </w:r>
          </w:p>
        </w:tc>
        <w:tc>
          <w:tcPr>
            <w:tcW w:w="26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1,287</w:t>
            </w:r>
          </w:p>
        </w:tc>
        <w:tc>
          <w:tcPr>
            <w:tcW w:w="30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1,113</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(4)</w:t>
            </w:r>
          </w:p>
        </w:tc>
        <w:tc>
          <w:tcPr>
            <w:tcW w:w="380" w:type="dxa"/>
            <w:vAlign w:val="bottom"/>
          </w:tcPr>
          <w:p>
            <w:pPr>
              <w:spacing w:after="0"/>
              <w:rPr>
                <w:sz w:val="16"/>
                <w:szCs w:val="16"/>
                <w:color w:val="auto"/>
              </w:rPr>
            </w:pP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185</w:t>
            </w:r>
          </w:p>
        </w:tc>
        <w:tc>
          <w:tcPr>
            <w:tcW w:w="24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167</w:t>
            </w:r>
          </w:p>
        </w:tc>
        <w:tc>
          <w:tcPr>
            <w:tcW w:w="26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666</w:t>
            </w:r>
          </w:p>
        </w:tc>
        <w:tc>
          <w:tcPr>
            <w:tcW w:w="30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619</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Franchise Fees</w:t>
            </w:r>
          </w:p>
        </w:tc>
        <w:tc>
          <w:tcPr>
            <w:tcW w:w="380" w:type="dxa"/>
            <w:vAlign w:val="bottom"/>
          </w:tcPr>
          <w:p>
            <w:pPr>
              <w:spacing w:after="0"/>
              <w:rPr>
                <w:sz w:val="16"/>
                <w:szCs w:val="16"/>
                <w:color w:val="auto"/>
              </w:rPr>
            </w:pP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163</w:t>
            </w:r>
          </w:p>
        </w:tc>
        <w:tc>
          <w:tcPr>
            <w:tcW w:w="24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155</w:t>
            </w:r>
          </w:p>
        </w:tc>
        <w:tc>
          <w:tcPr>
            <w:tcW w:w="26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646</w:t>
            </w:r>
          </w:p>
        </w:tc>
        <w:tc>
          <w:tcPr>
            <w:tcW w:w="30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608</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Revenues</w:t>
            </w:r>
          </w:p>
        </w:tc>
        <w:tc>
          <w:tcPr>
            <w:tcW w:w="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4,987</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4,510</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19,321</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17,506</w:t>
            </w:r>
          </w:p>
        </w:tc>
      </w:tr>
      <w:tr>
        <w:trPr>
          <w:trHeight w:val="383"/>
        </w:trPr>
        <w:tc>
          <w:tcPr>
            <w:tcW w:w="3740" w:type="dxa"/>
            <w:vAlign w:val="bottom"/>
          </w:tcPr>
          <w:p>
            <w:pPr>
              <w:spacing w:after="0"/>
              <w:rPr>
                <w:sz w:val="20"/>
                <w:szCs w:val="20"/>
                <w:color w:val="auto"/>
              </w:rPr>
            </w:pPr>
            <w:r>
              <w:rPr>
                <w:rFonts w:ascii="Courier New" w:cs="Courier New" w:eastAsia="Courier New" w:hAnsi="Courier New"/>
                <w:sz w:val="17"/>
                <w:szCs w:val="17"/>
                <w:color w:val="auto"/>
              </w:rPr>
              <w:t>Programming Expense</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4,149</w:t>
            </w:r>
          </w:p>
        </w:tc>
        <w:tc>
          <w:tcPr>
            <w:tcW w:w="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3,914</w:t>
            </w:r>
          </w:p>
        </w:tc>
      </w:tr>
      <w:tr>
        <w:trPr>
          <w:trHeight w:val="383"/>
        </w:trPr>
        <w:tc>
          <w:tcPr>
            <w:tcW w:w="37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1,974</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1,714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7,473</w:t>
            </w:r>
          </w:p>
        </w:tc>
        <w:tc>
          <w:tcPr>
            <w:tcW w:w="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6,357</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w:t>
            </w:r>
          </w:p>
        </w:tc>
        <w:tc>
          <w:tcPr>
            <w:tcW w:w="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771</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790</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3,098</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2,134</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 Margin</w:t>
            </w:r>
          </w:p>
        </w:tc>
        <w:tc>
          <w:tcPr>
            <w:tcW w:w="380" w:type="dxa"/>
            <w:vAlign w:val="bottom"/>
          </w:tcPr>
          <w:p>
            <w:pPr>
              <w:spacing w:after="0"/>
              <w:rPr>
                <w:sz w:val="16"/>
                <w:szCs w:val="16"/>
                <w:color w:val="auto"/>
              </w:rPr>
            </w:pPr>
          </w:p>
        </w:tc>
        <w:tc>
          <w:tcPr>
            <w:tcW w:w="9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39.6%</w:t>
            </w:r>
          </w:p>
        </w:tc>
        <w:tc>
          <w:tcPr>
            <w:tcW w:w="24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38.0%</w:t>
            </w:r>
          </w:p>
        </w:tc>
        <w:tc>
          <w:tcPr>
            <w:tcW w:w="2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38.7%</w:t>
            </w:r>
          </w:p>
        </w:tc>
        <w:tc>
          <w:tcPr>
            <w:tcW w:w="30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36.3%</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Expenditures</w:t>
            </w:r>
          </w:p>
        </w:tc>
        <w:tc>
          <w:tcPr>
            <w:tcW w:w="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1,044</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1,052</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3,622</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4,097</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 Net of Capital</w:t>
            </w: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Expenditures</w:t>
            </w:r>
          </w:p>
        </w:tc>
        <w:tc>
          <w:tcPr>
            <w:tcW w:w="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930</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662</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3,851</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Growth</w:t>
            </w:r>
          </w:p>
        </w:tc>
        <w:tc>
          <w:tcPr>
            <w:tcW w:w="12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Growth</w:t>
            </w:r>
          </w:p>
        </w:tc>
      </w:tr>
      <w:tr>
        <w:trPr>
          <w:trHeight w:val="191"/>
        </w:trPr>
        <w:tc>
          <w:tcPr>
            <w:tcW w:w="1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vs.</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vs.</w:t>
            </w:r>
          </w:p>
        </w:tc>
      </w:tr>
      <w:tr>
        <w:trPr>
          <w:trHeight w:val="191"/>
        </w:trPr>
        <w:tc>
          <w:tcPr>
            <w:tcW w:w="1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4Q04</w:t>
            </w:r>
          </w:p>
        </w:tc>
        <w:tc>
          <w:tcPr>
            <w:tcW w:w="300" w:type="dxa"/>
            <w:vAlign w:val="bottom"/>
          </w:tcPr>
          <w:p>
            <w:pPr>
              <w:spacing w:after="0"/>
              <w:rPr>
                <w:sz w:val="16"/>
                <w:szCs w:val="16"/>
                <w:color w:val="auto"/>
              </w:rPr>
            </w:pPr>
          </w:p>
        </w:tc>
        <w:tc>
          <w:tcPr>
            <w:tcW w:w="10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3Q04</w:t>
            </w:r>
          </w:p>
        </w:tc>
        <w:tc>
          <w:tcPr>
            <w:tcW w:w="34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4Q03</w:t>
            </w:r>
          </w:p>
        </w:tc>
        <w:tc>
          <w:tcPr>
            <w:tcW w:w="14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3Q04</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4Q03</w:t>
            </w:r>
          </w:p>
        </w:tc>
      </w:tr>
      <w:tr>
        <w:trPr>
          <w:trHeight w:val="191"/>
        </w:trPr>
        <w:tc>
          <w:tcPr>
            <w:tcW w:w="1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Video</w:t>
            </w:r>
          </w:p>
        </w:tc>
        <w:tc>
          <w:tcPr>
            <w:tcW w:w="2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Homes Passed (000's)</w:t>
            </w:r>
          </w:p>
        </w:tc>
        <w:tc>
          <w:tcPr>
            <w:tcW w:w="44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40,800</w:t>
            </w:r>
          </w:p>
        </w:tc>
        <w:tc>
          <w:tcPr>
            <w:tcW w:w="3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40,500</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39,900</w:t>
            </w: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0.7%</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w:t>
            </w: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Basic Subscribers (000's)</w:t>
            </w:r>
          </w:p>
        </w:tc>
        <w:tc>
          <w:tcPr>
            <w:tcW w:w="44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21,548</w:t>
            </w:r>
          </w:p>
        </w:tc>
        <w:tc>
          <w:tcPr>
            <w:tcW w:w="3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21,487</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21,540</w:t>
            </w: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0.3%</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0.0%</w:t>
            </w: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Basic Penetration</w:t>
            </w:r>
          </w:p>
        </w:tc>
        <w:tc>
          <w:tcPr>
            <w:tcW w:w="440" w:type="dxa"/>
            <w:vAlign w:val="bottom"/>
          </w:tcPr>
          <w:p>
            <w:pPr>
              <w:spacing w:after="0"/>
              <w:rPr>
                <w:sz w:val="16"/>
                <w:szCs w:val="16"/>
                <w:color w:val="auto"/>
              </w:rPr>
            </w:pP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52.8%</w:t>
            </w:r>
          </w:p>
        </w:tc>
        <w:tc>
          <w:tcPr>
            <w:tcW w:w="30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53.0%</w:t>
            </w:r>
          </w:p>
        </w:tc>
        <w:tc>
          <w:tcPr>
            <w:tcW w:w="3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53.9%</w:t>
            </w: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Quarterly Net Basic Subscriber</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Additions</w:t>
            </w:r>
          </w:p>
        </w:tc>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(000's)</w:t>
            </w:r>
          </w:p>
        </w:tc>
        <w:tc>
          <w:tcPr>
            <w:tcW w:w="44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60</w:t>
            </w:r>
          </w:p>
        </w:tc>
        <w:tc>
          <w:tcPr>
            <w:tcW w:w="3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70</w:t>
            </w: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609.4%</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(13.7)%</w:t>
            </w:r>
          </w:p>
        </w:tc>
      </w:tr>
      <w:tr>
        <w:trPr>
          <w:trHeight w:val="383"/>
        </w:trPr>
        <w:tc>
          <w:tcPr>
            <w:tcW w:w="3680" w:type="dxa"/>
            <w:vAlign w:val="bottom"/>
            <w:gridSpan w:val="2"/>
          </w:tcPr>
          <w:p>
            <w:pPr>
              <w:spacing w:after="0"/>
              <w:rPr>
                <w:sz w:val="20"/>
                <w:szCs w:val="20"/>
                <w:color w:val="auto"/>
              </w:rPr>
            </w:pPr>
            <w:r>
              <w:rPr>
                <w:rFonts w:ascii="Courier New" w:cs="Courier New" w:eastAsia="Courier New" w:hAnsi="Courier New"/>
                <w:sz w:val="17"/>
                <w:szCs w:val="17"/>
                <w:color w:val="auto"/>
              </w:rPr>
              <w:t>Digital Subscribers (000's)</w:t>
            </w:r>
          </w:p>
        </w:tc>
        <w:tc>
          <w:tcPr>
            <w:tcW w:w="440" w:type="dxa"/>
            <w:vAlign w:val="bottom"/>
          </w:tcPr>
          <w:p>
            <w:pPr>
              <w:spacing w:after="0"/>
              <w:rPr>
                <w:sz w:val="24"/>
                <w:szCs w:val="24"/>
                <w:color w:val="auto"/>
              </w:rPr>
            </w:pPr>
          </w:p>
        </w:tc>
        <w:tc>
          <w:tcPr>
            <w:tcW w:w="10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8,655</w:t>
            </w:r>
          </w:p>
        </w:tc>
        <w:tc>
          <w:tcPr>
            <w:tcW w:w="300" w:type="dxa"/>
            <w:vAlign w:val="bottom"/>
          </w:tcPr>
          <w:p>
            <w:pPr>
              <w:spacing w:after="0"/>
              <w:rPr>
                <w:sz w:val="24"/>
                <w:szCs w:val="24"/>
                <w:color w:val="auto"/>
              </w:rPr>
            </w:pPr>
          </w:p>
        </w:tc>
        <w:tc>
          <w:tcPr>
            <w:tcW w:w="10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8,405</w:t>
            </w:r>
          </w:p>
        </w:tc>
        <w:tc>
          <w:tcPr>
            <w:tcW w:w="340" w:type="dxa"/>
            <w:vAlign w:val="bottom"/>
          </w:tcPr>
          <w:p>
            <w:pPr>
              <w:spacing w:after="0"/>
              <w:rPr>
                <w:sz w:val="24"/>
                <w:szCs w:val="24"/>
                <w:color w:val="auto"/>
              </w:rPr>
            </w:pPr>
          </w:p>
        </w:tc>
        <w:tc>
          <w:tcPr>
            <w:tcW w:w="9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7,665</w:t>
            </w:r>
          </w:p>
        </w:tc>
        <w:tc>
          <w:tcPr>
            <w:tcW w:w="14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3.0%</w:t>
            </w:r>
          </w:p>
        </w:tc>
        <w:tc>
          <w:tcPr>
            <w:tcW w:w="12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12.9%</w:t>
            </w: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Digital Penetration</w:t>
            </w:r>
          </w:p>
        </w:tc>
        <w:tc>
          <w:tcPr>
            <w:tcW w:w="440" w:type="dxa"/>
            <w:vAlign w:val="bottom"/>
          </w:tcPr>
          <w:p>
            <w:pPr>
              <w:spacing w:after="0"/>
              <w:rPr>
                <w:sz w:val="16"/>
                <w:szCs w:val="16"/>
                <w:color w:val="auto"/>
              </w:rPr>
            </w:pP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40.2%</w:t>
            </w:r>
          </w:p>
        </w:tc>
        <w:tc>
          <w:tcPr>
            <w:tcW w:w="30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39.1%</w:t>
            </w:r>
          </w:p>
        </w:tc>
        <w:tc>
          <w:tcPr>
            <w:tcW w:w="3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35.6%</w:t>
            </w: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Quarterly Net Digital Subscriber</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Additions</w:t>
            </w:r>
          </w:p>
        </w:tc>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(000's)</w:t>
            </w:r>
          </w:p>
        </w:tc>
        <w:tc>
          <w:tcPr>
            <w:tcW w:w="44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251</w:t>
            </w:r>
          </w:p>
        </w:tc>
        <w:tc>
          <w:tcPr>
            <w:tcW w:w="3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341</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384</w:t>
            </w:r>
          </w:p>
        </w:tc>
        <w:tc>
          <w:tcPr>
            <w:tcW w:w="1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(26.5)%</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(34.7)%</w:t>
            </w: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Digital Set-Top Boxes</w:t>
            </w:r>
          </w:p>
        </w:tc>
        <w:tc>
          <w:tcPr>
            <w:tcW w:w="44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12,959</w:t>
            </w:r>
          </w:p>
        </w:tc>
        <w:tc>
          <w:tcPr>
            <w:tcW w:w="3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12,480</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11,189</w:t>
            </w: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3.8%</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15.8%</w:t>
            </w: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Monthly Average Video Revenue per</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36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Basic Subscriber</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50.22</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50.00</w:t>
            </w:r>
          </w:p>
        </w:tc>
        <w:tc>
          <w:tcPr>
            <w:tcW w:w="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47.45</w:t>
            </w: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0.4%</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5.8%</w:t>
            </w: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Monthly Average Total Revenue per</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36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Basic Subscriber</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77.29</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75.15</w:t>
            </w:r>
          </w:p>
        </w:tc>
        <w:tc>
          <w:tcPr>
            <w:tcW w:w="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69.92</w:t>
            </w: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2.8%</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10.5%</w:t>
            </w: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High-Speed Internet</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"Available" Homes (000's)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Subscribers (000's)</w:t>
            </w:r>
          </w:p>
        </w:tc>
        <w:tc>
          <w:tcPr>
            <w:tcW w:w="44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40,010</w:t>
            </w:r>
          </w:p>
        </w:tc>
        <w:tc>
          <w:tcPr>
            <w:tcW w:w="3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38,060</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34,731</w:t>
            </w: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5.1%</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15.2%</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Penetration</w:t>
            </w:r>
          </w:p>
        </w:tc>
        <w:tc>
          <w:tcPr>
            <w:tcW w:w="2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6,992</w:t>
            </w:r>
          </w:p>
        </w:tc>
        <w:tc>
          <w:tcPr>
            <w:tcW w:w="3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6,554</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5,285</w:t>
            </w: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6.7%</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32.3%</w:t>
            </w: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Quarterly Net Subscriber Additions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(000's)</w:t>
            </w:r>
          </w:p>
        </w:tc>
        <w:tc>
          <w:tcPr>
            <w:tcW w:w="2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17.5%</w:t>
            </w:r>
          </w:p>
        </w:tc>
        <w:tc>
          <w:tcPr>
            <w:tcW w:w="30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17.2%</w:t>
            </w:r>
          </w:p>
        </w:tc>
        <w:tc>
          <w:tcPr>
            <w:tcW w:w="3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15.2%</w:t>
            </w: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Monthly Average Revenue per</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6"/>
              </w:rPr>
              <w:t>Subscriber</w:t>
            </w:r>
          </w:p>
        </w:tc>
        <w:tc>
          <w:tcPr>
            <w:tcW w:w="2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438</w:t>
            </w:r>
          </w:p>
        </w:tc>
        <w:tc>
          <w:tcPr>
            <w:tcW w:w="3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549</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423</w:t>
            </w:r>
          </w:p>
        </w:tc>
        <w:tc>
          <w:tcPr>
            <w:tcW w:w="1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(20.3)%</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w:t>
            </w:r>
          </w:p>
        </w:tc>
      </w:tr>
      <w:tr>
        <w:trPr>
          <w:trHeight w:val="191"/>
        </w:trPr>
        <w:tc>
          <w:tcPr>
            <w:tcW w:w="1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42.07</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42.91</w:t>
            </w:r>
          </w:p>
        </w:tc>
        <w:tc>
          <w:tcPr>
            <w:tcW w:w="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41.33</w:t>
            </w:r>
          </w:p>
        </w:tc>
        <w:tc>
          <w:tcPr>
            <w:tcW w:w="1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Phone</w:t>
            </w:r>
          </w:p>
        </w:tc>
        <w:tc>
          <w:tcPr>
            <w:tcW w:w="2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"Available" Homes (000's)</w:t>
            </w:r>
          </w:p>
        </w:tc>
        <w:tc>
          <w:tcPr>
            <w:tcW w:w="44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10,437</w:t>
            </w:r>
          </w:p>
        </w:tc>
        <w:tc>
          <w:tcPr>
            <w:tcW w:w="3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9,978</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9,414</w:t>
            </w: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4.6%</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10.9%</w:t>
            </w: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Subscribers (000's)</w:t>
            </w:r>
          </w:p>
        </w:tc>
        <w:tc>
          <w:tcPr>
            <w:tcW w:w="44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1,223</w:t>
            </w:r>
          </w:p>
        </w:tc>
        <w:tc>
          <w:tcPr>
            <w:tcW w:w="3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1,213</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1,267</w:t>
            </w: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0.9%</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Penetration</w:t>
            </w:r>
          </w:p>
        </w:tc>
        <w:tc>
          <w:tcPr>
            <w:tcW w:w="2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11.7%</w:t>
            </w:r>
          </w:p>
        </w:tc>
        <w:tc>
          <w:tcPr>
            <w:tcW w:w="30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12.2%</w:t>
            </w:r>
          </w:p>
        </w:tc>
        <w:tc>
          <w:tcPr>
            <w:tcW w:w="3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13.5%</w:t>
            </w: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Quarterly Net Subscriber Additions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(000's)</w:t>
            </w:r>
          </w:p>
        </w:tc>
        <w:tc>
          <w:tcPr>
            <w:tcW w:w="2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w:t>
            </w:r>
          </w:p>
        </w:tc>
        <w:tc>
          <w:tcPr>
            <w:tcW w:w="30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w:t>
            </w:r>
          </w:p>
        </w:tc>
        <w:tc>
          <w:tcPr>
            <w:tcW w:w="3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(45)</w:t>
            </w: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188.1%</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123.2%</w:t>
            </w: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Monthly Average Revenue per</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6"/>
              </w:rPr>
              <w:t>Subscriber</w:t>
            </w:r>
          </w:p>
        </w:tc>
        <w:tc>
          <w:tcPr>
            <w:tcW w:w="2580" w:type="dxa"/>
            <w:vAlign w:val="bottom"/>
          </w:tcPr>
          <w:p>
            <w:pPr>
              <w:spacing w:after="0"/>
              <w:rPr>
                <w:sz w:val="16"/>
                <w:szCs w:val="16"/>
                <w:color w:val="auto"/>
              </w:rPr>
            </w:pP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47.30</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47.18</w:t>
            </w:r>
          </w:p>
        </w:tc>
        <w:tc>
          <w:tcPr>
            <w:tcW w:w="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47.13</w:t>
            </w: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0.3%</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0.4%</w:t>
            </w: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Total Revenue Generating Units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36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(000's) (5)</w:t>
            </w:r>
          </w:p>
        </w:tc>
        <w:tc>
          <w:tcPr>
            <w:tcW w:w="44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38,418</w:t>
            </w:r>
          </w:p>
        </w:tc>
        <w:tc>
          <w:tcPr>
            <w:tcW w:w="3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37,659</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35,757</w:t>
            </w: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7.4%</w:t>
            </w:r>
          </w:p>
        </w:tc>
      </w:tr>
    </w:tbl>
    <w:p>
      <w:pPr>
        <w:sectPr>
          <w:pgSz w:w="11900" w:h="16838" w:orient="portrait"/>
          <w:cols w:equalWidth="0" w:num="1">
            <w:col w:w="10340"/>
          </w:cols>
          <w:pgMar w:left="240" w:top="683" w:right="1319" w:bottom="862" w:gutter="0" w:footer="0" w:header="0"/>
        </w:sectPr>
      </w:pPr>
    </w:p>
    <w:bookmarkStart w:id="16" w:name="page17"/>
    <w:bookmarkEnd w:id="16"/>
    <w:p>
      <w:pPr>
        <w:ind w:left="500" w:right="2459" w:hanging="498"/>
        <w:spacing w:after="0" w:line="236"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Non-GAAP and Other Financial Measures in Table 7. All percentages are calculated based on actual amounts. Minor differences may exist due to rounding.</w:t>
      </w:r>
    </w:p>
    <w:p>
      <w:pPr>
        <w:spacing w:after="0" w:line="196" w:lineRule="exact"/>
        <w:rPr>
          <w:rFonts w:ascii="Courier New" w:cs="Courier New" w:eastAsia="Courier New" w:hAnsi="Courier New"/>
          <w:sz w:val="17"/>
          <w:szCs w:val="17"/>
          <w:color w:val="auto"/>
        </w:rPr>
      </w:pPr>
    </w:p>
    <w:p>
      <w:pPr>
        <w:ind w:left="500" w:right="2259" w:hanging="498"/>
        <w:spacing w:after="0" w:line="254" w:lineRule="auto"/>
        <w:tabs>
          <w:tab w:leader="none" w:pos="5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and subscriber data excludes the results of the 314,000 cable subscribers sold to Bresnan Communications in March 2003 and excludes the results of the net reduction of 16,000 subscribers associated with the cable systems exchange with Insight Communications in February 2003. Pro forma financial and subscriber data includes the results of the 30,000 cable subscribers acquired from US Coastal Cable in April 2004. Pro forma subscriber data includes 54,000 subscribers acquired in various small acquisitions during the periods presented. The impact of these acquisitions on our segment operating results was not material.</w:t>
      </w:r>
    </w:p>
    <w:p>
      <w:pPr>
        <w:spacing w:after="0" w:line="186" w:lineRule="exact"/>
        <w:rPr>
          <w:rFonts w:ascii="Courier New" w:cs="Courier New" w:eastAsia="Courier New" w:hAnsi="Courier New"/>
          <w:sz w:val="16"/>
          <w:szCs w:val="16"/>
          <w:color w:val="auto"/>
        </w:rPr>
      </w:pPr>
    </w:p>
    <w:p>
      <w:pPr>
        <w:ind w:left="500" w:right="3159" w:hanging="498"/>
        <w:spacing w:after="0" w:line="235"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Video revenues consist of our basic, expanded basic, premium, pay-per-view, equipment and digital services.</w:t>
      </w:r>
    </w:p>
    <w:p>
      <w:pPr>
        <w:spacing w:after="0" w:line="196" w:lineRule="exact"/>
        <w:rPr>
          <w:rFonts w:ascii="Courier New" w:cs="Courier New" w:eastAsia="Courier New" w:hAnsi="Courier New"/>
          <w:sz w:val="17"/>
          <w:szCs w:val="17"/>
          <w:color w:val="auto"/>
        </w:rPr>
      </w:pPr>
    </w:p>
    <w:p>
      <w:pPr>
        <w:ind w:left="500" w:right="2459" w:hanging="498"/>
        <w:spacing w:after="0" w:line="236"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revenues include installation revenues, guide revenues, commissions from electronic retailing, other product offerings, commercial data services and revenues of our digital media center and regional sports programming networks.</w:t>
      </w:r>
    </w:p>
    <w:p>
      <w:pPr>
        <w:spacing w:after="0" w:line="198" w:lineRule="exact"/>
        <w:rPr>
          <w:rFonts w:ascii="Courier New" w:cs="Courier New" w:eastAsia="Courier New" w:hAnsi="Courier New"/>
          <w:sz w:val="17"/>
          <w:szCs w:val="17"/>
          <w:color w:val="auto"/>
        </w:rPr>
      </w:pPr>
    </w:p>
    <w:p>
      <w:pPr>
        <w:ind w:left="500" w:right="2559" w:hanging="498"/>
        <w:spacing w:after="0" w:line="235"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sum total of all basic video, digital video, high-speed Internet and phone subscribers, excluding additional outlets.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TABLE 7</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Non-GAAP and Other Financial Measures</w:t>
      </w:r>
    </w:p>
    <w:p>
      <w:pPr>
        <w:spacing w:after="0" w:line="5"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Operating Cash Flow is the primary basis used to measure the operational strength and performance of our businesses. Free Cash Flow is an additional performance measure used as an indicator of our ability to repay debt, make investments and return capital to investors, principally through stock repurchases. We use Debt Excluding Exchangeables as a measure of debt that will require cash from future operations or financings. We also adjust certain historical data on a pro forma basis following significant acquisitions or dispositions to enhance comparability.</w:t>
      </w:r>
    </w:p>
    <w:p>
      <w:pPr>
        <w:sectPr>
          <w:pgSz w:w="11900" w:h="16838" w:orient="portrait"/>
          <w:cols w:equalWidth="0" w:num="1">
            <w:col w:w="10219"/>
          </w:cols>
          <w:pgMar w:left="240" w:top="690" w:right="1440" w:bottom="1440" w:gutter="0" w:footer="0" w:header="0"/>
        </w:sectPr>
      </w:pPr>
    </w:p>
    <w:bookmarkStart w:id="17" w:name="page18"/>
    <w:bookmarkEnd w:id="17"/>
    <w:p>
      <w:pPr>
        <w:ind w:right="2359" w:firstLine="497"/>
        <w:spacing w:after="0" w:line="253" w:lineRule="auto"/>
        <w:rPr>
          <w:sz w:val="20"/>
          <w:szCs w:val="20"/>
          <w:color w:val="auto"/>
        </w:rPr>
      </w:pPr>
      <w:r>
        <w:rPr>
          <w:rFonts w:ascii="Courier New" w:cs="Courier New" w:eastAsia="Courier New" w:hAnsi="Courier New"/>
          <w:sz w:val="16"/>
          <w:szCs w:val="16"/>
          <w:color w:val="auto"/>
        </w:rPr>
        <w:t>Operating Cash Flow is defined as operating income before depreciation and amortization and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94"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As Operating Cash Flow is the measure of our segment profit or loss, we reconcile it to operating income, the most directly comparable financial measure calculated and presented in accordance with Generally Accepted Accounting Principles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Free Cash Flow, which is a non-GAAP financial measure, is defined as Operating Cash Flow less net interest, cash paid for taxes, and capital expenditures. As such, it is unaffected by fluctuations in working capital levels from period to period and cash payments associated with intangible assets which are detailed in our quarterly and annual reports on Forms 10Q/K. We believe that Free Cash Flow is also useful to investors as it is one of the bases for comparing our operating performance with other companies in our industries, although our measure of Free Cash Flow is accrual-based and may not be comparable to similar measures used by other companies.</w:t>
      </w:r>
    </w:p>
    <w:p>
      <w:pPr>
        <w:spacing w:after="0" w:line="201"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6"/>
          <w:szCs w:val="16"/>
          <w:color w:val="auto"/>
        </w:rPr>
        <w:t>Debt Excluding Exchangeables, which is a non-GAAP financial measure, refers to the aggregate amount of our consolidated debt and capital lease obligations less the amount of notes that are collateralized by securities that we own.</w:t>
      </w:r>
    </w:p>
    <w:p>
      <w:pPr>
        <w:spacing w:after="0" w:line="18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Operating Cash Flow and Free Cash Flow should not be considered as substitutes for operating income (loss), net income (loss), net cash provided by operating activities or other measures of performance or liquidity reported in accordance with GAAP. Debt Excluding Exchangeables should not be considered as a substitute for Total Debt. Additionally, in the opinion of management, our pro forma data is not necessarily indicative of future results or what results would have been had the acquired businesses been operated by us after the assumed earlier date.</w:t>
      </w:r>
    </w:p>
    <w:p>
      <w:pPr>
        <w:sectPr>
          <w:pgSz w:w="11900" w:h="16838" w:orient="portrait"/>
          <w:cols w:equalWidth="0" w:num="1">
            <w:col w:w="10219"/>
          </w:cols>
          <w:pgMar w:left="240" w:top="690" w:right="1440" w:bottom="1440" w:gutter="0" w:footer="0" w:header="0"/>
        </w:sectPr>
      </w:pPr>
    </w:p>
    <w:bookmarkStart w:id="18" w:name="page19"/>
    <w:bookmarkEnd w:id="18"/>
    <w:p>
      <w:pPr>
        <w:ind w:right="3960" w:firstLine="497"/>
        <w:spacing w:after="0" w:line="236" w:lineRule="auto"/>
        <w:rPr>
          <w:sz w:val="20"/>
          <w:szCs w:val="20"/>
          <w:color w:val="auto"/>
        </w:rPr>
      </w:pPr>
      <w:r>
        <w:rPr>
          <w:rFonts w:ascii="Courier New" w:cs="Courier New" w:eastAsia="Courier New" w:hAnsi="Courier New"/>
          <w:sz w:val="17"/>
          <w:szCs w:val="17"/>
          <w:color w:val="auto"/>
        </w:rPr>
        <w:t>Following are quantitative reconciliations of Free Cash Flow, Debt Excluding Exchangeables, Consolidated Operating Cash Flow, and, although not required by Regulation G, reconciliations of business segment Operating Cash Flow and pro forma data.</w:t>
      </w:r>
    </w:p>
    <w:p>
      <w:pPr>
        <w:spacing w:after="0" w:line="192"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COMCAST CORPORATION</w:t>
      </w:r>
    </w:p>
    <w:p>
      <w:pPr>
        <w:ind w:left="3080"/>
        <w:spacing w:after="0" w:line="238" w:lineRule="auto"/>
        <w:rPr>
          <w:sz w:val="20"/>
          <w:szCs w:val="20"/>
          <w:color w:val="auto"/>
        </w:rPr>
      </w:pPr>
      <w:r>
        <w:rPr>
          <w:rFonts w:ascii="Courier New" w:cs="Courier New" w:eastAsia="Courier New" w:hAnsi="Courier New"/>
          <w:sz w:val="17"/>
          <w:szCs w:val="17"/>
          <w:color w:val="auto"/>
        </w:rPr>
        <w:t>TABLE 7-A continued</w:t>
      </w:r>
    </w:p>
    <w:p>
      <w:pPr>
        <w:jc w:val="center"/>
        <w:ind w:right="3460"/>
        <w:spacing w:after="0" w:line="238" w:lineRule="auto"/>
        <w:rPr>
          <w:sz w:val="20"/>
          <w:szCs w:val="20"/>
          <w:color w:val="auto"/>
        </w:rPr>
      </w:pPr>
      <w:r>
        <w:rPr>
          <w:rFonts w:ascii="Courier New" w:cs="Courier New" w:eastAsia="Courier New" w:hAnsi="Courier New"/>
          <w:sz w:val="17"/>
          <w:szCs w:val="17"/>
          <w:color w:val="auto"/>
        </w:rPr>
        <w:t>Reconciliation of Historical and Pro Forma Data by Business Segment</w:t>
      </w:r>
    </w:p>
    <w:p>
      <w:pPr>
        <w:jc w:val="center"/>
        <w:ind w:right="3460"/>
        <w:spacing w:after="0"/>
        <w:rPr>
          <w:sz w:val="20"/>
          <w:szCs w:val="20"/>
          <w:color w:val="auto"/>
        </w:rPr>
      </w:pPr>
      <w:r>
        <w:rPr>
          <w:rFonts w:ascii="Courier New" w:cs="Courier New" w:eastAsia="Courier New" w:hAnsi="Courier New"/>
          <w:sz w:val="17"/>
          <w:szCs w:val="17"/>
          <w:color w:val="auto"/>
        </w:rPr>
        <w:t>(Unaudited)</w:t>
      </w:r>
    </w:p>
    <w:p>
      <w:pPr>
        <w:jc w:val="center"/>
        <w:ind w:right="3460"/>
        <w:spacing w:after="0" w:line="237" w:lineRule="auto"/>
        <w:rPr>
          <w:sz w:val="20"/>
          <w:szCs w:val="20"/>
          <w:color w:val="auto"/>
        </w:rPr>
      </w:pPr>
      <w:r>
        <w:rPr>
          <w:rFonts w:ascii="Courier New" w:cs="Courier New" w:eastAsia="Courier New" w:hAnsi="Courier New"/>
          <w:sz w:val="17"/>
          <w:szCs w:val="17"/>
          <w:color w:val="auto"/>
        </w:rPr>
        <w:t>(dollars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tcPr>
          <w:p>
            <w:pPr>
              <w:spacing w:after="0"/>
              <w:rPr>
                <w:sz w:val="16"/>
                <w:szCs w:val="16"/>
                <w:color w:val="auto"/>
              </w:rPr>
            </w:pPr>
          </w:p>
        </w:tc>
        <w:tc>
          <w:tcPr>
            <w:tcW w:w="238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Historical (1)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765"/>
        </w:trPr>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Adjustments (2)</w:t>
            </w:r>
          </w:p>
        </w:tc>
        <w:tc>
          <w:tcPr>
            <w:tcW w:w="920" w:type="dxa"/>
            <w:vAlign w:val="bottom"/>
          </w:tcPr>
          <w:p>
            <w:pPr>
              <w:spacing w:after="0"/>
              <w:rPr>
                <w:sz w:val="24"/>
                <w:szCs w:val="24"/>
                <w:color w:val="auto"/>
              </w:rPr>
            </w:pPr>
          </w:p>
        </w:tc>
      </w:tr>
      <w:tr>
        <w:trPr>
          <w:trHeight w:val="191"/>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Corporate</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Corporate</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Three Months Ended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and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and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December 31, 2004</w:t>
            </w:r>
          </w:p>
        </w:tc>
        <w:tc>
          <w:tcPr>
            <w:tcW w:w="200" w:type="dxa"/>
            <w:vAlign w:val="bottom"/>
          </w:tcPr>
          <w:p>
            <w:pPr>
              <w:spacing w:after="0"/>
              <w:rPr>
                <w:sz w:val="16"/>
                <w:szCs w:val="16"/>
                <w:color w:val="auto"/>
              </w:rPr>
            </w:pPr>
          </w:p>
        </w:tc>
        <w:tc>
          <w:tcPr>
            <w:tcW w:w="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Cable</w:t>
            </w:r>
          </w:p>
        </w:tc>
        <w:tc>
          <w:tcPr>
            <w:tcW w:w="16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Content</w:t>
            </w:r>
          </w:p>
        </w:tc>
        <w:tc>
          <w:tcPr>
            <w:tcW w:w="20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Total</w:t>
            </w:r>
          </w:p>
        </w:tc>
        <w:tc>
          <w:tcPr>
            <w:tcW w:w="200" w:type="dxa"/>
            <w:vAlign w:val="bottom"/>
          </w:tcPr>
          <w:p>
            <w:pPr>
              <w:spacing w:after="0"/>
              <w:rPr>
                <w:sz w:val="16"/>
                <w:szCs w:val="16"/>
                <w:color w:val="auto"/>
              </w:rPr>
            </w:pPr>
          </w:p>
        </w:tc>
        <w:tc>
          <w:tcPr>
            <w:tcW w:w="10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Cable</w:t>
            </w:r>
          </w:p>
        </w:tc>
        <w:tc>
          <w:tcPr>
            <w:tcW w:w="20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Other</w:t>
            </w:r>
          </w:p>
        </w:tc>
        <w:tc>
          <w:tcPr>
            <w:tcW w:w="112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Pro forma</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 ------------------------------</w:t>
            </w:r>
          </w:p>
        </w:tc>
        <w:tc>
          <w:tcPr>
            <w:tcW w:w="200" w:type="dxa"/>
            <w:vAlign w:val="bottom"/>
          </w:tcPr>
          <w:p>
            <w:pPr>
              <w:spacing w:after="0"/>
              <w:rPr>
                <w:sz w:val="16"/>
                <w:szCs w:val="16"/>
                <w:color w:val="auto"/>
              </w:rPr>
            </w:pPr>
          </w:p>
        </w:tc>
        <w:tc>
          <w:tcPr>
            <w:tcW w:w="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0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4,987</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205</w:t>
            </w:r>
          </w:p>
        </w:tc>
        <w:tc>
          <w:tcPr>
            <w:tcW w:w="20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43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5,235</w:t>
            </w:r>
          </w:p>
        </w:tc>
        <w:tc>
          <w:tcPr>
            <w:tcW w:w="200" w:type="dxa"/>
            <w:vAlign w:val="bottom"/>
          </w:tcPr>
          <w:p>
            <w:pPr>
              <w:spacing w:after="0"/>
              <w:rPr>
                <w:sz w:val="24"/>
                <w:szCs w:val="24"/>
                <w:color w:val="auto"/>
              </w:rPr>
            </w:pPr>
          </w:p>
        </w:tc>
        <w:tc>
          <w:tcPr>
            <w:tcW w:w="10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10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7"/>
              <w:spacing w:after="0"/>
              <w:rPr>
                <w:sz w:val="20"/>
                <w:szCs w:val="20"/>
                <w:color w:val="auto"/>
              </w:rPr>
            </w:pPr>
            <w:r>
              <w:rPr>
                <w:rFonts w:ascii="Courier New" w:cs="Courier New" w:eastAsia="Courier New" w:hAnsi="Courier New"/>
                <w:sz w:val="17"/>
                <w:szCs w:val="17"/>
                <w:color w:val="auto"/>
              </w:rPr>
              <w:t>5,235</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expenses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(excluding</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3,013</w:t>
            </w:r>
          </w:p>
        </w:tc>
        <w:tc>
          <w:tcPr>
            <w:tcW w:w="160" w:type="dxa"/>
            <w:vAlign w:val="bottom"/>
          </w:tcPr>
          <w:p>
            <w:pPr>
              <w:spacing w:after="0"/>
              <w:rPr>
                <w:sz w:val="16"/>
                <w:szCs w:val="16"/>
                <w:color w:val="auto"/>
              </w:rPr>
            </w:pP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148</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88</w:t>
            </w:r>
          </w:p>
        </w:tc>
        <w:tc>
          <w:tcPr>
            <w:tcW w:w="2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3,249</w:t>
            </w:r>
          </w:p>
        </w:tc>
        <w:tc>
          <w:tcPr>
            <w:tcW w:w="20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3,249</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w:t>
            </w:r>
          </w:p>
        </w:tc>
        <w:tc>
          <w:tcPr>
            <w:tcW w:w="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1,974</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57</w:t>
            </w: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(45)</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1,986</w:t>
            </w:r>
          </w:p>
        </w:tc>
        <w:tc>
          <w:tcPr>
            <w:tcW w:w="20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1,986</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1,203</w:t>
            </w:r>
          </w:p>
        </w:tc>
        <w:tc>
          <w:tcPr>
            <w:tcW w:w="160" w:type="dxa"/>
            <w:vAlign w:val="bottom"/>
          </w:tcPr>
          <w:p>
            <w:pPr>
              <w:spacing w:after="0"/>
              <w:rPr>
                <w:sz w:val="16"/>
                <w:szCs w:val="16"/>
                <w:color w:val="auto"/>
              </w:rPr>
            </w:pP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46</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26</w:t>
            </w:r>
          </w:p>
        </w:tc>
        <w:tc>
          <w:tcPr>
            <w:tcW w:w="2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1,275</w:t>
            </w:r>
          </w:p>
        </w:tc>
        <w:tc>
          <w:tcPr>
            <w:tcW w:w="20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1,275</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(loss)</w:t>
            </w:r>
          </w:p>
        </w:tc>
        <w:tc>
          <w:tcPr>
            <w:tcW w:w="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771</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11</w:t>
            </w: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(71)</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711</w:t>
            </w:r>
          </w:p>
        </w:tc>
        <w:tc>
          <w:tcPr>
            <w:tcW w:w="20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711</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expenditures</w:t>
            </w:r>
          </w:p>
        </w:tc>
        <w:tc>
          <w:tcPr>
            <w:tcW w:w="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1,044</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w:t>
            </w: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1,050</w:t>
            </w:r>
          </w:p>
        </w:tc>
        <w:tc>
          <w:tcPr>
            <w:tcW w:w="20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1,050</w:t>
            </w:r>
          </w:p>
        </w:tc>
      </w:tr>
      <w:tr>
        <w:trPr>
          <w:trHeight w:val="956"/>
        </w:trPr>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Adjustments (2)</w:t>
            </w:r>
          </w:p>
        </w:tc>
        <w:tc>
          <w:tcPr>
            <w:tcW w:w="920" w:type="dxa"/>
            <w:vAlign w:val="bottom"/>
          </w:tcPr>
          <w:p>
            <w:pPr>
              <w:spacing w:after="0"/>
              <w:rPr>
                <w:sz w:val="24"/>
                <w:szCs w:val="24"/>
                <w:color w:val="auto"/>
              </w:rPr>
            </w:pPr>
          </w:p>
        </w:tc>
      </w:tr>
      <w:tr>
        <w:trPr>
          <w:trHeight w:val="191"/>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Corporate</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Corporate</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Three Months Ended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and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and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December 31, 2003</w:t>
            </w:r>
          </w:p>
        </w:tc>
        <w:tc>
          <w:tcPr>
            <w:tcW w:w="200" w:type="dxa"/>
            <w:vAlign w:val="bottom"/>
          </w:tcPr>
          <w:p>
            <w:pPr>
              <w:spacing w:after="0"/>
              <w:rPr>
                <w:sz w:val="16"/>
                <w:szCs w:val="16"/>
                <w:color w:val="auto"/>
              </w:rPr>
            </w:pPr>
          </w:p>
        </w:tc>
        <w:tc>
          <w:tcPr>
            <w:tcW w:w="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Cable</w:t>
            </w:r>
          </w:p>
        </w:tc>
        <w:tc>
          <w:tcPr>
            <w:tcW w:w="16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Content</w:t>
            </w:r>
          </w:p>
        </w:tc>
        <w:tc>
          <w:tcPr>
            <w:tcW w:w="20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Total</w:t>
            </w:r>
          </w:p>
        </w:tc>
        <w:tc>
          <w:tcPr>
            <w:tcW w:w="200" w:type="dxa"/>
            <w:vAlign w:val="bottom"/>
          </w:tcPr>
          <w:p>
            <w:pPr>
              <w:spacing w:after="0"/>
              <w:rPr>
                <w:sz w:val="16"/>
                <w:szCs w:val="16"/>
                <w:color w:val="auto"/>
              </w:rPr>
            </w:pPr>
          </w:p>
        </w:tc>
        <w:tc>
          <w:tcPr>
            <w:tcW w:w="10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Cable</w:t>
            </w:r>
          </w:p>
        </w:tc>
        <w:tc>
          <w:tcPr>
            <w:tcW w:w="20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Other</w:t>
            </w:r>
          </w:p>
        </w:tc>
        <w:tc>
          <w:tcPr>
            <w:tcW w:w="112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Pro forma</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 ------------------------------</w:t>
            </w:r>
          </w:p>
        </w:tc>
        <w:tc>
          <w:tcPr>
            <w:tcW w:w="200" w:type="dxa"/>
            <w:vAlign w:val="bottom"/>
          </w:tcPr>
          <w:p>
            <w:pPr>
              <w:spacing w:after="0"/>
              <w:rPr>
                <w:sz w:val="16"/>
                <w:szCs w:val="16"/>
                <w:color w:val="auto"/>
              </w:rPr>
            </w:pPr>
          </w:p>
        </w:tc>
        <w:tc>
          <w:tcPr>
            <w:tcW w:w="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0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4,507</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166</w:t>
            </w:r>
          </w:p>
        </w:tc>
        <w:tc>
          <w:tcPr>
            <w:tcW w:w="20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69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4,742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3</w:t>
            </w:r>
          </w:p>
        </w:tc>
        <w:tc>
          <w:tcPr>
            <w:tcW w:w="20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7"/>
              <w:spacing w:after="0"/>
              <w:rPr>
                <w:sz w:val="20"/>
                <w:szCs w:val="20"/>
                <w:color w:val="auto"/>
              </w:rPr>
            </w:pPr>
            <w:r>
              <w:rPr>
                <w:rFonts w:ascii="Courier New" w:cs="Courier New" w:eastAsia="Courier New" w:hAnsi="Courier New"/>
                <w:sz w:val="17"/>
                <w:szCs w:val="17"/>
                <w:color w:val="auto"/>
              </w:rPr>
              <w:t>4,747</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expenses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(excluding</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2,795</w:t>
            </w:r>
          </w:p>
        </w:tc>
        <w:tc>
          <w:tcPr>
            <w:tcW w:w="160" w:type="dxa"/>
            <w:vAlign w:val="bottom"/>
          </w:tcPr>
          <w:p>
            <w:pPr>
              <w:spacing w:after="0"/>
              <w:rPr>
                <w:sz w:val="16"/>
                <w:szCs w:val="16"/>
                <w:color w:val="auto"/>
              </w:rPr>
            </w:pP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107</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120</w:t>
            </w:r>
          </w:p>
        </w:tc>
        <w:tc>
          <w:tcPr>
            <w:tcW w:w="2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3,022</w:t>
            </w:r>
          </w:p>
        </w:tc>
        <w:tc>
          <w:tcPr>
            <w:tcW w:w="20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w:t>
            </w:r>
          </w:p>
        </w:tc>
        <w:tc>
          <w:tcPr>
            <w:tcW w:w="200" w:type="dxa"/>
            <w:vAlign w:val="bottom"/>
          </w:tcPr>
          <w:p>
            <w:pPr>
              <w:spacing w:after="0"/>
              <w:rPr>
                <w:sz w:val="16"/>
                <w:szCs w:val="16"/>
                <w:color w:val="auto"/>
              </w:rPr>
            </w:pP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3,026</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w:t>
            </w:r>
          </w:p>
        </w:tc>
        <w:tc>
          <w:tcPr>
            <w:tcW w:w="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1,712</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59</w:t>
            </w: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(51)</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1,720</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w:t>
            </w: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1,721</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924</w:t>
            </w:r>
          </w:p>
        </w:tc>
        <w:tc>
          <w:tcPr>
            <w:tcW w:w="160" w:type="dxa"/>
            <w:vAlign w:val="bottom"/>
          </w:tcPr>
          <w:p>
            <w:pPr>
              <w:spacing w:after="0"/>
              <w:rPr>
                <w:sz w:val="16"/>
                <w:szCs w:val="16"/>
                <w:color w:val="auto"/>
              </w:rPr>
            </w:pP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33</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21</w:t>
            </w:r>
          </w:p>
        </w:tc>
        <w:tc>
          <w:tcPr>
            <w:tcW w:w="2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978</w:t>
            </w:r>
          </w:p>
        </w:tc>
        <w:tc>
          <w:tcPr>
            <w:tcW w:w="20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978</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(loss)</w:t>
            </w:r>
          </w:p>
        </w:tc>
        <w:tc>
          <w:tcPr>
            <w:tcW w:w="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788</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26</w:t>
            </w: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(72)</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742</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w:t>
            </w: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743</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expenditures</w:t>
            </w:r>
          </w:p>
        </w:tc>
        <w:tc>
          <w:tcPr>
            <w:tcW w:w="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1,052</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w:t>
            </w: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1,068</w:t>
            </w:r>
          </w:p>
        </w:tc>
        <w:tc>
          <w:tcPr>
            <w:tcW w:w="20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1,068</w:t>
            </w:r>
          </w:p>
        </w:tc>
      </w:tr>
    </w:tbl>
    <w:p>
      <w:pPr>
        <w:sectPr>
          <w:pgSz w:w="11900" w:h="16838" w:orient="portrait"/>
          <w:cols w:equalWidth="0" w:num="1">
            <w:col w:w="11520"/>
          </w:cols>
          <w:pgMar w:left="240" w:top="690" w:right="1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Adjustments (2)</w:t>
            </w:r>
          </w:p>
        </w:tc>
        <w:tc>
          <w:tcPr>
            <w:tcW w:w="920" w:type="dxa"/>
            <w:vAlign w:val="bottom"/>
          </w:tcPr>
          <w:p>
            <w:pPr>
              <w:spacing w:after="0"/>
              <w:rPr>
                <w:sz w:val="16"/>
                <w:szCs w:val="16"/>
                <w:color w:val="auto"/>
              </w:rPr>
            </w:pPr>
          </w:p>
        </w:tc>
      </w:tr>
      <w:tr>
        <w:trPr>
          <w:trHeight w:val="191"/>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Corporate</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Corporate</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Twelve Months Ended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and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and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December 31, 2004</w:t>
            </w:r>
          </w:p>
        </w:tc>
        <w:tc>
          <w:tcPr>
            <w:tcW w:w="200" w:type="dxa"/>
            <w:vAlign w:val="bottom"/>
          </w:tcPr>
          <w:p>
            <w:pPr>
              <w:spacing w:after="0"/>
              <w:rPr>
                <w:sz w:val="16"/>
                <w:szCs w:val="16"/>
                <w:color w:val="auto"/>
              </w:rPr>
            </w:pPr>
          </w:p>
        </w:tc>
        <w:tc>
          <w:tcPr>
            <w:tcW w:w="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Cable</w:t>
            </w:r>
          </w:p>
        </w:tc>
        <w:tc>
          <w:tcPr>
            <w:tcW w:w="160" w:type="dxa"/>
            <w:vAlign w:val="bottom"/>
          </w:tcPr>
          <w:p>
            <w:pPr>
              <w:spacing w:after="0"/>
              <w:rPr>
                <w:sz w:val="16"/>
                <w:szCs w:val="16"/>
                <w:color w:val="auto"/>
              </w:rPr>
            </w:pP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Content</w:t>
            </w:r>
          </w:p>
        </w:tc>
        <w:tc>
          <w:tcPr>
            <w:tcW w:w="20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Total</w:t>
            </w:r>
          </w:p>
        </w:tc>
        <w:tc>
          <w:tcPr>
            <w:tcW w:w="200" w:type="dxa"/>
            <w:vAlign w:val="bottom"/>
          </w:tcPr>
          <w:p>
            <w:pPr>
              <w:spacing w:after="0"/>
              <w:rPr>
                <w:sz w:val="16"/>
                <w:szCs w:val="16"/>
                <w:color w:val="auto"/>
              </w:rPr>
            </w:pPr>
          </w:p>
        </w:tc>
        <w:tc>
          <w:tcPr>
            <w:tcW w:w="10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Cable</w:t>
            </w:r>
          </w:p>
        </w:tc>
        <w:tc>
          <w:tcPr>
            <w:tcW w:w="12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Other</w:t>
            </w:r>
          </w:p>
        </w:tc>
        <w:tc>
          <w:tcPr>
            <w:tcW w:w="112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Pro forma</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 ------------------------------</w:t>
            </w:r>
          </w:p>
        </w:tc>
        <w:tc>
          <w:tcPr>
            <w:tcW w:w="200" w:type="dxa"/>
            <w:vAlign w:val="bottom"/>
          </w:tcPr>
          <w:p>
            <w:pPr>
              <w:spacing w:after="0"/>
              <w:rPr>
                <w:sz w:val="16"/>
                <w:szCs w:val="16"/>
                <w:color w:val="auto"/>
              </w:rPr>
            </w:pPr>
          </w:p>
        </w:tc>
        <w:tc>
          <w:tcPr>
            <w:tcW w:w="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19,316</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787</w:t>
            </w:r>
          </w:p>
        </w:tc>
        <w:tc>
          <w:tcPr>
            <w:tcW w:w="20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204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20,307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5</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7"/>
              <w:spacing w:after="0"/>
              <w:rPr>
                <w:sz w:val="20"/>
                <w:szCs w:val="20"/>
                <w:color w:val="auto"/>
              </w:rPr>
            </w:pPr>
            <w:r>
              <w:rPr>
                <w:rFonts w:ascii="Courier New" w:cs="Courier New" w:eastAsia="Courier New" w:hAnsi="Courier New"/>
                <w:sz w:val="17"/>
                <w:szCs w:val="17"/>
                <w:color w:val="auto"/>
              </w:rPr>
              <w:t>20,312</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expenses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(excluding</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11,845</w:t>
            </w:r>
          </w:p>
        </w:tc>
        <w:tc>
          <w:tcPr>
            <w:tcW w:w="160" w:type="dxa"/>
            <w:vAlign w:val="bottom"/>
          </w:tcPr>
          <w:p>
            <w:pPr>
              <w:spacing w:after="0"/>
              <w:rPr>
                <w:sz w:val="16"/>
                <w:szCs w:val="16"/>
                <w:color w:val="auto"/>
              </w:rPr>
            </w:pP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522</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409</w:t>
            </w:r>
          </w:p>
        </w:tc>
        <w:tc>
          <w:tcPr>
            <w:tcW w:w="2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12,776</w:t>
            </w:r>
          </w:p>
        </w:tc>
        <w:tc>
          <w:tcPr>
            <w:tcW w:w="20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12,779</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7,471</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265</w:t>
            </w: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(205)</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7,531</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7,533</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4,375</w:t>
            </w:r>
          </w:p>
        </w:tc>
        <w:tc>
          <w:tcPr>
            <w:tcW w:w="160" w:type="dxa"/>
            <w:vAlign w:val="bottom"/>
          </w:tcPr>
          <w:p>
            <w:pPr>
              <w:spacing w:after="0"/>
              <w:rPr>
                <w:sz w:val="16"/>
                <w:szCs w:val="16"/>
                <w:color w:val="auto"/>
              </w:rPr>
            </w:pP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162</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86</w:t>
            </w:r>
          </w:p>
        </w:tc>
        <w:tc>
          <w:tcPr>
            <w:tcW w:w="2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4,623</w:t>
            </w:r>
          </w:p>
        </w:tc>
        <w:tc>
          <w:tcPr>
            <w:tcW w:w="20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4,623</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(loss)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3,096</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103</w:t>
            </w: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(291)</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2,908</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2,910</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expenditures</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3,622</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w:t>
            </w: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21</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3,660</w:t>
            </w:r>
          </w:p>
        </w:tc>
        <w:tc>
          <w:tcPr>
            <w:tcW w:w="20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3,660</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Adjustments (2)</w:t>
            </w:r>
          </w:p>
        </w:tc>
        <w:tc>
          <w:tcPr>
            <w:tcW w:w="920" w:type="dxa"/>
            <w:vAlign w:val="bottom"/>
          </w:tcPr>
          <w:p>
            <w:pPr>
              <w:spacing w:after="0"/>
              <w:rPr>
                <w:sz w:val="16"/>
                <w:szCs w:val="16"/>
                <w:color w:val="auto"/>
              </w:rPr>
            </w:pPr>
          </w:p>
        </w:tc>
      </w:tr>
      <w:tr>
        <w:trPr>
          <w:trHeight w:val="191"/>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rPr>
              <w:t>Corporate</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Corporate</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Twelve Months Ended</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and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and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December 31, 2003</w:t>
            </w:r>
          </w:p>
        </w:tc>
        <w:tc>
          <w:tcPr>
            <w:tcW w:w="160" w:type="dxa"/>
            <w:vAlign w:val="bottom"/>
          </w:tcPr>
          <w:p>
            <w:pPr>
              <w:spacing w:after="0"/>
              <w:rPr>
                <w:sz w:val="16"/>
                <w:szCs w:val="16"/>
                <w:color w:val="auto"/>
              </w:rPr>
            </w:pP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Cable</w:t>
            </w:r>
          </w:p>
        </w:tc>
        <w:tc>
          <w:tcPr>
            <w:tcW w:w="3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Content</w:t>
            </w:r>
          </w:p>
        </w:tc>
        <w:tc>
          <w:tcPr>
            <w:tcW w:w="360" w:type="dxa"/>
            <w:vAlign w:val="bottom"/>
          </w:tcPr>
          <w:p>
            <w:pPr>
              <w:spacing w:after="0"/>
              <w:rPr>
                <w:sz w:val="16"/>
                <w:szCs w:val="16"/>
                <w:color w:val="auto"/>
              </w:rPr>
            </w:pPr>
          </w:p>
        </w:tc>
        <w:tc>
          <w:tcPr>
            <w:tcW w:w="10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6"/>
                <w:szCs w:val="16"/>
                <w:color w:val="auto"/>
              </w:rPr>
            </w:pPr>
          </w:p>
        </w:tc>
        <w:tc>
          <w:tcPr>
            <w:tcW w:w="9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Total</w:t>
            </w:r>
          </w:p>
        </w:tc>
        <w:tc>
          <w:tcPr>
            <w:tcW w:w="200" w:type="dxa"/>
            <w:vAlign w:val="bottom"/>
          </w:tcPr>
          <w:p>
            <w:pPr>
              <w:spacing w:after="0"/>
              <w:rPr>
                <w:sz w:val="16"/>
                <w:szCs w:val="16"/>
                <w:color w:val="auto"/>
              </w:rPr>
            </w:pPr>
          </w:p>
        </w:tc>
        <w:tc>
          <w:tcPr>
            <w:tcW w:w="10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Cable</w:t>
            </w:r>
          </w:p>
        </w:tc>
        <w:tc>
          <w:tcPr>
            <w:tcW w:w="20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Other</w:t>
            </w:r>
          </w:p>
        </w:tc>
        <w:tc>
          <w:tcPr>
            <w:tcW w:w="112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Pro forma</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 ------------------------------</w:t>
            </w:r>
          </w:p>
        </w:tc>
        <w:tc>
          <w:tcPr>
            <w:tcW w:w="16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383"/>
        </w:trPr>
        <w:tc>
          <w:tcPr>
            <w:tcW w:w="328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17,492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628</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228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18,348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14</w:t>
            </w:r>
          </w:p>
        </w:tc>
        <w:tc>
          <w:tcPr>
            <w:tcW w:w="20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7"/>
              <w:spacing w:after="0"/>
              <w:rPr>
                <w:sz w:val="20"/>
                <w:szCs w:val="20"/>
                <w:color w:val="auto"/>
              </w:rPr>
            </w:pPr>
            <w:r>
              <w:rPr>
                <w:rFonts w:ascii="Courier New" w:cs="Courier New" w:eastAsia="Courier New" w:hAnsi="Courier New"/>
                <w:sz w:val="17"/>
                <w:szCs w:val="17"/>
                <w:color w:val="auto"/>
              </w:rPr>
              <w:t>18,363</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expenses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(excluding</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depreciation and</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16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11,142</w:t>
            </w:r>
          </w:p>
        </w:tc>
        <w:tc>
          <w:tcPr>
            <w:tcW w:w="36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414</w:t>
            </w:r>
          </w:p>
        </w:tc>
        <w:tc>
          <w:tcPr>
            <w:tcW w:w="36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400</w:t>
            </w:r>
          </w:p>
        </w:tc>
        <w:tc>
          <w:tcPr>
            <w:tcW w:w="2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11,956</w:t>
            </w:r>
          </w:p>
        </w:tc>
        <w:tc>
          <w:tcPr>
            <w:tcW w:w="20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w:t>
            </w:r>
          </w:p>
        </w:tc>
        <w:tc>
          <w:tcPr>
            <w:tcW w:w="200" w:type="dxa"/>
            <w:vAlign w:val="bottom"/>
          </w:tcPr>
          <w:p>
            <w:pPr>
              <w:spacing w:after="0"/>
              <w:rPr>
                <w:sz w:val="16"/>
                <w:szCs w:val="16"/>
                <w:color w:val="auto"/>
              </w:rPr>
            </w:pP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11,965</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6,350</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214</w:t>
            </w:r>
          </w:p>
        </w:tc>
        <w:tc>
          <w:tcPr>
            <w:tcW w:w="36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(172)</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6,392</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w:t>
            </w: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6,398</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16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4,223</w:t>
            </w:r>
          </w:p>
        </w:tc>
        <w:tc>
          <w:tcPr>
            <w:tcW w:w="36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129</w:t>
            </w:r>
          </w:p>
        </w:tc>
        <w:tc>
          <w:tcPr>
            <w:tcW w:w="36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86</w:t>
            </w:r>
          </w:p>
        </w:tc>
        <w:tc>
          <w:tcPr>
            <w:tcW w:w="2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4,438</w:t>
            </w:r>
          </w:p>
        </w:tc>
        <w:tc>
          <w:tcPr>
            <w:tcW w:w="20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4,438</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(loss)</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2,127</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85</w:t>
            </w:r>
          </w:p>
        </w:tc>
        <w:tc>
          <w:tcPr>
            <w:tcW w:w="36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(258)</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1,954</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w:t>
            </w: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1,960</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expenditures</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4,097</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w:t>
            </w:r>
          </w:p>
        </w:tc>
        <w:tc>
          <w:tcPr>
            <w:tcW w:w="36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46</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4,161</w:t>
            </w:r>
          </w:p>
        </w:tc>
        <w:tc>
          <w:tcPr>
            <w:tcW w:w="200" w:type="dxa"/>
            <w:vAlign w:val="bottom"/>
          </w:tcPr>
          <w:p>
            <w:pPr>
              <w:spacing w:after="0"/>
              <w:rPr>
                <w:sz w:val="16"/>
                <w:szCs w:val="16"/>
                <w:color w:val="auto"/>
              </w:rPr>
            </w:pPr>
          </w:p>
        </w:tc>
        <w:tc>
          <w:tcPr>
            <w:tcW w:w="10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4,161</w:t>
            </w:r>
          </w:p>
        </w:tc>
      </w:tr>
      <w:tr>
        <w:trPr>
          <w:trHeight w:val="574"/>
        </w:trPr>
        <w:tc>
          <w:tcPr>
            <w:tcW w:w="8000" w:type="dxa"/>
            <w:vAlign w:val="bottom"/>
            <w:gridSpan w:val="9"/>
          </w:tcPr>
          <w:p>
            <w:pPr>
              <w:jc w:val="right"/>
              <w:ind w:right="357"/>
              <w:spacing w:after="0"/>
              <w:rPr>
                <w:sz w:val="20"/>
                <w:szCs w:val="20"/>
                <w:color w:val="auto"/>
              </w:rPr>
            </w:pPr>
            <w:r>
              <w:rPr>
                <w:rFonts w:ascii="Courier New" w:cs="Courier New" w:eastAsia="Courier New" w:hAnsi="Courier New"/>
                <w:sz w:val="17"/>
                <w:szCs w:val="17"/>
                <w:color w:val="auto"/>
              </w:rPr>
              <w:t>Reconciliation of Total Debt to Debt Excluding Exchangeables (Unaudited)</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1"/>
        </w:trPr>
        <w:tc>
          <w:tcPr>
            <w:tcW w:w="5420" w:type="dxa"/>
            <w:vAlign w:val="bottom"/>
            <w:gridSpan w:val="5"/>
          </w:tcPr>
          <w:p>
            <w:pPr>
              <w:ind w:left="2980"/>
              <w:spacing w:after="0" w:line="191" w:lineRule="exact"/>
              <w:rPr>
                <w:sz w:val="20"/>
                <w:szCs w:val="20"/>
                <w:color w:val="auto"/>
              </w:rPr>
            </w:pPr>
            <w:r>
              <w:rPr>
                <w:rFonts w:ascii="Courier New" w:cs="Courier New" w:eastAsia="Courier New" w:hAnsi="Courier New"/>
                <w:sz w:val="17"/>
                <w:szCs w:val="17"/>
                <w:color w:val="auto"/>
              </w:rPr>
              <w:t>(dollars in millions)</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83"/>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0" w:type="dxa"/>
            <w:vAlign w:val="bottom"/>
            <w:gridSpan w:val="4"/>
          </w:tcPr>
          <w:p>
            <w:pPr>
              <w:jc w:val="right"/>
              <w:ind w:right="377"/>
              <w:spacing w:after="0"/>
              <w:rPr>
                <w:sz w:val="20"/>
                <w:szCs w:val="20"/>
                <w:color w:val="auto"/>
              </w:rPr>
            </w:pPr>
            <w:r>
              <w:rPr>
                <w:rFonts w:ascii="Courier New" w:cs="Courier New" w:eastAsia="Courier New" w:hAnsi="Courier New"/>
                <w:sz w:val="17"/>
                <w:szCs w:val="17"/>
                <w:color w:val="auto"/>
                <w:w w:val="98"/>
              </w:rPr>
              <w:t>31-Dec-04   31-Dec-03</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1"/>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Current portion of long-term debt</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3,499</w:t>
            </w:r>
          </w:p>
        </w:tc>
        <w:tc>
          <w:tcPr>
            <w:tcW w:w="3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3,161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Long-term debt</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4"/>
              </w:rPr>
              <w:t>20,093</w:t>
            </w:r>
          </w:p>
        </w:tc>
        <w:tc>
          <w:tcPr>
            <w:tcW w:w="360" w:type="dxa"/>
            <w:vAlign w:val="bottom"/>
          </w:tcPr>
          <w:p>
            <w:pPr>
              <w:spacing w:after="0"/>
              <w:rPr>
                <w:sz w:val="16"/>
                <w:szCs w:val="16"/>
                <w:color w:val="auto"/>
              </w:rPr>
            </w:pPr>
          </w:p>
        </w:tc>
        <w:tc>
          <w:tcPr>
            <w:tcW w:w="10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w w:val="91"/>
              </w:rPr>
              <w:t>23,835</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Debt</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4"/>
              </w:rPr>
              <w:t>23,592</w:t>
            </w:r>
          </w:p>
        </w:tc>
        <w:tc>
          <w:tcPr>
            <w:tcW w:w="3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w w:val="91"/>
              </w:rPr>
              <w:t>26,996</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Exchangeable debt</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1,699</w:t>
            </w:r>
          </w:p>
        </w:tc>
        <w:tc>
          <w:tcPr>
            <w:tcW w:w="360" w:type="dxa"/>
            <w:vAlign w:val="bottom"/>
          </w:tcPr>
          <w:p>
            <w:pPr>
              <w:spacing w:after="0"/>
              <w:rPr>
                <w:sz w:val="16"/>
                <w:szCs w:val="16"/>
                <w:color w:val="auto"/>
              </w:rPr>
            </w:pPr>
          </w:p>
        </w:tc>
        <w:tc>
          <w:tcPr>
            <w:tcW w:w="10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4,318</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Debt excluding exchangeables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4"/>
              </w:rPr>
              <w:t>21,893</w:t>
            </w:r>
          </w:p>
        </w:tc>
        <w:tc>
          <w:tcPr>
            <w:tcW w:w="3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w w:val="91"/>
              </w:rPr>
              <w:t>22,678</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sectPr>
          <w:pgSz w:w="11900" w:h="16838" w:orient="portrait"/>
          <w:cols w:equalWidth="0" w:num="1">
            <w:col w:w="11520"/>
          </w:cols>
          <w:pgMar w:left="240" w:top="1066" w:right="139" w:bottom="1440" w:gutter="0" w:footer="0" w:header="0"/>
        </w:sectPr>
      </w:pPr>
    </w:p>
    <w:bookmarkStart w:id="20" w:name="page21"/>
    <w:bookmarkEnd w:id="20"/>
    <w:p>
      <w:pPr>
        <w:ind w:left="2280"/>
        <w:spacing w:after="0"/>
        <w:rPr>
          <w:sz w:val="20"/>
          <w:szCs w:val="20"/>
          <w:color w:val="auto"/>
        </w:rPr>
      </w:pPr>
      <w:r>
        <w:rPr>
          <w:rFonts w:ascii="Courier New" w:cs="Courier New" w:eastAsia="Courier New" w:hAnsi="Courier New"/>
          <w:sz w:val="17"/>
          <w:szCs w:val="17"/>
          <w:color w:val="auto"/>
        </w:rPr>
        <w:t>Calculation of 2005 Free Cash Flow</w:t>
      </w:r>
    </w:p>
    <w:tbl>
      <w:tblPr>
        <w:tblLayout w:type="fixed"/>
        <w:tblInd w:w="0" w:type="dxa"/>
        <w:tblCellMar>
          <w:top w:w="0" w:type="dxa"/>
          <w:left w:w="0" w:type="dxa"/>
          <w:bottom w:w="0" w:type="dxa"/>
          <w:right w:w="0" w:type="dxa"/>
        </w:tblCellMar>
      </w:tblPr>
      <w:tr>
        <w:trPr>
          <w:trHeight w:val="191"/>
        </w:trPr>
        <w:tc>
          <w:tcPr>
            <w:tcW w:w="440" w:type="dxa"/>
            <w:vAlign w:val="bottom"/>
          </w:tcPr>
          <w:p>
            <w:pPr>
              <w:spacing w:after="0"/>
              <w:rPr>
                <w:sz w:val="16"/>
                <w:szCs w:val="16"/>
                <w:color w:val="auto"/>
              </w:rPr>
            </w:pPr>
          </w:p>
        </w:tc>
        <w:tc>
          <w:tcPr>
            <w:tcW w:w="4980" w:type="dxa"/>
            <w:vAlign w:val="bottom"/>
            <w:gridSpan w:val="3"/>
          </w:tcPr>
          <w:p>
            <w:pPr>
              <w:jc w:val="right"/>
              <w:ind w:right="257"/>
              <w:spacing w:after="0" w:line="191" w:lineRule="exact"/>
              <w:rPr>
                <w:sz w:val="20"/>
                <w:szCs w:val="20"/>
                <w:color w:val="auto"/>
              </w:rPr>
            </w:pPr>
            <w:r>
              <w:rPr>
                <w:rFonts w:ascii="Courier New" w:cs="Courier New" w:eastAsia="Courier New" w:hAnsi="Courier New"/>
                <w:sz w:val="17"/>
                <w:szCs w:val="17"/>
                <w:color w:val="auto"/>
              </w:rPr>
              <w:t>(dollars in billions)</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3"/>
        </w:trPr>
        <w:tc>
          <w:tcPr>
            <w:tcW w:w="4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80" w:type="dxa"/>
            <w:vAlign w:val="bottom"/>
            <w:gridSpan w:val="3"/>
          </w:tcPr>
          <w:p>
            <w:pPr>
              <w:ind w:left="140"/>
              <w:spacing w:after="0"/>
              <w:rPr>
                <w:sz w:val="20"/>
                <w:szCs w:val="20"/>
                <w:color w:val="auto"/>
              </w:rPr>
            </w:pPr>
            <w:r>
              <w:rPr>
                <w:rFonts w:ascii="Courier New" w:cs="Courier New" w:eastAsia="Courier New" w:hAnsi="Courier New"/>
                <w:sz w:val="17"/>
                <w:szCs w:val="17"/>
                <w:color w:val="auto"/>
                <w:w w:val="99"/>
              </w:rPr>
              <w:t>Operating Cash Flow</w:t>
            </w:r>
          </w:p>
        </w:tc>
        <w:tc>
          <w:tcPr>
            <w:tcW w:w="204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Free Cash Flow</w:t>
            </w:r>
          </w:p>
        </w:tc>
      </w:tr>
      <w:tr>
        <w:trPr>
          <w:trHeight w:val="191"/>
        </w:trPr>
        <w:tc>
          <w:tcPr>
            <w:tcW w:w="4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80" w:type="dxa"/>
            <w:vAlign w:val="bottom"/>
            <w:gridSpan w:val="3"/>
          </w:tcPr>
          <w:p>
            <w:pPr>
              <w:ind w:left="140"/>
              <w:spacing w:after="0" w:line="191" w:lineRule="exact"/>
              <w:rPr>
                <w:sz w:val="20"/>
                <w:szCs w:val="20"/>
                <w:color w:val="auto"/>
              </w:rPr>
            </w:pPr>
            <w:r>
              <w:rPr>
                <w:rFonts w:ascii="Courier New" w:cs="Courier New" w:eastAsia="Courier New" w:hAnsi="Courier New"/>
                <w:sz w:val="17"/>
                <w:szCs w:val="17"/>
                <w:color w:val="auto"/>
                <w:w w:val="99"/>
              </w:rPr>
              <w:t>-------------------</w:t>
            </w:r>
          </w:p>
        </w:tc>
        <w:tc>
          <w:tcPr>
            <w:tcW w:w="2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40" w:type="dxa"/>
            <w:vAlign w:val="bottom"/>
          </w:tcPr>
          <w:p>
            <w:pPr>
              <w:spacing w:after="0" w:line="191" w:lineRule="exact"/>
              <w:rPr>
                <w:sz w:val="20"/>
                <w:szCs w:val="20"/>
                <w:color w:val="auto"/>
              </w:rPr>
            </w:pPr>
            <w:r>
              <w:rPr>
                <w:rFonts w:ascii="Courier New" w:cs="Courier New" w:eastAsia="Courier New" w:hAnsi="Courier New"/>
                <w:sz w:val="17"/>
                <w:szCs w:val="17"/>
                <w:color w:val="auto"/>
              </w:rPr>
              <w:t>2004</w:t>
            </w:r>
          </w:p>
        </w:tc>
        <w:tc>
          <w:tcPr>
            <w:tcW w:w="34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Operating Income</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w:t>
            </w:r>
          </w:p>
        </w:tc>
        <w:tc>
          <w:tcPr>
            <w:tcW w:w="500" w:type="dxa"/>
            <w:vAlign w:val="bottom"/>
          </w:tcPr>
          <w:p>
            <w:pPr>
              <w:spacing w:after="0"/>
              <w:rPr>
                <w:sz w:val="16"/>
                <w:szCs w:val="16"/>
                <w:color w:val="auto"/>
              </w:rPr>
            </w:pP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2.9</w:t>
            </w:r>
          </w:p>
        </w:tc>
      </w:tr>
      <w:tr>
        <w:trPr>
          <w:trHeight w:val="191"/>
        </w:trPr>
        <w:tc>
          <w:tcPr>
            <w:tcW w:w="38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Add: Depreciation and Amortization</w:t>
            </w:r>
          </w:p>
        </w:tc>
        <w:tc>
          <w:tcPr>
            <w:tcW w:w="840" w:type="dxa"/>
            <w:vAlign w:val="bottom"/>
          </w:tcPr>
          <w:p>
            <w:pPr>
              <w:spacing w:after="0"/>
              <w:rPr>
                <w:sz w:val="16"/>
                <w:szCs w:val="16"/>
                <w:color w:val="auto"/>
              </w:rPr>
            </w:pP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4.6</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4.6</w:t>
            </w:r>
          </w:p>
        </w:tc>
      </w:tr>
      <w:tr>
        <w:trPr>
          <w:trHeight w:val="191"/>
        </w:trPr>
        <w:tc>
          <w:tcPr>
            <w:tcW w:w="440" w:type="dxa"/>
            <w:vAlign w:val="bottom"/>
          </w:tcPr>
          <w:p>
            <w:pPr>
              <w:spacing w:after="0" w:line="191" w:lineRule="exact"/>
              <w:rPr>
                <w:sz w:val="20"/>
                <w:szCs w:val="20"/>
                <w:color w:val="auto"/>
              </w:rPr>
            </w:pPr>
            <w:r>
              <w:rPr>
                <w:rFonts w:ascii="Courier New" w:cs="Courier New" w:eastAsia="Courier New" w:hAnsi="Courier New"/>
                <w:sz w:val="17"/>
                <w:szCs w:val="17"/>
                <w:color w:val="auto"/>
              </w:rPr>
              <w:t>2004</w:t>
            </w:r>
          </w:p>
        </w:tc>
        <w:tc>
          <w:tcPr>
            <w:tcW w:w="34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Operating Cash Flow</w:t>
            </w:r>
          </w:p>
        </w:tc>
        <w:tc>
          <w:tcPr>
            <w:tcW w:w="840" w:type="dxa"/>
            <w:vAlign w:val="bottom"/>
          </w:tcPr>
          <w:p>
            <w:pPr>
              <w:spacing w:after="0"/>
              <w:rPr>
                <w:sz w:val="16"/>
                <w:szCs w:val="16"/>
                <w:color w:val="auto"/>
              </w:rPr>
            </w:pP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7.5</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7.5</w:t>
            </w:r>
          </w:p>
        </w:tc>
      </w:tr>
      <w:tr>
        <w:trPr>
          <w:trHeight w:val="191"/>
        </w:trPr>
        <w:tc>
          <w:tcPr>
            <w:tcW w:w="440" w:type="dxa"/>
            <w:vAlign w:val="bottom"/>
          </w:tcPr>
          <w:p>
            <w:pPr>
              <w:spacing w:after="0" w:line="191" w:lineRule="exact"/>
              <w:rPr>
                <w:sz w:val="20"/>
                <w:szCs w:val="20"/>
                <w:color w:val="auto"/>
              </w:rPr>
            </w:pPr>
            <w:r>
              <w:rPr>
                <w:rFonts w:ascii="Courier New" w:cs="Courier New" w:eastAsia="Courier New" w:hAnsi="Courier New"/>
                <w:sz w:val="17"/>
                <w:szCs w:val="17"/>
                <w:color w:val="auto"/>
              </w:rPr>
              <w:t>2005</w:t>
            </w:r>
          </w:p>
        </w:tc>
        <w:tc>
          <w:tcPr>
            <w:tcW w:w="34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Operating Cash Flow Growth Rate</w:t>
            </w:r>
          </w:p>
        </w:tc>
        <w:tc>
          <w:tcPr>
            <w:tcW w:w="84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40" w:type="dxa"/>
            <w:vAlign w:val="bottom"/>
          </w:tcPr>
          <w:p>
            <w:pPr>
              <w:spacing w:after="0" w:line="191" w:lineRule="exact"/>
              <w:rPr>
                <w:sz w:val="20"/>
                <w:szCs w:val="20"/>
                <w:color w:val="auto"/>
              </w:rPr>
            </w:pPr>
            <w:r>
              <w:rPr>
                <w:rFonts w:ascii="Courier New" w:cs="Courier New" w:eastAsia="Courier New" w:hAnsi="Courier New"/>
                <w:sz w:val="17"/>
                <w:szCs w:val="17"/>
                <w:color w:val="auto"/>
              </w:rPr>
              <w:t>2005</w:t>
            </w:r>
          </w:p>
        </w:tc>
        <w:tc>
          <w:tcPr>
            <w:tcW w:w="34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Operating Cash Flow Growth</w:t>
            </w:r>
          </w:p>
        </w:tc>
        <w:tc>
          <w:tcPr>
            <w:tcW w:w="840" w:type="dxa"/>
            <w:vAlign w:val="bottom"/>
          </w:tcPr>
          <w:p>
            <w:pPr>
              <w:spacing w:after="0"/>
              <w:rPr>
                <w:sz w:val="16"/>
                <w:szCs w:val="16"/>
                <w:color w:val="auto"/>
              </w:rPr>
            </w:pP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0.9</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8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Less: 2004 Capital Expenditures</w:t>
            </w: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3.7</w:t>
            </w:r>
          </w:p>
        </w:tc>
      </w:tr>
      <w:tr>
        <w:trPr>
          <w:trHeight w:val="191"/>
        </w:trPr>
        <w:tc>
          <w:tcPr>
            <w:tcW w:w="440" w:type="dxa"/>
            <w:vAlign w:val="bottom"/>
          </w:tcPr>
          <w:p>
            <w:pPr>
              <w:spacing w:after="0"/>
              <w:rPr>
                <w:sz w:val="16"/>
                <w:szCs w:val="16"/>
                <w:color w:val="auto"/>
              </w:rPr>
            </w:pPr>
          </w:p>
        </w:tc>
        <w:tc>
          <w:tcPr>
            <w:tcW w:w="34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2004 Consolidated Interest, net</w:t>
            </w: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1.7</w:t>
            </w:r>
          </w:p>
        </w:tc>
      </w:tr>
      <w:tr>
        <w:trPr>
          <w:trHeight w:val="191"/>
        </w:trPr>
        <w:tc>
          <w:tcPr>
            <w:tcW w:w="440" w:type="dxa"/>
            <w:vAlign w:val="bottom"/>
          </w:tcPr>
          <w:p>
            <w:pPr>
              <w:spacing w:after="0"/>
              <w:rPr>
                <w:sz w:val="16"/>
                <w:szCs w:val="16"/>
                <w:color w:val="auto"/>
              </w:rPr>
            </w:pPr>
          </w:p>
        </w:tc>
        <w:tc>
          <w:tcPr>
            <w:tcW w:w="34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2004 Consolidated Cash Paid for</w:t>
            </w: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40" w:type="dxa"/>
            <w:vAlign w:val="bottom"/>
          </w:tcPr>
          <w:p>
            <w:pPr>
              <w:spacing w:after="0"/>
              <w:rPr>
                <w:sz w:val="16"/>
                <w:szCs w:val="16"/>
                <w:color w:val="auto"/>
              </w:rPr>
            </w:pPr>
          </w:p>
        </w:tc>
        <w:tc>
          <w:tcPr>
            <w:tcW w:w="34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Income Taxes</w:t>
            </w: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0.2</w:t>
            </w:r>
          </w:p>
        </w:tc>
      </w:tr>
      <w:tr>
        <w:trPr>
          <w:trHeight w:val="191"/>
        </w:trPr>
        <w:tc>
          <w:tcPr>
            <w:tcW w:w="440" w:type="dxa"/>
            <w:vAlign w:val="bottom"/>
          </w:tcPr>
          <w:p>
            <w:pPr>
              <w:spacing w:after="0" w:line="191" w:lineRule="exact"/>
              <w:rPr>
                <w:sz w:val="20"/>
                <w:szCs w:val="20"/>
                <w:color w:val="auto"/>
              </w:rPr>
            </w:pPr>
            <w:r>
              <w:rPr>
                <w:rFonts w:ascii="Courier New" w:cs="Courier New" w:eastAsia="Courier New" w:hAnsi="Courier New"/>
                <w:sz w:val="17"/>
                <w:szCs w:val="17"/>
                <w:color w:val="auto"/>
              </w:rPr>
              <w:t>2004</w:t>
            </w:r>
          </w:p>
        </w:tc>
        <w:tc>
          <w:tcPr>
            <w:tcW w:w="34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Free Cash Flow</w:t>
            </w: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w:t>
            </w:r>
          </w:p>
        </w:tc>
      </w:tr>
      <w:tr>
        <w:trPr>
          <w:trHeight w:val="191"/>
        </w:trPr>
        <w:tc>
          <w:tcPr>
            <w:tcW w:w="440" w:type="dxa"/>
            <w:vAlign w:val="bottom"/>
          </w:tcPr>
          <w:p>
            <w:pPr>
              <w:spacing w:after="0" w:line="191" w:lineRule="exact"/>
              <w:rPr>
                <w:sz w:val="20"/>
                <w:szCs w:val="20"/>
                <w:color w:val="auto"/>
              </w:rPr>
            </w:pPr>
            <w:r>
              <w:rPr>
                <w:rFonts w:ascii="Courier New" w:cs="Courier New" w:eastAsia="Courier New" w:hAnsi="Courier New"/>
                <w:sz w:val="17"/>
                <w:szCs w:val="17"/>
                <w:color w:val="auto"/>
              </w:rPr>
              <w:t>2005</w:t>
            </w:r>
          </w:p>
        </w:tc>
        <w:tc>
          <w:tcPr>
            <w:tcW w:w="34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Free Cash Flow Growth</w:t>
            </w: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35% to 45%</w:t>
            </w:r>
          </w:p>
        </w:tc>
      </w:tr>
      <w:tr>
        <w:trPr>
          <w:trHeight w:val="191"/>
        </w:trPr>
        <w:tc>
          <w:tcPr>
            <w:tcW w:w="38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Projected 2005 Free Cash Flow</w:t>
            </w: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$2.6 to $2.8</w:t>
            </w:r>
          </w:p>
        </w:tc>
      </w:tr>
      <w:tr>
        <w:trPr>
          <w:trHeight w:val="383"/>
        </w:trPr>
        <w:tc>
          <w:tcPr>
            <w:tcW w:w="440" w:type="dxa"/>
            <w:vAlign w:val="bottom"/>
          </w:tcPr>
          <w:p>
            <w:pPr>
              <w:spacing w:after="0"/>
              <w:rPr>
                <w:sz w:val="24"/>
                <w:szCs w:val="24"/>
                <w:color w:val="auto"/>
              </w:rPr>
            </w:pPr>
          </w:p>
        </w:tc>
        <w:tc>
          <w:tcPr>
            <w:tcW w:w="65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Reconciliation of 2004 Content Data to Adjusted Content Data</w:t>
            </w:r>
          </w:p>
        </w:tc>
        <w:tc>
          <w:tcPr>
            <w:tcW w:w="940" w:type="dxa"/>
            <w:vAlign w:val="bottom"/>
          </w:tcPr>
          <w:p>
            <w:pPr>
              <w:spacing w:after="0"/>
              <w:rPr>
                <w:sz w:val="24"/>
                <w:szCs w:val="24"/>
                <w:color w:val="auto"/>
              </w:rPr>
            </w:pPr>
          </w:p>
        </w:tc>
      </w:tr>
      <w:tr>
        <w:trPr>
          <w:trHeight w:val="191"/>
        </w:trPr>
        <w:tc>
          <w:tcPr>
            <w:tcW w:w="440" w:type="dxa"/>
            <w:vAlign w:val="bottom"/>
          </w:tcPr>
          <w:p>
            <w:pPr>
              <w:spacing w:after="0"/>
              <w:rPr>
                <w:sz w:val="16"/>
                <w:szCs w:val="16"/>
                <w:color w:val="auto"/>
              </w:rPr>
            </w:pPr>
          </w:p>
        </w:tc>
        <w:tc>
          <w:tcPr>
            <w:tcW w:w="49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Comparable to 2004 Guidance</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40" w:type="dxa"/>
            <w:vAlign w:val="bottom"/>
          </w:tcPr>
          <w:p>
            <w:pPr>
              <w:spacing w:after="0"/>
              <w:rPr>
                <w:sz w:val="16"/>
                <w:szCs w:val="16"/>
                <w:color w:val="auto"/>
              </w:rPr>
            </w:pPr>
          </w:p>
        </w:tc>
        <w:tc>
          <w:tcPr>
            <w:tcW w:w="4980" w:type="dxa"/>
            <w:vAlign w:val="bottom"/>
            <w:gridSpan w:val="3"/>
          </w:tcPr>
          <w:p>
            <w:pPr>
              <w:jc w:val="right"/>
              <w:ind w:right="257"/>
              <w:spacing w:after="0" w:line="191" w:lineRule="exact"/>
              <w:rPr>
                <w:sz w:val="20"/>
                <w:szCs w:val="20"/>
                <w:color w:val="auto"/>
              </w:rPr>
            </w:pPr>
            <w:r>
              <w:rPr>
                <w:rFonts w:ascii="Courier New" w:cs="Courier New" w:eastAsia="Courier New" w:hAnsi="Courier New"/>
                <w:sz w:val="17"/>
                <w:szCs w:val="17"/>
                <w:color w:val="auto"/>
              </w:rPr>
              <w:t>(dollars in millions)</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3"/>
        </w:trPr>
        <w:tc>
          <w:tcPr>
            <w:tcW w:w="4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80" w:type="dxa"/>
            <w:vAlign w:val="bottom"/>
            <w:gridSpan w:val="2"/>
          </w:tcPr>
          <w:p>
            <w:pPr>
              <w:jc w:val="right"/>
              <w:ind w:right="257"/>
              <w:spacing w:after="0"/>
              <w:rPr>
                <w:sz w:val="20"/>
                <w:szCs w:val="20"/>
                <w:color w:val="auto"/>
              </w:rPr>
            </w:pPr>
            <w:r>
              <w:rPr>
                <w:rFonts w:ascii="Courier New" w:cs="Courier New" w:eastAsia="Courier New" w:hAnsi="Courier New"/>
                <w:sz w:val="17"/>
                <w:szCs w:val="17"/>
                <w:color w:val="auto"/>
              </w:rPr>
              <w:t>Revenue</w:t>
            </w:r>
          </w:p>
        </w:tc>
        <w:tc>
          <w:tcPr>
            <w:tcW w:w="1600" w:type="dxa"/>
            <w:vAlign w:val="bottom"/>
            <w:gridSpan w:val="2"/>
          </w:tcPr>
          <w:p>
            <w:pPr>
              <w:jc w:val="right"/>
              <w:ind w:right="877"/>
              <w:spacing w:after="0"/>
              <w:rPr>
                <w:sz w:val="20"/>
                <w:szCs w:val="20"/>
                <w:color w:val="auto"/>
              </w:rPr>
            </w:pPr>
            <w:r>
              <w:rPr>
                <w:rFonts w:ascii="Courier New" w:cs="Courier New" w:eastAsia="Courier New" w:hAnsi="Courier New"/>
                <w:sz w:val="17"/>
                <w:szCs w:val="17"/>
                <w:color w:val="auto"/>
              </w:rPr>
              <w:t>OCF</w:t>
            </w:r>
          </w:p>
        </w:tc>
        <w:tc>
          <w:tcPr>
            <w:tcW w:w="940" w:type="dxa"/>
            <w:vAlign w:val="bottom"/>
          </w:tcPr>
          <w:p>
            <w:pPr>
              <w:spacing w:after="0"/>
              <w:rPr>
                <w:sz w:val="24"/>
                <w:szCs w:val="24"/>
                <w:color w:val="auto"/>
              </w:rPr>
            </w:pPr>
          </w:p>
        </w:tc>
      </w:tr>
      <w:tr>
        <w:trPr>
          <w:trHeight w:val="191"/>
        </w:trPr>
        <w:tc>
          <w:tcPr>
            <w:tcW w:w="4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spacing w:after="0"/>
              <w:rPr>
                <w:sz w:val="16"/>
                <w:szCs w:val="16"/>
                <w:color w:val="auto"/>
              </w:rPr>
            </w:pPr>
          </w:p>
        </w:tc>
      </w:tr>
      <w:tr>
        <w:trPr>
          <w:trHeight w:val="191"/>
        </w:trPr>
        <w:tc>
          <w:tcPr>
            <w:tcW w:w="38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Actual 2004 Content Segment</w:t>
            </w:r>
          </w:p>
        </w:tc>
        <w:tc>
          <w:tcPr>
            <w:tcW w:w="840" w:type="dxa"/>
            <w:vAlign w:val="bottom"/>
          </w:tcPr>
          <w:p>
            <w:pPr>
              <w:spacing w:after="0"/>
              <w:rPr>
                <w:sz w:val="16"/>
                <w:szCs w:val="16"/>
                <w:color w:val="auto"/>
              </w:rPr>
            </w:pP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787</w:t>
            </w:r>
          </w:p>
        </w:tc>
        <w:tc>
          <w:tcPr>
            <w:tcW w:w="500" w:type="dxa"/>
            <w:vAlign w:val="bottom"/>
          </w:tcPr>
          <w:p>
            <w:pPr>
              <w:spacing w:after="0"/>
              <w:rPr>
                <w:sz w:val="16"/>
                <w:szCs w:val="16"/>
                <w:color w:val="auto"/>
              </w:rPr>
            </w:pPr>
          </w:p>
        </w:tc>
        <w:tc>
          <w:tcPr>
            <w:tcW w:w="11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265</w:t>
            </w:r>
          </w:p>
        </w:tc>
        <w:tc>
          <w:tcPr>
            <w:tcW w:w="940" w:type="dxa"/>
            <w:vAlign w:val="bottom"/>
          </w:tcPr>
          <w:p>
            <w:pPr>
              <w:spacing w:after="0"/>
              <w:rPr>
                <w:sz w:val="16"/>
                <w:szCs w:val="16"/>
                <w:color w:val="auto"/>
              </w:rPr>
            </w:pPr>
          </w:p>
        </w:tc>
      </w:tr>
      <w:tr>
        <w:trPr>
          <w:trHeight w:val="191"/>
        </w:trPr>
        <w:tc>
          <w:tcPr>
            <w:tcW w:w="38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Adjustments:</w:t>
            </w: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8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International Channel (3)</w:t>
            </w:r>
          </w:p>
        </w:tc>
        <w:tc>
          <w:tcPr>
            <w:tcW w:w="84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w:t>
            </w:r>
          </w:p>
        </w:tc>
        <w:tc>
          <w:tcPr>
            <w:tcW w:w="500" w:type="dxa"/>
            <w:vAlign w:val="bottom"/>
          </w:tcPr>
          <w:p>
            <w:pPr>
              <w:spacing w:after="0"/>
              <w:rPr>
                <w:sz w:val="16"/>
                <w:szCs w:val="16"/>
                <w:color w:val="auto"/>
              </w:rPr>
            </w:pPr>
          </w:p>
        </w:tc>
        <w:tc>
          <w:tcPr>
            <w:tcW w:w="11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1</w:t>
            </w:r>
          </w:p>
        </w:tc>
        <w:tc>
          <w:tcPr>
            <w:tcW w:w="940" w:type="dxa"/>
            <w:vAlign w:val="bottom"/>
          </w:tcPr>
          <w:p>
            <w:pPr>
              <w:spacing w:after="0"/>
              <w:rPr>
                <w:sz w:val="16"/>
                <w:szCs w:val="16"/>
                <w:color w:val="auto"/>
              </w:rPr>
            </w:pPr>
          </w:p>
        </w:tc>
      </w:tr>
      <w:tr>
        <w:trPr>
          <w:trHeight w:val="191"/>
        </w:trPr>
        <w:tc>
          <w:tcPr>
            <w:tcW w:w="38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TechTV (4)</w:t>
            </w:r>
          </w:p>
        </w:tc>
        <w:tc>
          <w:tcPr>
            <w:tcW w:w="84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(21)</w:t>
            </w:r>
          </w:p>
        </w:tc>
        <w:tc>
          <w:tcPr>
            <w:tcW w:w="500" w:type="dxa"/>
            <w:vAlign w:val="bottom"/>
          </w:tcPr>
          <w:p>
            <w:pPr>
              <w:spacing w:after="0"/>
              <w:rPr>
                <w:sz w:val="16"/>
                <w:szCs w:val="16"/>
                <w:color w:val="auto"/>
              </w:rPr>
            </w:pPr>
          </w:p>
        </w:tc>
        <w:tc>
          <w:tcPr>
            <w:tcW w:w="11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9</w:t>
            </w:r>
          </w:p>
        </w:tc>
        <w:tc>
          <w:tcPr>
            <w:tcW w:w="940" w:type="dxa"/>
            <w:vAlign w:val="bottom"/>
          </w:tcPr>
          <w:p>
            <w:pPr>
              <w:spacing w:after="0"/>
              <w:rPr>
                <w:sz w:val="16"/>
                <w:szCs w:val="16"/>
                <w:color w:val="auto"/>
              </w:rPr>
            </w:pPr>
          </w:p>
        </w:tc>
      </w:tr>
      <w:tr>
        <w:trPr>
          <w:trHeight w:val="191"/>
        </w:trPr>
        <w:tc>
          <w:tcPr>
            <w:tcW w:w="38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Adjusted Content Segment</w:t>
            </w:r>
          </w:p>
        </w:tc>
        <w:tc>
          <w:tcPr>
            <w:tcW w:w="840" w:type="dxa"/>
            <w:vAlign w:val="bottom"/>
          </w:tcPr>
          <w:p>
            <w:pPr>
              <w:spacing w:after="0"/>
              <w:rPr>
                <w:sz w:val="16"/>
                <w:szCs w:val="16"/>
                <w:color w:val="auto"/>
              </w:rPr>
            </w:pP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759</w:t>
            </w:r>
          </w:p>
        </w:tc>
        <w:tc>
          <w:tcPr>
            <w:tcW w:w="500" w:type="dxa"/>
            <w:vAlign w:val="bottom"/>
          </w:tcPr>
          <w:p>
            <w:pPr>
              <w:spacing w:after="0"/>
              <w:rPr>
                <w:sz w:val="16"/>
                <w:szCs w:val="16"/>
                <w:color w:val="auto"/>
              </w:rPr>
            </w:pPr>
          </w:p>
        </w:tc>
        <w:tc>
          <w:tcPr>
            <w:tcW w:w="11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275</w:t>
            </w:r>
          </w:p>
        </w:tc>
        <w:tc>
          <w:tcPr>
            <w:tcW w:w="940" w:type="dxa"/>
            <w:vAlign w:val="bottom"/>
          </w:tcPr>
          <w:p>
            <w:pPr>
              <w:spacing w:after="0"/>
              <w:rPr>
                <w:sz w:val="16"/>
                <w:szCs w:val="16"/>
                <w:color w:val="auto"/>
              </w:rPr>
            </w:pPr>
          </w:p>
        </w:tc>
      </w:tr>
      <w:tr>
        <w:trPr>
          <w:trHeight w:val="191"/>
        </w:trPr>
        <w:tc>
          <w:tcPr>
            <w:tcW w:w="38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Actual 2003 Content Segment</w:t>
            </w:r>
          </w:p>
        </w:tc>
        <w:tc>
          <w:tcPr>
            <w:tcW w:w="840" w:type="dxa"/>
            <w:vAlign w:val="bottom"/>
          </w:tcPr>
          <w:p>
            <w:pPr>
              <w:spacing w:after="0"/>
              <w:rPr>
                <w:sz w:val="16"/>
                <w:szCs w:val="16"/>
                <w:color w:val="auto"/>
              </w:rPr>
            </w:pP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628</w:t>
            </w:r>
          </w:p>
        </w:tc>
        <w:tc>
          <w:tcPr>
            <w:tcW w:w="500" w:type="dxa"/>
            <w:vAlign w:val="bottom"/>
          </w:tcPr>
          <w:p>
            <w:pPr>
              <w:spacing w:after="0"/>
              <w:rPr>
                <w:sz w:val="16"/>
                <w:szCs w:val="16"/>
                <w:color w:val="auto"/>
              </w:rPr>
            </w:pPr>
          </w:p>
        </w:tc>
        <w:tc>
          <w:tcPr>
            <w:tcW w:w="11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214</w:t>
            </w:r>
          </w:p>
        </w:tc>
        <w:tc>
          <w:tcPr>
            <w:tcW w:w="940" w:type="dxa"/>
            <w:vAlign w:val="bottom"/>
          </w:tcPr>
          <w:p>
            <w:pPr>
              <w:spacing w:after="0"/>
              <w:rPr>
                <w:sz w:val="16"/>
                <w:szCs w:val="16"/>
                <w:color w:val="auto"/>
              </w:rPr>
            </w:pPr>
          </w:p>
        </w:tc>
      </w:tr>
      <w:tr>
        <w:trPr>
          <w:trHeight w:val="382"/>
        </w:trPr>
        <w:tc>
          <w:tcPr>
            <w:tcW w:w="3840" w:type="dxa"/>
            <w:vAlign w:val="bottom"/>
            <w:gridSpan w:val="2"/>
          </w:tcPr>
          <w:p>
            <w:pPr>
              <w:spacing w:after="0"/>
              <w:rPr>
                <w:sz w:val="20"/>
                <w:szCs w:val="20"/>
                <w:color w:val="auto"/>
              </w:rPr>
            </w:pPr>
            <w:r>
              <w:rPr>
                <w:rFonts w:ascii="Courier New" w:cs="Courier New" w:eastAsia="Courier New" w:hAnsi="Courier New"/>
                <w:sz w:val="17"/>
                <w:szCs w:val="17"/>
                <w:color w:val="auto"/>
              </w:rPr>
              <w:t>Growth</w:t>
            </w:r>
          </w:p>
        </w:tc>
        <w:tc>
          <w:tcPr>
            <w:tcW w:w="84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20.8%</w:t>
            </w:r>
          </w:p>
        </w:tc>
        <w:tc>
          <w:tcPr>
            <w:tcW w:w="500" w:type="dxa"/>
            <w:vAlign w:val="bottom"/>
          </w:tcPr>
          <w:p>
            <w:pPr>
              <w:spacing w:after="0"/>
              <w:rPr>
                <w:sz w:val="24"/>
                <w:szCs w:val="24"/>
                <w:color w:val="auto"/>
              </w:rPr>
            </w:pPr>
          </w:p>
        </w:tc>
        <w:tc>
          <w:tcPr>
            <w:tcW w:w="110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29.0%</w:t>
            </w:r>
          </w:p>
        </w:tc>
        <w:tc>
          <w:tcPr>
            <w:tcW w:w="940" w:type="dxa"/>
            <w:vAlign w:val="bottom"/>
          </w:tcPr>
          <w:p>
            <w:pPr>
              <w:spacing w:after="0"/>
              <w:rPr>
                <w:sz w:val="24"/>
                <w:szCs w:val="24"/>
                <w:color w:val="auto"/>
              </w:rPr>
            </w:pPr>
          </w:p>
        </w:tc>
      </w:tr>
    </w:tbl>
    <w:p>
      <w:pPr>
        <w:spacing w:after="0" w:line="196" w:lineRule="exact"/>
        <w:rPr>
          <w:sz w:val="20"/>
          <w:szCs w:val="20"/>
          <w:color w:val="auto"/>
        </w:rPr>
      </w:pPr>
    </w:p>
    <w:p>
      <w:pPr>
        <w:ind w:left="500" w:right="2959" w:hanging="498"/>
        <w:spacing w:after="0" w:line="235"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Historical amounts have been adjusted to reflect QVC as discontinued operations.</w:t>
      </w:r>
    </w:p>
    <w:p>
      <w:pPr>
        <w:spacing w:after="0" w:line="196" w:lineRule="exact"/>
        <w:rPr>
          <w:rFonts w:ascii="Courier New" w:cs="Courier New" w:eastAsia="Courier New" w:hAnsi="Courier New"/>
          <w:sz w:val="17"/>
          <w:szCs w:val="17"/>
          <w:color w:val="auto"/>
        </w:rPr>
      </w:pPr>
    </w:p>
    <w:p>
      <w:pPr>
        <w:ind w:left="500" w:right="2359" w:hanging="498"/>
        <w:spacing w:after="0" w:line="237"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data is only adjusted for timing of the acquisitions (or dispositions) and does not include adjustments for costs related to integration activities, cost savings or synergies that have been or may be achieved by the combined businesses. Minor differences may exist due to rounding.</w:t>
      </w:r>
    </w:p>
    <w:p>
      <w:pPr>
        <w:spacing w:after="0" w:line="190"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reflect actual operating results from the acquisition date.</w:t>
      </w:r>
    </w:p>
    <w:p>
      <w:pPr>
        <w:spacing w:after="0" w:line="196" w:lineRule="exact"/>
        <w:rPr>
          <w:rFonts w:ascii="Courier New" w:cs="Courier New" w:eastAsia="Courier New" w:hAnsi="Courier New"/>
          <w:sz w:val="17"/>
          <w:szCs w:val="17"/>
          <w:color w:val="auto"/>
        </w:rPr>
      </w:pPr>
    </w:p>
    <w:p>
      <w:pPr>
        <w:ind w:left="500" w:right="2359" w:hanging="498"/>
        <w:spacing w:after="0" w:line="236"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TechTV revenue adjustment reflects the estimated impact of additional TechTV affiliation and advertising revenue in the merged network and OCF adjustment reflects estimated costs associated with the reorganization and integration of G4 and TechTV.</w:t>
      </w:r>
    </w:p>
    <w:p>
      <w:pPr>
        <w:sectPr>
          <w:pgSz w:w="11900" w:h="16838" w:orient="portrait"/>
          <w:cols w:equalWidth="0" w:num="1">
            <w:col w:w="10219"/>
          </w:cols>
          <w:pgMar w:left="240" w:top="683" w:right="1440" w:bottom="1440" w:gutter="0" w:footer="0" w:header="0"/>
        </w:sectPr>
      </w:pPr>
    </w:p>
    <w:bookmarkStart w:id="21" w:name="page22"/>
    <w:bookmarkEnd w:id="21"/>
    <w:p>
      <w:pPr>
        <w:ind w:left="3080"/>
        <w:spacing w:after="0"/>
        <w:rPr>
          <w:sz w:val="20"/>
          <w:szCs w:val="20"/>
          <w:color w:val="auto"/>
        </w:rPr>
      </w:pPr>
      <w:r>
        <w:rPr>
          <w:rFonts w:ascii="Courier New" w:cs="Courier New" w:eastAsia="Courier New" w:hAnsi="Courier New"/>
          <w:sz w:val="17"/>
          <w:szCs w:val="17"/>
          <w:color w:val="auto"/>
        </w:rPr>
        <w:t>COMCAST CORPORATION</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TABLE 7-B continued</w:t>
      </w:r>
    </w:p>
    <w:p>
      <w:pPr>
        <w:jc w:val="center"/>
        <w:ind w:right="2259"/>
        <w:spacing w:after="0" w:line="238" w:lineRule="auto"/>
        <w:rPr>
          <w:sz w:val="20"/>
          <w:szCs w:val="20"/>
          <w:color w:val="auto"/>
        </w:rPr>
      </w:pPr>
      <w:r>
        <w:rPr>
          <w:rFonts w:ascii="Courier New" w:cs="Courier New" w:eastAsia="Courier New" w:hAnsi="Courier New"/>
          <w:sz w:val="17"/>
          <w:szCs w:val="17"/>
          <w:color w:val="auto"/>
        </w:rPr>
        <w:t>Reconciliation of Net Income to Free Cash Flow (Unaudited)</w:t>
      </w:r>
    </w:p>
    <w:p>
      <w:pPr>
        <w:spacing w:after="0" w:line="190"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(dollars in millions, except per share data)</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3"/>
          </w:tcPr>
          <w:p>
            <w:pPr>
              <w:jc w:val="right"/>
              <w:ind w:right="617"/>
              <w:spacing w:after="0"/>
              <w:rPr>
                <w:sz w:val="20"/>
                <w:szCs w:val="20"/>
                <w:color w:val="auto"/>
              </w:rPr>
            </w:pPr>
            <w:r>
              <w:rPr>
                <w:rFonts w:ascii="Courier New" w:cs="Courier New" w:eastAsia="Courier New" w:hAnsi="Courier New"/>
                <w:sz w:val="17"/>
                <w:szCs w:val="17"/>
                <w:color w:val="auto"/>
              </w:rPr>
              <w:t>Three Months Ended</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December 31,</w:t>
            </w: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840" w:type="dxa"/>
            <w:vAlign w:val="bottom"/>
          </w:tcPr>
          <w:p>
            <w:pPr>
              <w:spacing w:after="0"/>
              <w:rPr>
                <w:sz w:val="16"/>
                <w:szCs w:val="16"/>
                <w:color w:val="auto"/>
              </w:rPr>
            </w:pPr>
          </w:p>
        </w:tc>
        <w:tc>
          <w:tcPr>
            <w:tcW w:w="5900" w:type="dxa"/>
            <w:vAlign w:val="bottom"/>
            <w:gridSpan w:val="8"/>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2004</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2003</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84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14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per share(2)</w:t>
            </w:r>
          </w:p>
        </w:tc>
        <w:tc>
          <w:tcPr>
            <w:tcW w:w="540" w:type="dxa"/>
            <w:vAlign w:val="bottom"/>
          </w:tcPr>
          <w:p>
            <w:pPr>
              <w:spacing w:after="0"/>
              <w:rPr>
                <w:sz w:val="16"/>
                <w:szCs w:val="16"/>
                <w:color w:val="auto"/>
              </w:rPr>
            </w:pPr>
          </w:p>
        </w:tc>
        <w:tc>
          <w:tcPr>
            <w:tcW w:w="100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w w:val="77"/>
              </w:rPr>
              <w:t>$</w:t>
            </w:r>
          </w:p>
        </w:tc>
        <w:tc>
          <w:tcPr>
            <w:tcW w:w="12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per share(2)</w:t>
            </w:r>
          </w:p>
        </w:tc>
      </w:tr>
      <w:tr>
        <w:trPr>
          <w:trHeight w:val="191"/>
        </w:trPr>
        <w:tc>
          <w:tcPr>
            <w:tcW w:w="3840" w:type="dxa"/>
            <w:vAlign w:val="bottom"/>
          </w:tcPr>
          <w:p>
            <w:pPr>
              <w:spacing w:after="0"/>
              <w:rPr>
                <w:sz w:val="16"/>
                <w:szCs w:val="16"/>
                <w:color w:val="auto"/>
              </w:rPr>
            </w:pPr>
          </w:p>
        </w:tc>
        <w:tc>
          <w:tcPr>
            <w:tcW w:w="16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w w:val="94"/>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9"/>
              </w:rPr>
              <w:t>------------</w:t>
            </w:r>
          </w:p>
        </w:tc>
        <w:tc>
          <w:tcPr>
            <w:tcW w:w="12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Net Income as reported</w:t>
            </w:r>
          </w:p>
        </w:tc>
        <w:tc>
          <w:tcPr>
            <w:tcW w:w="840" w:type="dxa"/>
            <w:vAlign w:val="bottom"/>
          </w:tcPr>
          <w:p>
            <w:pPr>
              <w:jc w:val="center"/>
              <w:ind w:right="377"/>
              <w:spacing w:after="0"/>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423</w:t>
            </w:r>
          </w:p>
        </w:tc>
        <w:tc>
          <w:tcPr>
            <w:tcW w:w="2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0.19</w:t>
            </w:r>
          </w:p>
        </w:tc>
        <w:tc>
          <w:tcPr>
            <w:tcW w:w="5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383</w:t>
            </w:r>
          </w:p>
        </w:tc>
        <w:tc>
          <w:tcPr>
            <w:tcW w:w="3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0.17</w:t>
            </w:r>
          </w:p>
        </w:tc>
      </w:tr>
      <w:tr>
        <w:trPr>
          <w:trHeight w:val="191"/>
        </w:trPr>
        <w:tc>
          <w:tcPr>
            <w:tcW w:w="3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Discontinued Operations, net of tax</w:t>
            </w:r>
          </w:p>
        </w:tc>
        <w:tc>
          <w:tcPr>
            <w:tcW w:w="84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Non-operating items, net of tax (1)</w:t>
            </w:r>
          </w:p>
        </w:tc>
        <w:tc>
          <w:tcPr>
            <w:tcW w:w="8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(344)</w:t>
            </w:r>
          </w:p>
        </w:tc>
        <w:tc>
          <w:tcPr>
            <w:tcW w:w="240" w:type="dxa"/>
            <w:vAlign w:val="bottom"/>
          </w:tcPr>
          <w:p>
            <w:pPr>
              <w:spacing w:after="0"/>
              <w:rPr>
                <w:sz w:val="16"/>
                <w:szCs w:val="16"/>
                <w:color w:val="auto"/>
              </w:rPr>
            </w:pP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(0.15)</w:t>
            </w:r>
          </w:p>
        </w:tc>
        <w:tc>
          <w:tcPr>
            <w:tcW w:w="5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(192)</w:t>
            </w:r>
          </w:p>
        </w:tc>
        <w:tc>
          <w:tcPr>
            <w:tcW w:w="3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(0.09)</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 (Loss) as adjusted</w:t>
            </w:r>
          </w:p>
        </w:tc>
        <w:tc>
          <w:tcPr>
            <w:tcW w:w="840" w:type="dxa"/>
            <w:vAlign w:val="bottom"/>
          </w:tcPr>
          <w:p>
            <w:pPr>
              <w:jc w:val="center"/>
              <w:ind w:right="377"/>
              <w:spacing w:after="0" w:line="191" w:lineRule="exact"/>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79</w:t>
            </w:r>
          </w:p>
        </w:tc>
        <w:tc>
          <w:tcPr>
            <w:tcW w:w="2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0.04</w:t>
            </w:r>
          </w:p>
        </w:tc>
        <w:tc>
          <w:tcPr>
            <w:tcW w:w="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191</w:t>
            </w:r>
          </w:p>
        </w:tc>
        <w:tc>
          <w:tcPr>
            <w:tcW w:w="3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0.08</w:t>
            </w: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Items to reconcile net income (loss)</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1"/>
        </w:trPr>
        <w:tc>
          <w:tcPr>
            <w:tcW w:w="3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as adjusted to Operating Cash Flow:</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8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84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1,275</w:t>
            </w:r>
          </w:p>
        </w:tc>
        <w:tc>
          <w:tcPr>
            <w:tcW w:w="240" w:type="dxa"/>
            <w:vAlign w:val="bottom"/>
          </w:tcPr>
          <w:p>
            <w:pPr>
              <w:spacing w:after="0"/>
              <w:rPr>
                <w:sz w:val="16"/>
                <w:szCs w:val="16"/>
                <w:color w:val="auto"/>
              </w:rPr>
            </w:pP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0.57</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978</w:t>
            </w:r>
          </w:p>
        </w:tc>
        <w:tc>
          <w:tcPr>
            <w:tcW w:w="34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0.43</w:t>
            </w:r>
          </w:p>
        </w:tc>
      </w:tr>
      <w:tr>
        <w:trPr>
          <w:trHeight w:val="191"/>
        </w:trPr>
        <w:tc>
          <w:tcPr>
            <w:tcW w:w="38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Interest expense</w:t>
            </w:r>
          </w:p>
        </w:tc>
        <w:tc>
          <w:tcPr>
            <w:tcW w:w="84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457</w:t>
            </w:r>
          </w:p>
        </w:tc>
        <w:tc>
          <w:tcPr>
            <w:tcW w:w="240" w:type="dxa"/>
            <w:vAlign w:val="bottom"/>
          </w:tcPr>
          <w:p>
            <w:pPr>
              <w:spacing w:after="0"/>
              <w:rPr>
                <w:sz w:val="16"/>
                <w:szCs w:val="16"/>
                <w:color w:val="auto"/>
              </w:rPr>
            </w:pP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0.21</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439</w:t>
            </w:r>
          </w:p>
        </w:tc>
        <w:tc>
          <w:tcPr>
            <w:tcW w:w="34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0.19</w:t>
            </w:r>
          </w:p>
        </w:tc>
      </w:tr>
      <w:tr>
        <w:trPr>
          <w:trHeight w:val="191"/>
        </w:trPr>
        <w:tc>
          <w:tcPr>
            <w:tcW w:w="38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Income tax expense (benefit)</w:t>
            </w:r>
          </w:p>
        </w:tc>
        <w:tc>
          <w:tcPr>
            <w:tcW w:w="84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175</w:t>
            </w:r>
          </w:p>
        </w:tc>
        <w:tc>
          <w:tcPr>
            <w:tcW w:w="240" w:type="dxa"/>
            <w:vAlign w:val="bottom"/>
          </w:tcPr>
          <w:p>
            <w:pPr>
              <w:spacing w:after="0"/>
              <w:rPr>
                <w:sz w:val="16"/>
                <w:szCs w:val="16"/>
                <w:color w:val="auto"/>
              </w:rPr>
            </w:pP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0.07</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112</w:t>
            </w:r>
          </w:p>
        </w:tc>
        <w:tc>
          <w:tcPr>
            <w:tcW w:w="34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0.06</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w:t>
            </w:r>
          </w:p>
        </w:tc>
        <w:tc>
          <w:tcPr>
            <w:tcW w:w="840" w:type="dxa"/>
            <w:vAlign w:val="bottom"/>
          </w:tcPr>
          <w:p>
            <w:pPr>
              <w:jc w:val="center"/>
              <w:ind w:right="377"/>
              <w:spacing w:after="0" w:line="191" w:lineRule="exact"/>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1,986</w:t>
            </w:r>
          </w:p>
        </w:tc>
        <w:tc>
          <w:tcPr>
            <w:tcW w:w="2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0.89</w:t>
            </w:r>
          </w:p>
        </w:tc>
        <w:tc>
          <w:tcPr>
            <w:tcW w:w="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1,720</w:t>
            </w:r>
          </w:p>
        </w:tc>
        <w:tc>
          <w:tcPr>
            <w:tcW w:w="3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0.76</w:t>
            </w:r>
          </w:p>
        </w:tc>
      </w:tr>
      <w:tr>
        <w:trPr>
          <w:trHeight w:val="956"/>
        </w:trPr>
        <w:tc>
          <w:tcPr>
            <w:tcW w:w="3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2004</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2003</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1"/>
        </w:trPr>
        <w:tc>
          <w:tcPr>
            <w:tcW w:w="3840" w:type="dxa"/>
            <w:vAlign w:val="bottom"/>
          </w:tcPr>
          <w:p>
            <w:pPr>
              <w:spacing w:after="0"/>
              <w:rPr>
                <w:sz w:val="16"/>
                <w:szCs w:val="16"/>
                <w:color w:val="auto"/>
              </w:rPr>
            </w:pPr>
          </w:p>
        </w:tc>
        <w:tc>
          <w:tcPr>
            <w:tcW w:w="3080" w:type="dxa"/>
            <w:vAlign w:val="bottom"/>
            <w:gridSpan w:val="4"/>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82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840" w:type="dxa"/>
            <w:vAlign w:val="bottom"/>
          </w:tcPr>
          <w:p>
            <w:pPr>
              <w:jc w:val="center"/>
              <w:ind w:right="377"/>
              <w:spacing w:after="0"/>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217"/>
              <w:spacing w:after="0"/>
              <w:rPr>
                <w:sz w:val="20"/>
                <w:szCs w:val="20"/>
                <w:color w:val="auto"/>
              </w:rPr>
            </w:pPr>
            <w:r>
              <w:rPr>
                <w:rFonts w:ascii="Courier New" w:cs="Courier New" w:eastAsia="Courier New" w:hAnsi="Courier New"/>
                <w:sz w:val="17"/>
                <w:szCs w:val="17"/>
                <w:color w:val="auto"/>
                <w:w w:val="94"/>
              </w:rPr>
              <w:t>1,986</w:t>
            </w:r>
          </w:p>
        </w:tc>
        <w:tc>
          <w:tcPr>
            <w:tcW w:w="2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1,986</w:t>
            </w:r>
          </w:p>
        </w:tc>
        <w:tc>
          <w:tcPr>
            <w:tcW w:w="5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1,720</w:t>
            </w:r>
          </w:p>
        </w:tc>
        <w:tc>
          <w:tcPr>
            <w:tcW w:w="3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1,720</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Less:</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Interest, net (3)</w:t>
            </w:r>
          </w:p>
        </w:tc>
        <w:tc>
          <w:tcPr>
            <w:tcW w:w="8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(420)</w:t>
            </w:r>
          </w:p>
        </w:tc>
        <w:tc>
          <w:tcPr>
            <w:tcW w:w="240" w:type="dxa"/>
            <w:vAlign w:val="bottom"/>
          </w:tcPr>
          <w:p>
            <w:pPr>
              <w:spacing w:after="0"/>
              <w:rPr>
                <w:sz w:val="16"/>
                <w:szCs w:val="16"/>
                <w:color w:val="auto"/>
              </w:rPr>
            </w:pP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(420)</w:t>
            </w:r>
          </w:p>
        </w:tc>
        <w:tc>
          <w:tcPr>
            <w:tcW w:w="5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(435)</w:t>
            </w:r>
          </w:p>
        </w:tc>
        <w:tc>
          <w:tcPr>
            <w:tcW w:w="3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(435)</w:t>
            </w:r>
          </w:p>
        </w:tc>
      </w:tr>
      <w:tr>
        <w:trPr>
          <w:trHeight w:val="191"/>
        </w:trPr>
        <w:tc>
          <w:tcPr>
            <w:tcW w:w="3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Cash Paid for Income Taxes</w:t>
            </w:r>
          </w:p>
        </w:tc>
        <w:tc>
          <w:tcPr>
            <w:tcW w:w="8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w:t>
            </w:r>
          </w:p>
        </w:tc>
        <w:tc>
          <w:tcPr>
            <w:tcW w:w="240" w:type="dxa"/>
            <w:vAlign w:val="bottom"/>
          </w:tcPr>
          <w:p>
            <w:pPr>
              <w:spacing w:after="0"/>
              <w:rPr>
                <w:sz w:val="16"/>
                <w:szCs w:val="16"/>
                <w:color w:val="auto"/>
              </w:rPr>
            </w:pP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w:t>
            </w:r>
          </w:p>
        </w:tc>
        <w:tc>
          <w:tcPr>
            <w:tcW w:w="5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w:t>
            </w:r>
          </w:p>
        </w:tc>
        <w:tc>
          <w:tcPr>
            <w:tcW w:w="3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w:t>
            </w:r>
          </w:p>
        </w:tc>
      </w:tr>
      <w:tr>
        <w:trPr>
          <w:trHeight w:val="191"/>
        </w:trPr>
        <w:tc>
          <w:tcPr>
            <w:tcW w:w="3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Change in Operating Assets and</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8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Liabilities, net of</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8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acquisitions (4)</w:t>
            </w:r>
          </w:p>
        </w:tc>
        <w:tc>
          <w:tcPr>
            <w:tcW w:w="8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(220)</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(678)</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(5)</w:t>
            </w:r>
          </w:p>
        </w:tc>
        <w:tc>
          <w:tcPr>
            <w:tcW w:w="84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165</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(244)</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Provided by Operating</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Activities</w:t>
            </w:r>
          </w:p>
        </w:tc>
        <w:tc>
          <w:tcPr>
            <w:tcW w:w="840" w:type="dxa"/>
            <w:vAlign w:val="bottom"/>
          </w:tcPr>
          <w:p>
            <w:pPr>
              <w:jc w:val="center"/>
              <w:ind w:right="377"/>
              <w:spacing w:after="0" w:line="191" w:lineRule="exact"/>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1,495</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335</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8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Less: Capital Expenditures</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(1,050)</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(1,068)</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Free Cash Flow</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500</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189</w:t>
            </w:r>
          </w:p>
        </w:tc>
      </w:tr>
      <w:tr>
        <w:trPr>
          <w:trHeight w:val="574"/>
        </w:trPr>
        <w:tc>
          <w:tcPr>
            <w:tcW w:w="5480" w:type="dxa"/>
            <w:vAlign w:val="bottom"/>
            <w:gridSpan w:val="3"/>
          </w:tcPr>
          <w:p>
            <w:pPr>
              <w:jc w:val="center"/>
              <w:ind w:left="2497"/>
              <w:spacing w:after="0"/>
              <w:rPr>
                <w:sz w:val="20"/>
                <w:szCs w:val="20"/>
                <w:color w:val="auto"/>
              </w:rPr>
            </w:pPr>
            <w:r>
              <w:rPr>
                <w:rFonts w:ascii="Courier New" w:cs="Courier New" w:eastAsia="Courier New" w:hAnsi="Courier New"/>
                <w:sz w:val="17"/>
                <w:szCs w:val="17"/>
                <w:color w:val="auto"/>
                <w:w w:val="98"/>
              </w:rPr>
              <w:t>COMCAST CORPORATION</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1"/>
        </w:trPr>
        <w:tc>
          <w:tcPr>
            <w:tcW w:w="5480" w:type="dxa"/>
            <w:vAlign w:val="bottom"/>
            <w:gridSpan w:val="3"/>
          </w:tcPr>
          <w:p>
            <w:pPr>
              <w:jc w:val="center"/>
              <w:ind w:left="2497"/>
              <w:spacing w:after="0" w:line="191" w:lineRule="exact"/>
              <w:rPr>
                <w:sz w:val="20"/>
                <w:szCs w:val="20"/>
                <w:color w:val="auto"/>
              </w:rPr>
            </w:pPr>
            <w:r>
              <w:rPr>
                <w:rFonts w:ascii="Courier New" w:cs="Courier New" w:eastAsia="Courier New" w:hAnsi="Courier New"/>
                <w:sz w:val="17"/>
                <w:szCs w:val="17"/>
                <w:color w:val="auto"/>
                <w:w w:val="98"/>
              </w:rPr>
              <w:t>TABLE 7-B continued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6920" w:type="dxa"/>
            <w:vAlign w:val="bottom"/>
            <w:gridSpan w:val="5"/>
          </w:tcPr>
          <w:p>
            <w:pPr>
              <w:ind w:left="1100"/>
              <w:spacing w:after="0" w:line="191" w:lineRule="exact"/>
              <w:rPr>
                <w:sz w:val="20"/>
                <w:szCs w:val="20"/>
                <w:color w:val="auto"/>
              </w:rPr>
            </w:pPr>
            <w:r>
              <w:rPr>
                <w:rFonts w:ascii="Courier New" w:cs="Courier New" w:eastAsia="Courier New" w:hAnsi="Courier New"/>
                <w:sz w:val="17"/>
                <w:szCs w:val="17"/>
                <w:color w:val="auto"/>
                <w:w w:val="98"/>
              </w:rPr>
              <w:t>Reconciliation of Net Income to Free Cash Flow (Unaudited)</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6920" w:type="dxa"/>
            <w:vAlign w:val="bottom"/>
            <w:gridSpan w:val="5"/>
          </w:tcPr>
          <w:p>
            <w:pPr>
              <w:ind w:left="1800"/>
              <w:spacing w:after="0" w:line="191" w:lineRule="exact"/>
              <w:rPr>
                <w:sz w:val="20"/>
                <w:szCs w:val="20"/>
                <w:color w:val="auto"/>
              </w:rPr>
            </w:pPr>
            <w:r>
              <w:rPr>
                <w:rFonts w:ascii="Courier New" w:cs="Courier New" w:eastAsia="Courier New" w:hAnsi="Courier New"/>
                <w:sz w:val="17"/>
                <w:szCs w:val="17"/>
                <w:color w:val="auto"/>
              </w:rPr>
              <w:t>(dollars in millions, except per share data)</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765"/>
        </w:trPr>
        <w:tc>
          <w:tcPr>
            <w:tcW w:w="3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3"/>
          </w:tcPr>
          <w:p>
            <w:pPr>
              <w:jc w:val="right"/>
              <w:ind w:right="617"/>
              <w:spacing w:after="0"/>
              <w:rPr>
                <w:sz w:val="20"/>
                <w:szCs w:val="20"/>
                <w:color w:val="auto"/>
              </w:rPr>
            </w:pPr>
            <w:r>
              <w:rPr>
                <w:rFonts w:ascii="Courier New" w:cs="Courier New" w:eastAsia="Courier New" w:hAnsi="Courier New"/>
                <w:sz w:val="17"/>
                <w:szCs w:val="17"/>
                <w:color w:val="auto"/>
              </w:rPr>
              <w:t>Twelve Months Ended</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1"/>
        </w:trPr>
        <w:tc>
          <w:tcPr>
            <w:tcW w:w="3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December 31,</w:t>
            </w: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840" w:type="dxa"/>
            <w:vAlign w:val="bottom"/>
          </w:tcPr>
          <w:p>
            <w:pPr>
              <w:spacing w:after="0"/>
              <w:rPr>
                <w:sz w:val="16"/>
                <w:szCs w:val="16"/>
                <w:color w:val="auto"/>
              </w:rPr>
            </w:pPr>
          </w:p>
        </w:tc>
        <w:tc>
          <w:tcPr>
            <w:tcW w:w="5900" w:type="dxa"/>
            <w:vAlign w:val="bottom"/>
            <w:gridSpan w:val="8"/>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2004</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2003</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84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14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per share(2)</w:t>
            </w:r>
          </w:p>
        </w:tc>
        <w:tc>
          <w:tcPr>
            <w:tcW w:w="540" w:type="dxa"/>
            <w:vAlign w:val="bottom"/>
          </w:tcPr>
          <w:p>
            <w:pPr>
              <w:spacing w:after="0"/>
              <w:rPr>
                <w:sz w:val="16"/>
                <w:szCs w:val="16"/>
                <w:color w:val="auto"/>
              </w:rPr>
            </w:pPr>
          </w:p>
        </w:tc>
        <w:tc>
          <w:tcPr>
            <w:tcW w:w="100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per share(2)</w:t>
            </w:r>
          </w:p>
        </w:tc>
      </w:tr>
      <w:tr>
        <w:trPr>
          <w:trHeight w:val="191"/>
        </w:trPr>
        <w:tc>
          <w:tcPr>
            <w:tcW w:w="3840" w:type="dxa"/>
            <w:vAlign w:val="bottom"/>
          </w:tcPr>
          <w:p>
            <w:pPr>
              <w:spacing w:after="0"/>
              <w:rPr>
                <w:sz w:val="16"/>
                <w:szCs w:val="16"/>
                <w:color w:val="auto"/>
              </w:rPr>
            </w:pPr>
          </w:p>
        </w:tc>
        <w:tc>
          <w:tcPr>
            <w:tcW w:w="16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w w:val="94"/>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9"/>
              </w:rPr>
              <w:t>------------</w:t>
            </w:r>
          </w:p>
        </w:tc>
        <w:tc>
          <w:tcPr>
            <w:tcW w:w="12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Net Income as reported</w:t>
            </w:r>
          </w:p>
        </w:tc>
        <w:tc>
          <w:tcPr>
            <w:tcW w:w="840" w:type="dxa"/>
            <w:vAlign w:val="bottom"/>
          </w:tcPr>
          <w:p>
            <w:pPr>
              <w:jc w:val="center"/>
              <w:ind w:right="377"/>
              <w:spacing w:after="0"/>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970</w:t>
            </w:r>
          </w:p>
        </w:tc>
        <w:tc>
          <w:tcPr>
            <w:tcW w:w="2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0.43</w:t>
            </w:r>
          </w:p>
        </w:tc>
        <w:tc>
          <w:tcPr>
            <w:tcW w:w="5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3,240</w:t>
            </w:r>
          </w:p>
        </w:tc>
        <w:tc>
          <w:tcPr>
            <w:tcW w:w="3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1.44</w:t>
            </w:r>
          </w:p>
        </w:tc>
      </w:tr>
      <w:tr>
        <w:trPr>
          <w:trHeight w:val="191"/>
        </w:trPr>
        <w:tc>
          <w:tcPr>
            <w:tcW w:w="3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Discontinued Operations, net of tax</w:t>
            </w:r>
          </w:p>
        </w:tc>
        <w:tc>
          <w:tcPr>
            <w:tcW w:w="84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3,458</w:t>
            </w:r>
          </w:p>
        </w:tc>
        <w:tc>
          <w:tcPr>
            <w:tcW w:w="3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(1.53)</w:t>
            </w:r>
          </w:p>
        </w:tc>
      </w:tr>
      <w:tr>
        <w:trPr>
          <w:trHeight w:val="191"/>
        </w:trPr>
        <w:tc>
          <w:tcPr>
            <w:tcW w:w="3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Non-operating items, net of tax (1)</w:t>
            </w:r>
          </w:p>
        </w:tc>
        <w:tc>
          <w:tcPr>
            <w:tcW w:w="8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(497)</w:t>
            </w:r>
          </w:p>
        </w:tc>
        <w:tc>
          <w:tcPr>
            <w:tcW w:w="240" w:type="dxa"/>
            <w:vAlign w:val="bottom"/>
          </w:tcPr>
          <w:p>
            <w:pPr>
              <w:spacing w:after="0"/>
              <w:rPr>
                <w:sz w:val="16"/>
                <w:szCs w:val="16"/>
                <w:color w:val="auto"/>
              </w:rPr>
            </w:pP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(0.22)</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110</w:t>
            </w:r>
          </w:p>
        </w:tc>
        <w:tc>
          <w:tcPr>
            <w:tcW w:w="3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0.04</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 (Loss) as adjusted</w:t>
            </w:r>
          </w:p>
        </w:tc>
        <w:tc>
          <w:tcPr>
            <w:tcW w:w="840" w:type="dxa"/>
            <w:vAlign w:val="bottom"/>
          </w:tcPr>
          <w:p>
            <w:pPr>
              <w:jc w:val="center"/>
              <w:ind w:right="377"/>
              <w:spacing w:after="0" w:line="191" w:lineRule="exact"/>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473</w:t>
            </w:r>
          </w:p>
        </w:tc>
        <w:tc>
          <w:tcPr>
            <w:tcW w:w="2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0.21</w:t>
            </w:r>
          </w:p>
        </w:tc>
        <w:tc>
          <w:tcPr>
            <w:tcW w:w="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(108)</w:t>
            </w:r>
          </w:p>
        </w:tc>
        <w:tc>
          <w:tcPr>
            <w:tcW w:w="3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(0.05)</w:t>
            </w: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Items to reconcile net income (loss)</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1"/>
        </w:trPr>
        <w:tc>
          <w:tcPr>
            <w:tcW w:w="3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as adjusted to Operating Cash Flow:</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8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84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4,623</w:t>
            </w:r>
          </w:p>
        </w:tc>
        <w:tc>
          <w:tcPr>
            <w:tcW w:w="240" w:type="dxa"/>
            <w:vAlign w:val="bottom"/>
          </w:tcPr>
          <w:p>
            <w:pPr>
              <w:spacing w:after="0"/>
              <w:rPr>
                <w:sz w:val="16"/>
                <w:szCs w:val="16"/>
                <w:color w:val="auto"/>
              </w:rPr>
            </w:pP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2.05</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4,438</w:t>
            </w:r>
          </w:p>
        </w:tc>
        <w:tc>
          <w:tcPr>
            <w:tcW w:w="34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1.97</w:t>
            </w:r>
          </w:p>
        </w:tc>
      </w:tr>
      <w:tr>
        <w:trPr>
          <w:trHeight w:val="191"/>
        </w:trPr>
        <w:tc>
          <w:tcPr>
            <w:tcW w:w="38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Interest expense</w:t>
            </w:r>
          </w:p>
        </w:tc>
        <w:tc>
          <w:tcPr>
            <w:tcW w:w="84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1,876</w:t>
            </w:r>
          </w:p>
        </w:tc>
        <w:tc>
          <w:tcPr>
            <w:tcW w:w="240" w:type="dxa"/>
            <w:vAlign w:val="bottom"/>
          </w:tcPr>
          <w:p>
            <w:pPr>
              <w:spacing w:after="0"/>
              <w:rPr>
                <w:sz w:val="16"/>
                <w:szCs w:val="16"/>
                <w:color w:val="auto"/>
              </w:rPr>
            </w:pP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0.83</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2,018</w:t>
            </w:r>
          </w:p>
        </w:tc>
        <w:tc>
          <w:tcPr>
            <w:tcW w:w="34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0.89</w:t>
            </w:r>
          </w:p>
        </w:tc>
      </w:tr>
      <w:tr>
        <w:trPr>
          <w:trHeight w:val="191"/>
        </w:trPr>
        <w:tc>
          <w:tcPr>
            <w:tcW w:w="38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Income tax expense (benefit)</w:t>
            </w:r>
          </w:p>
        </w:tc>
        <w:tc>
          <w:tcPr>
            <w:tcW w:w="84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559</w:t>
            </w:r>
          </w:p>
        </w:tc>
        <w:tc>
          <w:tcPr>
            <w:tcW w:w="240" w:type="dxa"/>
            <w:vAlign w:val="bottom"/>
          </w:tcPr>
          <w:p>
            <w:pPr>
              <w:spacing w:after="0"/>
              <w:rPr>
                <w:sz w:val="16"/>
                <w:szCs w:val="16"/>
                <w:color w:val="auto"/>
              </w:rPr>
            </w:pP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0.26</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44</w:t>
            </w:r>
          </w:p>
        </w:tc>
        <w:tc>
          <w:tcPr>
            <w:tcW w:w="34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0.02</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Cash Flow</w:t>
            </w:r>
          </w:p>
        </w:tc>
        <w:tc>
          <w:tcPr>
            <w:tcW w:w="840" w:type="dxa"/>
            <w:vAlign w:val="bottom"/>
          </w:tcPr>
          <w:p>
            <w:pPr>
              <w:jc w:val="center"/>
              <w:ind w:right="377"/>
              <w:spacing w:after="0" w:line="191" w:lineRule="exact"/>
              <w:rPr>
                <w:sz w:val="20"/>
                <w:szCs w:val="20"/>
                <w:color w:val="auto"/>
              </w:rPr>
            </w:pPr>
            <w:r>
              <w:rPr>
                <w:rFonts w:ascii="Courier New" w:cs="Courier New" w:eastAsia="Courier New" w:hAnsi="Courier New"/>
                <w:sz w:val="17"/>
                <w:szCs w:val="17"/>
                <w:color w:val="auto"/>
                <w:w w:val="97"/>
              </w:rPr>
              <w:t>$</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7,531</w:t>
            </w:r>
          </w:p>
        </w:tc>
        <w:tc>
          <w:tcPr>
            <w:tcW w:w="2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3.35</w:t>
            </w:r>
          </w:p>
        </w:tc>
        <w:tc>
          <w:tcPr>
            <w:tcW w:w="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6,392</w:t>
            </w:r>
          </w:p>
        </w:tc>
        <w:tc>
          <w:tcPr>
            <w:tcW w:w="3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2.83</w:t>
            </w:r>
          </w:p>
        </w:tc>
      </w:tr>
    </w:tbl>
    <w:p>
      <w:pPr>
        <w:sectPr>
          <w:pgSz w:w="11900" w:h="16838" w:orient="portrait"/>
          <w:cols w:equalWidth="0" w:num="1">
            <w:col w:w="10219"/>
          </w:cols>
          <w:pgMar w:left="240" w:top="683" w:right="1440"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2004</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2003</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580" w:type="dxa"/>
            <w:vAlign w:val="bottom"/>
          </w:tcPr>
          <w:p>
            <w:pPr>
              <w:spacing w:after="0"/>
              <w:rPr>
                <w:sz w:val="16"/>
                <w:szCs w:val="16"/>
                <w:color w:val="auto"/>
              </w:rPr>
            </w:pPr>
          </w:p>
        </w:tc>
        <w:tc>
          <w:tcPr>
            <w:tcW w:w="3280" w:type="dxa"/>
            <w:vAlign w:val="bottom"/>
            <w:gridSpan w:val="4"/>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880" w:type="dxa"/>
            <w:vAlign w:val="bottom"/>
            <w:gridSpan w:val="4"/>
          </w:tcPr>
          <w:p>
            <w:pPr>
              <w:ind w:left="10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358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7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7,531</w:t>
            </w:r>
          </w:p>
        </w:tc>
        <w:tc>
          <w:tcPr>
            <w:tcW w:w="340" w:type="dxa"/>
            <w:vAlign w:val="bottom"/>
          </w:tcPr>
          <w:p>
            <w:pPr>
              <w:jc w:val="right"/>
              <w:ind w:right="157"/>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7,531</w:t>
            </w:r>
          </w:p>
        </w:tc>
        <w:tc>
          <w:tcPr>
            <w:tcW w:w="4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6,392</w:t>
            </w:r>
          </w:p>
        </w:tc>
        <w:tc>
          <w:tcPr>
            <w:tcW w:w="340" w:type="dxa"/>
            <w:vAlign w:val="bottom"/>
          </w:tcPr>
          <w:p>
            <w:pPr>
              <w:jc w:val="right"/>
              <w:ind w:right="157"/>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6,392</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Less:</w:t>
            </w: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Interest, net (3)</w:t>
            </w:r>
          </w:p>
        </w:tc>
        <w:tc>
          <w:tcPr>
            <w:tcW w:w="740" w:type="dxa"/>
            <w:vAlign w:val="bottom"/>
          </w:tcPr>
          <w:p>
            <w:pPr>
              <w:spacing w:after="0"/>
              <w:rPr>
                <w:sz w:val="16"/>
                <w:szCs w:val="16"/>
                <w:color w:val="auto"/>
              </w:rPr>
            </w:pPr>
          </w:p>
        </w:tc>
        <w:tc>
          <w:tcPr>
            <w:tcW w:w="1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(1,729)</w:t>
            </w:r>
          </w:p>
        </w:tc>
        <w:tc>
          <w:tcPr>
            <w:tcW w:w="34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(1,729)</w:t>
            </w:r>
          </w:p>
        </w:tc>
        <w:tc>
          <w:tcPr>
            <w:tcW w:w="46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(2,062)</w:t>
            </w:r>
          </w:p>
        </w:tc>
        <w:tc>
          <w:tcPr>
            <w:tcW w:w="3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(2,062)</w:t>
            </w:r>
          </w:p>
        </w:tc>
      </w:tr>
      <w:tr>
        <w:trPr>
          <w:trHeight w:val="191"/>
        </w:trPr>
        <w:tc>
          <w:tcPr>
            <w:tcW w:w="3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Cash Paid for Income Taxes</w:t>
            </w:r>
          </w:p>
        </w:tc>
        <w:tc>
          <w:tcPr>
            <w:tcW w:w="740" w:type="dxa"/>
            <w:vAlign w:val="bottom"/>
          </w:tcPr>
          <w:p>
            <w:pPr>
              <w:spacing w:after="0"/>
              <w:rPr>
                <w:sz w:val="16"/>
                <w:szCs w:val="16"/>
                <w:color w:val="auto"/>
              </w:rPr>
            </w:pPr>
          </w:p>
        </w:tc>
        <w:tc>
          <w:tcPr>
            <w:tcW w:w="1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(205)</w:t>
            </w:r>
          </w:p>
        </w:tc>
        <w:tc>
          <w:tcPr>
            <w:tcW w:w="34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(205)</w:t>
            </w:r>
          </w:p>
        </w:tc>
        <w:tc>
          <w:tcPr>
            <w:tcW w:w="46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(95)</w:t>
            </w:r>
          </w:p>
        </w:tc>
        <w:tc>
          <w:tcPr>
            <w:tcW w:w="3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(95)</w:t>
            </w:r>
          </w:p>
        </w:tc>
      </w:tr>
      <w:tr>
        <w:trPr>
          <w:trHeight w:val="191"/>
        </w:trPr>
        <w:tc>
          <w:tcPr>
            <w:tcW w:w="3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Change in Operating Assets and</w:t>
            </w: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5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Liabilities,</w:t>
            </w: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5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net of acquisitions (4)</w:t>
            </w:r>
          </w:p>
        </w:tc>
        <w:tc>
          <w:tcPr>
            <w:tcW w:w="740" w:type="dxa"/>
            <w:vAlign w:val="bottom"/>
          </w:tcPr>
          <w:p>
            <w:pPr>
              <w:spacing w:after="0"/>
              <w:rPr>
                <w:sz w:val="16"/>
                <w:szCs w:val="16"/>
                <w:color w:val="auto"/>
              </w:rPr>
            </w:pPr>
          </w:p>
        </w:tc>
        <w:tc>
          <w:tcPr>
            <w:tcW w:w="1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(331)</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(380)</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(5)</w:t>
            </w:r>
          </w:p>
        </w:tc>
        <w:tc>
          <w:tcPr>
            <w:tcW w:w="740" w:type="dxa"/>
            <w:vAlign w:val="bottom"/>
          </w:tcPr>
          <w:p>
            <w:pPr>
              <w:spacing w:after="0"/>
              <w:rPr>
                <w:sz w:val="16"/>
                <w:szCs w:val="16"/>
                <w:color w:val="auto"/>
              </w:rPr>
            </w:pPr>
          </w:p>
        </w:tc>
        <w:tc>
          <w:tcPr>
            <w:tcW w:w="11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664</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(1,001)</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Provided by Operating</w:t>
            </w: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Activities</w:t>
            </w: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5,930</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2,854</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5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Less: Capital Expenditures</w:t>
            </w: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(3,660)</w:t>
            </w: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(4,161)</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Free Cash Flow</w:t>
            </w: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1,937</w:t>
            </w: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74</w:t>
            </w:r>
          </w:p>
        </w:tc>
      </w:tr>
    </w:tbl>
    <w:p>
      <w:pPr>
        <w:spacing w:after="0" w:line="381"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(1)</w:t>
      </w:r>
      <w:r>
        <w:rPr>
          <w:sz w:val="20"/>
          <w:szCs w:val="20"/>
          <w:color w:val="auto"/>
        </w:rPr>
        <w:tab/>
      </w:r>
      <w:r>
        <w:rPr>
          <w:rFonts w:ascii="Courier New" w:cs="Courier New" w:eastAsia="Courier New" w:hAnsi="Courier New"/>
          <w:sz w:val="16"/>
          <w:szCs w:val="16"/>
          <w:color w:val="auto"/>
        </w:rPr>
        <w:t>Detail of non-operating items: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Ended</w:t>
            </w: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3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December 31,</w:t>
            </w: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3740" w:type="dxa"/>
            <w:vAlign w:val="bottom"/>
          </w:tcPr>
          <w:p>
            <w:pPr>
              <w:spacing w:after="0"/>
              <w:rPr>
                <w:sz w:val="16"/>
                <w:szCs w:val="16"/>
                <w:color w:val="auto"/>
              </w:rPr>
            </w:pPr>
          </w:p>
        </w:tc>
        <w:tc>
          <w:tcPr>
            <w:tcW w:w="6000" w:type="dxa"/>
            <w:vAlign w:val="bottom"/>
            <w:gridSpan w:val="8"/>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2004</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2003</w:t>
            </w:r>
          </w:p>
        </w:tc>
        <w:tc>
          <w:tcPr>
            <w:tcW w:w="880" w:type="dxa"/>
            <w:vAlign w:val="bottom"/>
          </w:tcPr>
          <w:p>
            <w:pPr>
              <w:spacing w:after="0"/>
              <w:rPr>
                <w:sz w:val="16"/>
                <w:szCs w:val="16"/>
                <w:color w:val="auto"/>
              </w:rPr>
            </w:pPr>
          </w:p>
        </w:tc>
      </w:tr>
      <w:tr>
        <w:trPr>
          <w:trHeight w:val="191"/>
        </w:trPr>
        <w:tc>
          <w:tcPr>
            <w:tcW w:w="3740" w:type="dxa"/>
            <w:vAlign w:val="bottom"/>
          </w:tcPr>
          <w:p>
            <w:pPr>
              <w:spacing w:after="0"/>
              <w:rPr>
                <w:sz w:val="16"/>
                <w:szCs w:val="16"/>
                <w:color w:val="auto"/>
              </w:rPr>
            </w:pP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13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per share(2)</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spacing w:after="0"/>
              <w:rPr>
                <w:sz w:val="16"/>
                <w:szCs w:val="16"/>
                <w:color w:val="auto"/>
              </w:rPr>
            </w:pP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per share(2)</w:t>
            </w:r>
          </w:p>
        </w:tc>
      </w:tr>
      <w:tr>
        <w:trPr>
          <w:trHeight w:val="191"/>
        </w:trPr>
        <w:tc>
          <w:tcPr>
            <w:tcW w:w="3740" w:type="dxa"/>
            <w:vAlign w:val="bottom"/>
          </w:tcPr>
          <w:p>
            <w:pPr>
              <w:spacing w:after="0"/>
              <w:rPr>
                <w:sz w:val="16"/>
                <w:szCs w:val="16"/>
                <w:color w:val="auto"/>
              </w:rPr>
            </w:pPr>
          </w:p>
        </w:tc>
        <w:tc>
          <w:tcPr>
            <w:tcW w:w="17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w:t>
            </w:r>
          </w:p>
        </w:tc>
        <w:tc>
          <w:tcPr>
            <w:tcW w:w="15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3740" w:type="dxa"/>
            <w:vAlign w:val="bottom"/>
          </w:tcPr>
          <w:p>
            <w:pPr>
              <w:spacing w:after="0"/>
              <w:rPr>
                <w:sz w:val="20"/>
                <w:szCs w:val="20"/>
                <w:color w:val="auto"/>
              </w:rPr>
            </w:pPr>
            <w:r>
              <w:rPr>
                <w:rFonts w:ascii="Courier New" w:cs="Courier New" w:eastAsia="Courier New" w:hAnsi="Courier New"/>
                <w:sz w:val="17"/>
                <w:szCs w:val="17"/>
                <w:color w:val="auto"/>
              </w:rPr>
              <w:t>Investment (income) expense -</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mark to market adjustments</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on trading securities, derivatives</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hedged items, net</w:t>
            </w:r>
          </w:p>
        </w:tc>
        <w:tc>
          <w:tcPr>
            <w:tcW w:w="10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(143)</w:t>
            </w:r>
          </w:p>
        </w:tc>
        <w:tc>
          <w:tcPr>
            <w:tcW w:w="30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(0.06)</w:t>
            </w:r>
          </w:p>
        </w:tc>
        <w:tc>
          <w:tcPr>
            <w:tcW w:w="9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(272)</w:t>
            </w:r>
          </w:p>
        </w:tc>
        <w:tc>
          <w:tcPr>
            <w:tcW w:w="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(0.12)</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Investment (income) - gain</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on sales and exchanges of</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investments</w:t>
            </w:r>
          </w:p>
        </w:tc>
        <w:tc>
          <w:tcPr>
            <w:tcW w:w="104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w:t>
            </w:r>
          </w:p>
        </w:tc>
        <w:tc>
          <w:tcPr>
            <w:tcW w:w="3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Investment expense - investment</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impairment losses (6)</w:t>
            </w:r>
          </w:p>
        </w:tc>
        <w:tc>
          <w:tcPr>
            <w:tcW w:w="1040" w:type="dxa"/>
            <w:vAlign w:val="bottom"/>
          </w:tcPr>
          <w:p>
            <w:pPr>
              <w:spacing w:after="0"/>
              <w:rPr>
                <w:sz w:val="16"/>
                <w:szCs w:val="16"/>
                <w:color w:val="auto"/>
              </w:rPr>
            </w:pP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w:t>
            </w:r>
          </w:p>
        </w:tc>
        <w:tc>
          <w:tcPr>
            <w:tcW w:w="3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c>
          <w:tcPr>
            <w:tcW w:w="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All other, net (7)</w:t>
            </w:r>
          </w:p>
        </w:tc>
        <w:tc>
          <w:tcPr>
            <w:tcW w:w="104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(383)</w:t>
            </w:r>
          </w:p>
        </w:tc>
        <w:tc>
          <w:tcPr>
            <w:tcW w:w="30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(0.18)</w:t>
            </w:r>
          </w:p>
        </w:tc>
        <w:tc>
          <w:tcPr>
            <w:tcW w:w="9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w:t>
            </w:r>
          </w:p>
        </w:tc>
        <w:tc>
          <w:tcPr>
            <w:tcW w:w="5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(0.01)</w:t>
            </w: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Total non-operating items</w:t>
            </w:r>
          </w:p>
        </w:tc>
        <w:tc>
          <w:tcPr>
            <w:tcW w:w="104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(529)</w:t>
            </w:r>
          </w:p>
        </w:tc>
        <w:tc>
          <w:tcPr>
            <w:tcW w:w="30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(0.24)</w:t>
            </w:r>
          </w:p>
        </w:tc>
        <w:tc>
          <w:tcPr>
            <w:tcW w:w="9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(295)</w:t>
            </w:r>
          </w:p>
        </w:tc>
        <w:tc>
          <w:tcPr>
            <w:tcW w:w="5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(0.13)</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Tax Effect</w:t>
            </w:r>
          </w:p>
        </w:tc>
        <w:tc>
          <w:tcPr>
            <w:tcW w:w="1040" w:type="dxa"/>
            <w:vAlign w:val="bottom"/>
          </w:tcPr>
          <w:p>
            <w:pPr>
              <w:spacing w:after="0"/>
              <w:rPr>
                <w:sz w:val="16"/>
                <w:szCs w:val="16"/>
                <w:color w:val="auto"/>
              </w:rPr>
            </w:pP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185</w:t>
            </w:r>
          </w:p>
        </w:tc>
        <w:tc>
          <w:tcPr>
            <w:tcW w:w="3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0.09</w:t>
            </w:r>
          </w:p>
        </w:tc>
        <w:tc>
          <w:tcPr>
            <w:tcW w:w="900" w:type="dxa"/>
            <w:vAlign w:val="bottom"/>
          </w:tcPr>
          <w:p>
            <w:pPr>
              <w:spacing w:after="0"/>
              <w:rPr>
                <w:sz w:val="16"/>
                <w:szCs w:val="16"/>
                <w:color w:val="auto"/>
              </w:rPr>
            </w:pPr>
          </w:p>
        </w:tc>
        <w:tc>
          <w:tcPr>
            <w:tcW w:w="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103</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0.04</w:t>
            </w: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Non-operating items,</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37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of tax</w:t>
            </w:r>
          </w:p>
        </w:tc>
        <w:tc>
          <w:tcPr>
            <w:tcW w:w="10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(344)</w:t>
            </w:r>
          </w:p>
        </w:tc>
        <w:tc>
          <w:tcPr>
            <w:tcW w:w="30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(0.15)</w:t>
            </w:r>
          </w:p>
        </w:tc>
        <w:tc>
          <w:tcPr>
            <w:tcW w:w="9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(192)</w:t>
            </w:r>
          </w:p>
        </w:tc>
        <w:tc>
          <w:tcPr>
            <w:tcW w:w="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(0.09)</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Twelve Months Ended</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3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December 31,</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3740" w:type="dxa"/>
            <w:vAlign w:val="bottom"/>
          </w:tcPr>
          <w:p>
            <w:pPr>
              <w:spacing w:after="0"/>
              <w:rPr>
                <w:sz w:val="16"/>
                <w:szCs w:val="16"/>
                <w:color w:val="auto"/>
              </w:rPr>
            </w:pPr>
          </w:p>
        </w:tc>
        <w:tc>
          <w:tcPr>
            <w:tcW w:w="6000" w:type="dxa"/>
            <w:vAlign w:val="bottom"/>
            <w:gridSpan w:val="8"/>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2004</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2003</w:t>
            </w:r>
          </w:p>
        </w:tc>
        <w:tc>
          <w:tcPr>
            <w:tcW w:w="880" w:type="dxa"/>
            <w:vAlign w:val="bottom"/>
          </w:tcPr>
          <w:p>
            <w:pPr>
              <w:spacing w:after="0"/>
              <w:rPr>
                <w:sz w:val="16"/>
                <w:szCs w:val="16"/>
                <w:color w:val="auto"/>
              </w:rPr>
            </w:pPr>
          </w:p>
        </w:tc>
      </w:tr>
      <w:tr>
        <w:trPr>
          <w:trHeight w:val="191"/>
        </w:trPr>
        <w:tc>
          <w:tcPr>
            <w:tcW w:w="3740" w:type="dxa"/>
            <w:vAlign w:val="bottom"/>
          </w:tcPr>
          <w:p>
            <w:pPr>
              <w:spacing w:after="0"/>
              <w:rPr>
                <w:sz w:val="16"/>
                <w:szCs w:val="16"/>
                <w:color w:val="auto"/>
              </w:rPr>
            </w:pP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13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per share(2)</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per share(2)</w:t>
            </w:r>
          </w:p>
        </w:tc>
      </w:tr>
      <w:tr>
        <w:trPr>
          <w:trHeight w:val="191"/>
        </w:trPr>
        <w:tc>
          <w:tcPr>
            <w:tcW w:w="3740" w:type="dxa"/>
            <w:vAlign w:val="bottom"/>
          </w:tcPr>
          <w:p>
            <w:pPr>
              <w:spacing w:after="0"/>
              <w:rPr>
                <w:sz w:val="16"/>
                <w:szCs w:val="16"/>
                <w:color w:val="auto"/>
              </w:rPr>
            </w:pPr>
          </w:p>
        </w:tc>
        <w:tc>
          <w:tcPr>
            <w:tcW w:w="17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w:t>
            </w:r>
          </w:p>
        </w:tc>
        <w:tc>
          <w:tcPr>
            <w:tcW w:w="15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740" w:type="dxa"/>
            <w:vAlign w:val="bottom"/>
          </w:tcPr>
          <w:p>
            <w:pPr>
              <w:spacing w:after="0"/>
              <w:rPr>
                <w:sz w:val="20"/>
                <w:szCs w:val="20"/>
                <w:color w:val="auto"/>
              </w:rPr>
            </w:pPr>
            <w:r>
              <w:rPr>
                <w:rFonts w:ascii="Courier New" w:cs="Courier New" w:eastAsia="Courier New" w:hAnsi="Courier New"/>
                <w:sz w:val="17"/>
                <w:szCs w:val="17"/>
                <w:color w:val="auto"/>
              </w:rPr>
              <w:t>Investment (income) expense -</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mark to market adjustments</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on trading securities, derivatives</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hedged items, net</w:t>
            </w:r>
          </w:p>
        </w:tc>
        <w:tc>
          <w:tcPr>
            <w:tcW w:w="10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(283)</w:t>
            </w:r>
          </w:p>
        </w:tc>
        <w:tc>
          <w:tcPr>
            <w:tcW w:w="30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(0.13)</w:t>
            </w:r>
          </w:p>
        </w:tc>
        <w:tc>
          <w:tcPr>
            <w:tcW w:w="100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1"/>
              </w:rPr>
              <w:t>206</w:t>
            </w:r>
          </w:p>
        </w:tc>
        <w:tc>
          <w:tcPr>
            <w:tcW w:w="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0.09</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Investment (income) - gain</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on sales and exchanges of</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investments</w:t>
            </w:r>
          </w:p>
        </w:tc>
        <w:tc>
          <w:tcPr>
            <w:tcW w:w="104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w:t>
            </w:r>
          </w:p>
        </w:tc>
        <w:tc>
          <w:tcPr>
            <w:tcW w:w="30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(0.02)</w:t>
            </w:r>
          </w:p>
        </w:tc>
        <w:tc>
          <w:tcPr>
            <w:tcW w:w="1000" w:type="dxa"/>
            <w:vAlign w:val="bottom"/>
          </w:tcPr>
          <w:p>
            <w:pPr>
              <w:spacing w:after="0"/>
              <w:rPr>
                <w:sz w:val="16"/>
                <w:szCs w:val="16"/>
                <w:color w:val="auto"/>
              </w:rPr>
            </w:pP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(28)</w:t>
            </w:r>
          </w:p>
        </w:tc>
        <w:tc>
          <w:tcPr>
            <w:tcW w:w="5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(0.01)</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Investment expense - investment</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impairment losses (6)</w:t>
            </w:r>
          </w:p>
        </w:tc>
        <w:tc>
          <w:tcPr>
            <w:tcW w:w="1040" w:type="dxa"/>
            <w:vAlign w:val="bottom"/>
          </w:tcPr>
          <w:p>
            <w:pPr>
              <w:spacing w:after="0"/>
              <w:rPr>
                <w:sz w:val="16"/>
                <w:szCs w:val="16"/>
                <w:color w:val="auto"/>
              </w:rPr>
            </w:pP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w:t>
            </w:r>
          </w:p>
        </w:tc>
        <w:tc>
          <w:tcPr>
            <w:tcW w:w="3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0.01</w:t>
            </w:r>
          </w:p>
        </w:tc>
        <w:tc>
          <w:tcPr>
            <w:tcW w:w="1000" w:type="dxa"/>
            <w:vAlign w:val="bottom"/>
          </w:tcPr>
          <w:p>
            <w:pPr>
              <w:spacing w:after="0"/>
              <w:rPr>
                <w:sz w:val="16"/>
                <w:szCs w:val="16"/>
                <w:color w:val="auto"/>
              </w:rPr>
            </w:pPr>
          </w:p>
        </w:tc>
        <w:tc>
          <w:tcPr>
            <w:tcW w:w="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72</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0.03</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All other, net (7)</w:t>
            </w:r>
          </w:p>
        </w:tc>
        <w:tc>
          <w:tcPr>
            <w:tcW w:w="104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(452)</w:t>
            </w:r>
          </w:p>
        </w:tc>
        <w:tc>
          <w:tcPr>
            <w:tcW w:w="30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(0.20)</w:t>
            </w:r>
          </w:p>
        </w:tc>
        <w:tc>
          <w:tcPr>
            <w:tcW w:w="1000" w:type="dxa"/>
            <w:vAlign w:val="bottom"/>
          </w:tcPr>
          <w:p>
            <w:pPr>
              <w:spacing w:after="0"/>
              <w:rPr>
                <w:sz w:val="16"/>
                <w:szCs w:val="16"/>
                <w:color w:val="auto"/>
              </w:rPr>
            </w:pP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(80)</w:t>
            </w:r>
          </w:p>
        </w:tc>
        <w:tc>
          <w:tcPr>
            <w:tcW w:w="5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(0.03)</w:t>
            </w: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Total non-operating items</w:t>
            </w:r>
          </w:p>
        </w:tc>
        <w:tc>
          <w:tcPr>
            <w:tcW w:w="104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(764)</w:t>
            </w:r>
          </w:p>
        </w:tc>
        <w:tc>
          <w:tcPr>
            <w:tcW w:w="30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(0.34)</w:t>
            </w:r>
          </w:p>
        </w:tc>
        <w:tc>
          <w:tcPr>
            <w:tcW w:w="1000" w:type="dxa"/>
            <w:vAlign w:val="bottom"/>
          </w:tcPr>
          <w:p>
            <w:pPr>
              <w:spacing w:after="0"/>
              <w:rPr>
                <w:sz w:val="16"/>
                <w:szCs w:val="16"/>
                <w:color w:val="auto"/>
              </w:rPr>
            </w:pPr>
          </w:p>
        </w:tc>
        <w:tc>
          <w:tcPr>
            <w:tcW w:w="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1"/>
              </w:rPr>
              <w:t>170</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0.08</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Tax Effect</w:t>
            </w:r>
          </w:p>
        </w:tc>
        <w:tc>
          <w:tcPr>
            <w:tcW w:w="1040" w:type="dxa"/>
            <w:vAlign w:val="bottom"/>
          </w:tcPr>
          <w:p>
            <w:pPr>
              <w:spacing w:after="0"/>
              <w:rPr>
                <w:sz w:val="16"/>
                <w:szCs w:val="16"/>
                <w:color w:val="auto"/>
              </w:rPr>
            </w:pP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267</w:t>
            </w:r>
          </w:p>
        </w:tc>
        <w:tc>
          <w:tcPr>
            <w:tcW w:w="3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0.12</w:t>
            </w:r>
          </w:p>
        </w:tc>
        <w:tc>
          <w:tcPr>
            <w:tcW w:w="1000" w:type="dxa"/>
            <w:vAlign w:val="bottom"/>
          </w:tcPr>
          <w:p>
            <w:pPr>
              <w:spacing w:after="0"/>
              <w:rPr>
                <w:sz w:val="16"/>
                <w:szCs w:val="16"/>
                <w:color w:val="auto"/>
              </w:rPr>
            </w:pP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(60)</w:t>
            </w:r>
          </w:p>
        </w:tc>
        <w:tc>
          <w:tcPr>
            <w:tcW w:w="5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(0.04)</w:t>
            </w:r>
          </w:p>
        </w:tc>
      </w:tr>
      <w:tr>
        <w:trPr>
          <w:trHeight w:val="191"/>
        </w:trPr>
        <w:tc>
          <w:tcPr>
            <w:tcW w:w="3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Non-operating items, net of tax</w:t>
            </w:r>
          </w:p>
        </w:tc>
        <w:tc>
          <w:tcPr>
            <w:tcW w:w="10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(497)</w:t>
            </w:r>
          </w:p>
        </w:tc>
        <w:tc>
          <w:tcPr>
            <w:tcW w:w="30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(0.22)</w:t>
            </w:r>
          </w:p>
        </w:tc>
        <w:tc>
          <w:tcPr>
            <w:tcW w:w="100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1"/>
              </w:rPr>
              <w:t>110</w:t>
            </w:r>
          </w:p>
        </w:tc>
        <w:tc>
          <w:tcPr>
            <w:tcW w:w="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0.04</w:t>
            </w:r>
          </w:p>
        </w:tc>
      </w:tr>
    </w:tbl>
    <w:p>
      <w:pPr>
        <w:sectPr>
          <w:pgSz w:w="11900" w:h="16838" w:orient="portrait"/>
          <w:cols w:equalWidth="0" w:num="1">
            <w:col w:w="10219"/>
          </w:cols>
          <w:pgMar w:left="240" w:top="1066" w:right="1440" w:bottom="1440" w:gutter="0" w:footer="0" w:header="0"/>
        </w:sectPr>
      </w:pPr>
    </w:p>
    <w:bookmarkStart w:id="23" w:name="page24"/>
    <w:bookmarkEnd w:id="23"/>
    <w:p>
      <w:pPr>
        <w:ind w:left="500" w:right="2259" w:hanging="498"/>
        <w:spacing w:after="0" w:line="237"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Diluted weighted average shares outstanding for the three and twelve months ended December 31, 2004 were 2.228 billion and 2.250 billion, respectively. Diluted weighted average shares outstanding for the three and twelve months ended December 31, 2003, were 2.269 billion and 2.256 billion, respectively.</w:t>
      </w:r>
    </w:p>
    <w:p>
      <w:pPr>
        <w:spacing w:after="0" w:line="196" w:lineRule="exact"/>
        <w:rPr>
          <w:rFonts w:ascii="Courier New" w:cs="Courier New" w:eastAsia="Courier New" w:hAnsi="Courier New"/>
          <w:sz w:val="17"/>
          <w:szCs w:val="17"/>
          <w:color w:val="auto"/>
        </w:rPr>
      </w:pPr>
    </w:p>
    <w:p>
      <w:pPr>
        <w:ind w:left="500" w:right="2759" w:hanging="498"/>
        <w:spacing w:after="0" w:line="235"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interest expense net of interest income and excludes non-cash interest and subsidiary preferred dividends.</w:t>
      </w:r>
    </w:p>
    <w:p>
      <w:pPr>
        <w:spacing w:after="0" w:line="196" w:lineRule="exact"/>
        <w:rPr>
          <w:rFonts w:ascii="Courier New" w:cs="Courier New" w:eastAsia="Courier New" w:hAnsi="Courier New"/>
          <w:sz w:val="17"/>
          <w:szCs w:val="17"/>
          <w:color w:val="auto"/>
        </w:rPr>
      </w:pPr>
    </w:p>
    <w:p>
      <w:pPr>
        <w:ind w:left="500" w:right="2359" w:hanging="498"/>
        <w:spacing w:after="0" w:line="236"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Included in the twelve months ended December 31, 2004, is a $591 million income tax refund received in the second quarter and the fourth quarter of 2004.</w:t>
      </w:r>
    </w:p>
    <w:p>
      <w:pPr>
        <w:spacing w:after="0" w:line="196" w:lineRule="exact"/>
        <w:rPr>
          <w:rFonts w:ascii="Courier New" w:cs="Courier New" w:eastAsia="Courier New" w:hAnsi="Courier New"/>
          <w:sz w:val="17"/>
          <w:szCs w:val="17"/>
          <w:color w:val="auto"/>
        </w:rPr>
      </w:pPr>
    </w:p>
    <w:p>
      <w:pPr>
        <w:ind w:left="500" w:right="2259" w:hanging="498"/>
        <w:spacing w:after="0" w:line="237"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non-cash expense included in Operating Cash Flow (such as equity compensation), cash proceeds from the sale of trading securities ($127 million in 4Q04 and $680 million year-to-date 2004 primarily related to Liberty Media and Liberty Media International shares and $85 million year-to-date 2003 related to Sprint shares), cash related to other (income) expense, dividends, legal reserve adjustment and the net effect of changes in accrued income taxes. 2003 includes a cash payment of $850 million for income taxes associated with the sale of QVC.</w:t>
      </w:r>
    </w:p>
    <w:p>
      <w:pPr>
        <w:spacing w:after="0" w:line="199" w:lineRule="exact"/>
        <w:rPr>
          <w:rFonts w:ascii="Courier New" w:cs="Courier New" w:eastAsia="Courier New" w:hAnsi="Courier New"/>
          <w:sz w:val="17"/>
          <w:szCs w:val="17"/>
          <w:color w:val="auto"/>
        </w:rPr>
      </w:pPr>
    </w:p>
    <w:p>
      <w:pPr>
        <w:ind w:left="500" w:right="2659" w:hanging="498"/>
        <w:spacing w:after="0" w:line="235"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record losses on our investments for which we have determined that a decline in value of the investment is other than temporary.</w:t>
      </w:r>
    </w:p>
    <w:p>
      <w:pPr>
        <w:spacing w:after="0" w:line="196" w:lineRule="exact"/>
        <w:rPr>
          <w:rFonts w:ascii="Courier New" w:cs="Courier New" w:eastAsia="Courier New" w:hAnsi="Courier New"/>
          <w:sz w:val="17"/>
          <w:szCs w:val="17"/>
          <w:color w:val="auto"/>
        </w:rPr>
      </w:pPr>
    </w:p>
    <w:p>
      <w:pPr>
        <w:ind w:left="500" w:right="2459" w:hanging="498"/>
        <w:spacing w:after="0" w:line="236"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investment, interest and dividend income, equity in net (income) losses of affiliates, other (income) expense (including a $250 million legal reserve adjustment) and minority interest.</w:t>
      </w:r>
    </w:p>
    <w:p>
      <w:pPr>
        <w:sectPr>
          <w:pgSz w:w="11900" w:h="16838" w:orient="portrait"/>
          <w:cols w:equalWidth="0" w:num="1">
            <w:col w:w="10219"/>
          </w:cols>
          <w:pgMar w:left="240" w:top="690" w:right="1440" w:bottom="1440" w:gutter="0" w:footer="0" w:header="0"/>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SOURCE</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02/03/2005</w:t>
      </w:r>
    </w:p>
    <w:p>
      <w:pPr>
        <w:spacing w:after="0" w:line="200" w:lineRule="exact"/>
        <w:rPr>
          <w:sz w:val="20"/>
          <w:szCs w:val="20"/>
          <w:color w:val="auto"/>
        </w:rPr>
      </w:pPr>
    </w:p>
    <w:p>
      <w:pPr>
        <w:sectPr>
          <w:pgSz w:w="11900" w:h="16838" w:orient="portrait"/>
          <w:cols w:equalWidth="0" w:num="3">
            <w:col w:w="800" w:space="0"/>
            <w:col w:w="2160" w:space="720"/>
            <w:col w:w="6539"/>
          </w:cols>
          <w:pgMar w:left="240" w:top="690" w:right="1440" w:bottom="1440" w:gutter="0" w:footer="0" w:header="0"/>
          <w:type w:val="continuous"/>
        </w:sectPr>
      </w:pPr>
    </w:p>
    <w:p>
      <w:pPr>
        <w:spacing w:after="0" w:line="1" w:lineRule="exact"/>
        <w:rPr>
          <w:sz w:val="20"/>
          <w:szCs w:val="20"/>
          <w:color w:val="auto"/>
        </w:rPr>
      </w:pPr>
    </w:p>
    <w:p>
      <w:pPr>
        <w:ind w:left="500"/>
        <w:spacing w:after="0"/>
        <w:tabs>
          <w:tab w:leader="none" w:pos="1580" w:val="left"/>
        </w:tabs>
        <w:rPr>
          <w:sz w:val="20"/>
          <w:szCs w:val="20"/>
          <w:color w:val="auto"/>
        </w:rPr>
      </w:pPr>
      <w:r>
        <w:rPr>
          <w:rFonts w:ascii="Courier New" w:cs="Courier New" w:eastAsia="Courier New" w:hAnsi="Courier New"/>
          <w:sz w:val="16"/>
          <w:szCs w:val="16"/>
          <w:color w:val="auto"/>
        </w:rPr>
        <w:t>/CONTACT:</w:t>
        <w:tab/>
        <w:t>Investor Contacts: Marlene S. Dooner, +1-215-981-7392, Leslie</w:t>
      </w:r>
    </w:p>
    <w:p>
      <w:pPr>
        <w:sectPr>
          <w:pgSz w:w="11900" w:h="16838" w:orient="portrait"/>
          <w:cols w:equalWidth="0" w:num="1">
            <w:col w:w="10219"/>
          </w:cols>
          <w:pgMar w:left="240" w:top="690" w:right="1440" w:bottom="1440" w:gutter="0" w:footer="0" w:header="0"/>
          <w:type w:val="continuous"/>
        </w:sectPr>
      </w:pPr>
    </w:p>
    <w:p>
      <w:pPr>
        <w:spacing w:after="0" w:line="10"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A. Arena, +1-215-981-8511, or Daniel J. Goodwin, +1-215-981-7518; Press Contacts: D'Arcy Rudnay, +1-215-981-8582, or Tim Fitzpatrick, +1-215-981-8515, all of Comcast/</w:t>
      </w:r>
    </w:p>
    <w:p>
      <w:pPr>
        <w:ind w:left="500"/>
        <w:spacing w:after="0"/>
        <w:tabs>
          <w:tab w:leader="none" w:pos="1680" w:val="left"/>
        </w:tabs>
        <w:rPr>
          <w:sz w:val="20"/>
          <w:szCs w:val="20"/>
          <w:color w:val="auto"/>
        </w:rPr>
      </w:pPr>
      <w:r>
        <w:rPr>
          <w:rFonts w:ascii="Courier New" w:cs="Courier New" w:eastAsia="Courier New" w:hAnsi="Courier New"/>
          <w:sz w:val="17"/>
          <w:szCs w:val="17"/>
          <w:color w:val="auto"/>
        </w:rPr>
        <w:t>/Web site:</w:t>
      </w:r>
      <w:r>
        <w:rPr>
          <w:sz w:val="20"/>
          <w:szCs w:val="20"/>
          <w:color w:val="auto"/>
        </w:rPr>
        <w:tab/>
      </w:r>
      <w:r>
        <w:rPr>
          <w:rFonts w:ascii="Courier New" w:cs="Courier New" w:eastAsia="Courier New" w:hAnsi="Courier New"/>
          <w:sz w:val="16"/>
          <w:szCs w:val="16"/>
          <w:color w:val="auto"/>
        </w:rPr>
        <w:t>http://www.cmcsa.com /</w:t>
      </w:r>
    </w:p>
    <w:p>
      <w:pPr>
        <w:ind w:left="500"/>
        <w:spacing w:after="0" w:line="237" w:lineRule="auto"/>
        <w:rPr>
          <w:sz w:val="20"/>
          <w:szCs w:val="20"/>
          <w:color w:val="auto"/>
        </w:rPr>
      </w:pPr>
      <w:r>
        <w:rPr>
          <w:rFonts w:ascii="Courier New" w:cs="Courier New" w:eastAsia="Courier New" w:hAnsi="Courier New"/>
          <w:sz w:val="17"/>
          <w:szCs w:val="17"/>
          <w:color w:val="auto"/>
        </w:rPr>
        <w:t>(CMCSA CMCSK)</w:t>
      </w:r>
    </w:p>
    <w:sectPr>
      <w:pgSz w:w="11900" w:h="16838" w:orient="portrait"/>
      <w:cols w:equalWidth="0" w:num="1">
        <w:col w:w="10219"/>
      </w:cols>
      <w:pgMar w:left="240" w:top="69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2019-12-12T03:54:14Z</dcterms:created>
  <dcterms:modified xsi:type="dcterms:W3CDTF">2019-12-12T03:54:14Z</dcterms:modified>
</cp:coreProperties>
</file>