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114300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307"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34"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Pursuant to Section 13 or 15(d) of</w:t>
      </w:r>
    </w:p>
    <w:p>
      <w:pPr>
        <w:spacing w:after="0" w:line="7"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June 5, 2019</w:t>
      </w:r>
    </w:p>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Comcast Corporation</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Pennsylvania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1400" w:type="dxa"/>
        <w:tblCellMar>
          <w:top w:w="0" w:type="dxa"/>
          <w:left w:w="0" w:type="dxa"/>
          <w:bottom w:w="0" w:type="dxa"/>
          <w:right w:w="0" w:type="dxa"/>
        </w:tblCellMar>
      </w:tblPr>
      <w:tr>
        <w:trPr>
          <w:trHeight w:val="220"/>
        </w:trPr>
        <w:tc>
          <w:tcPr>
            <w:tcW w:w="4460" w:type="dxa"/>
            <w:vAlign w:val="bottom"/>
          </w:tcPr>
          <w:p>
            <w:pPr>
              <w:jc w:val="center"/>
              <w:ind w:right="1430"/>
              <w:spacing w:after="0"/>
              <w:rPr>
                <w:sz w:val="20"/>
                <w:szCs w:val="20"/>
                <w:color w:val="auto"/>
              </w:rPr>
            </w:pPr>
            <w:r>
              <w:rPr>
                <w:rFonts w:ascii="Arial" w:cs="Arial" w:eastAsia="Arial" w:hAnsi="Arial"/>
                <w:sz w:val="18"/>
                <w:szCs w:val="18"/>
                <w:b w:val="1"/>
                <w:bCs w:val="1"/>
                <w:color w:val="auto"/>
                <w:w w:val="90"/>
              </w:rPr>
              <w:t>001-32871</w:t>
            </w:r>
          </w:p>
        </w:tc>
        <w:tc>
          <w:tcPr>
            <w:tcW w:w="4000" w:type="dxa"/>
            <w:vAlign w:val="bottom"/>
          </w:tcPr>
          <w:p>
            <w:pPr>
              <w:jc w:val="center"/>
              <w:ind w:left="1430"/>
              <w:spacing w:after="0"/>
              <w:rPr>
                <w:sz w:val="20"/>
                <w:szCs w:val="20"/>
                <w:color w:val="auto"/>
              </w:rPr>
            </w:pPr>
            <w:r>
              <w:rPr>
                <w:rFonts w:ascii="Arial" w:cs="Arial" w:eastAsia="Arial" w:hAnsi="Arial"/>
                <w:sz w:val="18"/>
                <w:szCs w:val="18"/>
                <w:b w:val="1"/>
                <w:bCs w:val="1"/>
                <w:color w:val="auto"/>
                <w:w w:val="91"/>
              </w:rPr>
              <w:t>27-0000798</w:t>
            </w:r>
          </w:p>
        </w:tc>
      </w:tr>
      <w:tr>
        <w:trPr>
          <w:trHeight w:val="230"/>
        </w:trPr>
        <w:tc>
          <w:tcPr>
            <w:tcW w:w="4460" w:type="dxa"/>
            <w:vAlign w:val="bottom"/>
          </w:tcPr>
          <w:p>
            <w:pPr>
              <w:jc w:val="center"/>
              <w:ind w:right="145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left="1430"/>
              <w:spacing w:after="0"/>
              <w:rPr>
                <w:sz w:val="20"/>
                <w:szCs w:val="20"/>
                <w:color w:val="auto"/>
              </w:rPr>
            </w:pPr>
            <w:r>
              <w:rPr>
                <w:rFonts w:ascii="Arial" w:cs="Arial" w:eastAsia="Arial" w:hAnsi="Arial"/>
                <w:sz w:val="18"/>
                <w:szCs w:val="18"/>
                <w:color w:val="auto"/>
                <w:w w:val="94"/>
              </w:rPr>
              <w:t>(IRS Employer Identification No.)</w:t>
            </w:r>
          </w:p>
        </w:tc>
      </w:tr>
      <w:tr>
        <w:trPr>
          <w:trHeight w:val="441"/>
        </w:trPr>
        <w:tc>
          <w:tcPr>
            <w:tcW w:w="4460" w:type="dxa"/>
            <w:vAlign w:val="bottom"/>
          </w:tcPr>
          <w:p>
            <w:pPr>
              <w:jc w:val="center"/>
              <w:ind w:right="1450"/>
              <w:spacing w:after="0"/>
              <w:rPr>
                <w:sz w:val="20"/>
                <w:szCs w:val="20"/>
                <w:color w:val="auto"/>
              </w:rPr>
            </w:pPr>
            <w:r>
              <w:rPr>
                <w:rFonts w:ascii="Arial" w:cs="Arial" w:eastAsia="Arial" w:hAnsi="Arial"/>
                <w:sz w:val="18"/>
                <w:szCs w:val="18"/>
                <w:b w:val="1"/>
                <w:bCs w:val="1"/>
                <w:color w:val="auto"/>
                <w:w w:val="89"/>
              </w:rPr>
              <w:t>One Comcast Center</w:t>
            </w:r>
          </w:p>
        </w:tc>
        <w:tc>
          <w:tcPr>
            <w:tcW w:w="4000" w:type="dxa"/>
            <w:vAlign w:val="bottom"/>
          </w:tcPr>
          <w:p>
            <w:pPr>
              <w:spacing w:after="0"/>
              <w:rPr>
                <w:sz w:val="24"/>
                <w:szCs w:val="24"/>
                <w:color w:val="auto"/>
              </w:rPr>
            </w:pPr>
          </w:p>
        </w:tc>
      </w:tr>
      <w:tr>
        <w:trPr>
          <w:trHeight w:val="220"/>
        </w:trPr>
        <w:tc>
          <w:tcPr>
            <w:tcW w:w="4460" w:type="dxa"/>
            <w:vAlign w:val="bottom"/>
          </w:tcPr>
          <w:p>
            <w:pPr>
              <w:jc w:val="center"/>
              <w:ind w:right="1450"/>
              <w:spacing w:after="0"/>
              <w:rPr>
                <w:sz w:val="20"/>
                <w:szCs w:val="20"/>
                <w:color w:val="auto"/>
              </w:rPr>
            </w:pPr>
            <w:r>
              <w:rPr>
                <w:rFonts w:ascii="Arial" w:cs="Arial" w:eastAsia="Arial" w:hAnsi="Arial"/>
                <w:sz w:val="18"/>
                <w:szCs w:val="18"/>
                <w:b w:val="1"/>
                <w:bCs w:val="1"/>
                <w:color w:val="auto"/>
                <w:w w:val="90"/>
              </w:rPr>
              <w:t>Philadelphia, PA</w:t>
            </w:r>
          </w:p>
        </w:tc>
        <w:tc>
          <w:tcPr>
            <w:tcW w:w="4000" w:type="dxa"/>
            <w:vAlign w:val="bottom"/>
          </w:tcPr>
          <w:p>
            <w:pPr>
              <w:jc w:val="center"/>
              <w:ind w:left="1430"/>
              <w:spacing w:after="0"/>
              <w:rPr>
                <w:sz w:val="20"/>
                <w:szCs w:val="20"/>
                <w:color w:val="auto"/>
              </w:rPr>
            </w:pPr>
            <w:r>
              <w:rPr>
                <w:rFonts w:ascii="Arial" w:cs="Arial" w:eastAsia="Arial" w:hAnsi="Arial"/>
                <w:sz w:val="18"/>
                <w:szCs w:val="18"/>
                <w:b w:val="1"/>
                <w:bCs w:val="1"/>
                <w:color w:val="auto"/>
                <w:w w:val="91"/>
              </w:rPr>
              <w:t>19103-2838</w:t>
            </w:r>
          </w:p>
        </w:tc>
      </w:tr>
      <w:tr>
        <w:trPr>
          <w:trHeight w:val="230"/>
        </w:trPr>
        <w:tc>
          <w:tcPr>
            <w:tcW w:w="4460" w:type="dxa"/>
            <w:vAlign w:val="bottom"/>
          </w:tcPr>
          <w:p>
            <w:pPr>
              <w:jc w:val="center"/>
              <w:ind w:right="1430"/>
              <w:spacing w:after="0"/>
              <w:rPr>
                <w:sz w:val="20"/>
                <w:szCs w:val="20"/>
                <w:color w:val="auto"/>
              </w:rPr>
            </w:pPr>
            <w:r>
              <w:rPr>
                <w:rFonts w:ascii="Arial" w:cs="Arial" w:eastAsia="Arial" w:hAnsi="Arial"/>
                <w:sz w:val="18"/>
                <w:szCs w:val="18"/>
                <w:color w:val="auto"/>
                <w:w w:val="92"/>
              </w:rPr>
              <w:t>(Address of Principal Executive Offices)</w:t>
            </w:r>
          </w:p>
        </w:tc>
        <w:tc>
          <w:tcPr>
            <w:tcW w:w="4000" w:type="dxa"/>
            <w:vAlign w:val="bottom"/>
          </w:tcPr>
          <w:p>
            <w:pPr>
              <w:jc w:val="center"/>
              <w:ind w:left="143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right"/>
        <w:ind w:right="320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(215) 286-1700</w:t>
      </w:r>
    </w:p>
    <w:p>
      <w:pPr>
        <w:spacing w:after="0" w:line="229" w:lineRule="exact"/>
        <w:rPr>
          <w:sz w:val="24"/>
          <w:szCs w:val="24"/>
          <w:color w:val="auto"/>
        </w:rPr>
      </w:pPr>
    </w:p>
    <w:p>
      <w:pPr>
        <w:jc w:val="right"/>
        <w:ind w:right="32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48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980" w:firstLine="8"/>
        <w:spacing w:after="0" w:line="509" w:lineRule="auto"/>
        <w:tabs>
          <w:tab w:leader="none" w:pos="3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350" w:type="dxa"/>
        <w:tblCellMar>
          <w:top w:w="0" w:type="dxa"/>
          <w:left w:w="0" w:type="dxa"/>
          <w:bottom w:w="0" w:type="dxa"/>
          <w:right w:w="0" w:type="dxa"/>
        </w:tblCellMar>
      </w:tblPr>
      <w:tr>
        <w:trPr>
          <w:trHeight w:val="192"/>
        </w:trPr>
        <w:tc>
          <w:tcPr>
            <w:tcW w:w="5420" w:type="dxa"/>
            <w:vAlign w:val="bottom"/>
            <w:tcBorders>
              <w:top w:val="single" w:sz="8" w:color="auto"/>
              <w:left w:val="single" w:sz="8" w:color="auto"/>
              <w:right w:val="single" w:sz="8" w:color="auto"/>
            </w:tcBorders>
          </w:tcPr>
          <w:p>
            <w:pPr>
              <w:spacing w:after="0"/>
              <w:rPr>
                <w:sz w:val="16"/>
                <w:szCs w:val="16"/>
                <w:color w:val="auto"/>
              </w:rPr>
            </w:pPr>
          </w:p>
        </w:tc>
        <w:tc>
          <w:tcPr>
            <w:tcW w:w="1520" w:type="dxa"/>
            <w:vAlign w:val="bottom"/>
            <w:tcBorders>
              <w:top w:val="single" w:sz="8" w:color="auto"/>
              <w:right w:val="single" w:sz="8" w:color="auto"/>
            </w:tcBorders>
          </w:tcPr>
          <w:p>
            <w:pPr>
              <w:ind w:left="480"/>
              <w:spacing w:after="0" w:line="192" w:lineRule="exact"/>
              <w:rPr>
                <w:sz w:val="20"/>
                <w:szCs w:val="20"/>
                <w:color w:val="auto"/>
              </w:rPr>
            </w:pPr>
            <w:r>
              <w:rPr>
                <w:rFonts w:ascii="Arial" w:cs="Arial" w:eastAsia="Arial" w:hAnsi="Arial"/>
                <w:sz w:val="18"/>
                <w:szCs w:val="18"/>
                <w:b w:val="1"/>
                <w:bCs w:val="1"/>
                <w:color w:val="auto"/>
              </w:rPr>
              <w:t>Trading</w:t>
            </w:r>
          </w:p>
        </w:tc>
        <w:tc>
          <w:tcPr>
            <w:tcW w:w="3880" w:type="dxa"/>
            <w:vAlign w:val="bottom"/>
            <w:tcBorders>
              <w:top w:val="single" w:sz="8" w:color="auto"/>
              <w:right w:val="single" w:sz="8" w:color="auto"/>
            </w:tcBorders>
          </w:tcPr>
          <w:p>
            <w:pPr>
              <w:spacing w:after="0"/>
              <w:rPr>
                <w:sz w:val="16"/>
                <w:szCs w:val="16"/>
                <w:color w:val="auto"/>
              </w:rPr>
            </w:pPr>
          </w:p>
        </w:tc>
      </w:tr>
      <w:tr>
        <w:trPr>
          <w:trHeight w:val="234"/>
        </w:trPr>
        <w:tc>
          <w:tcPr>
            <w:tcW w:w="5420" w:type="dxa"/>
            <w:vAlign w:val="bottom"/>
            <w:tcBorders>
              <w:left w:val="single" w:sz="8" w:color="auto"/>
              <w:bottom w:val="single" w:sz="8" w:color="auto"/>
              <w:right w:val="single" w:sz="8" w:color="auto"/>
            </w:tcBorders>
          </w:tcPr>
          <w:p>
            <w:pPr>
              <w:ind w:left="2060"/>
              <w:spacing w:after="0"/>
              <w:rPr>
                <w:sz w:val="20"/>
                <w:szCs w:val="20"/>
                <w:color w:val="auto"/>
              </w:rPr>
            </w:pPr>
            <w:r>
              <w:rPr>
                <w:rFonts w:ascii="Arial" w:cs="Arial" w:eastAsia="Arial" w:hAnsi="Arial"/>
                <w:sz w:val="18"/>
                <w:szCs w:val="18"/>
                <w:b w:val="1"/>
                <w:bCs w:val="1"/>
                <w:color w:val="auto"/>
              </w:rPr>
              <w:t>Title of each class</w:t>
            </w:r>
          </w:p>
        </w:tc>
        <w:tc>
          <w:tcPr>
            <w:tcW w:w="152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b w:val="1"/>
                <w:bCs w:val="1"/>
                <w:color w:val="auto"/>
              </w:rPr>
              <w:t>Symbol(s)</w:t>
            </w:r>
          </w:p>
        </w:tc>
        <w:tc>
          <w:tcPr>
            <w:tcW w:w="388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b w:val="1"/>
                <w:bCs w:val="1"/>
                <w:color w:val="auto"/>
                <w:w w:val="93"/>
              </w:rPr>
              <w:t>Name of each exchange on which registered</w:t>
            </w:r>
          </w:p>
        </w:tc>
      </w:tr>
      <w:tr>
        <w:trPr>
          <w:trHeight w:val="210"/>
        </w:trPr>
        <w:tc>
          <w:tcPr>
            <w:tcW w:w="5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Class A Common Stock, $0.01 par value</w:t>
            </w:r>
          </w:p>
        </w:tc>
        <w:tc>
          <w:tcPr>
            <w:tcW w:w="15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CMCSA</w:t>
            </w: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Nasdaq Global Select Market</w:t>
            </w:r>
          </w:p>
        </w:tc>
      </w:tr>
      <w:tr>
        <w:trPr>
          <w:trHeight w:val="210"/>
        </w:trPr>
        <w:tc>
          <w:tcPr>
            <w:tcW w:w="5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 Exchangeable Subordinated Debentures due 2029</w:t>
            </w:r>
          </w:p>
        </w:tc>
        <w:tc>
          <w:tcPr>
            <w:tcW w:w="15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CCZ</w:t>
            </w: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New York Stock Exchange</w:t>
            </w:r>
          </w:p>
        </w:tc>
      </w:tr>
      <w:tr>
        <w:trPr>
          <w:trHeight w:val="210"/>
        </w:trPr>
        <w:tc>
          <w:tcPr>
            <w:tcW w:w="5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5.50% Notes due 2029</w:t>
            </w:r>
          </w:p>
        </w:tc>
        <w:tc>
          <w:tcPr>
            <w:tcW w:w="15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CCGBP29</w:t>
            </w: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New York Stock Exchange</w:t>
            </w:r>
          </w:p>
        </w:tc>
      </w:tr>
      <w:tr>
        <w:trPr>
          <w:trHeight w:val="210"/>
        </w:trPr>
        <w:tc>
          <w:tcPr>
            <w:tcW w:w="5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9.455% Guaranteed Notes due 2022</w:t>
            </w:r>
          </w:p>
        </w:tc>
        <w:tc>
          <w:tcPr>
            <w:tcW w:w="15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CMCSA/22</w:t>
            </w:r>
          </w:p>
        </w:tc>
        <w:tc>
          <w:tcPr>
            <w:tcW w:w="3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New York Stock Exchange</w:t>
            </w: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868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5"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the annual meeting, our shareholders approved, or did not approve, the following proposals.</w:t>
      </w:r>
    </w:p>
    <w:p>
      <w:pPr>
        <w:spacing w:after="0" w:line="225" w:lineRule="exact"/>
        <w:rPr>
          <w:rFonts w:ascii="Arial" w:cs="Arial" w:eastAsia="Arial" w:hAnsi="Arial"/>
          <w:sz w:val="18"/>
          <w:szCs w:val="18"/>
          <w:color w:val="auto"/>
        </w:rPr>
      </w:pPr>
    </w:p>
    <w:p>
      <w:pPr>
        <w:ind w:left="400" w:hanging="392"/>
        <w:spacing w:after="0" w:line="277" w:lineRule="auto"/>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number of votes cast for and against (or withheld) and the number of abstentions and broker non-votes with respect to each such proposal, as described in detail in Comcast Corporation’s definitive proxy statement dated April 26, 2019, are set forth below.</w:t>
      </w:r>
    </w:p>
    <w:p>
      <w:pPr>
        <w:spacing w:after="0" w:line="170" w:lineRule="exact"/>
        <w:rPr>
          <w:sz w:val="20"/>
          <w:szCs w:val="20"/>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of the director nominees named in the proxy statement were elected to serve as directors for one-year terms.</w:t>
      </w:r>
    </w:p>
    <w:p>
      <w:pPr>
        <w:spacing w:after="0" w:line="225"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Director</w:t>
            </w:r>
          </w:p>
        </w:tc>
        <w:tc>
          <w:tcPr>
            <w:tcW w:w="3340" w:type="dxa"/>
            <w:vAlign w:val="bottom"/>
            <w:tcBorders>
              <w:bottom w:val="single" w:sz="8" w:color="auto"/>
            </w:tcBorders>
          </w:tcPr>
          <w:p>
            <w:pPr>
              <w:jc w:val="center"/>
              <w:ind w:left="910"/>
              <w:spacing w:after="0"/>
              <w:rPr>
                <w:sz w:val="20"/>
                <w:szCs w:val="20"/>
                <w:color w:val="auto"/>
              </w:rPr>
            </w:pPr>
            <w:r>
              <w:rPr>
                <w:rFonts w:ascii="Arial" w:cs="Arial" w:eastAsia="Arial" w:hAnsi="Arial"/>
                <w:sz w:val="18"/>
                <w:szCs w:val="18"/>
                <w:color w:val="auto"/>
                <w:w w:val="96"/>
              </w:rPr>
              <w:t>For</w:t>
            </w:r>
          </w:p>
        </w:tc>
        <w:tc>
          <w:tcPr>
            <w:tcW w:w="22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Withheld</w:t>
            </w:r>
          </w:p>
        </w:tc>
        <w:tc>
          <w:tcPr>
            <w:tcW w:w="1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Broker Non-Votes</w:t>
            </w:r>
          </w:p>
        </w:tc>
      </w:tr>
      <w:tr>
        <w:trPr>
          <w:trHeight w:val="195"/>
        </w:trPr>
        <w:tc>
          <w:tcPr>
            <w:tcW w:w="3360" w:type="dxa"/>
            <w:vAlign w:val="bottom"/>
          </w:tcPr>
          <w:p>
            <w:pPr>
              <w:ind w:left="60"/>
              <w:spacing w:after="0" w:line="195" w:lineRule="exact"/>
              <w:rPr>
                <w:sz w:val="20"/>
                <w:szCs w:val="20"/>
                <w:color w:val="auto"/>
              </w:rPr>
            </w:pPr>
            <w:r>
              <w:rPr>
                <w:rFonts w:ascii="Arial" w:cs="Arial" w:eastAsia="Arial" w:hAnsi="Arial"/>
                <w:sz w:val="18"/>
                <w:szCs w:val="18"/>
                <w:color w:val="auto"/>
              </w:rPr>
              <w:t>Kenneth J. Bacon</w:t>
            </w:r>
          </w:p>
        </w:tc>
        <w:tc>
          <w:tcPr>
            <w:tcW w:w="3340" w:type="dxa"/>
            <w:vAlign w:val="bottom"/>
          </w:tcPr>
          <w:p>
            <w:pPr>
              <w:jc w:val="center"/>
              <w:ind w:left="910"/>
              <w:spacing w:after="0" w:line="195" w:lineRule="exact"/>
              <w:rPr>
                <w:sz w:val="20"/>
                <w:szCs w:val="20"/>
                <w:color w:val="auto"/>
              </w:rPr>
            </w:pPr>
            <w:r>
              <w:rPr>
                <w:rFonts w:ascii="Arial" w:cs="Arial" w:eastAsia="Arial" w:hAnsi="Arial"/>
                <w:sz w:val="18"/>
                <w:szCs w:val="18"/>
                <w:color w:val="auto"/>
                <w:w w:val="89"/>
              </w:rPr>
              <w:t>354,371,913</w:t>
            </w:r>
          </w:p>
        </w:tc>
        <w:tc>
          <w:tcPr>
            <w:tcW w:w="222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15,684,262</w:t>
            </w:r>
          </w:p>
        </w:tc>
        <w:tc>
          <w:tcPr>
            <w:tcW w:w="1900" w:type="dxa"/>
            <w:vAlign w:val="bottom"/>
          </w:tcPr>
          <w:p>
            <w:pPr>
              <w:jc w:val="right"/>
              <w:ind w:right="530"/>
              <w:spacing w:after="0" w:line="195" w:lineRule="exact"/>
              <w:rPr>
                <w:sz w:val="20"/>
                <w:szCs w:val="20"/>
                <w:color w:val="auto"/>
              </w:rPr>
            </w:pPr>
            <w:r>
              <w:rPr>
                <w:rFonts w:ascii="Arial" w:cs="Arial" w:eastAsia="Arial" w:hAnsi="Arial"/>
                <w:sz w:val="18"/>
                <w:szCs w:val="18"/>
                <w:color w:val="auto"/>
              </w:rPr>
              <w:t>23,723,811</w:t>
            </w:r>
          </w:p>
        </w:tc>
      </w:tr>
      <w:tr>
        <w:trPr>
          <w:trHeight w:val="216"/>
        </w:trPr>
        <w:tc>
          <w:tcPr>
            <w:tcW w:w="3360" w:type="dxa"/>
            <w:vAlign w:val="bottom"/>
          </w:tcPr>
          <w:p>
            <w:pPr>
              <w:ind w:left="60"/>
              <w:spacing w:after="0"/>
              <w:rPr>
                <w:sz w:val="20"/>
                <w:szCs w:val="20"/>
                <w:color w:val="auto"/>
              </w:rPr>
            </w:pPr>
            <w:r>
              <w:rPr>
                <w:rFonts w:ascii="Arial" w:cs="Arial" w:eastAsia="Arial" w:hAnsi="Arial"/>
                <w:sz w:val="18"/>
                <w:szCs w:val="18"/>
                <w:color w:val="auto"/>
              </w:rPr>
              <w:t>Madeline S. Bell</w:t>
            </w:r>
          </w:p>
        </w:tc>
        <w:tc>
          <w:tcPr>
            <w:tcW w:w="3340" w:type="dxa"/>
            <w:vAlign w:val="bottom"/>
          </w:tcPr>
          <w:p>
            <w:pPr>
              <w:jc w:val="center"/>
              <w:ind w:left="910"/>
              <w:spacing w:after="0"/>
              <w:rPr>
                <w:sz w:val="20"/>
                <w:szCs w:val="20"/>
                <w:color w:val="auto"/>
              </w:rPr>
            </w:pPr>
            <w:r>
              <w:rPr>
                <w:rFonts w:ascii="Arial" w:cs="Arial" w:eastAsia="Arial" w:hAnsi="Arial"/>
                <w:sz w:val="18"/>
                <w:szCs w:val="18"/>
                <w:color w:val="auto"/>
                <w:w w:val="89"/>
              </w:rPr>
              <w:t>367,319,088</w:t>
            </w:r>
          </w:p>
        </w:tc>
        <w:tc>
          <w:tcPr>
            <w:tcW w:w="2220" w:type="dxa"/>
            <w:vAlign w:val="bottom"/>
          </w:tcPr>
          <w:p>
            <w:pPr>
              <w:jc w:val="right"/>
              <w:ind w:right="270"/>
              <w:spacing w:after="0"/>
              <w:rPr>
                <w:sz w:val="20"/>
                <w:szCs w:val="20"/>
                <w:color w:val="auto"/>
              </w:rPr>
            </w:pPr>
            <w:r>
              <w:rPr>
                <w:rFonts w:ascii="Arial" w:cs="Arial" w:eastAsia="Arial" w:hAnsi="Arial"/>
                <w:sz w:val="18"/>
                <w:szCs w:val="18"/>
                <w:color w:val="auto"/>
              </w:rPr>
              <w:t>2,737,087</w:t>
            </w:r>
          </w:p>
        </w:tc>
        <w:tc>
          <w:tcPr>
            <w:tcW w:w="1900" w:type="dxa"/>
            <w:vAlign w:val="bottom"/>
          </w:tcPr>
          <w:p>
            <w:pPr>
              <w:jc w:val="right"/>
              <w:ind w:right="530"/>
              <w:spacing w:after="0"/>
              <w:rPr>
                <w:sz w:val="20"/>
                <w:szCs w:val="20"/>
                <w:color w:val="auto"/>
              </w:rPr>
            </w:pPr>
            <w:r>
              <w:rPr>
                <w:rFonts w:ascii="Arial" w:cs="Arial" w:eastAsia="Arial" w:hAnsi="Arial"/>
                <w:sz w:val="18"/>
                <w:szCs w:val="18"/>
                <w:color w:val="auto"/>
              </w:rPr>
              <w:t>23,723,811</w:t>
            </w:r>
          </w:p>
        </w:tc>
      </w:tr>
      <w:tr>
        <w:trPr>
          <w:trHeight w:val="216"/>
        </w:trPr>
        <w:tc>
          <w:tcPr>
            <w:tcW w:w="3360" w:type="dxa"/>
            <w:vAlign w:val="bottom"/>
          </w:tcPr>
          <w:p>
            <w:pPr>
              <w:ind w:left="60"/>
              <w:spacing w:after="0"/>
              <w:rPr>
                <w:sz w:val="20"/>
                <w:szCs w:val="20"/>
                <w:color w:val="auto"/>
              </w:rPr>
            </w:pPr>
            <w:r>
              <w:rPr>
                <w:rFonts w:ascii="Arial" w:cs="Arial" w:eastAsia="Arial" w:hAnsi="Arial"/>
                <w:sz w:val="18"/>
                <w:szCs w:val="18"/>
                <w:color w:val="auto"/>
              </w:rPr>
              <w:t>Sheldon M. Bonovitz</w:t>
            </w:r>
          </w:p>
        </w:tc>
        <w:tc>
          <w:tcPr>
            <w:tcW w:w="3340" w:type="dxa"/>
            <w:vAlign w:val="bottom"/>
          </w:tcPr>
          <w:p>
            <w:pPr>
              <w:jc w:val="center"/>
              <w:ind w:left="910"/>
              <w:spacing w:after="0"/>
              <w:rPr>
                <w:sz w:val="20"/>
                <w:szCs w:val="20"/>
                <w:color w:val="auto"/>
              </w:rPr>
            </w:pPr>
            <w:r>
              <w:rPr>
                <w:rFonts w:ascii="Arial" w:cs="Arial" w:eastAsia="Arial" w:hAnsi="Arial"/>
                <w:sz w:val="18"/>
                <w:szCs w:val="18"/>
                <w:color w:val="auto"/>
                <w:w w:val="89"/>
              </w:rPr>
              <w:t>364,087,015</w:t>
            </w:r>
          </w:p>
        </w:tc>
        <w:tc>
          <w:tcPr>
            <w:tcW w:w="2220" w:type="dxa"/>
            <w:vAlign w:val="bottom"/>
          </w:tcPr>
          <w:p>
            <w:pPr>
              <w:jc w:val="right"/>
              <w:ind w:right="270"/>
              <w:spacing w:after="0"/>
              <w:rPr>
                <w:sz w:val="20"/>
                <w:szCs w:val="20"/>
                <w:color w:val="auto"/>
              </w:rPr>
            </w:pPr>
            <w:r>
              <w:rPr>
                <w:rFonts w:ascii="Arial" w:cs="Arial" w:eastAsia="Arial" w:hAnsi="Arial"/>
                <w:sz w:val="18"/>
                <w:szCs w:val="18"/>
                <w:color w:val="auto"/>
              </w:rPr>
              <w:t>5,969,160</w:t>
            </w:r>
          </w:p>
        </w:tc>
        <w:tc>
          <w:tcPr>
            <w:tcW w:w="1900" w:type="dxa"/>
            <w:vAlign w:val="bottom"/>
          </w:tcPr>
          <w:p>
            <w:pPr>
              <w:jc w:val="right"/>
              <w:ind w:right="530"/>
              <w:spacing w:after="0"/>
              <w:rPr>
                <w:sz w:val="20"/>
                <w:szCs w:val="20"/>
                <w:color w:val="auto"/>
              </w:rPr>
            </w:pPr>
            <w:r>
              <w:rPr>
                <w:rFonts w:ascii="Arial" w:cs="Arial" w:eastAsia="Arial" w:hAnsi="Arial"/>
                <w:sz w:val="18"/>
                <w:szCs w:val="18"/>
                <w:color w:val="auto"/>
              </w:rPr>
              <w:t>23,723,811</w:t>
            </w:r>
          </w:p>
        </w:tc>
      </w:tr>
      <w:tr>
        <w:trPr>
          <w:trHeight w:val="216"/>
        </w:trPr>
        <w:tc>
          <w:tcPr>
            <w:tcW w:w="3360" w:type="dxa"/>
            <w:vAlign w:val="bottom"/>
          </w:tcPr>
          <w:p>
            <w:pPr>
              <w:ind w:left="60"/>
              <w:spacing w:after="0"/>
              <w:rPr>
                <w:sz w:val="20"/>
                <w:szCs w:val="20"/>
                <w:color w:val="auto"/>
              </w:rPr>
            </w:pPr>
            <w:r>
              <w:rPr>
                <w:rFonts w:ascii="Arial" w:cs="Arial" w:eastAsia="Arial" w:hAnsi="Arial"/>
                <w:sz w:val="18"/>
                <w:szCs w:val="18"/>
                <w:color w:val="auto"/>
              </w:rPr>
              <w:t>Edward D. Breen</w:t>
            </w:r>
          </w:p>
        </w:tc>
        <w:tc>
          <w:tcPr>
            <w:tcW w:w="3340" w:type="dxa"/>
            <w:vAlign w:val="bottom"/>
          </w:tcPr>
          <w:p>
            <w:pPr>
              <w:jc w:val="center"/>
              <w:ind w:left="910"/>
              <w:spacing w:after="0"/>
              <w:rPr>
                <w:sz w:val="20"/>
                <w:szCs w:val="20"/>
                <w:color w:val="auto"/>
              </w:rPr>
            </w:pPr>
            <w:r>
              <w:rPr>
                <w:rFonts w:ascii="Arial" w:cs="Arial" w:eastAsia="Arial" w:hAnsi="Arial"/>
                <w:sz w:val="18"/>
                <w:szCs w:val="18"/>
                <w:color w:val="auto"/>
                <w:w w:val="89"/>
              </w:rPr>
              <w:t>362,539,924</w:t>
            </w:r>
          </w:p>
        </w:tc>
        <w:tc>
          <w:tcPr>
            <w:tcW w:w="2220" w:type="dxa"/>
            <w:vAlign w:val="bottom"/>
          </w:tcPr>
          <w:p>
            <w:pPr>
              <w:jc w:val="right"/>
              <w:ind w:right="270"/>
              <w:spacing w:after="0"/>
              <w:rPr>
                <w:sz w:val="20"/>
                <w:szCs w:val="20"/>
                <w:color w:val="auto"/>
              </w:rPr>
            </w:pPr>
            <w:r>
              <w:rPr>
                <w:rFonts w:ascii="Arial" w:cs="Arial" w:eastAsia="Arial" w:hAnsi="Arial"/>
                <w:sz w:val="18"/>
                <w:szCs w:val="18"/>
                <w:color w:val="auto"/>
              </w:rPr>
              <w:t>7,516,251</w:t>
            </w:r>
          </w:p>
        </w:tc>
        <w:tc>
          <w:tcPr>
            <w:tcW w:w="1900" w:type="dxa"/>
            <w:vAlign w:val="bottom"/>
          </w:tcPr>
          <w:p>
            <w:pPr>
              <w:jc w:val="right"/>
              <w:ind w:right="530"/>
              <w:spacing w:after="0"/>
              <w:rPr>
                <w:sz w:val="20"/>
                <w:szCs w:val="20"/>
                <w:color w:val="auto"/>
              </w:rPr>
            </w:pPr>
            <w:r>
              <w:rPr>
                <w:rFonts w:ascii="Arial" w:cs="Arial" w:eastAsia="Arial" w:hAnsi="Arial"/>
                <w:sz w:val="18"/>
                <w:szCs w:val="18"/>
                <w:color w:val="auto"/>
              </w:rPr>
              <w:t>23,723,811</w:t>
            </w:r>
          </w:p>
        </w:tc>
      </w:tr>
      <w:tr>
        <w:trPr>
          <w:trHeight w:val="216"/>
        </w:trPr>
        <w:tc>
          <w:tcPr>
            <w:tcW w:w="3360" w:type="dxa"/>
            <w:vAlign w:val="bottom"/>
          </w:tcPr>
          <w:p>
            <w:pPr>
              <w:ind w:left="60"/>
              <w:spacing w:after="0"/>
              <w:rPr>
                <w:sz w:val="20"/>
                <w:szCs w:val="20"/>
                <w:color w:val="auto"/>
              </w:rPr>
            </w:pPr>
            <w:r>
              <w:rPr>
                <w:rFonts w:ascii="Arial" w:cs="Arial" w:eastAsia="Arial" w:hAnsi="Arial"/>
                <w:sz w:val="18"/>
                <w:szCs w:val="18"/>
                <w:color w:val="auto"/>
              </w:rPr>
              <w:t>Gerald L. Hassell</w:t>
            </w:r>
          </w:p>
        </w:tc>
        <w:tc>
          <w:tcPr>
            <w:tcW w:w="3340" w:type="dxa"/>
            <w:vAlign w:val="bottom"/>
          </w:tcPr>
          <w:p>
            <w:pPr>
              <w:jc w:val="center"/>
              <w:ind w:left="910"/>
              <w:spacing w:after="0"/>
              <w:rPr>
                <w:sz w:val="20"/>
                <w:szCs w:val="20"/>
                <w:color w:val="auto"/>
              </w:rPr>
            </w:pPr>
            <w:r>
              <w:rPr>
                <w:rFonts w:ascii="Arial" w:cs="Arial" w:eastAsia="Arial" w:hAnsi="Arial"/>
                <w:sz w:val="18"/>
                <w:szCs w:val="18"/>
                <w:color w:val="auto"/>
                <w:w w:val="89"/>
              </w:rPr>
              <w:t>363,902,161</w:t>
            </w:r>
          </w:p>
        </w:tc>
        <w:tc>
          <w:tcPr>
            <w:tcW w:w="2220" w:type="dxa"/>
            <w:vAlign w:val="bottom"/>
          </w:tcPr>
          <w:p>
            <w:pPr>
              <w:jc w:val="right"/>
              <w:ind w:right="270"/>
              <w:spacing w:after="0"/>
              <w:rPr>
                <w:sz w:val="20"/>
                <w:szCs w:val="20"/>
                <w:color w:val="auto"/>
              </w:rPr>
            </w:pPr>
            <w:r>
              <w:rPr>
                <w:rFonts w:ascii="Arial" w:cs="Arial" w:eastAsia="Arial" w:hAnsi="Arial"/>
                <w:sz w:val="18"/>
                <w:szCs w:val="18"/>
                <w:color w:val="auto"/>
              </w:rPr>
              <w:t>6,154,014</w:t>
            </w:r>
          </w:p>
        </w:tc>
        <w:tc>
          <w:tcPr>
            <w:tcW w:w="1900" w:type="dxa"/>
            <w:vAlign w:val="bottom"/>
          </w:tcPr>
          <w:p>
            <w:pPr>
              <w:jc w:val="right"/>
              <w:ind w:right="530"/>
              <w:spacing w:after="0"/>
              <w:rPr>
                <w:sz w:val="20"/>
                <w:szCs w:val="20"/>
                <w:color w:val="auto"/>
              </w:rPr>
            </w:pPr>
            <w:r>
              <w:rPr>
                <w:rFonts w:ascii="Arial" w:cs="Arial" w:eastAsia="Arial" w:hAnsi="Arial"/>
                <w:sz w:val="18"/>
                <w:szCs w:val="18"/>
                <w:color w:val="auto"/>
              </w:rPr>
              <w:t>23,723,811</w:t>
            </w:r>
          </w:p>
        </w:tc>
      </w:tr>
      <w:tr>
        <w:trPr>
          <w:trHeight w:val="216"/>
        </w:trPr>
        <w:tc>
          <w:tcPr>
            <w:tcW w:w="3360" w:type="dxa"/>
            <w:vAlign w:val="bottom"/>
          </w:tcPr>
          <w:p>
            <w:pPr>
              <w:ind w:left="60"/>
              <w:spacing w:after="0"/>
              <w:rPr>
                <w:sz w:val="20"/>
                <w:szCs w:val="20"/>
                <w:color w:val="auto"/>
              </w:rPr>
            </w:pPr>
            <w:r>
              <w:rPr>
                <w:rFonts w:ascii="Arial" w:cs="Arial" w:eastAsia="Arial" w:hAnsi="Arial"/>
                <w:sz w:val="18"/>
                <w:szCs w:val="18"/>
                <w:color w:val="auto"/>
              </w:rPr>
              <w:t>Jeffrey A. Honickman</w:t>
            </w:r>
          </w:p>
        </w:tc>
        <w:tc>
          <w:tcPr>
            <w:tcW w:w="3340" w:type="dxa"/>
            <w:vAlign w:val="bottom"/>
          </w:tcPr>
          <w:p>
            <w:pPr>
              <w:jc w:val="center"/>
              <w:ind w:left="910"/>
              <w:spacing w:after="0"/>
              <w:rPr>
                <w:sz w:val="20"/>
                <w:szCs w:val="20"/>
                <w:color w:val="auto"/>
              </w:rPr>
            </w:pPr>
            <w:r>
              <w:rPr>
                <w:rFonts w:ascii="Arial" w:cs="Arial" w:eastAsia="Arial" w:hAnsi="Arial"/>
                <w:sz w:val="18"/>
                <w:szCs w:val="18"/>
                <w:color w:val="auto"/>
                <w:w w:val="89"/>
              </w:rPr>
              <w:t>360,813,833</w:t>
            </w:r>
          </w:p>
        </w:tc>
        <w:tc>
          <w:tcPr>
            <w:tcW w:w="2220" w:type="dxa"/>
            <w:vAlign w:val="bottom"/>
          </w:tcPr>
          <w:p>
            <w:pPr>
              <w:jc w:val="right"/>
              <w:ind w:right="270"/>
              <w:spacing w:after="0"/>
              <w:rPr>
                <w:sz w:val="20"/>
                <w:szCs w:val="20"/>
                <w:color w:val="auto"/>
              </w:rPr>
            </w:pPr>
            <w:r>
              <w:rPr>
                <w:rFonts w:ascii="Arial" w:cs="Arial" w:eastAsia="Arial" w:hAnsi="Arial"/>
                <w:sz w:val="18"/>
                <w:szCs w:val="18"/>
                <w:color w:val="auto"/>
              </w:rPr>
              <w:t>9,242,342</w:t>
            </w:r>
          </w:p>
        </w:tc>
        <w:tc>
          <w:tcPr>
            <w:tcW w:w="1900" w:type="dxa"/>
            <w:vAlign w:val="bottom"/>
          </w:tcPr>
          <w:p>
            <w:pPr>
              <w:jc w:val="right"/>
              <w:ind w:right="530"/>
              <w:spacing w:after="0"/>
              <w:rPr>
                <w:sz w:val="20"/>
                <w:szCs w:val="20"/>
                <w:color w:val="auto"/>
              </w:rPr>
            </w:pPr>
            <w:r>
              <w:rPr>
                <w:rFonts w:ascii="Arial" w:cs="Arial" w:eastAsia="Arial" w:hAnsi="Arial"/>
                <w:sz w:val="18"/>
                <w:szCs w:val="18"/>
                <w:color w:val="auto"/>
              </w:rPr>
              <w:t>23,723,811</w:t>
            </w:r>
          </w:p>
        </w:tc>
      </w:tr>
      <w:tr>
        <w:trPr>
          <w:trHeight w:val="216"/>
        </w:trPr>
        <w:tc>
          <w:tcPr>
            <w:tcW w:w="3360" w:type="dxa"/>
            <w:vAlign w:val="bottom"/>
          </w:tcPr>
          <w:p>
            <w:pPr>
              <w:ind w:left="60"/>
              <w:spacing w:after="0"/>
              <w:rPr>
                <w:sz w:val="20"/>
                <w:szCs w:val="20"/>
                <w:color w:val="auto"/>
              </w:rPr>
            </w:pPr>
            <w:r>
              <w:rPr>
                <w:rFonts w:ascii="Arial" w:cs="Arial" w:eastAsia="Arial" w:hAnsi="Arial"/>
                <w:sz w:val="18"/>
                <w:szCs w:val="18"/>
                <w:color w:val="auto"/>
              </w:rPr>
              <w:t>Maritza G. Montiel</w:t>
            </w:r>
          </w:p>
        </w:tc>
        <w:tc>
          <w:tcPr>
            <w:tcW w:w="3340" w:type="dxa"/>
            <w:vAlign w:val="bottom"/>
          </w:tcPr>
          <w:p>
            <w:pPr>
              <w:jc w:val="center"/>
              <w:ind w:left="910"/>
              <w:spacing w:after="0"/>
              <w:rPr>
                <w:sz w:val="20"/>
                <w:szCs w:val="20"/>
                <w:color w:val="auto"/>
              </w:rPr>
            </w:pPr>
            <w:r>
              <w:rPr>
                <w:rFonts w:ascii="Arial" w:cs="Arial" w:eastAsia="Arial" w:hAnsi="Arial"/>
                <w:sz w:val="18"/>
                <w:szCs w:val="18"/>
                <w:color w:val="auto"/>
                <w:w w:val="89"/>
              </w:rPr>
              <w:t>366,340,284</w:t>
            </w:r>
          </w:p>
        </w:tc>
        <w:tc>
          <w:tcPr>
            <w:tcW w:w="2220" w:type="dxa"/>
            <w:vAlign w:val="bottom"/>
          </w:tcPr>
          <w:p>
            <w:pPr>
              <w:jc w:val="right"/>
              <w:ind w:right="270"/>
              <w:spacing w:after="0"/>
              <w:rPr>
                <w:sz w:val="20"/>
                <w:szCs w:val="20"/>
                <w:color w:val="auto"/>
              </w:rPr>
            </w:pPr>
            <w:r>
              <w:rPr>
                <w:rFonts w:ascii="Arial" w:cs="Arial" w:eastAsia="Arial" w:hAnsi="Arial"/>
                <w:sz w:val="18"/>
                <w:szCs w:val="18"/>
                <w:color w:val="auto"/>
              </w:rPr>
              <w:t>3,715,891</w:t>
            </w:r>
          </w:p>
        </w:tc>
        <w:tc>
          <w:tcPr>
            <w:tcW w:w="1900" w:type="dxa"/>
            <w:vAlign w:val="bottom"/>
          </w:tcPr>
          <w:p>
            <w:pPr>
              <w:jc w:val="right"/>
              <w:ind w:right="530"/>
              <w:spacing w:after="0"/>
              <w:rPr>
                <w:sz w:val="20"/>
                <w:szCs w:val="20"/>
                <w:color w:val="auto"/>
              </w:rPr>
            </w:pPr>
            <w:r>
              <w:rPr>
                <w:rFonts w:ascii="Arial" w:cs="Arial" w:eastAsia="Arial" w:hAnsi="Arial"/>
                <w:sz w:val="18"/>
                <w:szCs w:val="18"/>
                <w:color w:val="auto"/>
              </w:rPr>
              <w:t>23,723,811</w:t>
            </w:r>
          </w:p>
        </w:tc>
      </w:tr>
      <w:tr>
        <w:trPr>
          <w:trHeight w:val="216"/>
        </w:trPr>
        <w:tc>
          <w:tcPr>
            <w:tcW w:w="3360" w:type="dxa"/>
            <w:vAlign w:val="bottom"/>
          </w:tcPr>
          <w:p>
            <w:pPr>
              <w:ind w:left="60"/>
              <w:spacing w:after="0"/>
              <w:rPr>
                <w:sz w:val="20"/>
                <w:szCs w:val="20"/>
                <w:color w:val="auto"/>
              </w:rPr>
            </w:pPr>
            <w:r>
              <w:rPr>
                <w:rFonts w:ascii="Arial" w:cs="Arial" w:eastAsia="Arial" w:hAnsi="Arial"/>
                <w:sz w:val="18"/>
                <w:szCs w:val="18"/>
                <w:color w:val="auto"/>
              </w:rPr>
              <w:t>Asuka Nakahara</w:t>
            </w:r>
          </w:p>
        </w:tc>
        <w:tc>
          <w:tcPr>
            <w:tcW w:w="3340" w:type="dxa"/>
            <w:vAlign w:val="bottom"/>
          </w:tcPr>
          <w:p>
            <w:pPr>
              <w:jc w:val="center"/>
              <w:ind w:left="910"/>
              <w:spacing w:after="0"/>
              <w:rPr>
                <w:sz w:val="20"/>
                <w:szCs w:val="20"/>
                <w:color w:val="auto"/>
              </w:rPr>
            </w:pPr>
            <w:r>
              <w:rPr>
                <w:rFonts w:ascii="Arial" w:cs="Arial" w:eastAsia="Arial" w:hAnsi="Arial"/>
                <w:sz w:val="18"/>
                <w:szCs w:val="18"/>
                <w:color w:val="auto"/>
                <w:w w:val="89"/>
              </w:rPr>
              <w:t>369,242,983</w:t>
            </w:r>
          </w:p>
        </w:tc>
        <w:tc>
          <w:tcPr>
            <w:tcW w:w="2220" w:type="dxa"/>
            <w:vAlign w:val="bottom"/>
          </w:tcPr>
          <w:p>
            <w:pPr>
              <w:jc w:val="right"/>
              <w:ind w:right="270"/>
              <w:spacing w:after="0"/>
              <w:rPr>
                <w:sz w:val="20"/>
                <w:szCs w:val="20"/>
                <w:color w:val="auto"/>
              </w:rPr>
            </w:pPr>
            <w:r>
              <w:rPr>
                <w:rFonts w:ascii="Arial" w:cs="Arial" w:eastAsia="Arial" w:hAnsi="Arial"/>
                <w:sz w:val="18"/>
                <w:szCs w:val="18"/>
                <w:color w:val="auto"/>
              </w:rPr>
              <w:t>813,192</w:t>
            </w:r>
          </w:p>
        </w:tc>
        <w:tc>
          <w:tcPr>
            <w:tcW w:w="1900" w:type="dxa"/>
            <w:vAlign w:val="bottom"/>
          </w:tcPr>
          <w:p>
            <w:pPr>
              <w:jc w:val="right"/>
              <w:ind w:right="530"/>
              <w:spacing w:after="0"/>
              <w:rPr>
                <w:sz w:val="20"/>
                <w:szCs w:val="20"/>
                <w:color w:val="auto"/>
              </w:rPr>
            </w:pPr>
            <w:r>
              <w:rPr>
                <w:rFonts w:ascii="Arial" w:cs="Arial" w:eastAsia="Arial" w:hAnsi="Arial"/>
                <w:sz w:val="18"/>
                <w:szCs w:val="18"/>
                <w:color w:val="auto"/>
              </w:rPr>
              <w:t>23,723,811</w:t>
            </w:r>
          </w:p>
        </w:tc>
      </w:tr>
      <w:tr>
        <w:trPr>
          <w:trHeight w:val="216"/>
        </w:trPr>
        <w:tc>
          <w:tcPr>
            <w:tcW w:w="3360" w:type="dxa"/>
            <w:vAlign w:val="bottom"/>
          </w:tcPr>
          <w:p>
            <w:pPr>
              <w:ind w:left="60"/>
              <w:spacing w:after="0"/>
              <w:rPr>
                <w:sz w:val="20"/>
                <w:szCs w:val="20"/>
                <w:color w:val="auto"/>
              </w:rPr>
            </w:pPr>
            <w:r>
              <w:rPr>
                <w:rFonts w:ascii="Arial" w:cs="Arial" w:eastAsia="Arial" w:hAnsi="Arial"/>
                <w:sz w:val="18"/>
                <w:szCs w:val="18"/>
                <w:color w:val="auto"/>
              </w:rPr>
              <w:t>David C. Novak</w:t>
            </w:r>
          </w:p>
        </w:tc>
        <w:tc>
          <w:tcPr>
            <w:tcW w:w="3340" w:type="dxa"/>
            <w:vAlign w:val="bottom"/>
          </w:tcPr>
          <w:p>
            <w:pPr>
              <w:jc w:val="center"/>
              <w:ind w:left="910"/>
              <w:spacing w:after="0"/>
              <w:rPr>
                <w:sz w:val="20"/>
                <w:szCs w:val="20"/>
                <w:color w:val="auto"/>
              </w:rPr>
            </w:pPr>
            <w:r>
              <w:rPr>
                <w:rFonts w:ascii="Arial" w:cs="Arial" w:eastAsia="Arial" w:hAnsi="Arial"/>
                <w:sz w:val="18"/>
                <w:szCs w:val="18"/>
                <w:color w:val="auto"/>
                <w:w w:val="89"/>
              </w:rPr>
              <w:t>367,313,653</w:t>
            </w:r>
          </w:p>
        </w:tc>
        <w:tc>
          <w:tcPr>
            <w:tcW w:w="2220" w:type="dxa"/>
            <w:vAlign w:val="bottom"/>
          </w:tcPr>
          <w:p>
            <w:pPr>
              <w:jc w:val="right"/>
              <w:ind w:right="270"/>
              <w:spacing w:after="0"/>
              <w:rPr>
                <w:sz w:val="20"/>
                <w:szCs w:val="20"/>
                <w:color w:val="auto"/>
              </w:rPr>
            </w:pPr>
            <w:r>
              <w:rPr>
                <w:rFonts w:ascii="Arial" w:cs="Arial" w:eastAsia="Arial" w:hAnsi="Arial"/>
                <w:sz w:val="18"/>
                <w:szCs w:val="18"/>
                <w:color w:val="auto"/>
              </w:rPr>
              <w:t>2,742,522</w:t>
            </w:r>
          </w:p>
        </w:tc>
        <w:tc>
          <w:tcPr>
            <w:tcW w:w="1900" w:type="dxa"/>
            <w:vAlign w:val="bottom"/>
          </w:tcPr>
          <w:p>
            <w:pPr>
              <w:jc w:val="right"/>
              <w:ind w:right="530"/>
              <w:spacing w:after="0"/>
              <w:rPr>
                <w:sz w:val="20"/>
                <w:szCs w:val="20"/>
                <w:color w:val="auto"/>
              </w:rPr>
            </w:pPr>
            <w:r>
              <w:rPr>
                <w:rFonts w:ascii="Arial" w:cs="Arial" w:eastAsia="Arial" w:hAnsi="Arial"/>
                <w:sz w:val="18"/>
                <w:szCs w:val="18"/>
                <w:color w:val="auto"/>
              </w:rPr>
              <w:t>23,723,811</w:t>
            </w:r>
          </w:p>
        </w:tc>
      </w:tr>
      <w:tr>
        <w:trPr>
          <w:trHeight w:val="230"/>
        </w:trPr>
        <w:tc>
          <w:tcPr>
            <w:tcW w:w="3360" w:type="dxa"/>
            <w:vAlign w:val="bottom"/>
          </w:tcPr>
          <w:p>
            <w:pPr>
              <w:ind w:left="60"/>
              <w:spacing w:after="0"/>
              <w:rPr>
                <w:sz w:val="20"/>
                <w:szCs w:val="20"/>
                <w:color w:val="auto"/>
              </w:rPr>
            </w:pPr>
            <w:r>
              <w:rPr>
                <w:rFonts w:ascii="Arial" w:cs="Arial" w:eastAsia="Arial" w:hAnsi="Arial"/>
                <w:sz w:val="18"/>
                <w:szCs w:val="18"/>
                <w:color w:val="auto"/>
              </w:rPr>
              <w:t>Brian L. Roberts</w:t>
            </w:r>
          </w:p>
        </w:tc>
        <w:tc>
          <w:tcPr>
            <w:tcW w:w="3340" w:type="dxa"/>
            <w:vAlign w:val="bottom"/>
          </w:tcPr>
          <w:p>
            <w:pPr>
              <w:jc w:val="center"/>
              <w:ind w:left="910"/>
              <w:spacing w:after="0"/>
              <w:rPr>
                <w:sz w:val="20"/>
                <w:szCs w:val="20"/>
                <w:color w:val="auto"/>
              </w:rPr>
            </w:pPr>
            <w:r>
              <w:rPr>
                <w:rFonts w:ascii="Arial" w:cs="Arial" w:eastAsia="Arial" w:hAnsi="Arial"/>
                <w:sz w:val="18"/>
                <w:szCs w:val="18"/>
                <w:color w:val="auto"/>
                <w:w w:val="89"/>
              </w:rPr>
              <w:t>359,237,355</w:t>
            </w:r>
          </w:p>
        </w:tc>
        <w:tc>
          <w:tcPr>
            <w:tcW w:w="2220" w:type="dxa"/>
            <w:vAlign w:val="bottom"/>
          </w:tcPr>
          <w:p>
            <w:pPr>
              <w:jc w:val="right"/>
              <w:ind w:right="270"/>
              <w:spacing w:after="0"/>
              <w:rPr>
                <w:sz w:val="20"/>
                <w:szCs w:val="20"/>
                <w:color w:val="auto"/>
              </w:rPr>
            </w:pPr>
            <w:r>
              <w:rPr>
                <w:rFonts w:ascii="Arial" w:cs="Arial" w:eastAsia="Arial" w:hAnsi="Arial"/>
                <w:sz w:val="18"/>
                <w:szCs w:val="18"/>
                <w:color w:val="auto"/>
              </w:rPr>
              <w:t>10,818,820</w:t>
            </w:r>
          </w:p>
        </w:tc>
        <w:tc>
          <w:tcPr>
            <w:tcW w:w="1900" w:type="dxa"/>
            <w:vAlign w:val="bottom"/>
          </w:tcPr>
          <w:p>
            <w:pPr>
              <w:jc w:val="right"/>
              <w:ind w:right="530"/>
              <w:spacing w:after="0"/>
              <w:rPr>
                <w:sz w:val="20"/>
                <w:szCs w:val="20"/>
                <w:color w:val="auto"/>
              </w:rPr>
            </w:pPr>
            <w:r>
              <w:rPr>
                <w:rFonts w:ascii="Arial" w:cs="Arial" w:eastAsia="Arial" w:hAnsi="Arial"/>
                <w:sz w:val="18"/>
                <w:szCs w:val="18"/>
                <w:color w:val="auto"/>
              </w:rPr>
              <w:t>23,723,811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(2) The appointment of Deloitte &amp; Touche LLP as our independent auditors for the 2019 fiscal year, as described in the proxy statement, was ratified.</w:t>
      </w:r>
    </w:p>
    <w:p>
      <w:pPr>
        <w:spacing w:after="0" w:line="237"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120" w:type="dxa"/>
            <w:vAlign w:val="bottom"/>
            <w:tcBorders>
              <w:bottom w:val="single" w:sz="8" w:color="auto"/>
            </w:tcBorders>
          </w:tcPr>
          <w:p>
            <w:pPr>
              <w:jc w:val="right"/>
              <w:ind w:right="1390"/>
              <w:spacing w:after="0"/>
              <w:rPr>
                <w:sz w:val="20"/>
                <w:szCs w:val="20"/>
                <w:color w:val="auto"/>
              </w:rPr>
            </w:pPr>
            <w:r>
              <w:rPr>
                <w:rFonts w:ascii="Arial" w:cs="Arial" w:eastAsia="Arial" w:hAnsi="Arial"/>
                <w:sz w:val="18"/>
                <w:szCs w:val="18"/>
                <w:color w:val="auto"/>
              </w:rPr>
              <w:t>For</w:t>
            </w: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Against</w:t>
            </w:r>
          </w:p>
        </w:tc>
        <w:tc>
          <w:tcPr>
            <w:tcW w:w="240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Abstain</w:t>
            </w:r>
          </w:p>
        </w:tc>
        <w:tc>
          <w:tcPr>
            <w:tcW w:w="242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0"/>
              </w:rPr>
              <w:t>Broker Non-Votes</w:t>
            </w:r>
          </w:p>
        </w:tc>
      </w:tr>
      <w:tr>
        <w:trPr>
          <w:trHeight w:val="224"/>
        </w:trPr>
        <w:tc>
          <w:tcPr>
            <w:tcW w:w="3120" w:type="dxa"/>
            <w:vAlign w:val="bottom"/>
          </w:tcPr>
          <w:p>
            <w:pPr>
              <w:jc w:val="right"/>
              <w:ind w:right="990"/>
              <w:spacing w:after="0"/>
              <w:rPr>
                <w:sz w:val="20"/>
                <w:szCs w:val="20"/>
                <w:color w:val="auto"/>
              </w:rPr>
            </w:pPr>
            <w:r>
              <w:rPr>
                <w:rFonts w:ascii="Arial" w:cs="Arial" w:eastAsia="Arial" w:hAnsi="Arial"/>
                <w:sz w:val="18"/>
                <w:szCs w:val="18"/>
                <w:color w:val="auto"/>
              </w:rPr>
              <w:t>384,432,325</w:t>
            </w:r>
          </w:p>
        </w:tc>
        <w:tc>
          <w:tcPr>
            <w:tcW w:w="2880" w:type="dxa"/>
            <w:vAlign w:val="bottom"/>
          </w:tcPr>
          <w:p>
            <w:pPr>
              <w:jc w:val="right"/>
              <w:ind w:right="990"/>
              <w:spacing w:after="0"/>
              <w:rPr>
                <w:sz w:val="20"/>
                <w:szCs w:val="20"/>
                <w:color w:val="auto"/>
              </w:rPr>
            </w:pPr>
            <w:r>
              <w:rPr>
                <w:rFonts w:ascii="Arial" w:cs="Arial" w:eastAsia="Arial" w:hAnsi="Arial"/>
                <w:sz w:val="18"/>
                <w:szCs w:val="18"/>
                <w:color w:val="auto"/>
              </w:rPr>
              <w:t>9,138,553</w:t>
            </w:r>
          </w:p>
        </w:tc>
        <w:tc>
          <w:tcPr>
            <w:tcW w:w="2400" w:type="dxa"/>
            <w:vAlign w:val="bottom"/>
          </w:tcPr>
          <w:p>
            <w:pPr>
              <w:ind w:left="1080"/>
              <w:spacing w:after="0"/>
              <w:rPr>
                <w:sz w:val="20"/>
                <w:szCs w:val="20"/>
                <w:color w:val="auto"/>
              </w:rPr>
            </w:pPr>
            <w:r>
              <w:rPr>
                <w:rFonts w:ascii="Arial" w:cs="Arial" w:eastAsia="Arial" w:hAnsi="Arial"/>
                <w:sz w:val="18"/>
                <w:szCs w:val="18"/>
                <w:color w:val="auto"/>
              </w:rPr>
              <w:t>209,108</w:t>
            </w:r>
          </w:p>
        </w:tc>
        <w:tc>
          <w:tcPr>
            <w:tcW w:w="2420" w:type="dxa"/>
            <w:vAlign w:val="bottom"/>
          </w:tcPr>
          <w:p>
            <w:pPr>
              <w:jc w:val="center"/>
              <w:ind w:left="270"/>
              <w:spacing w:after="0"/>
              <w:rPr>
                <w:sz w:val="20"/>
                <w:szCs w:val="20"/>
                <w:color w:val="auto"/>
              </w:rPr>
            </w:pPr>
            <w:r>
              <w:rPr>
                <w:rFonts w:ascii="Arial" w:cs="Arial" w:eastAsia="Arial" w:hAnsi="Arial"/>
                <w:sz w:val="18"/>
                <w:szCs w:val="18"/>
                <w:color w:val="auto"/>
                <w:w w:val="99"/>
              </w:rPr>
              <w:t>N/A</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(3) The Comcast Corporation 2019 Omnibus Sharesave Plan, as described in the proxy statement, was approved.</w:t>
      </w:r>
    </w:p>
    <w:p>
      <w:pPr>
        <w:spacing w:after="0" w:line="225"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120" w:type="dxa"/>
            <w:vAlign w:val="bottom"/>
            <w:tcBorders>
              <w:bottom w:val="single" w:sz="8" w:color="auto"/>
            </w:tcBorders>
          </w:tcPr>
          <w:p>
            <w:pPr>
              <w:jc w:val="right"/>
              <w:ind w:right="1390"/>
              <w:spacing w:after="0"/>
              <w:rPr>
                <w:sz w:val="20"/>
                <w:szCs w:val="20"/>
                <w:color w:val="auto"/>
              </w:rPr>
            </w:pPr>
            <w:r>
              <w:rPr>
                <w:rFonts w:ascii="Arial" w:cs="Arial" w:eastAsia="Arial" w:hAnsi="Arial"/>
                <w:sz w:val="18"/>
                <w:szCs w:val="18"/>
                <w:color w:val="auto"/>
              </w:rPr>
              <w:t>For</w:t>
            </w: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Against</w:t>
            </w:r>
          </w:p>
        </w:tc>
        <w:tc>
          <w:tcPr>
            <w:tcW w:w="240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Abstain</w:t>
            </w:r>
          </w:p>
        </w:tc>
        <w:tc>
          <w:tcPr>
            <w:tcW w:w="242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0"/>
              </w:rPr>
              <w:t>Broker Non-Votes</w:t>
            </w:r>
          </w:p>
        </w:tc>
      </w:tr>
      <w:tr>
        <w:trPr>
          <w:trHeight w:val="224"/>
        </w:trPr>
        <w:tc>
          <w:tcPr>
            <w:tcW w:w="3120" w:type="dxa"/>
            <w:vAlign w:val="bottom"/>
          </w:tcPr>
          <w:p>
            <w:pPr>
              <w:jc w:val="right"/>
              <w:ind w:right="990"/>
              <w:spacing w:after="0"/>
              <w:rPr>
                <w:sz w:val="20"/>
                <w:szCs w:val="20"/>
                <w:color w:val="auto"/>
              </w:rPr>
            </w:pPr>
            <w:r>
              <w:rPr>
                <w:rFonts w:ascii="Arial" w:cs="Arial" w:eastAsia="Arial" w:hAnsi="Arial"/>
                <w:sz w:val="18"/>
                <w:szCs w:val="18"/>
                <w:color w:val="auto"/>
              </w:rPr>
              <w:t>366,472,118</w:t>
            </w:r>
          </w:p>
        </w:tc>
        <w:tc>
          <w:tcPr>
            <w:tcW w:w="2880" w:type="dxa"/>
            <w:vAlign w:val="bottom"/>
          </w:tcPr>
          <w:p>
            <w:pPr>
              <w:jc w:val="right"/>
              <w:ind w:right="990"/>
              <w:spacing w:after="0"/>
              <w:rPr>
                <w:sz w:val="20"/>
                <w:szCs w:val="20"/>
                <w:color w:val="auto"/>
              </w:rPr>
            </w:pPr>
            <w:r>
              <w:rPr>
                <w:rFonts w:ascii="Arial" w:cs="Arial" w:eastAsia="Arial" w:hAnsi="Arial"/>
                <w:sz w:val="18"/>
                <w:szCs w:val="18"/>
                <w:color w:val="auto"/>
              </w:rPr>
              <w:t>3,308,924</w:t>
            </w:r>
          </w:p>
        </w:tc>
        <w:tc>
          <w:tcPr>
            <w:tcW w:w="2400" w:type="dxa"/>
            <w:vAlign w:val="bottom"/>
          </w:tcPr>
          <w:p>
            <w:pPr>
              <w:ind w:left="1080"/>
              <w:spacing w:after="0"/>
              <w:rPr>
                <w:sz w:val="20"/>
                <w:szCs w:val="20"/>
                <w:color w:val="auto"/>
              </w:rPr>
            </w:pPr>
            <w:r>
              <w:rPr>
                <w:rFonts w:ascii="Arial" w:cs="Arial" w:eastAsia="Arial" w:hAnsi="Arial"/>
                <w:sz w:val="18"/>
                <w:szCs w:val="18"/>
                <w:color w:val="auto"/>
              </w:rPr>
              <w:t>275,127</w:t>
            </w:r>
          </w:p>
        </w:tc>
        <w:tc>
          <w:tcPr>
            <w:tcW w:w="2420" w:type="dxa"/>
            <w:vAlign w:val="bottom"/>
          </w:tcPr>
          <w:p>
            <w:pPr>
              <w:jc w:val="right"/>
              <w:ind w:right="530"/>
              <w:spacing w:after="0"/>
              <w:rPr>
                <w:sz w:val="20"/>
                <w:szCs w:val="20"/>
                <w:color w:val="auto"/>
              </w:rPr>
            </w:pPr>
            <w:r>
              <w:rPr>
                <w:rFonts w:ascii="Arial" w:cs="Arial" w:eastAsia="Arial" w:hAnsi="Arial"/>
                <w:sz w:val="18"/>
                <w:szCs w:val="18"/>
                <w:color w:val="auto"/>
              </w:rPr>
              <w:t>23,723,817</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(4) The advisory vote on our executive compensation, as described in the proxy statement, was approved.</w:t>
      </w:r>
    </w:p>
    <w:p>
      <w:pPr>
        <w:spacing w:after="0" w:line="225"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10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color w:val="auto"/>
              </w:rPr>
              <w:t>For</w:t>
            </w: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Against</w:t>
            </w:r>
          </w:p>
        </w:tc>
        <w:tc>
          <w:tcPr>
            <w:tcW w:w="246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93"/>
              </w:rPr>
              <w:t>Abstain</w:t>
            </w:r>
          </w:p>
        </w:tc>
        <w:tc>
          <w:tcPr>
            <w:tcW w:w="238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90"/>
              </w:rPr>
              <w:t>Broker Non-Votes</w:t>
            </w:r>
          </w:p>
        </w:tc>
      </w:tr>
      <w:tr>
        <w:trPr>
          <w:trHeight w:val="224"/>
        </w:trPr>
        <w:tc>
          <w:tcPr>
            <w:tcW w:w="3100" w:type="dxa"/>
            <w:vAlign w:val="bottom"/>
          </w:tcPr>
          <w:p>
            <w:pPr>
              <w:jc w:val="right"/>
              <w:ind w:right="970"/>
              <w:spacing w:after="0"/>
              <w:rPr>
                <w:sz w:val="20"/>
                <w:szCs w:val="20"/>
                <w:color w:val="auto"/>
              </w:rPr>
            </w:pPr>
            <w:r>
              <w:rPr>
                <w:rFonts w:ascii="Arial" w:cs="Arial" w:eastAsia="Arial" w:hAnsi="Arial"/>
                <w:sz w:val="18"/>
                <w:szCs w:val="18"/>
                <w:color w:val="auto"/>
              </w:rPr>
              <w:t>295,414,806</w:t>
            </w:r>
          </w:p>
        </w:tc>
        <w:tc>
          <w:tcPr>
            <w:tcW w:w="2880" w:type="dxa"/>
            <w:vAlign w:val="bottom"/>
          </w:tcPr>
          <w:p>
            <w:pPr>
              <w:jc w:val="right"/>
              <w:ind w:right="930"/>
              <w:spacing w:after="0"/>
              <w:rPr>
                <w:sz w:val="20"/>
                <w:szCs w:val="20"/>
                <w:color w:val="auto"/>
              </w:rPr>
            </w:pPr>
            <w:r>
              <w:rPr>
                <w:rFonts w:ascii="Arial" w:cs="Arial" w:eastAsia="Arial" w:hAnsi="Arial"/>
                <w:sz w:val="18"/>
                <w:szCs w:val="18"/>
                <w:color w:val="auto"/>
              </w:rPr>
              <w:t>73,009,209</w:t>
            </w:r>
          </w:p>
        </w:tc>
        <w:tc>
          <w:tcPr>
            <w:tcW w:w="2460" w:type="dxa"/>
            <w:vAlign w:val="bottom"/>
          </w:tcPr>
          <w:p>
            <w:pPr>
              <w:jc w:val="right"/>
              <w:ind w:right="630"/>
              <w:spacing w:after="0"/>
              <w:rPr>
                <w:sz w:val="20"/>
                <w:szCs w:val="20"/>
                <w:color w:val="auto"/>
              </w:rPr>
            </w:pPr>
            <w:r>
              <w:rPr>
                <w:rFonts w:ascii="Arial" w:cs="Arial" w:eastAsia="Arial" w:hAnsi="Arial"/>
                <w:sz w:val="18"/>
                <w:szCs w:val="18"/>
                <w:color w:val="auto"/>
              </w:rPr>
              <w:t>1,632,156</w:t>
            </w:r>
          </w:p>
        </w:tc>
        <w:tc>
          <w:tcPr>
            <w:tcW w:w="2380" w:type="dxa"/>
            <w:vAlign w:val="bottom"/>
          </w:tcPr>
          <w:p>
            <w:pPr>
              <w:jc w:val="right"/>
              <w:ind w:right="530"/>
              <w:spacing w:after="0"/>
              <w:rPr>
                <w:sz w:val="20"/>
                <w:szCs w:val="20"/>
                <w:color w:val="auto"/>
              </w:rPr>
            </w:pPr>
            <w:r>
              <w:rPr>
                <w:rFonts w:ascii="Arial" w:cs="Arial" w:eastAsia="Arial" w:hAnsi="Arial"/>
                <w:sz w:val="18"/>
                <w:szCs w:val="18"/>
                <w:color w:val="auto"/>
              </w:rPr>
              <w:t>23,723,815</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(5) A shareholder proposal to require an independent board chairman, as described in the proxy statement, was not approved.</w:t>
      </w:r>
    </w:p>
    <w:p>
      <w:pPr>
        <w:spacing w:after="0" w:line="225"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06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color w:val="auto"/>
              </w:rPr>
              <w:t>For</w:t>
            </w: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Against</w:t>
            </w:r>
          </w:p>
        </w:tc>
        <w:tc>
          <w:tcPr>
            <w:tcW w:w="236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Abstain</w:t>
            </w:r>
          </w:p>
        </w:tc>
        <w:tc>
          <w:tcPr>
            <w:tcW w:w="242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0"/>
              </w:rPr>
              <w:t>Broker Non-Votes</w:t>
            </w:r>
          </w:p>
        </w:tc>
      </w:tr>
      <w:tr>
        <w:trPr>
          <w:trHeight w:val="224"/>
        </w:trPr>
        <w:tc>
          <w:tcPr>
            <w:tcW w:w="3060" w:type="dxa"/>
            <w:vAlign w:val="bottom"/>
          </w:tcPr>
          <w:p>
            <w:pPr>
              <w:jc w:val="right"/>
              <w:ind w:right="970"/>
              <w:spacing w:after="0"/>
              <w:rPr>
                <w:sz w:val="20"/>
                <w:szCs w:val="20"/>
                <w:color w:val="auto"/>
              </w:rPr>
            </w:pPr>
            <w:r>
              <w:rPr>
                <w:rFonts w:ascii="Arial" w:cs="Arial" w:eastAsia="Arial" w:hAnsi="Arial"/>
                <w:sz w:val="18"/>
                <w:szCs w:val="18"/>
                <w:color w:val="auto"/>
              </w:rPr>
              <w:t>99,330,723</w:t>
            </w:r>
          </w:p>
        </w:tc>
        <w:tc>
          <w:tcPr>
            <w:tcW w:w="2980" w:type="dxa"/>
            <w:vAlign w:val="bottom"/>
          </w:tcPr>
          <w:p>
            <w:pPr>
              <w:jc w:val="right"/>
              <w:ind w:right="950"/>
              <w:spacing w:after="0"/>
              <w:rPr>
                <w:sz w:val="20"/>
                <w:szCs w:val="20"/>
                <w:color w:val="auto"/>
              </w:rPr>
            </w:pPr>
            <w:r>
              <w:rPr>
                <w:rFonts w:ascii="Arial" w:cs="Arial" w:eastAsia="Arial" w:hAnsi="Arial"/>
                <w:sz w:val="18"/>
                <w:szCs w:val="18"/>
                <w:color w:val="auto"/>
              </w:rPr>
              <w:t>270,339,617</w:t>
            </w:r>
          </w:p>
        </w:tc>
        <w:tc>
          <w:tcPr>
            <w:tcW w:w="2360" w:type="dxa"/>
            <w:vAlign w:val="bottom"/>
          </w:tcPr>
          <w:p>
            <w:pPr>
              <w:ind w:left="1040"/>
              <w:spacing w:after="0"/>
              <w:rPr>
                <w:sz w:val="20"/>
                <w:szCs w:val="20"/>
                <w:color w:val="auto"/>
              </w:rPr>
            </w:pPr>
            <w:r>
              <w:rPr>
                <w:rFonts w:ascii="Arial" w:cs="Arial" w:eastAsia="Arial" w:hAnsi="Arial"/>
                <w:sz w:val="18"/>
                <w:szCs w:val="18"/>
                <w:color w:val="auto"/>
              </w:rPr>
              <w:t>385,831</w:t>
            </w:r>
          </w:p>
        </w:tc>
        <w:tc>
          <w:tcPr>
            <w:tcW w:w="2420" w:type="dxa"/>
            <w:vAlign w:val="bottom"/>
          </w:tcPr>
          <w:p>
            <w:pPr>
              <w:jc w:val="right"/>
              <w:ind w:right="530"/>
              <w:spacing w:after="0"/>
              <w:rPr>
                <w:sz w:val="20"/>
                <w:szCs w:val="20"/>
                <w:color w:val="auto"/>
              </w:rPr>
            </w:pPr>
            <w:r>
              <w:rPr>
                <w:rFonts w:ascii="Arial" w:cs="Arial" w:eastAsia="Arial" w:hAnsi="Arial"/>
                <w:sz w:val="18"/>
                <w:szCs w:val="18"/>
                <w:color w:val="auto"/>
              </w:rPr>
              <w:t>23,723,815</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(6) A shareholder proposal to provide a report on lobbying activities, as described in the proxy statement, was not approved.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300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color w:val="auto"/>
              </w:rPr>
              <w:t>For</w:t>
            </w:r>
          </w:p>
        </w:tc>
        <w:tc>
          <w:tcPr>
            <w:tcW w:w="30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3"/>
              </w:rPr>
              <w:t>Against</w:t>
            </w:r>
          </w:p>
        </w:tc>
        <w:tc>
          <w:tcPr>
            <w:tcW w:w="244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93"/>
              </w:rPr>
              <w:t>Abstain</w:t>
            </w:r>
          </w:p>
        </w:tc>
        <w:tc>
          <w:tcPr>
            <w:tcW w:w="238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90"/>
              </w:rPr>
              <w:t>Broker Non-Votes</w:t>
            </w:r>
          </w:p>
        </w:tc>
        <w:tc>
          <w:tcPr>
            <w:tcW w:w="180" w:type="dxa"/>
            <w:vAlign w:val="bottom"/>
          </w:tcPr>
          <w:p>
            <w:pPr>
              <w:spacing w:after="0"/>
              <w:rPr>
                <w:sz w:val="20"/>
                <w:szCs w:val="20"/>
                <w:color w:val="auto"/>
              </w:rPr>
            </w:pPr>
          </w:p>
        </w:tc>
      </w:tr>
      <w:tr>
        <w:trPr>
          <w:trHeight w:val="224"/>
        </w:trPr>
        <w:tc>
          <w:tcPr>
            <w:tcW w:w="420" w:type="dxa"/>
            <w:vAlign w:val="bottom"/>
          </w:tcPr>
          <w:p>
            <w:pPr>
              <w:spacing w:after="0"/>
              <w:rPr>
                <w:sz w:val="19"/>
                <w:szCs w:val="19"/>
                <w:color w:val="auto"/>
              </w:rPr>
            </w:pPr>
          </w:p>
        </w:tc>
        <w:tc>
          <w:tcPr>
            <w:tcW w:w="3000" w:type="dxa"/>
            <w:vAlign w:val="bottom"/>
          </w:tcPr>
          <w:p>
            <w:pPr>
              <w:jc w:val="right"/>
              <w:ind w:right="990"/>
              <w:spacing w:after="0"/>
              <w:rPr>
                <w:sz w:val="20"/>
                <w:szCs w:val="20"/>
                <w:color w:val="auto"/>
              </w:rPr>
            </w:pPr>
            <w:r>
              <w:rPr>
                <w:rFonts w:ascii="Arial" w:cs="Arial" w:eastAsia="Arial" w:hAnsi="Arial"/>
                <w:sz w:val="18"/>
                <w:szCs w:val="18"/>
                <w:color w:val="auto"/>
              </w:rPr>
              <w:t>66,558,607</w:t>
            </w:r>
          </w:p>
        </w:tc>
        <w:tc>
          <w:tcPr>
            <w:tcW w:w="3000" w:type="dxa"/>
            <w:vAlign w:val="bottom"/>
          </w:tcPr>
          <w:p>
            <w:pPr>
              <w:jc w:val="right"/>
              <w:ind w:right="910"/>
              <w:spacing w:after="0"/>
              <w:rPr>
                <w:sz w:val="20"/>
                <w:szCs w:val="20"/>
                <w:color w:val="auto"/>
              </w:rPr>
            </w:pPr>
            <w:r>
              <w:rPr>
                <w:rFonts w:ascii="Arial" w:cs="Arial" w:eastAsia="Arial" w:hAnsi="Arial"/>
                <w:sz w:val="18"/>
                <w:szCs w:val="18"/>
                <w:color w:val="auto"/>
              </w:rPr>
              <w:t>302,308,513</w:t>
            </w:r>
          </w:p>
        </w:tc>
        <w:tc>
          <w:tcPr>
            <w:tcW w:w="2440" w:type="dxa"/>
            <w:vAlign w:val="bottom"/>
          </w:tcPr>
          <w:p>
            <w:pPr>
              <w:jc w:val="right"/>
              <w:ind w:right="630"/>
              <w:spacing w:after="0"/>
              <w:rPr>
                <w:sz w:val="20"/>
                <w:szCs w:val="20"/>
                <w:color w:val="auto"/>
              </w:rPr>
            </w:pPr>
            <w:r>
              <w:rPr>
                <w:rFonts w:ascii="Arial" w:cs="Arial" w:eastAsia="Arial" w:hAnsi="Arial"/>
                <w:sz w:val="18"/>
                <w:szCs w:val="18"/>
                <w:color w:val="auto"/>
              </w:rPr>
              <w:t>1,189,050</w:t>
            </w:r>
          </w:p>
        </w:tc>
        <w:tc>
          <w:tcPr>
            <w:tcW w:w="2380" w:type="dxa"/>
            <w:vAlign w:val="bottom"/>
          </w:tcPr>
          <w:p>
            <w:pPr>
              <w:jc w:val="right"/>
              <w:ind w:right="530"/>
              <w:spacing w:after="0"/>
              <w:rPr>
                <w:sz w:val="20"/>
                <w:szCs w:val="20"/>
                <w:color w:val="auto"/>
              </w:rPr>
            </w:pPr>
            <w:r>
              <w:rPr>
                <w:rFonts w:ascii="Arial" w:cs="Arial" w:eastAsia="Arial" w:hAnsi="Arial"/>
                <w:sz w:val="18"/>
                <w:szCs w:val="18"/>
                <w:color w:val="auto"/>
              </w:rPr>
              <w:t>23,723,816</w:t>
            </w:r>
          </w:p>
        </w:tc>
        <w:tc>
          <w:tcPr>
            <w:tcW w:w="180" w:type="dxa"/>
            <w:vAlign w:val="bottom"/>
          </w:tcPr>
          <w:p>
            <w:pPr>
              <w:spacing w:after="0"/>
              <w:rPr>
                <w:sz w:val="19"/>
                <w:szCs w:val="19"/>
                <w:color w:val="auto"/>
              </w:rPr>
            </w:pPr>
          </w:p>
        </w:tc>
      </w:tr>
      <w:tr>
        <w:trPr>
          <w:trHeight w:val="553"/>
        </w:trPr>
        <w:tc>
          <w:tcPr>
            <w:tcW w:w="4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800" w:type="dxa"/>
            <w:vAlign w:val="bottom"/>
            <w:gridSpan w:val="3"/>
          </w:tcPr>
          <w:p>
            <w:pPr>
              <w:ind w:left="2120"/>
              <w:spacing w:after="0"/>
              <w:rPr>
                <w:sz w:val="20"/>
                <w:szCs w:val="20"/>
                <w:color w:val="auto"/>
              </w:rPr>
            </w:pPr>
            <w:r>
              <w:rPr>
                <w:rFonts w:ascii="Arial" w:cs="Arial" w:eastAsia="Arial" w:hAnsi="Arial"/>
                <w:sz w:val="18"/>
                <w:szCs w:val="18"/>
                <w:b w:val="1"/>
                <w:bCs w:val="1"/>
                <w:color w:val="auto"/>
              </w:rPr>
              <w:t>COMCAST CORPORATION</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June 7, 2019</w:t>
            </w:r>
          </w:p>
        </w:tc>
        <w:tc>
          <w:tcPr>
            <w:tcW w:w="7800" w:type="dxa"/>
            <w:vAlign w:val="bottom"/>
            <w:gridSpan w:val="3"/>
          </w:tcPr>
          <w:p>
            <w:pPr>
              <w:ind w:left="2120"/>
              <w:spacing w:after="0"/>
              <w:rPr>
                <w:sz w:val="20"/>
                <w:szCs w:val="20"/>
                <w:color w:val="auto"/>
              </w:rPr>
            </w:pPr>
            <w:r>
              <w:rPr>
                <w:rFonts w:ascii="Arial" w:cs="Arial" w:eastAsia="Arial" w:hAnsi="Arial"/>
                <w:sz w:val="18"/>
                <w:szCs w:val="18"/>
                <w:color w:val="auto"/>
                <w:w w:val="89"/>
              </w:rPr>
              <w:t>By:/s/ Thomas J. Reid</w:t>
            </w:r>
          </w:p>
        </w:tc>
      </w:tr>
      <w:tr>
        <w:trPr>
          <w:trHeight w:val="195"/>
        </w:trPr>
        <w:tc>
          <w:tcPr>
            <w:tcW w:w="36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6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Thomas J. Reid</w:t>
            </w:r>
          </w:p>
        </w:tc>
      </w:tr>
      <w:tr>
        <w:trPr>
          <w:trHeight w:val="216"/>
        </w:trPr>
        <w:tc>
          <w:tcPr>
            <w:tcW w:w="36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Title:</w:t>
            </w:r>
          </w:p>
        </w:tc>
        <w:tc>
          <w:tcPr>
            <w:tcW w:w="4500" w:type="dxa"/>
            <w:vAlign w:val="bottom"/>
          </w:tcPr>
          <w:p>
            <w:pPr>
              <w:ind w:left="100"/>
              <w:spacing w:after="0"/>
              <w:rPr>
                <w:sz w:val="20"/>
                <w:szCs w:val="20"/>
                <w:color w:val="auto"/>
              </w:rPr>
            </w:pPr>
            <w:r>
              <w:rPr>
                <w:rFonts w:ascii="Arial" w:cs="Arial" w:eastAsia="Arial" w:hAnsi="Arial"/>
                <w:sz w:val="18"/>
                <w:szCs w:val="18"/>
                <w:color w:val="auto"/>
              </w:rPr>
              <w:t>Senior Executive Vice President, General Counsel and</w:t>
            </w:r>
          </w:p>
        </w:tc>
      </w:tr>
      <w:tr>
        <w:trPr>
          <w:trHeight w:val="230"/>
        </w:trPr>
        <w:tc>
          <w:tcPr>
            <w:tcW w:w="36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500" w:type="dxa"/>
            <w:vAlign w:val="bottom"/>
          </w:tcPr>
          <w:p>
            <w:pPr>
              <w:ind w:left="100"/>
              <w:spacing w:after="0"/>
              <w:rPr>
                <w:sz w:val="20"/>
                <w:szCs w:val="20"/>
                <w:color w:val="auto"/>
              </w:rPr>
            </w:pPr>
            <w:r>
              <w:rPr>
                <w:rFonts w:ascii="Arial" w:cs="Arial" w:eastAsia="Arial" w:hAnsi="Arial"/>
                <w:sz w:val="18"/>
                <w:szCs w:val="18"/>
                <w:color w:val="auto"/>
              </w:rPr>
              <w:t>Secretary</w:t>
            </w:r>
          </w:p>
        </w:tc>
      </w:tr>
      <w:tr>
        <w:trPr>
          <w:trHeight w:val="675"/>
        </w:trPr>
        <w:tc>
          <w:tcPr>
            <w:tcW w:w="36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2019-12-01T20:25:24Z</dcterms:created>
  <dcterms:modified xsi:type="dcterms:W3CDTF">2019-12-01T20:25:24Z</dcterms:modified>
</cp:coreProperties>
</file>