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1757ds3asr.htm"/>
        <w:bookmarkStart w:id="1" w:name="ksd921757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February 28, 2025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6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FORM S-3 </w:t>
      </w:r>
    </w:p>
    <w:p>
      <w:pPr>
        <w:pStyle w:val="TextBody"/>
        <w:bidi w:val="0"/>
        <w:spacing w:before="0" w:after="0"/>
        <w:jc w:val="center"/>
        <w:rPr>
          <w:rFonts w:ascii="Times New Roman" w:hAnsi="Times New Roman"/>
          <w:b/>
          <w:sz w:val="24"/>
        </w:rPr>
      </w:pPr>
      <w:r>
        <w:rPr>
          <w:rFonts w:ascii="Times New Roman" w:hAnsi="Times New Roman"/>
          <w:b/>
          <w:sz w:val="24"/>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THE SECURITIES ACT OF 1933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44"/>
        </w:rPr>
      </w:pPr>
      <w:r>
        <w:rPr>
          <w:rFonts w:ascii="Times New Roman" w:hAnsi="Times New Roman"/>
          <w:b/>
          <w:sz w:val="44"/>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Comcast Cable Communications,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Pennsylvania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27-0000798</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One Comcast Center</w:t>
            </w:r>
          </w:p>
          <w:p>
            <w:pPr>
              <w:pStyle w:val="TableContents"/>
              <w:bidi w:val="0"/>
              <w:spacing w:before="0" w:after="0"/>
              <w:jc w:val="center"/>
              <w:rPr>
                <w:rFonts w:ascii="Times New Roman" w:hAnsi="Times New Roman"/>
                <w:b/>
                <w:sz w:val="16"/>
              </w:rPr>
            </w:pPr>
            <w:r>
              <w:rPr>
                <w:rFonts w:ascii="Times New Roman" w:hAnsi="Times New Roman"/>
                <w:b/>
                <w:sz w:val="16"/>
              </w:rPr>
              <w:t>Philadelphia, Pennsylvania 19103-2838</w:t>
            </w:r>
          </w:p>
          <w:p>
            <w:pPr>
              <w:pStyle w:val="TableContents"/>
              <w:bidi w:val="0"/>
              <w:spacing w:before="0" w:after="20"/>
              <w:jc w:val="center"/>
              <w:rPr>
                <w:rFonts w:ascii="Times New Roman" w:hAnsi="Times New Roman"/>
                <w:b/>
                <w:sz w:val="16"/>
              </w:rPr>
            </w:pPr>
            <w:r>
              <w:rPr>
                <w:rFonts w:ascii="Times New Roman" w:hAnsi="Times New Roman"/>
                <w:b/>
                <w:sz w:val="16"/>
              </w:rPr>
              <w:t>(215) 286-1700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23-2175755</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One Comcast Center</w:t>
            </w:r>
          </w:p>
          <w:p>
            <w:pPr>
              <w:pStyle w:val="TableContents"/>
              <w:bidi w:val="0"/>
              <w:spacing w:before="0" w:after="0"/>
              <w:jc w:val="center"/>
              <w:rPr>
                <w:rFonts w:ascii="Times New Roman" w:hAnsi="Times New Roman"/>
                <w:b/>
                <w:sz w:val="16"/>
              </w:rPr>
            </w:pPr>
            <w:r>
              <w:rPr>
                <w:rFonts w:ascii="Times New Roman" w:hAnsi="Times New Roman"/>
                <w:b/>
                <w:sz w:val="16"/>
              </w:rPr>
              <w:t>Philadelphia, Pennsylvania 19103-2838</w:t>
            </w:r>
          </w:p>
          <w:p>
            <w:pPr>
              <w:pStyle w:val="TableContents"/>
              <w:bidi w:val="0"/>
              <w:spacing w:before="0" w:after="20"/>
              <w:jc w:val="center"/>
              <w:rPr>
                <w:rFonts w:ascii="Times New Roman" w:hAnsi="Times New Roman"/>
                <w:b/>
                <w:sz w:val="16"/>
              </w:rPr>
            </w:pPr>
            <w:r>
              <w:rPr>
                <w:rFonts w:ascii="Times New Roman" w:hAnsi="Times New Roman"/>
                <w:b/>
                <w:sz w:val="16"/>
              </w:rPr>
              <w:t>(215) 286-1700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14-1682529</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30 Rockefeller Plaza</w:t>
            </w:r>
          </w:p>
          <w:p>
            <w:pPr>
              <w:pStyle w:val="TableContents"/>
              <w:bidi w:val="0"/>
              <w:spacing w:before="0" w:after="0"/>
              <w:jc w:val="center"/>
              <w:rPr>
                <w:rFonts w:ascii="Times New Roman" w:hAnsi="Times New Roman"/>
                <w:b/>
                <w:sz w:val="16"/>
              </w:rPr>
            </w:pPr>
            <w:r>
              <w:rPr>
                <w:rFonts w:ascii="Times New Roman" w:hAnsi="Times New Roman"/>
                <w:b/>
                <w:sz w:val="16"/>
              </w:rPr>
              <w:t>New York, New York 10112-0015</w:t>
            </w:r>
          </w:p>
          <w:p>
            <w:pPr>
              <w:pStyle w:val="TableContents"/>
              <w:bidi w:val="0"/>
              <w:spacing w:before="0" w:after="20"/>
              <w:jc w:val="center"/>
              <w:rPr>
                <w:rFonts w:ascii="Times New Roman" w:hAnsi="Times New Roman"/>
                <w:b/>
                <w:sz w:val="16"/>
              </w:rPr>
            </w:pPr>
            <w:r>
              <w:rPr>
                <w:rFonts w:ascii="Times New Roman" w:hAnsi="Times New Roman"/>
                <w:b/>
                <w:sz w:val="16"/>
              </w:rPr>
              <w:t>(212) 664-4444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Thomas J. Reid, Esq. </w:t>
      </w:r>
    </w:p>
    <w:p>
      <w:pPr>
        <w:pStyle w:val="TextBody"/>
        <w:bidi w:val="0"/>
        <w:spacing w:before="0" w:after="0"/>
        <w:jc w:val="center"/>
        <w:rPr>
          <w:rFonts w:ascii="Times New Roman" w:hAnsi="Times New Roman"/>
          <w:b/>
          <w:sz w:val="16"/>
        </w:rPr>
      </w:pPr>
      <w:r>
        <w:rPr>
          <w:rFonts w:ascii="Times New Roman" w:hAnsi="Times New Roman"/>
          <w:b/>
          <w:sz w:val="16"/>
        </w:rPr>
        <w:t xml:space="preserve">Chief Legal Officer and Secretary </w:t>
      </w:r>
    </w:p>
    <w:p>
      <w:pPr>
        <w:pStyle w:val="TextBody"/>
        <w:bidi w:val="0"/>
        <w:spacing w:before="0" w:after="0"/>
        <w:jc w:val="center"/>
        <w:rPr>
          <w:rFonts w:ascii="Times New Roman" w:hAnsi="Times New Roman"/>
          <w:b/>
          <w:sz w:val="16"/>
        </w:rPr>
      </w:pPr>
      <w:r>
        <w:rPr>
          <w:rFonts w:ascii="Times New Roman" w:hAnsi="Times New Roman"/>
          <w:b/>
          <w:sz w:val="16"/>
        </w:rPr>
        <w:t xml:space="preserve">Comcast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One Comcast Center </w:t>
      </w:r>
    </w:p>
    <w:p>
      <w:pPr>
        <w:pStyle w:val="TextBody"/>
        <w:bidi w:val="0"/>
        <w:spacing w:before="0" w:after="0"/>
        <w:jc w:val="center"/>
        <w:rPr>
          <w:rFonts w:ascii="Times New Roman" w:hAnsi="Times New Roman"/>
          <w:b/>
          <w:sz w:val="16"/>
        </w:rPr>
      </w:pPr>
      <w:r>
        <w:rPr>
          <w:rFonts w:ascii="Times New Roman" w:hAnsi="Times New Roman"/>
          <w:b/>
          <w:sz w:val="16"/>
        </w:rPr>
        <w:t xml:space="preserve">Philadelphia, Pennsylvania 19103-2838 </w:t>
      </w:r>
    </w:p>
    <w:p>
      <w:pPr>
        <w:pStyle w:val="TextBody"/>
        <w:bidi w:val="0"/>
        <w:spacing w:before="0" w:after="0"/>
        <w:jc w:val="center"/>
        <w:rPr>
          <w:rFonts w:ascii="Times New Roman" w:hAnsi="Times New Roman"/>
          <w:b/>
          <w:sz w:val="16"/>
        </w:rPr>
      </w:pPr>
      <w:r>
        <w:rPr>
          <w:rFonts w:ascii="Times New Roman" w:hAnsi="Times New Roman"/>
          <w:b/>
          <w:sz w:val="16"/>
        </w:rPr>
        <w:t xml:space="preserve">(215) 286-1700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Copy to: </w:t>
      </w:r>
    </w:p>
    <w:p>
      <w:pPr>
        <w:pStyle w:val="TextBody"/>
        <w:bidi w:val="0"/>
        <w:spacing w:before="0" w:after="0"/>
        <w:jc w:val="center"/>
        <w:rPr>
          <w:rFonts w:ascii="Times New Roman" w:hAnsi="Times New Roman"/>
          <w:b/>
          <w:sz w:val="16"/>
        </w:rPr>
      </w:pPr>
      <w:r>
        <w:rPr>
          <w:rFonts w:ascii="Times New Roman" w:hAnsi="Times New Roman"/>
          <w:b/>
          <w:sz w:val="16"/>
        </w:rPr>
        <w:t xml:space="preserve">John B. Meade, Esq. </w:t>
      </w:r>
    </w:p>
    <w:p>
      <w:pPr>
        <w:pStyle w:val="TextBody"/>
        <w:bidi w:val="0"/>
        <w:spacing w:before="0" w:after="0"/>
        <w:jc w:val="center"/>
        <w:rPr>
          <w:rFonts w:ascii="Times New Roman" w:hAnsi="Times New Roman"/>
          <w:b/>
          <w:sz w:val="16"/>
        </w:rPr>
      </w:pPr>
      <w:r>
        <w:rPr>
          <w:rFonts w:ascii="Times New Roman" w:hAnsi="Times New Roman"/>
          <w:b/>
          <w:sz w:val="16"/>
        </w:rPr>
        <w:t xml:space="preserve">Stephen A. Byeff, Esq. </w:t>
      </w:r>
    </w:p>
    <w:p>
      <w:pPr>
        <w:pStyle w:val="TextBody"/>
        <w:bidi w:val="0"/>
        <w:spacing w:before="0" w:after="0"/>
        <w:jc w:val="center"/>
        <w:rPr>
          <w:rFonts w:ascii="Times New Roman" w:hAnsi="Times New Roman"/>
          <w:b/>
          <w:sz w:val="16"/>
        </w:rPr>
      </w:pPr>
      <w:r>
        <w:rPr>
          <w:rFonts w:ascii="Times New Roman" w:hAnsi="Times New Roman"/>
          <w:b/>
          <w:sz w:val="16"/>
        </w:rPr>
        <w:t xml:space="preserve">Davis Polk &amp; Wardwell LLP </w:t>
      </w:r>
    </w:p>
    <w:p>
      <w:pPr>
        <w:pStyle w:val="TextBody"/>
        <w:bidi w:val="0"/>
        <w:spacing w:before="0" w:after="0"/>
        <w:jc w:val="center"/>
        <w:rPr>
          <w:rFonts w:ascii="Times New Roman" w:hAnsi="Times New Roman"/>
          <w:b/>
          <w:sz w:val="16"/>
        </w:rPr>
      </w:pPr>
      <w:r>
        <w:rPr>
          <w:rFonts w:ascii="Times New Roman" w:hAnsi="Times New Roman"/>
          <w:b/>
          <w:sz w:val="16"/>
        </w:rPr>
        <w:t xml:space="preserve">450 Lexington Avenue </w:t>
      </w:r>
    </w:p>
    <w:p>
      <w:pPr>
        <w:pStyle w:val="TextBody"/>
        <w:bidi w:val="0"/>
        <w:spacing w:before="0" w:after="0"/>
        <w:jc w:val="center"/>
        <w:rPr>
          <w:rFonts w:ascii="Times New Roman" w:hAnsi="Times New Roman"/>
          <w:b/>
          <w:sz w:val="16"/>
        </w:rPr>
      </w:pPr>
      <w:r>
        <w:rPr>
          <w:rFonts w:ascii="Times New Roman" w:hAnsi="Times New Roman"/>
          <w:b/>
          <w:sz w:val="16"/>
        </w:rPr>
        <w:t xml:space="preserve">New York, NY 10017 </w:t>
      </w:r>
    </w:p>
    <w:p>
      <w:pPr>
        <w:pStyle w:val="TextBody"/>
        <w:bidi w:val="0"/>
        <w:spacing w:before="0" w:after="0"/>
        <w:jc w:val="center"/>
        <w:rPr>
          <w:rFonts w:ascii="Times New Roman" w:hAnsi="Times New Roman"/>
          <w:b/>
          <w:sz w:val="16"/>
        </w:rPr>
      </w:pPr>
      <w:r>
        <w:rPr>
          <w:rFonts w:ascii="Times New Roman" w:hAnsi="Times New Roman"/>
          <w:b/>
          <w:sz w:val="16"/>
        </w:rPr>
        <w:t xml:space="preserve">(212) 450-4000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745"/>
        <w:gridCol w:w="136"/>
        <w:gridCol w:w="2700"/>
        <w:gridCol w:w="104"/>
        <w:gridCol w:w="272"/>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700"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r>
      <w:tr>
        <w:trPr>
          <w:trHeight w:val="90" w:hRule="atLeast"/>
        </w:trPr>
        <w:tc>
          <w:tcPr>
            <w:tcW w:w="2144"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836" w:type="dxa"/>
            <w:gridSpan w:val="2"/>
            <w:tcBorders/>
            <w:vAlign w:val="center"/>
          </w:tcPr>
          <w:p>
            <w:pPr>
              <w:pStyle w:val="TableContents"/>
              <w:bidi w:val="0"/>
              <w:spacing w:before="0" w:after="283"/>
              <w:jc w:val="left"/>
              <w:rPr>
                <w:sz w:val="4"/>
                <w:szCs w:val="4"/>
              </w:rPr>
            </w:pPr>
            <w:r>
              <w:rPr>
                <w:sz w:val="4"/>
                <w:szCs w:val="4"/>
              </w:rPr>
            </w:r>
          </w:p>
        </w:tc>
        <w:tc>
          <w:tcPr>
            <w:tcW w:w="376"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700"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r>
      <w:tr>
        <w:trPr>
          <w:trHeight w:val="90" w:hRule="atLeast"/>
        </w:trPr>
        <w:tc>
          <w:tcPr>
            <w:tcW w:w="2144"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836" w:type="dxa"/>
            <w:gridSpan w:val="2"/>
            <w:tcBorders/>
            <w:vAlign w:val="center"/>
          </w:tcPr>
          <w:p>
            <w:pPr>
              <w:pStyle w:val="TableContents"/>
              <w:bidi w:val="0"/>
              <w:spacing w:before="0" w:after="283"/>
              <w:jc w:val="left"/>
              <w:rPr>
                <w:sz w:val="4"/>
                <w:szCs w:val="4"/>
              </w:rPr>
            </w:pPr>
            <w:r>
              <w:rPr>
                <w:sz w:val="4"/>
                <w:szCs w:val="4"/>
              </w:rPr>
            </w:r>
          </w:p>
        </w:tc>
        <w:tc>
          <w:tcPr>
            <w:tcW w:w="376"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700"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1549400" cy="544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9400" cy="5448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may be offered and sold from time to time by Comcast Corporation or by selling security holders under this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281"/>
        <w:gridCol w:w="4319"/>
      </w:tblGrid>
      <w:tr>
        <w:trPr/>
        <w:tc>
          <w:tcPr>
            <w:tcW w:w="478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  Unsecured senior debt securities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  Purchase contracts</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  Preferred stock</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  Class A common stock</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  Warrants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  Units</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  Depositary shares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indicated in the relevant prospectus supplement, the securities may be fully and unconditionally guaranteed by a number of our wholly owned subsidiaries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quoted on the Nasdaq Global Select Market under the ticker symbol CMCSA. On February 27, 2025, the reported last sale price on the Nasdaq Global Select Market for our Class A common stock was $35.39.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which must accompany this prospectus, the securities we are offering and selling, as well as the specific terms of the securities. Those terms may include: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04"/>
        <w:gridCol w:w="94"/>
        <w:gridCol w:w="3285"/>
        <w:gridCol w:w="94"/>
        <w:gridCol w:w="2911"/>
      </w:tblGrid>
      <w:tr>
        <w:trPr/>
        <w:tc>
          <w:tcPr>
            <w:tcW w:w="300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004" w:type="dxa"/>
            <w:tcBorders/>
          </w:tcPr>
          <w:p>
            <w:pPr>
              <w:pStyle w:val="TableContents"/>
              <w:bidi w:val="0"/>
              <w:spacing w:before="0" w:after="0"/>
              <w:jc w:val="left"/>
              <w:rPr>
                <w:rFonts w:ascii="Times New Roman" w:hAnsi="Times New Roman"/>
                <w:sz w:val="20"/>
              </w:rPr>
            </w:pPr>
            <w:r>
              <w:rPr>
                <w:rFonts w:ascii="Times New Roman" w:hAnsi="Times New Roman"/>
                <w:sz w:val="20"/>
              </w:rPr>
              <w:t>  Maturity</w:t>
            </w:r>
          </w:p>
        </w:tc>
        <w:tc>
          <w:tcPr>
            <w:tcW w:w="94"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  Redemption terms</w:t>
            </w:r>
          </w:p>
        </w:tc>
        <w:tc>
          <w:tcPr>
            <w:tcW w:w="94"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  Subsidiary guarantees</w:t>
            </w:r>
          </w:p>
        </w:tc>
      </w:tr>
      <w:tr>
        <w:trPr/>
        <w:tc>
          <w:tcPr>
            <w:tcW w:w="3004" w:type="dxa"/>
            <w:tcBorders/>
          </w:tcPr>
          <w:p>
            <w:pPr>
              <w:pStyle w:val="TableContents"/>
              <w:bidi w:val="0"/>
              <w:spacing w:before="0" w:after="0"/>
              <w:jc w:val="left"/>
              <w:rPr>
                <w:rFonts w:ascii="Times New Roman" w:hAnsi="Times New Roman"/>
                <w:sz w:val="20"/>
              </w:rPr>
            </w:pPr>
            <w:r>
              <w:rPr>
                <w:rFonts w:ascii="Times New Roman" w:hAnsi="Times New Roman"/>
                <w:sz w:val="20"/>
              </w:rPr>
              <w:t>  Dividends</w:t>
            </w:r>
          </w:p>
        </w:tc>
        <w:tc>
          <w:tcPr>
            <w:tcW w:w="94"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  Liquidation amount</w:t>
            </w:r>
          </w:p>
        </w:tc>
        <w:tc>
          <w:tcPr>
            <w:tcW w:w="94"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  Currency of payments</w:t>
            </w:r>
          </w:p>
        </w:tc>
      </w:tr>
      <w:tr>
        <w:trPr/>
        <w:tc>
          <w:tcPr>
            <w:tcW w:w="3004" w:type="dxa"/>
            <w:tcBorders/>
          </w:tcPr>
          <w:p>
            <w:pPr>
              <w:pStyle w:val="TableContents"/>
              <w:bidi w:val="0"/>
              <w:spacing w:before="0" w:after="0"/>
              <w:jc w:val="left"/>
              <w:rPr>
                <w:rFonts w:ascii="Times New Roman" w:hAnsi="Times New Roman"/>
                <w:sz w:val="20"/>
              </w:rPr>
            </w:pPr>
            <w:r>
              <w:rPr>
                <w:rFonts w:ascii="Times New Roman" w:hAnsi="Times New Roman"/>
                <w:sz w:val="20"/>
              </w:rPr>
              <w:t>  Conversion or exchange rights</w:t>
            </w:r>
          </w:p>
        </w:tc>
        <w:tc>
          <w:tcPr>
            <w:tcW w:w="94"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  Sinking fund terms</w:t>
            </w:r>
          </w:p>
        </w:tc>
        <w:tc>
          <w:tcPr>
            <w:tcW w:w="94"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  Amount payable at maturity</w:t>
            </w:r>
          </w:p>
        </w:tc>
      </w:tr>
      <w:tr>
        <w:trPr/>
        <w:tc>
          <w:tcPr>
            <w:tcW w:w="3004" w:type="dxa"/>
            <w:tcBorders/>
          </w:tcPr>
          <w:p>
            <w:pPr>
              <w:pStyle w:val="TableContents"/>
              <w:bidi w:val="0"/>
              <w:spacing w:before="0" w:after="0"/>
              <w:jc w:val="left"/>
              <w:rPr>
                <w:rFonts w:ascii="Times New Roman" w:hAnsi="Times New Roman"/>
                <w:sz w:val="20"/>
              </w:rPr>
            </w:pPr>
            <w:r>
              <w:rPr>
                <w:rFonts w:ascii="Times New Roman" w:hAnsi="Times New Roman"/>
                <w:sz w:val="20"/>
              </w:rPr>
              <w:t>  Interest rate</w:t>
            </w:r>
          </w:p>
        </w:tc>
        <w:tc>
          <w:tcPr>
            <w:tcW w:w="94"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  Listing on a securities exchange</w:t>
            </w:r>
          </w:p>
        </w:tc>
        <w:tc>
          <w:tcPr>
            <w:tcW w:w="94"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Investing in these securities involves certain risks. See Item 1ARisk Factors beginning on page 18 of our Annual Report on Form 10-K for the fiscal year ended December 31, 2024, which is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The Securities and Exchange Commission (the SEC or the Commission) and state securities regulators have not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2">
              <w:r>
                <w:rPr>
                  <w:rStyle w:val="InternetLink"/>
                  <w:rFonts w:ascii="Times New Roman" w:hAnsi="Times New Roman"/>
                  <w:sz w:val="20"/>
                </w:rPr>
                <w:t>The Companies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3">
              <w:r>
                <w:rPr>
                  <w:rStyle w:val="InternetLink"/>
                  <w:rFonts w:ascii="Times New Roman" w:hAnsi="Times New Roman"/>
                  <w:sz w:val="20"/>
                </w:rPr>
                <w:t>Caution Concerning 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5">
              <w:r>
                <w:rPr>
                  <w:rStyle w:val="InternetLink"/>
                  <w:rFonts w:ascii="Times New Roman" w:hAnsi="Times New Roman"/>
                  <w:sz w:val="20"/>
                </w:rPr>
                <w:t>Dividend Policy</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6">
              <w:r>
                <w:rPr>
                  <w:rStyle w:val="InternetLink"/>
                  <w:rFonts w:ascii="Times New Roman" w:hAnsi="Times New Roman"/>
                  <w:sz w:val="20"/>
                </w:rPr>
                <w:t>Description of Debt Securities and Guarantees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7">
              <w:r>
                <w:rPr>
                  <w:rStyle w:val="InternetLink"/>
                  <w:rFonts w:ascii="Times New Roman" w:hAnsi="Times New Roman"/>
                  <w:sz w:val="20"/>
                </w:rPr>
                <w:t>Global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9">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10">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11">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12">
              <w:r>
                <w:rPr>
                  <w:rStyle w:val="InternetLink"/>
                  <w:rFonts w:ascii="Times New Roman" w:hAnsi="Times New Roman"/>
                  <w:sz w:val="20"/>
                </w:rPr>
                <w:t>Available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00" w:type="dxa"/>
            <w:tcBorders/>
          </w:tcPr>
          <w:p>
            <w:pPr>
              <w:pStyle w:val="TableContents"/>
              <w:bidi w:val="0"/>
              <w:spacing w:before="0" w:after="0"/>
              <w:jc w:val="left"/>
              <w:rPr/>
            </w:pPr>
            <w:hyperlink w:anchor="toc921757_13">
              <w:r>
                <w:rPr>
                  <w:rStyle w:val="InternetLink"/>
                  <w:rFonts w:ascii="Times New Roman" w:hAnsi="Times New Roman"/>
                  <w:sz w:val="20"/>
                </w:rPr>
                <w:t>Incorporation of Certain Documents by Reference</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92175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21757_2"/>
      <w:bookmarkEnd w:id="4"/>
      <w:r>
        <w:rPr>
          <w:rFonts w:ascii="Times New Roman" w:hAnsi="Times New Roman"/>
          <w:b/>
          <w:sz w:val="20"/>
        </w:rPr>
        <w:t xml:space="preserve">THE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 </w:t>
      </w:r>
    </w:p>
    <w:p>
      <w:pPr>
        <w:pStyle w:val="TextBody"/>
        <w:bidi w:val="0"/>
        <w:spacing w:before="240" w:after="0"/>
        <w:jc w:val="left"/>
        <w:rPr>
          <w:rFonts w:ascii="Times New Roman" w:hAnsi="Times New Roman"/>
          <w:sz w:val="20"/>
        </w:rPr>
      </w:pPr>
      <w:r>
        <w:rPr>
          <w:rFonts w:ascii="Times New Roman" w:hAnsi="Times New Roman"/>
          <w:sz w:val="20"/>
        </w:rPr>
        <w:t xml:space="preserve">We operate two primary businesses: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Connectivity</w:t>
            </w:r>
            <w:r>
              <w:rPr>
                <w:rFonts w:ascii="Times New Roman" w:hAnsi="Times New Roman"/>
                <w:sz w:val="20"/>
              </w:rPr>
              <w:t> </w:t>
            </w:r>
            <w:r>
              <w:rPr>
                <w:rFonts w:ascii="Times New Roman" w:hAnsi="Times New Roman"/>
                <w:b/>
                <w:sz w:val="20"/>
              </w:rPr>
              <w:t>&amp; Platforms</w:t>
            </w:r>
            <w:r>
              <w:rPr>
                <w:rFonts w:ascii="Times New Roman" w:hAnsi="Times New Roman"/>
                <w:sz w:val="20"/>
              </w:rPr>
              <w:t xml:space="preserve">: Contains our broadband, wireless, video and wireline voice businesses in the United States, United Kingdom and Italy (collectively, the Connectivity &amp; Platforms markets). Also includes the operations of our Sky-branded entertainment television networks in the United Kingdom and Italy. Our Connectivity &amp; Platforms business is reported in two segments: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Residential Connectivity</w:t>
            </w:r>
            <w:r>
              <w:rPr>
                <w:rFonts w:ascii="Times New Roman" w:hAnsi="Times New Roman"/>
                <w:sz w:val="20"/>
              </w:rPr>
              <w:t> </w:t>
            </w:r>
            <w:r>
              <w:rPr>
                <w:rFonts w:ascii="Times New Roman" w:hAnsi="Times New Roman"/>
                <w:b/>
                <w:sz w:val="20"/>
              </w:rPr>
              <w:t>&amp; Platforms Segment</w:t>
            </w:r>
            <w:r>
              <w:rPr>
                <w:rFonts w:ascii="Times New Roman" w:hAnsi="Times New Roman"/>
                <w:sz w:val="20"/>
              </w:rPr>
              <w:t xml:space="preserve">: Includes our residential broadband and wireless services, residential and business video services, Sky-branded entertainment television networks and advertising.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Business Services Connectivity Segment</w:t>
            </w:r>
            <w:r>
              <w:rPr>
                <w:rFonts w:ascii="Times New Roman" w:hAnsi="Times New Roman"/>
                <w:sz w:val="20"/>
              </w:rPr>
              <w:t xml:space="preserve">: Includes our domestic service offerings for small businesses, which include broadband, wireline voice and wireless services, as well as our enterprise solutions offerings for medium-sized customers and larger enterprises. We also have certain business connectivity service offerings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Content</w:t>
            </w:r>
            <w:r>
              <w:rPr>
                <w:rFonts w:ascii="Times New Roman" w:hAnsi="Times New Roman"/>
                <w:sz w:val="20"/>
              </w:rPr>
              <w:t> </w:t>
            </w:r>
            <w:r>
              <w:rPr>
                <w:rFonts w:ascii="Times New Roman" w:hAnsi="Times New Roman"/>
                <w:b/>
                <w:sz w:val="20"/>
              </w:rPr>
              <w:t>&amp; Experiences</w:t>
            </w:r>
            <w:r>
              <w:rPr>
                <w:rFonts w:ascii="Times New Roman" w:hAnsi="Times New Roman"/>
                <w:sz w:val="20"/>
              </w:rPr>
              <w:t xml:space="preserve">: Contains our media and entertainment businesses that produce and distribute entertainment, sports, news and other content for global audiences and that own and operate theme parks and attractions in the United States and Asia. Our Content &amp; Experiences business is reported in three segments: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Media Segment</w:t>
            </w:r>
            <w:r>
              <w:rPr>
                <w:rFonts w:ascii="Times New Roman" w:hAnsi="Times New Roman"/>
                <w:sz w:val="20"/>
              </w:rPr>
              <w:t xml:space="preserve">: Includes primarily NBCUniversals national and regional cable networks, NBC and Telemundo broadcast networks and owned local broadcast television stations, Peacock direct-to-consumer streaming service and international television networks, including Sky Sports networks in the United Kingdom and Italy.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Studios Segment</w:t>
            </w:r>
            <w:r>
              <w:rPr>
                <w:rFonts w:ascii="Times New Roman" w:hAnsi="Times New Roman"/>
                <w:sz w:val="20"/>
              </w:rPr>
              <w:t xml:space="preserve">: Includes primarily our NBCUniversal and Sky film and television studio production and distribution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Theme Parks Segment</w:t>
            </w:r>
            <w:r>
              <w:rPr>
                <w:rFonts w:ascii="Times New Roman" w:hAnsi="Times New Roman"/>
                <w:sz w:val="20"/>
              </w:rPr>
              <w:t xml:space="preserve">: Includes primarily the operations of the following Universal theme parks: Universal Orlando Resort, Universal Studios Hollywood, Universal Studios Japan and Universal Beijing Resort.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Guarantors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including the payment of principal, premium, if any, and interest on the debt securities issued pursuant to this prospectus will be fully and unconditionally guaranteed by each of the Guarantors.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Comcast Cable Communications, LLC </w:t>
      </w:r>
    </w:p>
    <w:p>
      <w:pPr>
        <w:pStyle w:val="TextBody"/>
        <w:bidi w:val="0"/>
        <w:spacing w:before="120" w:after="0"/>
        <w:jc w:val="left"/>
        <w:rPr>
          <w:rFonts w:ascii="Times New Roman" w:hAnsi="Times New Roman"/>
          <w:sz w:val="20"/>
        </w:rPr>
      </w:pPr>
      <w:r>
        <w:rPr>
          <w:rFonts w:ascii="Times New Roman" w:hAnsi="Times New Roman"/>
          <w:sz w:val="20"/>
        </w:rPr>
        <w:t xml:space="preserve">Comcast Cable, which was incorporated in 1981 as a Delaware corporation, became a Delaware limited liability company in 2003 and is an indirect wholly owned subsidiary of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NBCUniversal Media, LLC </w:t>
      </w:r>
    </w:p>
    <w:p>
      <w:pPr>
        <w:pStyle w:val="TextBody"/>
        <w:bidi w:val="0"/>
        <w:spacing w:before="120" w:after="0"/>
        <w:jc w:val="left"/>
        <w:rPr>
          <w:rFonts w:ascii="Times New Roman" w:hAnsi="Times New Roman"/>
          <w:sz w:val="20"/>
        </w:rPr>
      </w:pPr>
      <w:r>
        <w:rPr>
          <w:rFonts w:ascii="Times New Roman" w:hAnsi="Times New Roman"/>
          <w:sz w:val="20"/>
        </w:rPr>
        <w:t xml:space="preserve">NBCUniversal is a Delaware limited liability company formed in 2011 and is an indirect wholly 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Comcast and Comcast Cable are located at One Comcast Center, Philadelphia, Pennsylvania 19103-2838, and our telephone number is (215) 286-1700.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NBCUniversal are located at 30 Rockefeller Plaza, New York, New York 10112-0015, and its telephone number is (212) 664-4444.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http://www.comcastcorporation.com where general information about us is available. We are not incorporating the contents of the website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21757_3"/>
      <w:bookmarkEnd w:id="5"/>
      <w:r>
        <w:rPr>
          <w:rFonts w:ascii="Times New Roman" w:hAnsi="Times New Roman"/>
          <w:b/>
          <w:sz w:val="20"/>
        </w:rPr>
        <w:t xml:space="preserve">CAUTION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the documents we incorporate by reference, we include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forward-looking statements, you should consider various factors, including the risks and uncertainties we describe in the Risk Factors sections of our Forms 10-K and 10-Q and in other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businesses may be affected by,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operate in highly competitive and dynamic industries, and our businesses and results of operations could be adversely affected if we do not compete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 behavior continue to adversely affect our businesses and challenge existing business models;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advertisers expenditures or changes in advertising markets could negatively impact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consumer acceptance of our content, and our businesses may be adversely affected if our content fails to achieve sufficient consumer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programming expenses for our video services are increasing on a per subscriber basis, which could adversely affect our video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programming distribution agreements, or the renewal of these agreements on less favorable terms, could adversely affect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depend on using and protecting certain intellectual property rights and on not infringing, misappropriating or otherwise violating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obtain necessary hardware, software and operational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depend on keeping pace with technological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cyber attack, information or security breach, or technology disruption or failure may negatively impact our ability to conduct our business or result in the misuse of confidential information, all of which could adversely affect our business, reputation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 economic conditions may have a negative impact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and other strategic initiatives present many risks, and we may not realize the financial and strategic goals that we had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relating to doing business internationally that could adversely affect our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severe weather and other uncontrollable events could adversely affect our business, reputation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management personnel or popular on-air and creative talent could have an adverse effect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whether involving employees or sports organizations, may disrupt our operations and adversely affect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regulation by federal, state, local and foreign authorities, which impose additional costs and restrictions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litigation or governmental investigation results could require us to pay significant amounts or lead to onerous operating procedures;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21757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 </w:t>
      </w:r>
    </w:p>
    <w:p>
      <w:pPr>
        <w:pStyle w:val="TextBody"/>
        <w:bidi w:val="0"/>
        <w:spacing w:before="480" w:after="0"/>
        <w:jc w:val="center"/>
        <w:rPr>
          <w:rFonts w:ascii="Times New Roman" w:hAnsi="Times New Roman"/>
          <w:b/>
          <w:sz w:val="20"/>
        </w:rPr>
      </w:pPr>
      <w:bookmarkStart w:id="7" w:name="toc921757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pay quarterly dividends at an annualized rate of $1.32 per share, although each dividend is subject to approval by our Board of Directors. Our Board of Directors retains the right to change our dividend policy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921757_6"/>
      <w:bookmarkEnd w:id="8"/>
      <w:r>
        <w:rPr>
          <w:rFonts w:ascii="Times New Roman" w:hAnsi="Times New Roman"/>
          <w:b/>
          <w:sz w:val="20"/>
        </w:rPr>
        <w:t xml:space="preserve">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is included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w:t>
      </w:r>
    </w:p>
    <w:p>
      <w:pPr>
        <w:pStyle w:val="TextBody"/>
        <w:bidi w:val="0"/>
        <w:spacing w:before="240" w:after="0"/>
        <w:jc w:val="left"/>
        <w:rPr>
          <w:rFonts w:ascii="Times New Roman" w:hAnsi="Times New Roman"/>
          <w:sz w:val="20"/>
        </w:rPr>
      </w:pPr>
      <w:r>
        <w:rPr>
          <w:rFonts w:ascii="Times New Roman" w:hAnsi="Times New Roman"/>
          <w:sz w:val="20"/>
        </w:rPr>
        <w:t xml:space="preserve">You should look in the applicable prospectus supplement for the following terms of the debt securities being offered: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their principal amount (i.e., price)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debt securities will mature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per year,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for which you may purchase the debt securities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if any, within which, the price or prices of which, and the terms and conditions upon which the debt securities may be redeemed, in whole or in part, at our option or at your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payment of additional amounts for taxes and any provision for redemption, if we must pay such additional amounts in respect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may have to repay the debt securities early at your option and the price or prices in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pursuant to which the debt securities may be converted or exchanged for the cash value of other securities issued by us or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reopen a series of the debt securities and issue additional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including any additional events of default or covenants provided for with respect to the debt securities, and any terms which may be required by or advisable under applicable laws or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Aggregate Debt means, with respect to an Obligor, the sum of the following as of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Obligors Indebtedness incurred after the date of initial issuance of the senior debt securities and secured by Liens not permitted by the first sentence under Limitation on Liens Securing Indebtedness;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such Obligors Attributable Liens in respect of sale and lease-back transactions entered into after the date of the initial issuance of the senior debt securities pursuant to the second paragraph of Limitation on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Attributable Liens means in connection with a sale and lease-back transaction of an Obligor the lesser of: </w:t>
      </w:r>
    </w:p>
    <w:p>
      <w:pPr>
        <w:pStyle w:val="TextBody"/>
        <w:bidi w:val="0"/>
        <w:spacing w:before="240" w:after="0"/>
        <w:jc w:val="left"/>
        <w:rPr>
          <w:rFonts w:ascii="Times New Roman" w:hAnsi="Times New Roman"/>
          <w:sz w:val="20"/>
        </w:rPr>
      </w:pPr>
      <w:r>
        <w:rPr>
          <w:rFonts w:ascii="Times New Roman" w:hAnsi="Times New Roman"/>
          <w:sz w:val="20"/>
        </w:rPr>
        <w:t xml:space="preserve">(a) the fair market value of the assets subject to such transaction (as determined in good faith by our board of directors (in our case) or the equivalent governing body of any Guarantor); and </w:t>
      </w:r>
    </w:p>
    <w:p>
      <w:pPr>
        <w:pStyle w:val="TextBody"/>
        <w:bidi w:val="0"/>
        <w:spacing w:before="240" w:after="0"/>
        <w:jc w:val="left"/>
        <w:rPr>
          <w:rFonts w:ascii="Times New Roman" w:hAnsi="Times New Roman"/>
          <w:sz w:val="20"/>
        </w:rPr>
      </w:pPr>
      <w:r>
        <w:rPr>
          <w:rFonts w:ascii="Times New Roman" w:hAnsi="Times New Roman"/>
          <w:sz w:val="20"/>
        </w:rPr>
        <w:t xml:space="preserve">(b) 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 </w:t>
      </w:r>
    </w:p>
    <w:p>
      <w:pPr>
        <w:pStyle w:val="TextBody"/>
        <w:bidi w:val="0"/>
        <w:spacing w:before="240" w:after="0"/>
        <w:jc w:val="left"/>
        <w:rPr>
          <w:rFonts w:ascii="Times New Roman" w:hAnsi="Times New Roman"/>
          <w:sz w:val="20"/>
        </w:rPr>
      </w:pPr>
      <w:r>
        <w:rPr>
          <w:rFonts w:ascii="Times New Roman" w:hAnsi="Times New Roman"/>
          <w:sz w:val="20"/>
        </w:rPr>
        <w:t xml:space="preserve">Capital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Consolidated Net Worth of any Person means, as of any date of determination, stockholders equity or members capital of such Person as reflected on the most recent consolidated balance sheet of such Person and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 </w:t>
      </w:r>
    </w:p>
    <w:p>
      <w:pPr>
        <w:pStyle w:val="TextBody"/>
        <w:bidi w:val="0"/>
        <w:spacing w:before="240" w:after="0"/>
        <w:jc w:val="left"/>
        <w:rPr>
          <w:rFonts w:ascii="Times New Roman" w:hAnsi="Times New Roman"/>
          <w:sz w:val="20"/>
        </w:rPr>
      </w:pPr>
      <w:r>
        <w:rPr>
          <w:rFonts w:ascii="Times New Roman" w:hAnsi="Times New Roman"/>
          <w:sz w:val="20"/>
        </w:rPr>
        <w:t xml:space="preserve">Lien means any lien, security interest, charge or encumbrance of any kind (including any conditional sale or other title retention agreement, any lease in the nature thereof, and any agreement to give any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Obligor means us and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Permitted Liens means, with respect to an Obligor: </w:t>
      </w:r>
    </w:p>
    <w:p>
      <w:pPr>
        <w:pStyle w:val="TextBody"/>
        <w:bidi w:val="0"/>
        <w:spacing w:before="240" w:after="0"/>
        <w:jc w:val="left"/>
        <w:rPr>
          <w:rFonts w:ascii="Times New Roman" w:hAnsi="Times New Roman"/>
          <w:sz w:val="20"/>
        </w:rPr>
      </w:pPr>
      <w:r>
        <w:rPr>
          <w:rFonts w:ascii="Times New Roman" w:hAnsi="Times New Roman"/>
          <w:sz w:val="20"/>
        </w:rPr>
        <w:t xml:space="preserve">(a) 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(c)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(d) Liens for taxes not yet due or that are being contested in good faith by appropriate proceedings, provided that adequate reserves with respect thereto are maintained on such Obligors books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(e) Liens securing reimbursement obligations with respect to letters of credit that encumber documents and other Property relating to such letters of credit and the products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(f) 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 </w:t>
      </w:r>
    </w:p>
    <w:p>
      <w:pPr>
        <w:pStyle w:val="TextBody"/>
        <w:bidi w:val="0"/>
        <w:spacing w:before="240" w:after="0"/>
        <w:jc w:val="left"/>
        <w:rPr>
          <w:rFonts w:ascii="Times New Roman" w:hAnsi="Times New Roman"/>
          <w:sz w:val="20"/>
        </w:rPr>
      </w:pPr>
      <w:r>
        <w:rPr>
          <w:rFonts w:ascii="Times New Roman" w:hAnsi="Times New Roman"/>
          <w:sz w:val="20"/>
        </w:rPr>
        <w:t xml:space="preserve">(g) Liens in favor of us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(h)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(i)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pledges or deposits to secure obligations under workers compensation laws or similar legislation, including Liens of judgments thereunder which are not currently dischargeable; </w:t>
      </w:r>
    </w:p>
    <w:p>
      <w:pPr>
        <w:pStyle w:val="TextBody"/>
        <w:bidi w:val="0"/>
        <w:spacing w:before="240" w:after="0"/>
        <w:jc w:val="left"/>
        <w:rPr>
          <w:rFonts w:ascii="Times New Roman" w:hAnsi="Times New Roman"/>
          <w:sz w:val="20"/>
        </w:rPr>
      </w:pPr>
      <w:r>
        <w:rPr>
          <w:rFonts w:ascii="Times New Roman" w:hAnsi="Times New Roman"/>
          <w:sz w:val="20"/>
        </w:rPr>
        <w:t xml:space="preserve">(k) 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 </w:t>
      </w:r>
    </w:p>
    <w:p>
      <w:pPr>
        <w:pStyle w:val="TextBody"/>
        <w:bidi w:val="0"/>
        <w:spacing w:before="240" w:after="0"/>
        <w:jc w:val="left"/>
        <w:rPr>
          <w:rFonts w:ascii="Times New Roman" w:hAnsi="Times New Roman"/>
          <w:sz w:val="20"/>
        </w:rPr>
      </w:pPr>
      <w:r>
        <w:rPr>
          <w:rFonts w:ascii="Times New Roman" w:hAnsi="Times New Roman"/>
          <w:sz w:val="20"/>
        </w:rPr>
        <w:t xml:space="preserve">(l) Liens consisting of deposits of Property to secure such Obligors statutory obligations in the ordinary course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Liens consisting of deposits of Property to secure (or in lieu of) surety, appeal or customs bonds in proceedings to which such Obligor is a party in the ordinary course of its business, but not in excess of $25,000,000; </w:t>
      </w:r>
    </w:p>
    <w:p>
      <w:pPr>
        <w:pStyle w:val="TextBody"/>
        <w:bidi w:val="0"/>
        <w:spacing w:before="240" w:after="0"/>
        <w:jc w:val="left"/>
        <w:rPr>
          <w:rFonts w:ascii="Times New Roman" w:hAnsi="Times New Roman"/>
          <w:sz w:val="20"/>
        </w:rPr>
      </w:pPr>
      <w:r>
        <w:rPr>
          <w:rFonts w:ascii="Times New Roman" w:hAnsi="Times New Roman"/>
          <w:sz w:val="20"/>
        </w:rPr>
        <w:t xml:space="preserve">(n) Liens on margin stock (as defined in Regulation U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(o) Liens permitted under sale and lease-back transactions, and any renewals or extensions thereof, so long as the Indebtedness secured thereby does not exceed $300,000,000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(p) Liens arising in connection with asset securitization transactions, so long as the aggregate outstanding principal amount of the obligations of all Obligors secured thereby does not exceed $300,000,000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(q) 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 </w:t>
      </w:r>
    </w:p>
    <w:p>
      <w:pPr>
        <w:pStyle w:val="TextBody"/>
        <w:bidi w:val="0"/>
        <w:spacing w:before="240" w:after="0"/>
        <w:jc w:val="left"/>
        <w:rPr>
          <w:rFonts w:ascii="Times New Roman" w:hAnsi="Times New Roman"/>
          <w:sz w:val="20"/>
        </w:rPr>
      </w:pPr>
      <w:r>
        <w:rPr>
          <w:rFonts w:ascii="Times New Roman" w:hAnsi="Times New Roman"/>
          <w:sz w:val="20"/>
        </w:rPr>
        <w:t xml:space="preserve">(r) 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(s) Take-or-pay obligations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Person means any individual, corporation, limited liability company, partnership, joint venture, association, joint stock company, trust, unincorporated organization, or any other entity, including any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Property means with respect to any Person any property or asset, whether real, personal or mixed, or tangible or intangible, including shares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Liens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the date of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after the date of initial issuance of the senior debt securities of such series, created in favor of the registered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such Obligor of any Property by one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will expressly assume all of our obligations under the senior debt securities and the indenture and will execute a supplemental indenture, in a form satisfactory to the trustee, which will be delivered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or series of transactions on a pro forma basis, no default has occurred and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third bullet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will constitute an event of default in the senior indenture with respect to the senior debt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(a) default in paying interest on the senior debt securities of such series when it becomes due and the default continues for a period of 30 days or more; </w:t>
      </w:r>
    </w:p>
    <w:p>
      <w:pPr>
        <w:pStyle w:val="TextBody"/>
        <w:bidi w:val="0"/>
        <w:spacing w:before="240" w:after="0"/>
        <w:jc w:val="left"/>
        <w:rPr>
          <w:rFonts w:ascii="Times New Roman" w:hAnsi="Times New Roman"/>
          <w:sz w:val="20"/>
        </w:rPr>
      </w:pPr>
      <w:r>
        <w:rPr>
          <w:rFonts w:ascii="Times New Roman" w:hAnsi="Times New Roman"/>
          <w:sz w:val="20"/>
        </w:rPr>
        <w:t xml:space="preserve">(b) default in paying principal on the senior debt securities of such series when due; </w:t>
      </w:r>
    </w:p>
    <w:p>
      <w:pPr>
        <w:pStyle w:val="TextBody"/>
        <w:bidi w:val="0"/>
        <w:spacing w:before="240" w:after="0"/>
        <w:jc w:val="left"/>
        <w:rPr>
          <w:rFonts w:ascii="Times New Roman" w:hAnsi="Times New Roman"/>
          <w:sz w:val="20"/>
        </w:rPr>
      </w:pPr>
      <w:r>
        <w:rPr>
          <w:rFonts w:ascii="Times New Roman" w:hAnsi="Times New Roman"/>
          <w:sz w:val="20"/>
        </w:rPr>
        <w:t xml:space="preserve">(c) 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(d) certain events of bankruptcy, insolvency, reorganization, administration or similar proceedings with respect to us or any Obligor have occurred; or </w:t>
      </w:r>
    </w:p>
    <w:p>
      <w:pPr>
        <w:pStyle w:val="TextBody"/>
        <w:bidi w:val="0"/>
        <w:spacing w:before="240" w:after="0"/>
        <w:jc w:val="left"/>
        <w:rPr>
          <w:rFonts w:ascii="Times New Roman" w:hAnsi="Times New Roman"/>
          <w:sz w:val="20"/>
        </w:rPr>
      </w:pPr>
      <w:r>
        <w:rPr>
          <w:rFonts w:ascii="Times New Roman" w:hAnsi="Times New Roman"/>
          <w:sz w:val="20"/>
        </w:rPr>
        <w:t xml:space="preserve">(e) any Guarantee shall not be (or shall be claimed by the relevant Guarantor not to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furnish to the trustee an annual statement as to compliance with all conditions and covenants under the senior indenture within 120 days of the end of each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and the obligations of the Guarantors under the indenture with respect to the senior debt securities of any series and the Guarantees of such series of senior debt securities,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that have been authenticated and delivered have been canceled or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with respect to the senior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senior debt securities of such series to receive principal or interest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provisions relating to the resignation and removal of the trustee and the appointment of a successor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senior debt securities and Guarantees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(measured with respect to the scheduled payments of principal and interest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cash and U.S. Government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senior debt securities of such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with respect to the legal defeasance or covenant defeasance have been complied with.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the Guarantors and the trustee may amend or modify the senior indenture or the senior debt securities of any series without notice to or the consent of any holder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ambiguities, omissions, defects or inconsistencies in the senior indenture in a manner that does not adversely affect the interests of the holders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add guarantors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senior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our successor, if any, to our or their obligations to holders of any outstanding senior debt securities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Debt Securities and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senior debt securities of such series or alter or waive the redemption provisions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of the senior debt securities of such series to receive payment of principal or interest on the senior debt securities of such series on and after the due dates for such principal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senior debt securities of such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senior debt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including any Guarantee, and each senior debt security is governed by and construed in accordance with the laws of the State of New York.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senior indenture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21757_7"/>
      <w:bookmarkEnd w:id="9"/>
      <w:r>
        <w:rPr>
          <w:rFonts w:ascii="Times New Roman" w:hAnsi="Times New Roman"/>
          <w:b/>
          <w:sz w:val="20"/>
        </w:rPr>
        <w:t xml:space="preserve">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21757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pay quarterly dividends at an annualized rate of $1.32 per share, although each dividend is subject to approval by our Board of Directors. See Dividend Policy above.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Shareholder </w:t>
      </w:r>
    </w:p>
    <w:p>
      <w:pPr>
        <w:pStyle w:val="TextBody"/>
        <w:bidi w:val="0"/>
        <w:spacing w:before="120" w:after="0"/>
        <w:jc w:val="left"/>
        <w:rPr>
          <w:rFonts w:ascii="Times New Roman" w:hAnsi="Times New Roman"/>
          <w:sz w:val="20"/>
        </w:rPr>
      </w:pPr>
      <w:r>
        <w:rPr>
          <w:rFonts w:ascii="Times New Roman" w:hAnsi="Times New Roman"/>
          <w:sz w:val="20"/>
        </w:rPr>
        <w:t xml:space="preserve">Brian L. Roberts, our Chairman and Chief Executive Officer,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December 31, 2024, if Mr. Roberts were to convert the Class B common stock he beneficially owns into Class A common stock, Mr. Roberts would beneficially own approximately 1% of the Class A common stock that would be outstanding after the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of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Class B common stock is convertible share for share into Class A common stock, subject to certain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Preference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 </w:t>
      </w:r>
    </w:p>
    <w:p>
      <w:pPr>
        <w:pStyle w:val="TextBody"/>
        <w:bidi w:val="0"/>
        <w:spacing w:before="360" w:after="0"/>
        <w:jc w:val="left"/>
        <w:rPr>
          <w:rFonts w:ascii="Times New Roman" w:hAnsi="Times New Roman"/>
          <w:b/>
          <w:sz w:val="20"/>
        </w:rPr>
      </w:pPr>
      <w:r>
        <w:rPr>
          <w:rFonts w:ascii="Times New Roman" w:hAnsi="Times New Roman"/>
          <w:b/>
          <w:sz w:val="20"/>
        </w:rPr>
        <w:t xml:space="preserve">Mergers, Consolidations, Etc.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LLC D/B/A EQ Shareowner Services, P.O. Box 64854, St. Paul, Minnesota 55164-0854. Its telephone number is (888) 883-8903.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921757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 holders may sell the securities being offered hereby in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customers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agent or dealer utilized in the initial offering of securities will not confirm sales to accounts over which it exercises discretionary authority without the prior specific written approval of its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21757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 </w:t>
      </w:r>
    </w:p>
    <w:p>
      <w:pPr>
        <w:pStyle w:val="TextBody"/>
        <w:bidi w:val="0"/>
        <w:spacing w:before="480" w:after="0"/>
        <w:jc w:val="center"/>
        <w:rPr>
          <w:rFonts w:ascii="Times New Roman" w:hAnsi="Times New Roman"/>
          <w:b/>
          <w:sz w:val="20"/>
        </w:rPr>
      </w:pPr>
      <w:bookmarkStart w:id="13" w:name="toc921757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2024 and 2023, and for each of the three years in the period ended December 31, 2024, incorporated by reference in this Prospectus by reference to Comcast Corporations annual report on Form 10-K for the year ended December 31, 2024,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 </w:t>
      </w:r>
    </w:p>
    <w:p>
      <w:pPr>
        <w:pStyle w:val="TextBody"/>
        <w:bidi w:val="0"/>
        <w:spacing w:before="480" w:after="0"/>
        <w:jc w:val="center"/>
        <w:rPr>
          <w:rFonts w:ascii="Times New Roman" w:hAnsi="Times New Roman"/>
          <w:b/>
          <w:sz w:val="20"/>
        </w:rPr>
      </w:pPr>
      <w:bookmarkStart w:id="14" w:name="toc921757_12"/>
      <w:bookmarkEnd w:id="14"/>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921757_13"/>
      <w:bookmarkEnd w:id="15"/>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Comcasts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on January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of Comcasts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for the 2024 annual meeting of shareholders incorporated by reference in Comcasts Annual Report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included in Item 3.02 under the caption Amended and Restated Description of our Class A Common Stock in Comcasts Current Report on </w:t>
            </w:r>
            <w:hyperlink r:id="rId6">
              <w:r>
                <w:rPr>
                  <w:rStyle w:val="InternetLink"/>
                  <w:rFonts w:ascii="Times New Roman" w:hAnsi="Times New Roman"/>
                  <w:sz w:val="20"/>
                </w:rPr>
                <w:t>Form 8-K</w:t>
              </w:r>
            </w:hyperlink>
            <w:r>
              <w:rPr>
                <w:rFonts w:ascii="Times New Roman" w:hAnsi="Times New Roman"/>
                <w:sz w:val="20"/>
              </w:rPr>
              <w:t xml:space="preserve"> filed on December 15, 2015, as the same may be further amended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payable by the Registrants in connection with this Registration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76"/>
        <w:gridCol w:w="606"/>
        <w:gridCol w:w="434"/>
        <w:gridCol w:w="1014"/>
        <w:gridCol w:w="209"/>
      </w:tblGrid>
      <w:tr>
        <w:trPr/>
        <w:tc>
          <w:tcPr>
            <w:tcW w:w="4676"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to be</w:t>
              <w:br/>
              <w:t>paid</w:t>
            </w:r>
          </w:p>
        </w:tc>
        <w:tc>
          <w:tcPr>
            <w:tcW w:w="209"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Registration fee</w:t>
            </w:r>
          </w:p>
        </w:tc>
        <w:tc>
          <w:tcPr>
            <w:tcW w:w="60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60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w:t>
            </w:r>
          </w:p>
        </w:tc>
        <w:tc>
          <w:tcPr>
            <w:tcW w:w="209"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fees</w:t>
            </w:r>
          </w:p>
        </w:tc>
        <w:tc>
          <w:tcPr>
            <w:tcW w:w="60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09"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60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w:t>
            </w:r>
          </w:p>
        </w:tc>
        <w:tc>
          <w:tcPr>
            <w:tcW w:w="209"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60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09" w:type="dxa"/>
            <w:tcBorders/>
            <w:shd w:fill="CCEEFF" w:val="clear"/>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6"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w:t>
            </w:r>
          </w:p>
        </w:tc>
        <w:tc>
          <w:tcPr>
            <w:tcW w:w="209" w:type="dxa"/>
            <w:tcBorders/>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because the registration fee is being deferred pursuant to Rule 456(b).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left"/>
        <w:rPr>
          <w:rFonts w:ascii="Times New Roman" w:hAnsi="Times New Roman"/>
          <w:sz w:val="20"/>
        </w:rPr>
      </w:pPr>
      <w:r>
        <w:rPr>
          <w:rFonts w:ascii="Times New Roman" w:hAnsi="Times New Roman"/>
          <w:sz w:val="20"/>
        </w:rPr>
        <w:t xml:space="preserve">Indemnification under Pennsylvania Law and Comcasts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Sections 1741 through 1750 of Subchapter D, Chapter 17, of the Pennsylvania Business Corporation Law of 1988, as amended (PBCL), contain provisions for mandatory and discretionary indemnification of a corporations directors, officers and other personnel,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1743 of the PBCL, indemnification is mandatory to the extent that the officer or director has been successful on the merits or otherwise in defense of any action or proceeding referred to in Section 1741 or 1742 of the PBCL.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 </w:t>
      </w:r>
    </w:p>
    <w:p>
      <w:pPr>
        <w:pStyle w:val="TextBody"/>
        <w:bidi w:val="0"/>
        <w:spacing w:before="240" w:after="0"/>
        <w:jc w:val="left"/>
        <w:rPr>
          <w:rFonts w:ascii="Times New Roman" w:hAnsi="Times New Roman"/>
          <w:sz w:val="20"/>
        </w:rPr>
      </w:pPr>
      <w:r>
        <w:rPr>
          <w:rFonts w:ascii="Times New Roman" w:hAnsi="Times New Roman"/>
          <w:sz w:val="20"/>
        </w:rPr>
        <w:t xml:space="preserve">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statements are subject to the detailed provisions of the PBCL and to the applicable provisions of the Registrants charter, by-laws and indemnification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Comcast Cable Communications, LLC </w:t>
      </w:r>
    </w:p>
    <w:p>
      <w:pPr>
        <w:pStyle w:val="TextBody"/>
        <w:bidi w:val="0"/>
        <w:spacing w:before="120" w:after="0"/>
        <w:jc w:val="left"/>
        <w:rPr>
          <w:rFonts w:ascii="Times New Roman" w:hAnsi="Times New Roman"/>
          <w:sz w:val="20"/>
        </w:rPr>
      </w:pPr>
      <w:r>
        <w:rPr>
          <w:rFonts w:ascii="Times New Roman" w:hAnsi="Times New Roman"/>
          <w:sz w:val="20"/>
        </w:rPr>
        <w:t xml:space="preserve">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 </w:t>
      </w:r>
    </w:p>
    <w:p>
      <w:pPr>
        <w:pStyle w:val="TextBody"/>
        <w:bidi w:val="0"/>
        <w:spacing w:before="240" w:after="0"/>
        <w:jc w:val="left"/>
        <w:rPr>
          <w:rFonts w:ascii="Times New Roman" w:hAnsi="Times New Roman"/>
          <w:sz w:val="20"/>
        </w:rPr>
      </w:pPr>
      <w:r>
        <w:rPr>
          <w:rFonts w:ascii="Times New Roman" w:hAnsi="Times New Roman"/>
          <w:sz w:val="20"/>
        </w:rPr>
        <w:t xml:space="preserve">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18.4 of Comcast Cables LLC Agreement provides that Comcast Cable may purchase and maintain insurance on behalf of any person who is or was an Indemnified Person or Other Person against 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asserted against him or her and incurred by him or her in any such capacity, or arising out of his or her status as such, whether or not Comcast Cable would have the power to indemnify him or her against such liability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NBCUniversal Media, LLC </w:t>
      </w:r>
    </w:p>
    <w:p>
      <w:pPr>
        <w:pStyle w:val="TextBody"/>
        <w:bidi w:val="0"/>
        <w:spacing w:before="120" w:after="0"/>
        <w:jc w:val="left"/>
        <w:rPr>
          <w:rFonts w:ascii="Times New Roman" w:hAnsi="Times New Roman"/>
          <w:sz w:val="20"/>
        </w:rPr>
      </w:pPr>
      <w:r>
        <w:rPr>
          <w:rFonts w:ascii="Times New Roman" w:hAnsi="Times New Roman"/>
          <w:sz w:val="20"/>
        </w:rPr>
        <w:t xml:space="preserve">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 </w:t>
      </w:r>
    </w:p>
    <w:p>
      <w:pPr>
        <w:pStyle w:val="TextBody"/>
        <w:bidi w:val="0"/>
        <w:spacing w:before="240" w:after="0"/>
        <w:jc w:val="left"/>
        <w:rPr>
          <w:rFonts w:ascii="Times New Roman" w:hAnsi="Times New Roman"/>
          <w:sz w:val="20"/>
        </w:rPr>
      </w:pPr>
      <w:r>
        <w:rPr>
          <w:rFonts w:ascii="Times New Roman" w:hAnsi="Times New Roman"/>
          <w:sz w:val="20"/>
        </w:rPr>
        <w:t xml:space="preserve">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exhibits are filed as part of this Registration Statement: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
        <w:gridCol w:w="604"/>
        <w:gridCol w:w="8735"/>
      </w:tblGrid>
      <w:tr>
        <w:trPr/>
        <w:tc>
          <w:tcPr>
            <w:tcW w:w="866"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4" w:type="dxa"/>
            <w:tcBorders/>
            <w:vAlign w:val="bottom"/>
          </w:tcPr>
          <w:p>
            <w:pPr>
              <w:pStyle w:val="TableContents"/>
              <w:bidi w:val="0"/>
              <w:spacing w:before="0" w:after="283"/>
              <w:jc w:val="left"/>
              <w:rPr/>
            </w:pPr>
            <w:r>
              <w:rPr/>
              <w:t>  </w:t>
            </w:r>
          </w:p>
        </w:tc>
        <w:tc>
          <w:tcPr>
            <w:tcW w:w="87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1.1</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w:anchor="d921757dex11.htm">
              <w:r>
                <w:rPr>
                  <w:rStyle w:val="InternetLink"/>
                </w:rPr>
                <w:t>Form of Underwriting Agreement (Debt Securities)*</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1.2</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w:anchor="d921757dex12.htm">
              <w:r>
                <w:rPr>
                  <w:rStyle w:val="InternetLink"/>
                </w:rPr>
                <w:t>Form of Underwriting Agreement Standard Provisions (Debt Securities)*</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1.3</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Underwriting Agreement (Preferred Stock, Depositary Shares, Common Stock, Warrants, Purchase Contracts and Units)**</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4.1</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r:id="rId7">
              <w:r>
                <w:rPr>
                  <w:rStyle w:val="InternetLink"/>
                </w:rPr>
                <w:t>Specimen Class A Common Stock Certificate (incorporated by reference to Comcasts Annual Report on Form 10-K for the year ended December 31, 2002, filed on March 20, 2003)</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4.2</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r:id="rId8">
              <w:r>
                <w:rPr>
                  <w:rStyle w:val="InternetLink"/>
                </w:rPr>
                <w:t>Senior Indenture dated September  18, 2013 among the Company, the guarantors party thereto and The Bank of New York Mellon, as Trustee (incorporated by reference to Comcasts Registration Statement on Form S-3, as amended, filed on September 18, 2013)</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4.3</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r:id="rId9">
              <w:r>
                <w:rPr>
                  <w:rStyle w:val="InternetLink"/>
                </w:rPr>
                <w:t>First Supplemental Indenture dated November  17, 2015 among the Company, the guarantors party thereto and The Bank of New York Mellon, as Trustee (incorporated by reference to Comcasts Registration Statement on Form S-3, filed on November  23, 2015)</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4.4</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r:id="rId10">
              <w:r>
                <w:rPr>
                  <w:rStyle w:val="InternetLink"/>
                </w:rPr>
                <w:t>Second Supplemental Indenture dated July  29, 2022 among the Company, the guarantors party thereto and The Bank of New York Mellon, as Trustee (incorporated by reference to Comcasts Registration Statement on Form S-3, filed on July 29, 2022)</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4.5</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hyperlink w:anchor="d921757dex45.htm">
              <w:r>
                <w:rPr>
                  <w:rStyle w:val="InternetLink"/>
                </w:rPr>
                <w:t>Form of Senior Debt Security*</w:t>
              </w:r>
            </w:hyperlink>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4.6</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Purchase Contract Agreement relating to Purchase Contracts**</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4.7</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Unit Agreement**</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4.8</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Warrant Agreement for Warrants sold separately**</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4.9</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Warrant for Warrants sold separately**</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4.10</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Warrant Agreement for Warrants sold attached to other Securities**</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4.11</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Warrant for Warrants sold attached to other Securities**</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4.12</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Pledge Agreement**</w:t>
            </w:r>
          </w:p>
        </w:tc>
      </w:tr>
      <w:tr>
        <w:trPr>
          <w:trHeight w:val="120" w:hRule="atLeast"/>
        </w:trPr>
        <w:tc>
          <w:tcPr>
            <w:tcW w:w="866" w:type="dxa"/>
            <w:tcBorders/>
            <w:vAlign w:val="center"/>
          </w:tcPr>
          <w:p>
            <w:pPr>
              <w:pStyle w:val="TableContents"/>
              <w:bidi w:val="0"/>
              <w:spacing w:before="0" w:after="283"/>
              <w:jc w:val="left"/>
              <w:rPr>
                <w:sz w:val="4"/>
                <w:szCs w:val="4"/>
              </w:rPr>
            </w:pPr>
            <w:r>
              <w:rPr>
                <w:sz w:val="4"/>
                <w:szCs w:val="4"/>
              </w:rPr>
            </w:r>
          </w:p>
        </w:tc>
        <w:tc>
          <w:tcPr>
            <w:tcW w:w="9339" w:type="dxa"/>
            <w:gridSpan w:val="2"/>
            <w:tcBorders/>
            <w:vAlign w:val="center"/>
          </w:tcPr>
          <w:p>
            <w:pPr>
              <w:pStyle w:val="TableContents"/>
              <w:bidi w:val="0"/>
              <w:spacing w:before="0" w:after="283"/>
              <w:jc w:val="left"/>
              <w:rPr>
                <w:sz w:val="4"/>
                <w:szCs w:val="4"/>
              </w:rPr>
            </w:pPr>
            <w:r>
              <w:rPr>
                <w:sz w:val="4"/>
                <w:szCs w:val="4"/>
              </w:rPr>
            </w:r>
          </w:p>
        </w:tc>
      </w:tr>
      <w:tr>
        <w:trPr/>
        <w:tc>
          <w:tcPr>
            <w:tcW w:w="866" w:type="dxa"/>
            <w:tcBorders/>
          </w:tcPr>
          <w:p>
            <w:pPr>
              <w:pStyle w:val="TableContents"/>
              <w:bidi w:val="0"/>
              <w:spacing w:before="0" w:after="283"/>
              <w:jc w:val="left"/>
              <w:rPr/>
            </w:pPr>
            <w:r>
              <w:rPr/>
              <w:t>  </w:t>
            </w:r>
            <w:r>
              <w:rPr/>
              <w:t>4.13</w:t>
            </w:r>
          </w:p>
        </w:tc>
        <w:tc>
          <w:tcPr>
            <w:tcW w:w="604"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Form of Deposit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9"/>
        <w:gridCol w:w="595"/>
        <w:gridCol w:w="8751"/>
      </w:tblGrid>
      <w:tr>
        <w:trPr/>
        <w:tc>
          <w:tcPr>
            <w:tcW w:w="859"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95" w:type="dxa"/>
            <w:tcBorders/>
            <w:vAlign w:val="bottom"/>
          </w:tcPr>
          <w:p>
            <w:pPr>
              <w:pStyle w:val="TableContents"/>
              <w:bidi w:val="0"/>
              <w:spacing w:before="0" w:after="283"/>
              <w:jc w:val="left"/>
              <w:rPr/>
            </w:pPr>
            <w:r>
              <w:rPr/>
              <w:t>  </w:t>
            </w:r>
          </w:p>
        </w:tc>
        <w:tc>
          <w:tcPr>
            <w:tcW w:w="875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4.14</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r>
              <w:rPr/>
              <w:t>Form of Depositary Share**</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4.15</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r>
              <w:rPr/>
              <w:t>Form of Guarantee (Warrants, Purchase Contracts and Units)**</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5.1</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51.htm">
              <w:r>
                <w:rPr>
                  <w:rStyle w:val="InternetLink"/>
                </w:rPr>
                <w:t>Opinion of Elizabeth Wideman, Esquire*</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5.2</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52.htm">
              <w:r>
                <w:rPr>
                  <w:rStyle w:val="InternetLink"/>
                </w:rPr>
                <w:t>Opinion of Davis Polk &amp; Wardwell LLP*</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22.1</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11">
              <w:r>
                <w:rPr>
                  <w:rStyle w:val="InternetLink"/>
                </w:rPr>
                <w:t>Subsidiary guarantors and issuers of guaranteed securities and affiliates whose securities collateralize securities of the registrant (incorporated by reference to Exhibit 22 to Comcasts Annual Report on Form 10-K for the year ended December 31, 2024)</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23.1</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231.htm">
              <w:r>
                <w:rPr>
                  <w:rStyle w:val="InternetLink"/>
                </w:rPr>
                <w:t>Consent of Deloitte &amp; Touche LLP*</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23.2</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51.htm">
              <w:r>
                <w:rPr>
                  <w:rStyle w:val="InternetLink"/>
                </w:rPr>
                <w:t xml:space="preserve">Consent of Elizabeth Wideman, Esquire (included in Exhibit 5.1) </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23.3</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52.htm">
              <w:r>
                <w:rPr>
                  <w:rStyle w:val="InternetLink"/>
                </w:rPr>
                <w:t xml:space="preserve">Consent of Davis Polk &amp; Wardwell LLP (included in Exhibit 5.2) </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24.1</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sig">
              <w:r>
                <w:rPr>
                  <w:rStyle w:val="InternetLink"/>
                </w:rPr>
                <w:t xml:space="preserve">Powers of Attorney (included on the signature pages hereof) </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25.1</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251.htm">
              <w:r>
                <w:rPr>
                  <w:rStyle w:val="InternetLink"/>
                </w:rPr>
                <w:t>Statement of Eligibility under the Trust Indenture Act of 1939, as amended, of The Bank of New York Mellon, as Trustee under the Senior Indenture, dated as of September 18, 2013*</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107</w:t>
            </w:r>
          </w:p>
        </w:tc>
        <w:tc>
          <w:tcPr>
            <w:tcW w:w="595"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w:anchor="d921757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Current Report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registrants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registrants under the Securities Act of 1933 to any purchaser in the initial distribution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registrants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registrants or used or referred to by the undersigned registrants;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registrants or their securities provided by or on behalf of the undersigned registrants;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registrants to the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 that, for purposes of determining any liability under the Securities Act of 1933, each filing of Comcast Corporations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registrants pursuant to the foregoing provisions,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AND POWER OF ATTORNEY FOR COMCAST CORPORATION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February 28,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COMCAST CORPORATION</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J. REID    </w:t>
            </w:r>
          </w:p>
        </w:tc>
      </w:tr>
      <w:tr>
        <w:trPr/>
        <w:tc>
          <w:tcPr>
            <w:tcW w:w="644" w:type="dxa"/>
            <w:tcBorders/>
            <w:vAlign w:val="bottom"/>
          </w:tcPr>
          <w:p>
            <w:pPr>
              <w:pStyle w:val="TableContents"/>
              <w:bidi w:val="0"/>
              <w:spacing w:before="0" w:after="283"/>
              <w:jc w:val="left"/>
              <w:rPr>
                <w:sz w:val="20"/>
              </w:rPr>
            </w:pPr>
            <w:r>
              <w:rPr>
                <w:sz w:val="20"/>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center"/>
              <w:rPr>
                <w:b/>
              </w:rPr>
            </w:pPr>
            <w:r>
              <w:rPr>
                <w:b/>
              </w:rPr>
              <w:t>Thomas J. Reid</w:t>
            </w:r>
          </w:p>
        </w:tc>
      </w:tr>
      <w:tr>
        <w:trPr/>
        <w:tc>
          <w:tcPr>
            <w:tcW w:w="644" w:type="dxa"/>
            <w:tcBorders/>
            <w:vAlign w:val="bottom"/>
          </w:tcPr>
          <w:p>
            <w:pPr>
              <w:pStyle w:val="TableContents"/>
              <w:bidi w:val="0"/>
              <w:spacing w:before="0" w:after="283"/>
              <w:jc w:val="left"/>
              <w:rPr>
                <w:sz w:val="20"/>
              </w:rPr>
            </w:pPr>
            <w:r>
              <w:rPr>
                <w:sz w:val="20"/>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center"/>
              <w:rPr>
                <w:b/>
              </w:rPr>
            </w:pPr>
            <w:r>
              <w:rPr>
                <w:b/>
              </w:rPr>
              <w:t>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32"/>
        <w:gridCol w:w="120"/>
        <w:gridCol w:w="4551"/>
        <w:gridCol w:w="205"/>
        <w:gridCol w:w="1697"/>
      </w:tblGrid>
      <w:tr>
        <w:trPr/>
        <w:tc>
          <w:tcPr>
            <w:tcW w:w="36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1"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63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55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5" w:type="dxa"/>
            <w:tcBorders/>
            <w:vAlign w:val="bottom"/>
          </w:tcPr>
          <w:p>
            <w:pPr>
              <w:pStyle w:val="TableContents"/>
              <w:bidi w:val="0"/>
              <w:spacing w:before="0" w:after="283"/>
              <w:jc w:val="left"/>
              <w:rPr/>
            </w:pPr>
            <w:r>
              <w:rPr/>
              <w:t> </w:t>
            </w:r>
          </w:p>
        </w:tc>
        <w:tc>
          <w:tcPr>
            <w:tcW w:w="16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L. ROBERTS    </w:t>
            </w:r>
          </w:p>
          <w:p>
            <w:pPr>
              <w:pStyle w:val="TableContents"/>
              <w:bidi w:val="0"/>
              <w:spacing w:before="0" w:after="20"/>
              <w:jc w:val="center"/>
              <w:rPr>
                <w:rFonts w:ascii="Times New Roman" w:hAnsi="Times New Roman"/>
                <w:b/>
                <w:sz w:val="16"/>
              </w:rPr>
            </w:pPr>
            <w:r>
              <w:rPr>
                <w:rFonts w:ascii="Times New Roman" w:hAnsi="Times New Roman"/>
                <w:b/>
                <w:sz w:val="16"/>
              </w:rPr>
              <w:t>Brian L. Roberts</w:t>
            </w:r>
          </w:p>
        </w:tc>
        <w:tc>
          <w:tcPr>
            <w:tcW w:w="120" w:type="dxa"/>
            <w:tcBorders/>
            <w:vAlign w:val="bottom"/>
          </w:tcPr>
          <w:p>
            <w:pPr>
              <w:pStyle w:val="TableContents"/>
              <w:bidi w:val="0"/>
              <w:spacing w:before="0" w:after="283"/>
              <w:jc w:val="left"/>
              <w:rPr/>
            </w:pPr>
            <w:r>
              <w:rPr/>
              <w:t>  </w:t>
            </w:r>
          </w:p>
        </w:tc>
        <w:tc>
          <w:tcPr>
            <w:tcW w:w="4551" w:type="dxa"/>
            <w:tcBorders/>
            <w:vAlign w:val="bottom"/>
          </w:tcPr>
          <w:p>
            <w:pPr>
              <w:pStyle w:val="TableContents"/>
              <w:bidi w:val="0"/>
              <w:spacing w:before="0" w:after="283"/>
              <w:jc w:val="center"/>
              <w:rPr>
                <w:sz w:val="20"/>
              </w:rPr>
            </w:pPr>
            <w:r>
              <w:rPr>
                <w:sz w:val="20"/>
              </w:rPr>
              <w:t>Chairman and Chief Executive Officer; Director (Principal Executive Officer)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ARMSTRONG    </w:t>
            </w:r>
          </w:p>
          <w:p>
            <w:pPr>
              <w:pStyle w:val="TableContents"/>
              <w:bidi w:val="0"/>
              <w:spacing w:before="0" w:after="20"/>
              <w:jc w:val="center"/>
              <w:rPr>
                <w:rFonts w:ascii="Times New Roman" w:hAnsi="Times New Roman"/>
                <w:b/>
                <w:sz w:val="16"/>
              </w:rPr>
            </w:pPr>
            <w:r>
              <w:rPr>
                <w:rFonts w:ascii="Times New Roman" w:hAnsi="Times New Roman"/>
                <w:b/>
                <w:sz w:val="16"/>
              </w:rPr>
              <w:t>Jason S. Armstrong</w:t>
            </w:r>
          </w:p>
        </w:tc>
        <w:tc>
          <w:tcPr>
            <w:tcW w:w="120" w:type="dxa"/>
            <w:tcBorders/>
            <w:vAlign w:val="bottom"/>
          </w:tcPr>
          <w:p>
            <w:pPr>
              <w:pStyle w:val="TableContents"/>
              <w:bidi w:val="0"/>
              <w:spacing w:before="0" w:after="283"/>
              <w:jc w:val="left"/>
              <w:rPr/>
            </w:pPr>
            <w:r>
              <w:rPr/>
              <w:t>  </w:t>
            </w:r>
          </w:p>
        </w:tc>
        <w:tc>
          <w:tcPr>
            <w:tcW w:w="4551" w:type="dxa"/>
            <w:tcBorders/>
            <w:vAlign w:val="bottom"/>
          </w:tcPr>
          <w:p>
            <w:pPr>
              <w:pStyle w:val="TableContents"/>
              <w:bidi w:val="0"/>
              <w:spacing w:before="0" w:after="283"/>
              <w:jc w:val="center"/>
              <w:rPr>
                <w:sz w:val="20"/>
              </w:rPr>
            </w:pPr>
            <w:r>
              <w:rPr>
                <w:sz w:val="20"/>
              </w:rPr>
              <w:t>Chief Financial Officer</w:t>
              <w:br/>
              <w:t>(Principal Financial Officer)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MURDOCK    </w:t>
            </w:r>
          </w:p>
          <w:p>
            <w:pPr>
              <w:pStyle w:val="TableContents"/>
              <w:bidi w:val="0"/>
              <w:spacing w:before="0" w:after="20"/>
              <w:jc w:val="center"/>
              <w:rPr>
                <w:rFonts w:ascii="Times New Roman" w:hAnsi="Times New Roman"/>
                <w:b/>
                <w:sz w:val="16"/>
              </w:rPr>
            </w:pPr>
            <w:r>
              <w:rPr>
                <w:rFonts w:ascii="Times New Roman" w:hAnsi="Times New Roman"/>
                <w:b/>
                <w:sz w:val="16"/>
              </w:rPr>
              <w:t>Daniel C. Murdock</w:t>
            </w:r>
          </w:p>
        </w:tc>
        <w:tc>
          <w:tcPr>
            <w:tcW w:w="120" w:type="dxa"/>
            <w:tcBorders/>
            <w:vAlign w:val="bottom"/>
          </w:tcPr>
          <w:p>
            <w:pPr>
              <w:pStyle w:val="TableContents"/>
              <w:bidi w:val="0"/>
              <w:spacing w:before="0" w:after="283"/>
              <w:jc w:val="left"/>
              <w:rPr/>
            </w:pPr>
            <w:r>
              <w:rPr/>
              <w:t>  </w:t>
            </w:r>
          </w:p>
        </w:tc>
        <w:tc>
          <w:tcPr>
            <w:tcW w:w="4551" w:type="dxa"/>
            <w:tcBorders/>
            <w:vAlign w:val="bottom"/>
          </w:tcPr>
          <w:p>
            <w:pPr>
              <w:pStyle w:val="TableContents"/>
              <w:bidi w:val="0"/>
              <w:spacing w:before="0" w:after="283"/>
              <w:jc w:val="center"/>
              <w:rPr>
                <w:sz w:val="20"/>
              </w:rPr>
            </w:pPr>
            <w:r>
              <w:rPr>
                <w:sz w:val="20"/>
              </w:rPr>
              <w:t>Executive Vice President, Chief Accounting</w:t>
              <w:br/>
              <w:t>Officer and Controller</w:t>
              <w:br/>
              <w:t>(Principal Accounting Officer)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/s/ KENNETH J. BACON    </w:t>
            </w:r>
          </w:p>
          <w:p>
            <w:pPr>
              <w:pStyle w:val="TableContents"/>
              <w:bidi w:val="0"/>
              <w:spacing w:before="0" w:after="20"/>
              <w:jc w:val="center"/>
              <w:rPr>
                <w:rFonts w:ascii="Times New Roman" w:hAnsi="Times New Roman"/>
                <w:b/>
                <w:sz w:val="16"/>
              </w:rPr>
            </w:pPr>
            <w:r>
              <w:rPr>
                <w:rFonts w:ascii="Times New Roman" w:hAnsi="Times New Roman"/>
                <w:b/>
                <w:sz w:val="16"/>
              </w:rPr>
              <w:t>Kenneth J. Bacon</w:t>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center"/>
              <w:rPr>
                <w:sz w:val="20"/>
              </w:rPr>
            </w:pPr>
            <w:r>
              <w:rPr>
                <w:sz w:val="20"/>
              </w:rPr>
              <w:t>Director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J. BALTIMORE    </w:t>
            </w:r>
          </w:p>
          <w:p>
            <w:pPr>
              <w:pStyle w:val="TableContents"/>
              <w:bidi w:val="0"/>
              <w:spacing w:before="0" w:after="20"/>
              <w:jc w:val="center"/>
              <w:rPr>
                <w:rFonts w:ascii="Times New Roman" w:hAnsi="Times New Roman"/>
                <w:b/>
                <w:sz w:val="16"/>
              </w:rPr>
            </w:pPr>
            <w:r>
              <w:rPr>
                <w:rFonts w:ascii="Times New Roman" w:hAnsi="Times New Roman"/>
                <w:b/>
                <w:sz w:val="16"/>
              </w:rPr>
              <w:t>Thomas J. Baltimore</w:t>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center"/>
              <w:rPr>
                <w:sz w:val="20"/>
              </w:rPr>
            </w:pPr>
            <w:r>
              <w:rPr>
                <w:sz w:val="20"/>
              </w:rPr>
              <w:t>Director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/s/ MADELINE S. BELL    </w:t>
            </w:r>
          </w:p>
          <w:p>
            <w:pPr>
              <w:pStyle w:val="TableContents"/>
              <w:bidi w:val="0"/>
              <w:spacing w:before="0" w:after="20"/>
              <w:jc w:val="center"/>
              <w:rPr>
                <w:rFonts w:ascii="Times New Roman" w:hAnsi="Times New Roman"/>
                <w:b/>
                <w:sz w:val="16"/>
              </w:rPr>
            </w:pPr>
            <w:r>
              <w:rPr>
                <w:rFonts w:ascii="Times New Roman" w:hAnsi="Times New Roman"/>
                <w:b/>
                <w:sz w:val="16"/>
              </w:rPr>
              <w:t>Madeline S. Bell</w:t>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center"/>
              <w:rPr>
                <w:sz w:val="20"/>
              </w:rPr>
            </w:pPr>
            <w:r>
              <w:rPr>
                <w:sz w:val="20"/>
              </w:rPr>
              <w:t>Director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r>
        <w:trPr>
          <w:trHeight w:val="240" w:hRule="atLeast"/>
        </w:trPr>
        <w:tc>
          <w:tcPr>
            <w:tcW w:w="3632" w:type="dxa"/>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63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/s/ LOUISE F. BRADY    </w:t>
            </w:r>
          </w:p>
          <w:p>
            <w:pPr>
              <w:pStyle w:val="TableContents"/>
              <w:bidi w:val="0"/>
              <w:spacing w:before="0" w:after="20"/>
              <w:jc w:val="center"/>
              <w:rPr>
                <w:rFonts w:ascii="Times New Roman" w:hAnsi="Times New Roman"/>
                <w:b/>
                <w:sz w:val="16"/>
              </w:rPr>
            </w:pPr>
            <w:r>
              <w:rPr>
                <w:rFonts w:ascii="Times New Roman" w:hAnsi="Times New Roman"/>
                <w:b/>
                <w:sz w:val="16"/>
              </w:rPr>
              <w:t>Louise F. Brady</w:t>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center"/>
              <w:rPr>
                <w:sz w:val="20"/>
              </w:rPr>
            </w:pPr>
            <w:r>
              <w:rPr>
                <w:sz w:val="20"/>
              </w:rPr>
              <w:t>Director</w:t>
            </w:r>
          </w:p>
        </w:tc>
        <w:tc>
          <w:tcPr>
            <w:tcW w:w="205"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center"/>
              <w:rPr>
                <w:sz w:val="20"/>
              </w:rPr>
            </w:pPr>
            <w:r>
              <w:rPr>
                <w:sz w:val="20"/>
              </w:rPr>
              <w:t>February 28,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650"/>
        <w:gridCol w:w="120"/>
        <w:gridCol w:w="4519"/>
        <w:gridCol w:w="206"/>
        <w:gridCol w:w="1710"/>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51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6" w:type="dxa"/>
            <w:tcBorders/>
            <w:vAlign w:val="bottom"/>
          </w:tcPr>
          <w:p>
            <w:pPr>
              <w:pStyle w:val="TableContents"/>
              <w:bidi w:val="0"/>
              <w:spacing w:before="0" w:after="283"/>
              <w:jc w:val="left"/>
              <w:rPr/>
            </w:pPr>
            <w:r>
              <w:rPr/>
              <w:t> </w:t>
            </w:r>
          </w:p>
        </w:tc>
        <w:tc>
          <w:tcPr>
            <w:tcW w:w="17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650" w:type="dxa"/>
            <w:tcBorders/>
            <w:vAlign w:val="center"/>
          </w:tcPr>
          <w:p>
            <w:pPr>
              <w:pStyle w:val="TableContents"/>
              <w:bidi w:val="0"/>
              <w:spacing w:before="0" w:after="283"/>
              <w:jc w:val="left"/>
              <w:rPr>
                <w:sz w:val="4"/>
                <w:szCs w:val="4"/>
              </w:rPr>
            </w:pPr>
            <w:r>
              <w:rPr>
                <w:sz w:val="4"/>
                <w:szCs w:val="4"/>
              </w:rPr>
            </w:r>
          </w:p>
        </w:tc>
        <w:tc>
          <w:tcPr>
            <w:tcW w:w="4639" w:type="dxa"/>
            <w:gridSpan w:val="2"/>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/s/ EDWARD D. BREEN    </w:t>
            </w:r>
          </w:p>
          <w:p>
            <w:pPr>
              <w:pStyle w:val="TableContents"/>
              <w:bidi w:val="0"/>
              <w:spacing w:before="0" w:after="20"/>
              <w:jc w:val="center"/>
              <w:rPr>
                <w:rFonts w:ascii="Times New Roman" w:hAnsi="Times New Roman"/>
                <w:b/>
                <w:sz w:val="16"/>
              </w:rPr>
            </w:pPr>
            <w:r>
              <w:rPr>
                <w:rFonts w:ascii="Times New Roman" w:hAnsi="Times New Roman"/>
                <w:b/>
                <w:sz w:val="16"/>
              </w:rPr>
              <w:t>Edward D. Breen</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center"/>
              <w:rPr>
                <w:sz w:val="20"/>
              </w:rPr>
            </w:pPr>
            <w:r>
              <w:rPr>
                <w:sz w:val="20"/>
              </w:rPr>
              <w:t>Director</w:t>
            </w:r>
          </w:p>
        </w:tc>
        <w:tc>
          <w:tcPr>
            <w:tcW w:w="206"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sz w:val="20"/>
              </w:rPr>
            </w:pPr>
            <w:r>
              <w:rPr>
                <w:sz w:val="20"/>
              </w:rPr>
              <w:t>February 28, 2025</w:t>
            </w:r>
          </w:p>
        </w:tc>
      </w:tr>
      <w:tr>
        <w:trPr>
          <w:trHeight w:val="240" w:hRule="atLeast"/>
        </w:trPr>
        <w:tc>
          <w:tcPr>
            <w:tcW w:w="3650" w:type="dxa"/>
            <w:tcBorders/>
            <w:vAlign w:val="center"/>
          </w:tcPr>
          <w:p>
            <w:pPr>
              <w:pStyle w:val="TableContents"/>
              <w:bidi w:val="0"/>
              <w:spacing w:before="0" w:after="283"/>
              <w:jc w:val="left"/>
              <w:rPr>
                <w:sz w:val="4"/>
                <w:szCs w:val="4"/>
              </w:rPr>
            </w:pPr>
            <w:r>
              <w:rPr>
                <w:sz w:val="4"/>
                <w:szCs w:val="4"/>
              </w:rPr>
            </w:r>
          </w:p>
        </w:tc>
        <w:tc>
          <w:tcPr>
            <w:tcW w:w="4639" w:type="dxa"/>
            <w:gridSpan w:val="2"/>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/s/ JEFFREY A. HONICKMAN    </w:t>
            </w:r>
          </w:p>
          <w:p>
            <w:pPr>
              <w:pStyle w:val="TableContents"/>
              <w:bidi w:val="0"/>
              <w:spacing w:before="0" w:after="20"/>
              <w:jc w:val="center"/>
              <w:rPr>
                <w:rFonts w:ascii="Times New Roman" w:hAnsi="Times New Roman"/>
                <w:b/>
                <w:sz w:val="16"/>
              </w:rPr>
            </w:pPr>
            <w:r>
              <w:rPr>
                <w:rFonts w:ascii="Times New Roman" w:hAnsi="Times New Roman"/>
                <w:b/>
                <w:sz w:val="16"/>
              </w:rPr>
              <w:t>Jeffrey A. Honickman</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center"/>
              <w:rPr>
                <w:sz w:val="20"/>
              </w:rPr>
            </w:pPr>
            <w:r>
              <w:rPr>
                <w:sz w:val="20"/>
              </w:rPr>
              <w:t>Director</w:t>
            </w:r>
          </w:p>
        </w:tc>
        <w:tc>
          <w:tcPr>
            <w:tcW w:w="206"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sz w:val="20"/>
              </w:rPr>
            </w:pPr>
            <w:r>
              <w:rPr>
                <w:sz w:val="20"/>
              </w:rPr>
              <w:t>February 28, 2025</w:t>
            </w:r>
          </w:p>
        </w:tc>
      </w:tr>
      <w:tr>
        <w:trPr>
          <w:trHeight w:val="240" w:hRule="atLeast"/>
        </w:trPr>
        <w:tc>
          <w:tcPr>
            <w:tcW w:w="3650" w:type="dxa"/>
            <w:tcBorders/>
            <w:vAlign w:val="center"/>
          </w:tcPr>
          <w:p>
            <w:pPr>
              <w:pStyle w:val="TableContents"/>
              <w:bidi w:val="0"/>
              <w:spacing w:before="0" w:after="283"/>
              <w:jc w:val="left"/>
              <w:rPr>
                <w:sz w:val="4"/>
                <w:szCs w:val="4"/>
              </w:rPr>
            </w:pPr>
            <w:r>
              <w:rPr>
                <w:sz w:val="4"/>
                <w:szCs w:val="4"/>
              </w:rPr>
            </w:r>
          </w:p>
        </w:tc>
        <w:tc>
          <w:tcPr>
            <w:tcW w:w="4639" w:type="dxa"/>
            <w:gridSpan w:val="2"/>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/s/ WONYA Y. LUCAS    </w:t>
            </w:r>
          </w:p>
          <w:p>
            <w:pPr>
              <w:pStyle w:val="TableContents"/>
              <w:bidi w:val="0"/>
              <w:spacing w:before="0" w:after="20"/>
              <w:jc w:val="center"/>
              <w:rPr>
                <w:rFonts w:ascii="Times New Roman" w:hAnsi="Times New Roman"/>
                <w:b/>
                <w:sz w:val="16"/>
              </w:rPr>
            </w:pPr>
            <w:r>
              <w:rPr>
                <w:rFonts w:ascii="Times New Roman" w:hAnsi="Times New Roman"/>
                <w:b/>
                <w:sz w:val="16"/>
              </w:rPr>
              <w:t>Wonya Y. Lucas</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center"/>
              <w:rPr>
                <w:sz w:val="20"/>
              </w:rPr>
            </w:pPr>
            <w:r>
              <w:rPr>
                <w:sz w:val="20"/>
              </w:rPr>
              <w:t>Director</w:t>
            </w:r>
          </w:p>
        </w:tc>
        <w:tc>
          <w:tcPr>
            <w:tcW w:w="206"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sz w:val="20"/>
              </w:rPr>
            </w:pPr>
            <w:r>
              <w:rPr>
                <w:sz w:val="20"/>
              </w:rPr>
              <w:t>February 28, 2025</w:t>
            </w:r>
          </w:p>
        </w:tc>
      </w:tr>
      <w:tr>
        <w:trPr>
          <w:trHeight w:val="240" w:hRule="atLeast"/>
        </w:trPr>
        <w:tc>
          <w:tcPr>
            <w:tcW w:w="3650" w:type="dxa"/>
            <w:tcBorders/>
            <w:vAlign w:val="center"/>
          </w:tcPr>
          <w:p>
            <w:pPr>
              <w:pStyle w:val="TableContents"/>
              <w:bidi w:val="0"/>
              <w:spacing w:before="0" w:after="283"/>
              <w:jc w:val="left"/>
              <w:rPr>
                <w:sz w:val="4"/>
                <w:szCs w:val="4"/>
              </w:rPr>
            </w:pPr>
            <w:r>
              <w:rPr>
                <w:sz w:val="4"/>
                <w:szCs w:val="4"/>
              </w:rPr>
            </w:r>
          </w:p>
        </w:tc>
        <w:tc>
          <w:tcPr>
            <w:tcW w:w="4639" w:type="dxa"/>
            <w:gridSpan w:val="2"/>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/s/ ASUKA NAKAHARA    </w:t>
            </w:r>
          </w:p>
          <w:p>
            <w:pPr>
              <w:pStyle w:val="TableContents"/>
              <w:bidi w:val="0"/>
              <w:spacing w:before="0" w:after="20"/>
              <w:jc w:val="center"/>
              <w:rPr>
                <w:rFonts w:ascii="Times New Roman" w:hAnsi="Times New Roman"/>
                <w:b/>
                <w:sz w:val="16"/>
              </w:rPr>
            </w:pPr>
            <w:r>
              <w:rPr>
                <w:rFonts w:ascii="Times New Roman" w:hAnsi="Times New Roman"/>
                <w:b/>
                <w:sz w:val="16"/>
              </w:rPr>
              <w:t>Asuka Nakahara</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center"/>
              <w:rPr>
                <w:sz w:val="20"/>
              </w:rPr>
            </w:pPr>
            <w:r>
              <w:rPr>
                <w:sz w:val="20"/>
              </w:rPr>
              <w:t>Director</w:t>
            </w:r>
          </w:p>
        </w:tc>
        <w:tc>
          <w:tcPr>
            <w:tcW w:w="206"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sz w:val="20"/>
              </w:rPr>
            </w:pPr>
            <w:r>
              <w:rPr>
                <w:sz w:val="20"/>
              </w:rPr>
              <w:t>February 28, 2025</w:t>
            </w:r>
          </w:p>
        </w:tc>
      </w:tr>
      <w:tr>
        <w:trPr>
          <w:trHeight w:val="240" w:hRule="atLeast"/>
        </w:trPr>
        <w:tc>
          <w:tcPr>
            <w:tcW w:w="3650" w:type="dxa"/>
            <w:tcBorders/>
            <w:vAlign w:val="center"/>
          </w:tcPr>
          <w:p>
            <w:pPr>
              <w:pStyle w:val="TableContents"/>
              <w:bidi w:val="0"/>
              <w:spacing w:before="0" w:after="283"/>
              <w:jc w:val="left"/>
              <w:rPr>
                <w:sz w:val="4"/>
                <w:szCs w:val="4"/>
              </w:rPr>
            </w:pPr>
            <w:r>
              <w:rPr>
                <w:sz w:val="4"/>
                <w:szCs w:val="4"/>
              </w:rPr>
            </w:r>
          </w:p>
        </w:tc>
        <w:tc>
          <w:tcPr>
            <w:tcW w:w="4639" w:type="dxa"/>
            <w:gridSpan w:val="2"/>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C. NOVAK    </w:t>
            </w:r>
          </w:p>
          <w:p>
            <w:pPr>
              <w:pStyle w:val="TableContents"/>
              <w:bidi w:val="0"/>
              <w:spacing w:before="0" w:after="20"/>
              <w:jc w:val="center"/>
              <w:rPr>
                <w:rFonts w:ascii="Times New Roman" w:hAnsi="Times New Roman"/>
                <w:b/>
                <w:sz w:val="16"/>
              </w:rPr>
            </w:pPr>
            <w:r>
              <w:rPr>
                <w:rFonts w:ascii="Times New Roman" w:hAnsi="Times New Roman"/>
                <w:b/>
                <w:sz w:val="16"/>
              </w:rPr>
              <w:t>David C. Novak</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center"/>
              <w:rPr>
                <w:sz w:val="20"/>
              </w:rPr>
            </w:pPr>
            <w:r>
              <w:rPr>
                <w:sz w:val="20"/>
              </w:rPr>
              <w:t>Director</w:t>
            </w:r>
          </w:p>
        </w:tc>
        <w:tc>
          <w:tcPr>
            <w:tcW w:w="206"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sz w:val="20"/>
              </w:rPr>
            </w:pPr>
            <w:r>
              <w:rPr>
                <w:sz w:val="20"/>
              </w:rPr>
              <w:t>February 28,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AND POWER OF ATTORNEY </w:t>
      </w:r>
    </w:p>
    <w:p>
      <w:pPr>
        <w:pStyle w:val="TextBody"/>
        <w:bidi w:val="0"/>
        <w:spacing w:before="0" w:after="0"/>
        <w:jc w:val="center"/>
        <w:rPr>
          <w:rFonts w:ascii="Times New Roman" w:hAnsi="Times New Roman"/>
          <w:b/>
          <w:sz w:val="20"/>
        </w:rPr>
      </w:pPr>
      <w:r>
        <w:rPr>
          <w:rFonts w:ascii="Times New Roman" w:hAnsi="Times New Roman"/>
          <w:b/>
          <w:sz w:val="20"/>
        </w:rPr>
        <w:t xml:space="preserve">FOR COMCAST CABLE COMMUNICATIONS, LLC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February 28,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60"/>
        <w:gridCol w:w="3395"/>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COMCAST CABLE COMMUNICATIONS, LLC</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J. REID    </w:t>
            </w:r>
          </w:p>
        </w:tc>
      </w:tr>
      <w:tr>
        <w:trPr/>
        <w:tc>
          <w:tcPr>
            <w:tcW w:w="627" w:type="dxa"/>
            <w:tcBorders/>
          </w:tcPr>
          <w:p>
            <w:pPr>
              <w:pStyle w:val="TableContents"/>
              <w:bidi w:val="0"/>
              <w:spacing w:before="0" w:after="283"/>
              <w:jc w:val="left"/>
              <w:rPr>
                <w:sz w:val="20"/>
              </w:rPr>
            </w:pPr>
            <w:r>
              <w:rPr>
                <w:sz w:val="20"/>
              </w:rPr>
              <w:t>Name: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center"/>
              <w:rPr>
                <w:b/>
              </w:rPr>
            </w:pPr>
            <w:r>
              <w:rPr>
                <w:b/>
              </w:rPr>
              <w:t>Thomas J. Reid</w:t>
            </w:r>
          </w:p>
        </w:tc>
      </w:tr>
      <w:tr>
        <w:trPr/>
        <w:tc>
          <w:tcPr>
            <w:tcW w:w="627" w:type="dxa"/>
            <w:tcBorders/>
          </w:tcPr>
          <w:p>
            <w:pPr>
              <w:pStyle w:val="TableContents"/>
              <w:bidi w:val="0"/>
              <w:spacing w:before="0" w:after="283"/>
              <w:jc w:val="left"/>
              <w:rPr>
                <w:sz w:val="20"/>
              </w:rPr>
            </w:pPr>
            <w:r>
              <w:rPr>
                <w:sz w:val="20"/>
              </w:rPr>
              <w:t>Title: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center"/>
              <w:rPr>
                <w:b/>
              </w:rPr>
            </w:pPr>
            <w:r>
              <w:rPr>
                <w:b/>
              </w:rPr>
              <w:t>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8"/>
        <w:gridCol w:w="120"/>
        <w:gridCol w:w="4218"/>
        <w:gridCol w:w="203"/>
        <w:gridCol w:w="1876"/>
      </w:tblGrid>
      <w:tr>
        <w:trPr/>
        <w:tc>
          <w:tcPr>
            <w:tcW w:w="37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1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21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187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788" w:type="dxa"/>
            <w:tcBorders/>
            <w:vAlign w:val="center"/>
          </w:tcPr>
          <w:p>
            <w:pPr>
              <w:pStyle w:val="TableContents"/>
              <w:bidi w:val="0"/>
              <w:spacing w:before="0" w:after="283"/>
              <w:jc w:val="left"/>
              <w:rPr>
                <w:sz w:val="4"/>
                <w:szCs w:val="4"/>
              </w:rPr>
            </w:pPr>
            <w:r>
              <w:rPr>
                <w:sz w:val="4"/>
                <w:szCs w:val="4"/>
              </w:rPr>
            </w:r>
          </w:p>
        </w:tc>
        <w:tc>
          <w:tcPr>
            <w:tcW w:w="4338" w:type="dxa"/>
            <w:gridSpan w:val="2"/>
            <w:tcBorders/>
            <w:vAlign w:val="center"/>
          </w:tcPr>
          <w:p>
            <w:pPr>
              <w:pStyle w:val="TableContents"/>
              <w:bidi w:val="0"/>
              <w:spacing w:before="0" w:after="283"/>
              <w:jc w:val="left"/>
              <w:rPr>
                <w:sz w:val="4"/>
                <w:szCs w:val="4"/>
              </w:rPr>
            </w:pPr>
            <w:r>
              <w:rPr>
                <w:sz w:val="4"/>
                <w:szCs w:val="4"/>
              </w:rPr>
            </w:r>
          </w:p>
        </w:tc>
        <w:tc>
          <w:tcPr>
            <w:tcW w:w="2079" w:type="dxa"/>
            <w:gridSpan w:val="2"/>
            <w:tcBorders/>
            <w:vAlign w:val="center"/>
          </w:tcPr>
          <w:p>
            <w:pPr>
              <w:pStyle w:val="TableContents"/>
              <w:bidi w:val="0"/>
              <w:spacing w:before="0" w:after="283"/>
              <w:jc w:val="left"/>
              <w:rPr>
                <w:sz w:val="4"/>
                <w:szCs w:val="4"/>
              </w:rPr>
            </w:pPr>
            <w:r>
              <w:rPr>
                <w:sz w:val="4"/>
                <w:szCs w:val="4"/>
              </w:rPr>
            </w:r>
          </w:p>
        </w:tc>
      </w:tr>
      <w:tr>
        <w:trPr/>
        <w:tc>
          <w:tcPr>
            <w:tcW w:w="378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L. ROBERTS</w:t>
            </w:r>
          </w:p>
          <w:p>
            <w:pPr>
              <w:pStyle w:val="TableContents"/>
              <w:bidi w:val="0"/>
              <w:spacing w:before="0" w:after="20"/>
              <w:jc w:val="center"/>
              <w:rPr>
                <w:rFonts w:ascii="Times New Roman" w:hAnsi="Times New Roman"/>
                <w:b/>
                <w:sz w:val="16"/>
              </w:rPr>
            </w:pPr>
            <w:r>
              <w:rPr>
                <w:rFonts w:ascii="Times New Roman" w:hAnsi="Times New Roman"/>
                <w:b/>
                <w:sz w:val="16"/>
              </w:rPr>
              <w:t>Brian L. Roberts</w:t>
            </w:r>
          </w:p>
        </w:tc>
        <w:tc>
          <w:tcPr>
            <w:tcW w:w="120" w:type="dxa"/>
            <w:tcBorders/>
            <w:vAlign w:val="bottom"/>
          </w:tcPr>
          <w:p>
            <w:pPr>
              <w:pStyle w:val="TableContents"/>
              <w:bidi w:val="0"/>
              <w:spacing w:before="0" w:after="283"/>
              <w:jc w:val="left"/>
              <w:rPr/>
            </w:pPr>
            <w:r>
              <w:rPr/>
              <w:t>  </w:t>
            </w:r>
          </w:p>
        </w:tc>
        <w:tc>
          <w:tcPr>
            <w:tcW w:w="4218" w:type="dxa"/>
            <w:tcBorders/>
          </w:tcPr>
          <w:p>
            <w:pPr>
              <w:pStyle w:val="TableContents"/>
              <w:bidi w:val="0"/>
              <w:spacing w:before="0" w:after="283"/>
              <w:jc w:val="center"/>
              <w:rPr>
                <w:sz w:val="20"/>
              </w:rPr>
            </w:pPr>
            <w:r>
              <w:rPr>
                <w:sz w:val="20"/>
              </w:rPr>
              <w:t>Principal Executive Officer of</w:t>
              <w:br/>
              <w:t>Comcast Cable Communications, LLC</w:t>
            </w:r>
          </w:p>
        </w:tc>
        <w:tc>
          <w:tcPr>
            <w:tcW w:w="203"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center"/>
              <w:rPr>
                <w:sz w:val="20"/>
              </w:rPr>
            </w:pPr>
            <w:r>
              <w:rPr>
                <w:sz w:val="20"/>
              </w:rPr>
              <w:t>February 28, 2025</w:t>
            </w:r>
          </w:p>
        </w:tc>
      </w:tr>
      <w:tr>
        <w:trPr>
          <w:trHeight w:val="240" w:hRule="atLeast"/>
        </w:trPr>
        <w:tc>
          <w:tcPr>
            <w:tcW w:w="3788" w:type="dxa"/>
            <w:tcBorders/>
            <w:vAlign w:val="center"/>
          </w:tcPr>
          <w:p>
            <w:pPr>
              <w:pStyle w:val="TableContents"/>
              <w:bidi w:val="0"/>
              <w:spacing w:before="0" w:after="283"/>
              <w:jc w:val="left"/>
              <w:rPr>
                <w:sz w:val="4"/>
                <w:szCs w:val="4"/>
              </w:rPr>
            </w:pPr>
            <w:r>
              <w:rPr>
                <w:sz w:val="4"/>
                <w:szCs w:val="4"/>
              </w:rPr>
            </w:r>
          </w:p>
        </w:tc>
        <w:tc>
          <w:tcPr>
            <w:tcW w:w="4338" w:type="dxa"/>
            <w:gridSpan w:val="2"/>
            <w:tcBorders/>
            <w:vAlign w:val="center"/>
          </w:tcPr>
          <w:p>
            <w:pPr>
              <w:pStyle w:val="TableContents"/>
              <w:bidi w:val="0"/>
              <w:spacing w:before="0" w:after="283"/>
              <w:jc w:val="left"/>
              <w:rPr>
                <w:sz w:val="4"/>
                <w:szCs w:val="4"/>
              </w:rPr>
            </w:pPr>
            <w:r>
              <w:rPr>
                <w:sz w:val="4"/>
                <w:szCs w:val="4"/>
              </w:rPr>
            </w:r>
          </w:p>
        </w:tc>
        <w:tc>
          <w:tcPr>
            <w:tcW w:w="2079" w:type="dxa"/>
            <w:gridSpan w:val="2"/>
            <w:tcBorders/>
            <w:vAlign w:val="center"/>
          </w:tcPr>
          <w:p>
            <w:pPr>
              <w:pStyle w:val="TableContents"/>
              <w:bidi w:val="0"/>
              <w:spacing w:before="0" w:after="283"/>
              <w:jc w:val="left"/>
              <w:rPr>
                <w:sz w:val="4"/>
                <w:szCs w:val="4"/>
              </w:rPr>
            </w:pPr>
            <w:r>
              <w:rPr>
                <w:sz w:val="4"/>
                <w:szCs w:val="4"/>
              </w:rPr>
            </w:r>
          </w:p>
        </w:tc>
      </w:tr>
      <w:tr>
        <w:trPr/>
        <w:tc>
          <w:tcPr>
            <w:tcW w:w="378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w:t>
            </w:r>
          </w:p>
          <w:p>
            <w:pPr>
              <w:pStyle w:val="TableContents"/>
              <w:bidi w:val="0"/>
              <w:spacing w:before="0" w:after="20"/>
              <w:jc w:val="center"/>
              <w:rPr>
                <w:rFonts w:ascii="Times New Roman" w:hAnsi="Times New Roman"/>
                <w:b/>
                <w:sz w:val="16"/>
              </w:rPr>
            </w:pPr>
            <w:r>
              <w:rPr>
                <w:rFonts w:ascii="Times New Roman" w:hAnsi="Times New Roman"/>
                <w:b/>
                <w:sz w:val="16"/>
              </w:rPr>
              <w:t>Jason S. Armstrong</w:t>
            </w:r>
          </w:p>
        </w:tc>
        <w:tc>
          <w:tcPr>
            <w:tcW w:w="120" w:type="dxa"/>
            <w:tcBorders/>
            <w:vAlign w:val="bottom"/>
          </w:tcPr>
          <w:p>
            <w:pPr>
              <w:pStyle w:val="TableContents"/>
              <w:bidi w:val="0"/>
              <w:spacing w:before="0" w:after="283"/>
              <w:jc w:val="left"/>
              <w:rPr/>
            </w:pPr>
            <w:r>
              <w:rPr/>
              <w:t>  </w:t>
            </w:r>
          </w:p>
        </w:tc>
        <w:tc>
          <w:tcPr>
            <w:tcW w:w="4218" w:type="dxa"/>
            <w:tcBorders/>
          </w:tcPr>
          <w:p>
            <w:pPr>
              <w:pStyle w:val="TableContents"/>
              <w:bidi w:val="0"/>
              <w:spacing w:before="0" w:after="283"/>
              <w:jc w:val="center"/>
              <w:rPr>
                <w:sz w:val="20"/>
              </w:rPr>
            </w:pPr>
            <w:r>
              <w:rPr>
                <w:sz w:val="20"/>
              </w:rPr>
              <w:t>Principal Financial Officer of</w:t>
              <w:br/>
              <w:t>Comcast Cable Communications, LLC</w:t>
            </w:r>
          </w:p>
        </w:tc>
        <w:tc>
          <w:tcPr>
            <w:tcW w:w="203"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center"/>
              <w:rPr>
                <w:sz w:val="20"/>
              </w:rPr>
            </w:pPr>
            <w:r>
              <w:rPr>
                <w:sz w:val="20"/>
              </w:rPr>
              <w:t>February 28, 2025</w:t>
            </w:r>
          </w:p>
        </w:tc>
      </w:tr>
      <w:tr>
        <w:trPr>
          <w:trHeight w:val="240" w:hRule="atLeast"/>
        </w:trPr>
        <w:tc>
          <w:tcPr>
            <w:tcW w:w="3788" w:type="dxa"/>
            <w:tcBorders/>
            <w:vAlign w:val="center"/>
          </w:tcPr>
          <w:p>
            <w:pPr>
              <w:pStyle w:val="TableContents"/>
              <w:bidi w:val="0"/>
              <w:spacing w:before="0" w:after="283"/>
              <w:jc w:val="left"/>
              <w:rPr>
                <w:sz w:val="4"/>
                <w:szCs w:val="4"/>
              </w:rPr>
            </w:pPr>
            <w:r>
              <w:rPr>
                <w:sz w:val="4"/>
                <w:szCs w:val="4"/>
              </w:rPr>
            </w:r>
          </w:p>
        </w:tc>
        <w:tc>
          <w:tcPr>
            <w:tcW w:w="4338" w:type="dxa"/>
            <w:gridSpan w:val="2"/>
            <w:tcBorders/>
            <w:vAlign w:val="center"/>
          </w:tcPr>
          <w:p>
            <w:pPr>
              <w:pStyle w:val="TableContents"/>
              <w:bidi w:val="0"/>
              <w:spacing w:before="0" w:after="283"/>
              <w:jc w:val="left"/>
              <w:rPr>
                <w:sz w:val="4"/>
                <w:szCs w:val="4"/>
              </w:rPr>
            </w:pPr>
            <w:r>
              <w:rPr>
                <w:sz w:val="4"/>
                <w:szCs w:val="4"/>
              </w:rPr>
            </w:r>
          </w:p>
        </w:tc>
        <w:tc>
          <w:tcPr>
            <w:tcW w:w="2079" w:type="dxa"/>
            <w:gridSpan w:val="2"/>
            <w:tcBorders/>
            <w:vAlign w:val="center"/>
          </w:tcPr>
          <w:p>
            <w:pPr>
              <w:pStyle w:val="TableContents"/>
              <w:bidi w:val="0"/>
              <w:spacing w:before="0" w:after="283"/>
              <w:jc w:val="left"/>
              <w:rPr>
                <w:sz w:val="4"/>
                <w:szCs w:val="4"/>
              </w:rPr>
            </w:pPr>
            <w:r>
              <w:rPr>
                <w:sz w:val="4"/>
                <w:szCs w:val="4"/>
              </w:rPr>
            </w:r>
          </w:p>
        </w:tc>
      </w:tr>
      <w:tr>
        <w:trPr/>
        <w:tc>
          <w:tcPr>
            <w:tcW w:w="378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w:t>
            </w:r>
          </w:p>
          <w:p>
            <w:pPr>
              <w:pStyle w:val="TableContents"/>
              <w:bidi w:val="0"/>
              <w:spacing w:before="0" w:after="20"/>
              <w:jc w:val="center"/>
              <w:rPr>
                <w:rFonts w:ascii="Times New Roman" w:hAnsi="Times New Roman"/>
                <w:b/>
                <w:sz w:val="16"/>
              </w:rPr>
            </w:pPr>
            <w:r>
              <w:rPr>
                <w:rFonts w:ascii="Times New Roman" w:hAnsi="Times New Roman"/>
                <w:b/>
                <w:sz w:val="16"/>
              </w:rPr>
              <w:t>Daniel C. Murdock</w:t>
            </w:r>
          </w:p>
        </w:tc>
        <w:tc>
          <w:tcPr>
            <w:tcW w:w="120" w:type="dxa"/>
            <w:tcBorders/>
            <w:vAlign w:val="bottom"/>
          </w:tcPr>
          <w:p>
            <w:pPr>
              <w:pStyle w:val="TableContents"/>
              <w:bidi w:val="0"/>
              <w:spacing w:before="0" w:after="283"/>
              <w:jc w:val="left"/>
              <w:rPr/>
            </w:pPr>
            <w:r>
              <w:rPr/>
              <w:t>  </w:t>
            </w:r>
          </w:p>
        </w:tc>
        <w:tc>
          <w:tcPr>
            <w:tcW w:w="4218" w:type="dxa"/>
            <w:tcBorders/>
          </w:tcPr>
          <w:p>
            <w:pPr>
              <w:pStyle w:val="TableContents"/>
              <w:bidi w:val="0"/>
              <w:spacing w:before="0" w:after="283"/>
              <w:jc w:val="center"/>
              <w:rPr>
                <w:sz w:val="20"/>
              </w:rPr>
            </w:pPr>
            <w:r>
              <w:rPr>
                <w:sz w:val="20"/>
              </w:rPr>
              <w:t>Principal Accounting Officer of</w:t>
              <w:br/>
              <w:t>Comcast Cable Communications, LLC</w:t>
            </w:r>
          </w:p>
        </w:tc>
        <w:tc>
          <w:tcPr>
            <w:tcW w:w="203"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center"/>
              <w:rPr>
                <w:sz w:val="20"/>
              </w:rPr>
            </w:pPr>
            <w:r>
              <w:rPr>
                <w:sz w:val="20"/>
              </w:rPr>
              <w:t>February 28, 2025</w:t>
            </w:r>
          </w:p>
        </w:tc>
      </w:tr>
      <w:tr>
        <w:trPr>
          <w:trHeight w:val="240" w:hRule="atLeast"/>
        </w:trPr>
        <w:tc>
          <w:tcPr>
            <w:tcW w:w="3788" w:type="dxa"/>
            <w:tcBorders/>
            <w:vAlign w:val="center"/>
          </w:tcPr>
          <w:p>
            <w:pPr>
              <w:pStyle w:val="TableContents"/>
              <w:bidi w:val="0"/>
              <w:spacing w:before="0" w:after="283"/>
              <w:jc w:val="left"/>
              <w:rPr>
                <w:sz w:val="4"/>
                <w:szCs w:val="4"/>
              </w:rPr>
            </w:pPr>
            <w:r>
              <w:rPr>
                <w:sz w:val="4"/>
                <w:szCs w:val="4"/>
              </w:rPr>
            </w:r>
          </w:p>
        </w:tc>
        <w:tc>
          <w:tcPr>
            <w:tcW w:w="4338" w:type="dxa"/>
            <w:gridSpan w:val="2"/>
            <w:tcBorders/>
            <w:vAlign w:val="center"/>
          </w:tcPr>
          <w:p>
            <w:pPr>
              <w:pStyle w:val="TableContents"/>
              <w:bidi w:val="0"/>
              <w:spacing w:before="0" w:after="283"/>
              <w:jc w:val="left"/>
              <w:rPr>
                <w:sz w:val="4"/>
                <w:szCs w:val="4"/>
              </w:rPr>
            </w:pPr>
            <w:r>
              <w:rPr>
                <w:sz w:val="4"/>
                <w:szCs w:val="4"/>
              </w:rPr>
            </w:r>
          </w:p>
        </w:tc>
        <w:tc>
          <w:tcPr>
            <w:tcW w:w="2079" w:type="dxa"/>
            <w:gridSpan w:val="2"/>
            <w:tcBorders/>
            <w:vAlign w:val="center"/>
          </w:tcPr>
          <w:p>
            <w:pPr>
              <w:pStyle w:val="TableContents"/>
              <w:bidi w:val="0"/>
              <w:spacing w:before="0" w:after="283"/>
              <w:jc w:val="left"/>
              <w:rPr>
                <w:sz w:val="4"/>
                <w:szCs w:val="4"/>
              </w:rPr>
            </w:pPr>
            <w:r>
              <w:rPr>
                <w:sz w:val="4"/>
                <w:szCs w:val="4"/>
              </w:rPr>
            </w:r>
          </w:p>
        </w:tc>
      </w:tr>
      <w:tr>
        <w:trPr/>
        <w:tc>
          <w:tcPr>
            <w:tcW w:w="378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J. REID</w:t>
            </w:r>
          </w:p>
          <w:p>
            <w:pPr>
              <w:pStyle w:val="TableContents"/>
              <w:bidi w:val="0"/>
              <w:spacing w:before="0" w:after="20"/>
              <w:jc w:val="center"/>
              <w:rPr>
                <w:rFonts w:ascii="Times New Roman" w:hAnsi="Times New Roman"/>
                <w:b/>
                <w:sz w:val="16"/>
              </w:rPr>
            </w:pPr>
            <w:r>
              <w:rPr>
                <w:rFonts w:ascii="Times New Roman" w:hAnsi="Times New Roman"/>
                <w:b/>
                <w:sz w:val="16"/>
              </w:rPr>
              <w:t>Thomas J. Reid</w:t>
            </w:r>
          </w:p>
        </w:tc>
        <w:tc>
          <w:tcPr>
            <w:tcW w:w="120" w:type="dxa"/>
            <w:tcBorders/>
            <w:vAlign w:val="bottom"/>
          </w:tcPr>
          <w:p>
            <w:pPr>
              <w:pStyle w:val="TableContents"/>
              <w:bidi w:val="0"/>
              <w:spacing w:before="0" w:after="283"/>
              <w:jc w:val="left"/>
              <w:rPr/>
            </w:pPr>
            <w:r>
              <w:rPr/>
              <w:t>  </w:t>
            </w:r>
          </w:p>
        </w:tc>
        <w:tc>
          <w:tcPr>
            <w:tcW w:w="4218" w:type="dxa"/>
            <w:tcBorders/>
          </w:tcPr>
          <w:p>
            <w:pPr>
              <w:pStyle w:val="TableContents"/>
              <w:bidi w:val="0"/>
              <w:spacing w:before="0" w:after="283"/>
              <w:jc w:val="center"/>
              <w:rPr>
                <w:sz w:val="20"/>
              </w:rPr>
            </w:pPr>
            <w:r>
              <w:rPr>
                <w:sz w:val="20"/>
              </w:rPr>
              <w:t>Director of Comcast Holdings Corporation,</w:t>
              <w:br/>
              <w:t>Sole Member of</w:t>
              <w:br/>
              <w:t>Comcast Cable Communications, LLC</w:t>
            </w:r>
          </w:p>
        </w:tc>
        <w:tc>
          <w:tcPr>
            <w:tcW w:w="203"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center"/>
              <w:rPr>
                <w:sz w:val="20"/>
              </w:rPr>
            </w:pPr>
            <w:r>
              <w:rPr>
                <w:sz w:val="20"/>
              </w:rPr>
              <w:t>February 28,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AND POWER OF ATTORNEY FOR </w:t>
      </w:r>
    </w:p>
    <w:p>
      <w:pPr>
        <w:pStyle w:val="TextBody"/>
        <w:bidi w:val="0"/>
        <w:spacing w:before="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February 28,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8"/>
        <w:gridCol w:w="60"/>
        <w:gridCol w:w="3404"/>
      </w:tblGrid>
      <w:tr>
        <w:trPr/>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NBCUNIVERSAL MEDIA, LLC</w:t>
            </w:r>
          </w:p>
        </w:tc>
      </w:tr>
      <w:tr>
        <w:trPr>
          <w:trHeight w:val="240" w:hRule="atLeast"/>
        </w:trPr>
        <w:tc>
          <w:tcPr>
            <w:tcW w:w="618" w:type="dxa"/>
            <w:tcBorders/>
            <w:vAlign w:val="center"/>
          </w:tcPr>
          <w:p>
            <w:pPr>
              <w:pStyle w:val="TableContents"/>
              <w:bidi w:val="0"/>
              <w:spacing w:before="0" w:after="283"/>
              <w:jc w:val="left"/>
              <w:rPr>
                <w:sz w:val="4"/>
                <w:szCs w:val="4"/>
              </w:rPr>
            </w:pPr>
            <w:r>
              <w:rPr>
                <w:sz w:val="4"/>
                <w:szCs w:val="4"/>
              </w:rPr>
            </w:r>
          </w:p>
        </w:tc>
        <w:tc>
          <w:tcPr>
            <w:tcW w:w="3464" w:type="dxa"/>
            <w:gridSpan w:val="2"/>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J. REID    </w:t>
            </w:r>
          </w:p>
        </w:tc>
      </w:tr>
      <w:tr>
        <w:trPr/>
        <w:tc>
          <w:tcPr>
            <w:tcW w:w="618" w:type="dxa"/>
            <w:tcBorders/>
          </w:tcPr>
          <w:p>
            <w:pPr>
              <w:pStyle w:val="TableContents"/>
              <w:bidi w:val="0"/>
              <w:spacing w:before="0" w:after="283"/>
              <w:jc w:val="left"/>
              <w:rPr>
                <w:sz w:val="20"/>
              </w:rPr>
            </w:pPr>
            <w:r>
              <w:rPr>
                <w:sz w:val="20"/>
              </w:rPr>
              <w:t>Name:</w:t>
            </w:r>
          </w:p>
        </w:tc>
        <w:tc>
          <w:tcPr>
            <w:tcW w:w="60" w:type="dxa"/>
            <w:tcBorders/>
            <w:vAlign w:val="bottom"/>
          </w:tcPr>
          <w:p>
            <w:pPr>
              <w:pStyle w:val="TableContents"/>
              <w:bidi w:val="0"/>
              <w:spacing w:before="0" w:after="283"/>
              <w:jc w:val="left"/>
              <w:rPr/>
            </w:pPr>
            <w:r>
              <w:rPr/>
              <w:t> </w:t>
            </w:r>
          </w:p>
        </w:tc>
        <w:tc>
          <w:tcPr>
            <w:tcW w:w="3404" w:type="dxa"/>
            <w:tcBorders/>
            <w:vAlign w:val="bottom"/>
          </w:tcPr>
          <w:p>
            <w:pPr>
              <w:pStyle w:val="TableContents"/>
              <w:bidi w:val="0"/>
              <w:spacing w:before="0" w:after="283"/>
              <w:jc w:val="center"/>
              <w:rPr>
                <w:b/>
              </w:rPr>
            </w:pPr>
            <w:r>
              <w:rPr>
                <w:b/>
              </w:rPr>
              <w:t>Thomas J. Reid</w:t>
            </w:r>
          </w:p>
        </w:tc>
      </w:tr>
      <w:tr>
        <w:trPr/>
        <w:tc>
          <w:tcPr>
            <w:tcW w:w="618" w:type="dxa"/>
            <w:tcBorders/>
          </w:tcPr>
          <w:p>
            <w:pPr>
              <w:pStyle w:val="TableContents"/>
              <w:bidi w:val="0"/>
              <w:spacing w:before="0" w:after="283"/>
              <w:jc w:val="left"/>
              <w:rPr>
                <w:sz w:val="20"/>
              </w:rPr>
            </w:pPr>
            <w:r>
              <w:rPr>
                <w:sz w:val="20"/>
              </w:rPr>
              <w:t>Title:</w:t>
            </w:r>
          </w:p>
        </w:tc>
        <w:tc>
          <w:tcPr>
            <w:tcW w:w="60" w:type="dxa"/>
            <w:tcBorders/>
            <w:vAlign w:val="bottom"/>
          </w:tcPr>
          <w:p>
            <w:pPr>
              <w:pStyle w:val="TableContents"/>
              <w:bidi w:val="0"/>
              <w:spacing w:before="0" w:after="283"/>
              <w:jc w:val="left"/>
              <w:rPr/>
            </w:pPr>
            <w:r>
              <w:rPr/>
              <w:t> </w:t>
            </w:r>
          </w:p>
        </w:tc>
        <w:tc>
          <w:tcPr>
            <w:tcW w:w="3404" w:type="dxa"/>
            <w:tcBorders/>
            <w:vAlign w:val="bottom"/>
          </w:tcPr>
          <w:p>
            <w:pPr>
              <w:pStyle w:val="TableContents"/>
              <w:bidi w:val="0"/>
              <w:spacing w:before="0" w:after="283"/>
              <w:jc w:val="center"/>
              <w:rPr>
                <w:b/>
              </w:rPr>
            </w:pPr>
            <w:r>
              <w:rPr>
                <w:b/>
              </w:rPr>
              <w:t>Chief Legal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5"/>
        <w:gridCol w:w="120"/>
        <w:gridCol w:w="3585"/>
        <w:gridCol w:w="202"/>
        <w:gridCol w:w="1773"/>
      </w:tblGrid>
      <w:tr>
        <w:trPr/>
        <w:tc>
          <w:tcPr>
            <w:tcW w:w="4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5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8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7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525"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L. ROBERTS</w:t>
            </w:r>
          </w:p>
          <w:p>
            <w:pPr>
              <w:pStyle w:val="TableContents"/>
              <w:bidi w:val="0"/>
              <w:spacing w:before="0" w:after="20"/>
              <w:jc w:val="center"/>
              <w:rPr>
                <w:rFonts w:ascii="Times New Roman" w:hAnsi="Times New Roman"/>
                <w:b/>
                <w:sz w:val="16"/>
              </w:rPr>
            </w:pPr>
            <w:r>
              <w:rPr>
                <w:rFonts w:ascii="Times New Roman" w:hAnsi="Times New Roman"/>
                <w:b/>
                <w:sz w:val="16"/>
              </w:rPr>
              <w:t>Brian L. Roberts</w:t>
            </w:r>
          </w:p>
        </w:tc>
        <w:tc>
          <w:tcPr>
            <w:tcW w:w="12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center"/>
              <w:rPr>
                <w:sz w:val="20"/>
              </w:rPr>
            </w:pPr>
            <w:r>
              <w:rPr>
                <w:sz w:val="20"/>
              </w:rPr>
              <w:t>Principal Executive Officer of</w:t>
              <w:br/>
              <w:t>NBCUniversal Media, LLC</w:t>
            </w:r>
          </w:p>
        </w:tc>
        <w:tc>
          <w:tcPr>
            <w:tcW w:w="202" w:type="dxa"/>
            <w:tcBorders/>
            <w:vAlign w:val="bottom"/>
          </w:tcPr>
          <w:p>
            <w:pPr>
              <w:pStyle w:val="TableContents"/>
              <w:bidi w:val="0"/>
              <w:spacing w:before="0" w:after="283"/>
              <w:jc w:val="left"/>
              <w:rPr/>
            </w:pPr>
            <w:r>
              <w:rPr/>
              <w:t> </w:t>
            </w:r>
          </w:p>
        </w:tc>
        <w:tc>
          <w:tcPr>
            <w:tcW w:w="1773" w:type="dxa"/>
            <w:tcBorders/>
          </w:tcPr>
          <w:p>
            <w:pPr>
              <w:pStyle w:val="TableContents"/>
              <w:bidi w:val="0"/>
              <w:spacing w:before="0" w:after="283"/>
              <w:jc w:val="center"/>
              <w:rPr>
                <w:sz w:val="20"/>
              </w:rPr>
            </w:pPr>
            <w:r>
              <w:rPr>
                <w:sz w:val="20"/>
              </w:rPr>
              <w:t>February 28, 2025</w:t>
            </w:r>
          </w:p>
        </w:tc>
      </w:tr>
      <w:tr>
        <w:trPr>
          <w:trHeight w:val="240" w:hRule="atLeast"/>
        </w:trPr>
        <w:tc>
          <w:tcPr>
            <w:tcW w:w="4525"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w:t>
            </w:r>
          </w:p>
          <w:p>
            <w:pPr>
              <w:pStyle w:val="TableContents"/>
              <w:bidi w:val="0"/>
              <w:spacing w:before="0" w:after="20"/>
              <w:jc w:val="center"/>
              <w:rPr>
                <w:rFonts w:ascii="Times New Roman" w:hAnsi="Times New Roman"/>
                <w:b/>
                <w:sz w:val="16"/>
              </w:rPr>
            </w:pPr>
            <w:r>
              <w:rPr>
                <w:rFonts w:ascii="Times New Roman" w:hAnsi="Times New Roman"/>
                <w:b/>
                <w:sz w:val="16"/>
              </w:rPr>
              <w:t>Jason S. Armstrong</w:t>
            </w:r>
          </w:p>
        </w:tc>
        <w:tc>
          <w:tcPr>
            <w:tcW w:w="12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0"/>
              <w:jc w:val="center"/>
              <w:rPr>
                <w:rFonts w:ascii="Times New Roman" w:hAnsi="Times New Roman"/>
                <w:sz w:val="20"/>
              </w:rPr>
            </w:pPr>
            <w:r>
              <w:rPr>
                <w:rFonts w:ascii="Times New Roman" w:hAnsi="Times New Roman"/>
                <w:sz w:val="20"/>
              </w:rPr>
              <w:t>Principal Financial Officer of</w:t>
              <w:br/>
              <w:t>NBCUniversal Media, LLC;</w:t>
            </w:r>
          </w:p>
          <w:p>
            <w:pPr>
              <w:pStyle w:val="TableContents"/>
              <w:bidi w:val="0"/>
              <w:spacing w:before="0" w:after="20"/>
              <w:jc w:val="center"/>
              <w:rPr>
                <w:rFonts w:ascii="Times New Roman" w:hAnsi="Times New Roman"/>
                <w:sz w:val="20"/>
              </w:rPr>
            </w:pPr>
            <w:r>
              <w:rPr>
                <w:rFonts w:ascii="Times New Roman" w:hAnsi="Times New Roman"/>
                <w:sz w:val="20"/>
              </w:rPr>
              <w:t>Director of NBCUniversal, LLC,</w:t>
              <w:br/>
              <w:t>Sole Member of</w:t>
              <w:br/>
              <w:t>NBCUniversal Media, LLC</w:t>
            </w:r>
          </w:p>
        </w:tc>
        <w:tc>
          <w:tcPr>
            <w:tcW w:w="202" w:type="dxa"/>
            <w:tcBorders/>
            <w:vAlign w:val="bottom"/>
          </w:tcPr>
          <w:p>
            <w:pPr>
              <w:pStyle w:val="TableContents"/>
              <w:bidi w:val="0"/>
              <w:spacing w:before="0" w:after="283"/>
              <w:jc w:val="left"/>
              <w:rPr/>
            </w:pPr>
            <w:r>
              <w:rPr/>
              <w:t> </w:t>
            </w:r>
          </w:p>
        </w:tc>
        <w:tc>
          <w:tcPr>
            <w:tcW w:w="1773" w:type="dxa"/>
            <w:tcBorders/>
          </w:tcPr>
          <w:p>
            <w:pPr>
              <w:pStyle w:val="TableContents"/>
              <w:bidi w:val="0"/>
              <w:spacing w:before="0" w:after="283"/>
              <w:jc w:val="center"/>
              <w:rPr>
                <w:sz w:val="20"/>
              </w:rPr>
            </w:pPr>
            <w:r>
              <w:rPr>
                <w:sz w:val="20"/>
              </w:rPr>
              <w:t>February 28, 2025</w:t>
            </w:r>
          </w:p>
        </w:tc>
      </w:tr>
      <w:tr>
        <w:trPr>
          <w:trHeight w:val="240" w:hRule="atLeast"/>
        </w:trPr>
        <w:tc>
          <w:tcPr>
            <w:tcW w:w="4525"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w:t>
            </w:r>
          </w:p>
          <w:p>
            <w:pPr>
              <w:pStyle w:val="TableContents"/>
              <w:bidi w:val="0"/>
              <w:spacing w:before="0" w:after="20"/>
              <w:jc w:val="center"/>
              <w:rPr>
                <w:rFonts w:ascii="Times New Roman" w:hAnsi="Times New Roman"/>
                <w:b/>
                <w:sz w:val="16"/>
              </w:rPr>
            </w:pPr>
            <w:r>
              <w:rPr>
                <w:rFonts w:ascii="Times New Roman" w:hAnsi="Times New Roman"/>
                <w:b/>
                <w:sz w:val="16"/>
              </w:rPr>
              <w:t>Daniel C. Murdock</w:t>
            </w:r>
          </w:p>
        </w:tc>
        <w:tc>
          <w:tcPr>
            <w:tcW w:w="12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center"/>
              <w:rPr>
                <w:sz w:val="20"/>
              </w:rPr>
            </w:pPr>
            <w:r>
              <w:rPr>
                <w:sz w:val="20"/>
              </w:rPr>
              <w:t>Principal Accounting Officer of</w:t>
              <w:br/>
              <w:t>NBCUniversal Media, LLC</w:t>
            </w:r>
          </w:p>
        </w:tc>
        <w:tc>
          <w:tcPr>
            <w:tcW w:w="202" w:type="dxa"/>
            <w:tcBorders/>
            <w:vAlign w:val="bottom"/>
          </w:tcPr>
          <w:p>
            <w:pPr>
              <w:pStyle w:val="TableContents"/>
              <w:bidi w:val="0"/>
              <w:spacing w:before="0" w:after="283"/>
              <w:jc w:val="left"/>
              <w:rPr/>
            </w:pPr>
            <w:r>
              <w:rPr/>
              <w:t> </w:t>
            </w:r>
          </w:p>
        </w:tc>
        <w:tc>
          <w:tcPr>
            <w:tcW w:w="1773" w:type="dxa"/>
            <w:tcBorders/>
          </w:tcPr>
          <w:p>
            <w:pPr>
              <w:pStyle w:val="TableContents"/>
              <w:bidi w:val="0"/>
              <w:spacing w:before="0" w:after="283"/>
              <w:jc w:val="center"/>
              <w:rPr>
                <w:sz w:val="20"/>
              </w:rPr>
            </w:pPr>
            <w:r>
              <w:rPr>
                <w:sz w:val="20"/>
              </w:rPr>
              <w:t>February 28, 2025</w:t>
            </w:r>
          </w:p>
        </w:tc>
      </w:tr>
      <w:tr>
        <w:trPr>
          <w:trHeight w:val="240" w:hRule="atLeast"/>
        </w:trPr>
        <w:tc>
          <w:tcPr>
            <w:tcW w:w="4525"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J. REID</w:t>
            </w:r>
          </w:p>
          <w:p>
            <w:pPr>
              <w:pStyle w:val="TableContents"/>
              <w:bidi w:val="0"/>
              <w:spacing w:before="0" w:after="20"/>
              <w:jc w:val="center"/>
              <w:rPr>
                <w:rFonts w:ascii="Times New Roman" w:hAnsi="Times New Roman"/>
                <w:b/>
                <w:sz w:val="16"/>
              </w:rPr>
            </w:pPr>
            <w:r>
              <w:rPr>
                <w:rFonts w:ascii="Times New Roman" w:hAnsi="Times New Roman"/>
                <w:b/>
                <w:sz w:val="16"/>
              </w:rPr>
              <w:t>Thomas J. Reid</w:t>
            </w:r>
          </w:p>
        </w:tc>
        <w:tc>
          <w:tcPr>
            <w:tcW w:w="12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center"/>
              <w:rPr>
                <w:sz w:val="20"/>
              </w:rPr>
            </w:pPr>
            <w:r>
              <w:rPr>
                <w:sz w:val="20"/>
              </w:rPr>
              <w:t>Director of NBCUniversal, LLC,</w:t>
              <w:br/>
              <w:t>Sole Member of</w:t>
              <w:br/>
              <w:t>NBCUniversal Media, LLC</w:t>
            </w:r>
          </w:p>
        </w:tc>
        <w:tc>
          <w:tcPr>
            <w:tcW w:w="202" w:type="dxa"/>
            <w:tcBorders/>
            <w:vAlign w:val="bottom"/>
          </w:tcPr>
          <w:p>
            <w:pPr>
              <w:pStyle w:val="TableContents"/>
              <w:bidi w:val="0"/>
              <w:spacing w:before="0" w:after="283"/>
              <w:jc w:val="left"/>
              <w:rPr/>
            </w:pPr>
            <w:r>
              <w:rPr/>
              <w:t> </w:t>
            </w:r>
          </w:p>
        </w:tc>
        <w:tc>
          <w:tcPr>
            <w:tcW w:w="1773" w:type="dxa"/>
            <w:tcBorders/>
          </w:tcPr>
          <w:p>
            <w:pPr>
              <w:pStyle w:val="TableContents"/>
              <w:bidi w:val="0"/>
              <w:spacing w:before="0" w:after="283"/>
              <w:jc w:val="center"/>
              <w:rPr>
                <w:sz w:val="20"/>
              </w:rPr>
            </w:pPr>
            <w:r>
              <w:rPr>
                <w:sz w:val="20"/>
              </w:rPr>
              <w:t>February 28, 2025</w:t>
            </w:r>
          </w:p>
        </w:tc>
      </w:tr>
      <w:tr>
        <w:trPr>
          <w:trHeight w:val="240" w:hRule="atLeast"/>
        </w:trPr>
        <w:tc>
          <w:tcPr>
            <w:tcW w:w="4525"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/s/ ADAM L. MILLER</w:t>
            </w:r>
          </w:p>
          <w:p>
            <w:pPr>
              <w:pStyle w:val="TableContents"/>
              <w:bidi w:val="0"/>
              <w:spacing w:before="0" w:after="20"/>
              <w:jc w:val="center"/>
              <w:rPr>
                <w:rFonts w:ascii="Times New Roman" w:hAnsi="Times New Roman"/>
                <w:b/>
                <w:sz w:val="16"/>
              </w:rPr>
            </w:pPr>
            <w:r>
              <w:rPr>
                <w:rFonts w:ascii="Times New Roman" w:hAnsi="Times New Roman"/>
                <w:b/>
                <w:sz w:val="16"/>
              </w:rPr>
              <w:t>Adam L. Miller</w:t>
            </w:r>
          </w:p>
        </w:tc>
        <w:tc>
          <w:tcPr>
            <w:tcW w:w="12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center"/>
              <w:rPr>
                <w:sz w:val="20"/>
              </w:rPr>
            </w:pPr>
            <w:r>
              <w:rPr>
                <w:sz w:val="20"/>
              </w:rPr>
              <w:t>Director of NBCUniversal, LLC,</w:t>
              <w:br/>
              <w:t>Sole Member of</w:t>
              <w:br/>
              <w:t>NBCUniversal Media, LLC</w:t>
            </w:r>
          </w:p>
        </w:tc>
        <w:tc>
          <w:tcPr>
            <w:tcW w:w="202" w:type="dxa"/>
            <w:tcBorders/>
            <w:vAlign w:val="bottom"/>
          </w:tcPr>
          <w:p>
            <w:pPr>
              <w:pStyle w:val="TableContents"/>
              <w:bidi w:val="0"/>
              <w:spacing w:before="0" w:after="283"/>
              <w:jc w:val="left"/>
              <w:rPr/>
            </w:pPr>
            <w:r>
              <w:rPr/>
              <w:t> </w:t>
            </w:r>
          </w:p>
        </w:tc>
        <w:tc>
          <w:tcPr>
            <w:tcW w:w="1773" w:type="dxa"/>
            <w:tcBorders/>
          </w:tcPr>
          <w:p>
            <w:pPr>
              <w:pStyle w:val="TableContents"/>
              <w:bidi w:val="0"/>
              <w:spacing w:before="0" w:after="283"/>
              <w:jc w:val="center"/>
              <w:rPr>
                <w:sz w:val="20"/>
              </w:rPr>
            </w:pPr>
            <w:r>
              <w:rPr>
                <w:sz w:val="20"/>
              </w:rPr>
              <w:t>February 28,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p>
    <w:p>
      <w:pPr>
        <w:pStyle w:val="TextBody"/>
        <w:bidi w:val="0"/>
        <w:spacing w:before="0" w:after="0"/>
        <w:jc w:val="right"/>
        <w:rPr>
          <w:rFonts w:ascii="Times New Roman" w:hAnsi="Times New Roman"/>
          <w:b/>
          <w:sz w:val="20"/>
        </w:rPr>
      </w:pPr>
      <w:bookmarkStart w:id="17" w:name="d921757dex11.htm"/>
      <w:bookmarkStart w:id="18" w:name="ksd921757dex11"/>
      <w:bookmarkEnd w:id="17"/>
      <w:bookmarkEnd w:id="18"/>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(the Managers) are acting on behalf of the underwriter or underwriters (including ourselves) named below (such underwriter or underwriters being herein called the Underwriters), and we understand that Comcast Corporation, a Pennsylvania corporation (the Company), proposes to issue and sell $[ ] aggregate principal amount of [ ]% Notes Due [ ] (the Offered Securities). The Offered Securities are to be issued pursuant to the provisions of the Indenture, dated as of [ ] by and among the Company, the Guarantors and [ ], as trustee (the Trustee), as guaranteed on an unsecured and unsubordinated basis by NBCUniversal Media, LLC and Comcast Cable Communications, LLC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[ ] to the date of payment and delivery (the Purchase Price).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55"/>
        <w:gridCol w:w="634"/>
        <w:gridCol w:w="1966"/>
      </w:tblGrid>
      <w:tr>
        <w:trPr/>
        <w:tc>
          <w:tcPr>
            <w:tcW w:w="5155" w:type="dxa"/>
            <w:tcBorders/>
            <w:vAlign w:val="center"/>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34" w:type="dxa"/>
            <w:tcBorders/>
            <w:vAlign w:val="bottom"/>
          </w:tcPr>
          <w:p>
            <w:pPr>
              <w:pStyle w:val="TableContents"/>
              <w:bidi w:val="0"/>
              <w:spacing w:before="0" w:after="283"/>
              <w:jc w:val="left"/>
              <w:rPr/>
            </w:pPr>
            <w:r>
              <w:rPr/>
              <w:t>  </w:t>
            </w:r>
          </w:p>
        </w:tc>
        <w:tc>
          <w:tcPr>
            <w:tcW w:w="1966" w:type="dxa"/>
            <w:tcBorders>
              <w:bottom w:val="single" w:sz="8" w:space="0" w:color="000000"/>
            </w:tcBorders>
            <w:tcMar>
              <w:bottom w:w="28" w:type="dxa"/>
            </w:tcMar>
            <w:vAlign w:val="bottom"/>
          </w:tcPr>
          <w:p>
            <w:pPr>
              <w:pStyle w:val="TableContents"/>
              <w:bidi w:val="0"/>
              <w:spacing w:before="0" w:after="283"/>
              <w:jc w:val="center"/>
              <w:rPr>
                <w:b/>
              </w:rPr>
            </w:pPr>
            <w:r>
              <w:rPr>
                <w:b/>
              </w:rPr>
              <w:t>Amount of Offered</w:t>
              <w:br/>
              <w:t>Securities To Be</w:t>
              <w:br/>
              <w:t>Purchased</w:t>
            </w:r>
          </w:p>
        </w:tc>
      </w:tr>
      <w:tr>
        <w:trPr/>
        <w:tc>
          <w:tcPr>
            <w:tcW w:w="5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634" w:type="dxa"/>
            <w:tcBorders/>
            <w:shd w:fill="CCEEFF" w:val="clear"/>
            <w:vAlign w:val="bottom"/>
          </w:tcPr>
          <w:p>
            <w:pPr>
              <w:pStyle w:val="TableContents"/>
              <w:bidi w:val="0"/>
              <w:spacing w:before="0" w:after="283"/>
              <w:jc w:val="left"/>
              <w:rPr/>
            </w:pPr>
            <w:r>
              <w:rPr/>
              <w:t>  </w:t>
            </w:r>
          </w:p>
        </w:tc>
        <w:tc>
          <w:tcPr>
            <w:tcW w:w="1966" w:type="dxa"/>
            <w:tcBorders/>
            <w:shd w:fill="CCEEFF" w:val="clear"/>
            <w:vAlign w:val="bottom"/>
          </w:tcPr>
          <w:p>
            <w:pPr>
              <w:pStyle w:val="TableContents"/>
              <w:bidi w:val="0"/>
              <w:spacing w:before="0" w:after="283"/>
              <w:jc w:val="center"/>
              <w:rPr/>
            </w:pPr>
            <w:r>
              <w:rPr/>
              <w:t>[   ]</w:t>
            </w:r>
          </w:p>
        </w:tc>
      </w:tr>
      <w:tr>
        <w:trPr/>
        <w:tc>
          <w:tcPr>
            <w:tcW w:w="5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634" w:type="dxa"/>
            <w:tcBorders/>
            <w:vAlign w:val="bottom"/>
          </w:tcPr>
          <w:p>
            <w:pPr>
              <w:pStyle w:val="TableContents"/>
              <w:bidi w:val="0"/>
              <w:spacing w:before="0" w:after="283"/>
              <w:jc w:val="left"/>
              <w:rPr/>
            </w:pPr>
            <w:r>
              <w:rPr/>
              <w:t>  </w:t>
            </w:r>
          </w:p>
        </w:tc>
        <w:tc>
          <w:tcPr>
            <w:tcW w:w="1966" w:type="dxa"/>
            <w:tcBorders/>
            <w:vAlign w:val="bottom"/>
          </w:tcPr>
          <w:p>
            <w:pPr>
              <w:pStyle w:val="TableContents"/>
              <w:bidi w:val="0"/>
              <w:spacing w:before="0" w:after="283"/>
              <w:jc w:val="center"/>
              <w:rPr/>
            </w:pPr>
            <w:r>
              <w:rPr/>
              <w:t>[   ]</w:t>
            </w:r>
          </w:p>
        </w:tc>
      </w:tr>
      <w:tr>
        <w:trPr/>
        <w:tc>
          <w:tcPr>
            <w:tcW w:w="5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634" w:type="dxa"/>
            <w:tcBorders/>
            <w:shd w:fill="CCEEFF" w:val="clear"/>
            <w:vAlign w:val="bottom"/>
          </w:tcPr>
          <w:p>
            <w:pPr>
              <w:pStyle w:val="TableContents"/>
              <w:bidi w:val="0"/>
              <w:spacing w:before="0" w:after="283"/>
              <w:jc w:val="left"/>
              <w:rPr/>
            </w:pPr>
            <w:r>
              <w:rPr/>
              <w:t>  </w:t>
            </w:r>
          </w:p>
        </w:tc>
        <w:tc>
          <w:tcPr>
            <w:tcW w:w="1966" w:type="dxa"/>
            <w:tcBorders/>
            <w:shd w:fill="CCEEFF" w:val="clear"/>
            <w:vAlign w:val="bottom"/>
          </w:tcPr>
          <w:p>
            <w:pPr>
              <w:pStyle w:val="TableContents"/>
              <w:bidi w:val="0"/>
              <w:spacing w:before="0" w:after="283"/>
              <w:jc w:val="center"/>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will pay for the Offered Securities upon delivery thereof with the closing to be held at the offices of Davis Polk &amp; Wardwell LLP,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 </w:t>
      </w:r>
    </w:p>
    <w:p>
      <w:pPr>
        <w:pStyle w:val="TextBody"/>
        <w:bidi w:val="0"/>
        <w:spacing w:before="240" w:after="0"/>
        <w:jc w:val="left"/>
        <w:rPr>
          <w:rFonts w:ascii="Times New Roman" w:hAnsi="Times New Roman"/>
          <w:sz w:val="20"/>
        </w:rPr>
      </w:pPr>
      <w:r>
        <w:rPr>
          <w:rFonts w:ascii="Times New Roman" w:hAnsi="Times New Roman"/>
          <w:sz w:val="20"/>
        </w:rPr>
        <w:t>The Offered Securities shall have the terms set forth in the Prospectus dated [   ] (the Prospectus) and the Prospectus Supplement dated [   ] (the </w:t>
      </w:r>
      <w:r>
        <w:rPr>
          <w:rFonts w:ascii="Times New Roman" w:hAnsi="Times New Roman"/>
          <w:b/>
          <w:sz w:val="20"/>
        </w:rPr>
        <w:t>Prospectus Supplement</w:t>
      </w:r>
      <w:r>
        <w:rPr>
          <w:rFonts w:ascii="Times New Roman" w:hAnsi="Times New Roman"/>
          <w:sz w:val="20"/>
        </w:rPr>
        <w:t xml:space="preserve">), including the following: </w:t>
      </w:r>
    </w:p>
    <w:p>
      <w:pPr>
        <w:pStyle w:val="TextBody"/>
        <w:bidi w:val="0"/>
        <w:spacing w:before="240" w:after="0"/>
        <w:jc w:val="left"/>
        <w:rPr>
          <w:rFonts w:ascii="Times New Roman" w:hAnsi="Times New Roman"/>
          <w:sz w:val="20"/>
        </w:rPr>
      </w:pPr>
      <w:r>
        <w:rPr>
          <w:rFonts w:ascii="Times New Roman" w:hAnsi="Times New Roman"/>
          <w:sz w:val="20"/>
        </w:rPr>
        <w:t xml:space="preserve">Terms of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Maturity Date: [   ] </w:t>
      </w:r>
    </w:p>
    <w:p>
      <w:pPr>
        <w:pStyle w:val="TextBody"/>
        <w:bidi w:val="0"/>
        <w:spacing w:before="240" w:after="0"/>
        <w:jc w:val="left"/>
        <w:rPr>
          <w:rFonts w:ascii="Times New Roman" w:hAnsi="Times New Roman"/>
          <w:sz w:val="20"/>
        </w:rPr>
      </w:pPr>
      <w:r>
        <w:rPr>
          <w:rFonts w:ascii="Times New Roman" w:hAnsi="Times New Roman"/>
          <w:sz w:val="20"/>
        </w:rPr>
        <w:t xml:space="preserve">Interest Rate: [   ] </w:t>
      </w:r>
    </w:p>
    <w:p>
      <w:pPr>
        <w:pStyle w:val="TextBody"/>
        <w:bidi w:val="0"/>
        <w:spacing w:before="240" w:after="0"/>
        <w:jc w:val="left"/>
        <w:rPr>
          <w:rFonts w:ascii="Times New Roman" w:hAnsi="Times New Roman"/>
          <w:sz w:val="20"/>
        </w:rPr>
      </w:pPr>
      <w:r>
        <w:rPr>
          <w:rFonts w:ascii="Times New Roman" w:hAnsi="Times New Roman"/>
          <w:sz w:val="20"/>
        </w:rPr>
        <w:t xml:space="preserve">Redemption Provisions: [   ]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[   ] </w:t>
      </w:r>
    </w:p>
    <w:p>
      <w:pPr>
        <w:pStyle w:val="TextBody"/>
        <w:bidi w:val="0"/>
        <w:spacing w:before="240" w:after="0"/>
        <w:jc w:val="left"/>
        <w:rPr>
          <w:rFonts w:ascii="Times New Roman" w:hAnsi="Times New Roman"/>
          <w:sz w:val="20"/>
        </w:rPr>
      </w:pPr>
      <w:r>
        <w:rPr>
          <w:rFonts w:ascii="Times New Roman" w:hAnsi="Times New Roman"/>
          <w:sz w:val="20"/>
        </w:rPr>
        <w:t xml:space="preserve">commencing [   ]. </w:t>
      </w:r>
    </w:p>
    <w:p>
      <w:pPr>
        <w:pStyle w:val="TextBody"/>
        <w:bidi w:val="0"/>
        <w:spacing w:before="240" w:after="0"/>
        <w:jc w:val="left"/>
        <w:rPr>
          <w:rFonts w:ascii="Times New Roman" w:hAnsi="Times New Roman"/>
          <w:sz w:val="20"/>
        </w:rPr>
      </w:pPr>
      <w:r>
        <w:rPr>
          <w:rFonts w:ascii="Times New Roman" w:hAnsi="Times New Roman"/>
          <w:sz w:val="20"/>
        </w:rPr>
        <w:t xml:space="preserve">(Interest accrues from [  ]) </w:t>
      </w:r>
    </w:p>
    <w:p>
      <w:pPr>
        <w:pStyle w:val="TextBody"/>
        <w:bidi w:val="0"/>
        <w:spacing w:before="240" w:after="0"/>
        <w:jc w:val="left"/>
        <w:rPr>
          <w:rFonts w:ascii="Times New Roman" w:hAnsi="Times New Roman"/>
          <w:sz w:val="20"/>
        </w:rPr>
      </w:pPr>
      <w:r>
        <w:rPr>
          <w:rFonts w:ascii="Times New Roman" w:hAnsi="Times New Roman"/>
          <w:sz w:val="20"/>
        </w:rPr>
        <w:t xml:space="preserve">Form and Denomination: [   ]. </w:t>
      </w:r>
    </w:p>
    <w:p>
      <w:pPr>
        <w:pStyle w:val="TextBody"/>
        <w:bidi w:val="0"/>
        <w:spacing w:before="240" w:after="0"/>
        <w:jc w:val="left"/>
        <w:rPr>
          <w:rFonts w:ascii="Times New Roman" w:hAnsi="Times New Roman"/>
          <w:sz w:val="20"/>
        </w:rPr>
      </w:pPr>
      <w:r>
        <w:rPr>
          <w:rFonts w:ascii="Times New Roman" w:hAnsi="Times New Roman"/>
          <w:sz w:val="20"/>
        </w:rPr>
        <w:t xml:space="preserve">Ranking: [   ] </w:t>
      </w:r>
    </w:p>
    <w:p>
      <w:pPr>
        <w:pStyle w:val="TextBody"/>
        <w:bidi w:val="0"/>
        <w:spacing w:before="240" w:after="0"/>
        <w:jc w:val="left"/>
        <w:rPr>
          <w:rFonts w:ascii="Times New Roman" w:hAnsi="Times New Roman"/>
          <w:sz w:val="20"/>
        </w:rPr>
      </w:pPr>
      <w:r>
        <w:rPr>
          <w:rFonts w:ascii="Times New Roman" w:hAnsi="Times New Roman"/>
          <w:sz w:val="20"/>
        </w:rPr>
        <w:t xml:space="preserve">Other Terms: As set forth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above and not defined herein shall have the meanings set forth in the Prospectus and Prospectus Supplement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All communications hereunder shall be in writing and effective only upon receipt and (a) if to the Underwriters, shall be delivered, mailed or sent via facsimile in care of (i) [   ]; facsimile number [   ]; Attention: [   ], (ii) [   ]; facsimile number [   ]; or (b) if to the Company shall be delivered, mailed or sent via facsimile to One Comcast Center, Philadelphia, Pennsylvania 19103, facsimile number [   ], attention: [   ].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all provisions contained in the document entitled Comcast Corporation Underwriting Agreement Standard Provisions (Debt 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your agreement by having an authorized officer sign a copy of this Agreement in the space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of Lead Managers]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behalf of themselves and the other Underwriters named herein</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sz w:val="4"/>
                <w:szCs w:val="4"/>
              </w:rPr>
            </w:pPr>
            <w:r>
              <w:rPr>
                <w:sz w:val="4"/>
                <w:szCs w:val="4"/>
              </w:rPr>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pBdr>
                <w:bottom w:val="single" w:sz="2" w:space="1" w:color="000000"/>
              </w:pBdr>
              <w:bidi w:val="0"/>
              <w:spacing w:before="0" w:after="20"/>
              <w:jc w:val="left"/>
              <w:rPr/>
            </w:pPr>
            <w:r>
              <w:rPr/>
              <w:t> </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Name:</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Title:</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sz w:val="4"/>
                <w:szCs w:val="4"/>
              </w:rPr>
            </w:pPr>
            <w:r>
              <w:rPr>
                <w:sz w:val="4"/>
                <w:szCs w:val="4"/>
              </w:rPr>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pBdr>
                <w:bottom w:val="single" w:sz="2" w:space="1" w:color="000000"/>
              </w:pBdr>
              <w:bidi w:val="0"/>
              <w:spacing w:before="0" w:after="20"/>
              <w:jc w:val="left"/>
              <w:rPr/>
            </w:pPr>
            <w:r>
              <w:rPr/>
              <w:t> </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Name:</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01"/>
        <w:gridCol w:w="188"/>
        <w:gridCol w:w="2893"/>
      </w:tblGrid>
      <w:tr>
        <w:trPr/>
        <w:tc>
          <w:tcPr>
            <w:tcW w:w="1001"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COMCAST CORPORATION</w:t>
            </w:r>
          </w:p>
        </w:tc>
      </w:tr>
      <w:tr>
        <w:trPr>
          <w:trHeight w:val="240" w:hRule="atLeast"/>
        </w:trPr>
        <w:tc>
          <w:tcPr>
            <w:tcW w:w="1001" w:type="dxa"/>
            <w:tcBorders/>
            <w:vAlign w:val="center"/>
          </w:tcPr>
          <w:p>
            <w:pPr>
              <w:pStyle w:val="TableContents"/>
              <w:bidi w:val="0"/>
              <w:spacing w:before="0" w:after="283"/>
              <w:jc w:val="left"/>
              <w:rPr>
                <w:sz w:val="4"/>
                <w:szCs w:val="4"/>
              </w:rPr>
            </w:pPr>
            <w:r>
              <w:rPr>
                <w:sz w:val="4"/>
                <w:szCs w:val="4"/>
              </w:rPr>
            </w:r>
          </w:p>
        </w:tc>
        <w:tc>
          <w:tcPr>
            <w:tcW w:w="3081" w:type="dxa"/>
            <w:gridSpan w:val="2"/>
            <w:tcBorders/>
            <w:vAlign w:val="center"/>
          </w:tcPr>
          <w:p>
            <w:pPr>
              <w:pStyle w:val="TableContents"/>
              <w:bidi w:val="0"/>
              <w:spacing w:before="0" w:after="283"/>
              <w:jc w:val="left"/>
              <w:rPr>
                <w:sz w:val="4"/>
                <w:szCs w:val="4"/>
              </w:rPr>
            </w:pPr>
            <w:r>
              <w:rPr>
                <w:sz w:val="4"/>
                <w:szCs w:val="4"/>
              </w:rPr>
            </w:r>
          </w:p>
        </w:tc>
      </w:tr>
      <w:tr>
        <w:trPr/>
        <w:tc>
          <w:tcPr>
            <w:tcW w:w="1001" w:type="dxa"/>
            <w:tcBorders/>
          </w:tcPr>
          <w:p>
            <w:pPr>
              <w:pStyle w:val="TableContents"/>
              <w:bidi w:val="0"/>
              <w:spacing w:before="0" w:after="283"/>
              <w:jc w:val="left"/>
              <w:rPr/>
            </w:pPr>
            <w:r>
              <w:rPr/>
              <w:t>By:</w:t>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pBdr>
                <w:bottom w:val="single" w:sz="2" w:space="1" w:color="000000"/>
              </w:pBdr>
              <w:bidi w:val="0"/>
              <w:spacing w:before="0" w:after="20"/>
              <w:jc w:val="left"/>
              <w:rPr/>
            </w:pPr>
            <w:r>
              <w:rPr/>
              <w:t> </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Name:</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COMCAST CABLE COMMUNICATIONS, LLC</w:t>
            </w:r>
          </w:p>
        </w:tc>
      </w:tr>
      <w:tr>
        <w:trPr>
          <w:trHeight w:val="240" w:hRule="atLeast"/>
        </w:trPr>
        <w:tc>
          <w:tcPr>
            <w:tcW w:w="1001" w:type="dxa"/>
            <w:tcBorders/>
            <w:vAlign w:val="center"/>
          </w:tcPr>
          <w:p>
            <w:pPr>
              <w:pStyle w:val="TableContents"/>
              <w:bidi w:val="0"/>
              <w:spacing w:before="0" w:after="283"/>
              <w:jc w:val="left"/>
              <w:rPr>
                <w:sz w:val="4"/>
                <w:szCs w:val="4"/>
              </w:rPr>
            </w:pPr>
            <w:r>
              <w:rPr>
                <w:sz w:val="4"/>
                <w:szCs w:val="4"/>
              </w:rPr>
            </w:r>
          </w:p>
        </w:tc>
        <w:tc>
          <w:tcPr>
            <w:tcW w:w="3081" w:type="dxa"/>
            <w:gridSpan w:val="2"/>
            <w:tcBorders/>
            <w:vAlign w:val="center"/>
          </w:tcPr>
          <w:p>
            <w:pPr>
              <w:pStyle w:val="TableContents"/>
              <w:bidi w:val="0"/>
              <w:spacing w:before="0" w:after="283"/>
              <w:jc w:val="left"/>
              <w:rPr>
                <w:sz w:val="4"/>
                <w:szCs w:val="4"/>
              </w:rPr>
            </w:pPr>
            <w:r>
              <w:rPr>
                <w:sz w:val="4"/>
                <w:szCs w:val="4"/>
              </w:rPr>
            </w:r>
          </w:p>
        </w:tc>
      </w:tr>
      <w:tr>
        <w:trPr/>
        <w:tc>
          <w:tcPr>
            <w:tcW w:w="1001" w:type="dxa"/>
            <w:tcBorders/>
          </w:tcPr>
          <w:p>
            <w:pPr>
              <w:pStyle w:val="TableContents"/>
              <w:bidi w:val="0"/>
              <w:spacing w:before="0" w:after="283"/>
              <w:jc w:val="left"/>
              <w:rPr/>
            </w:pPr>
            <w:r>
              <w:rPr/>
              <w:t>By:</w:t>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pBdr>
                <w:bottom w:val="single" w:sz="2" w:space="1" w:color="000000"/>
              </w:pBdr>
              <w:bidi w:val="0"/>
              <w:spacing w:before="0" w:after="20"/>
              <w:jc w:val="left"/>
              <w:rPr/>
            </w:pPr>
            <w:r>
              <w:rPr/>
              <w:t> </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Name:</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NBCUNIVERSAL MEDIA, LLC</w:t>
            </w:r>
          </w:p>
        </w:tc>
      </w:tr>
      <w:tr>
        <w:trPr>
          <w:trHeight w:val="240" w:hRule="atLeast"/>
        </w:trPr>
        <w:tc>
          <w:tcPr>
            <w:tcW w:w="1001" w:type="dxa"/>
            <w:tcBorders/>
            <w:vAlign w:val="center"/>
          </w:tcPr>
          <w:p>
            <w:pPr>
              <w:pStyle w:val="TableContents"/>
              <w:bidi w:val="0"/>
              <w:spacing w:before="0" w:after="283"/>
              <w:jc w:val="left"/>
              <w:rPr>
                <w:sz w:val="4"/>
                <w:szCs w:val="4"/>
              </w:rPr>
            </w:pPr>
            <w:r>
              <w:rPr>
                <w:sz w:val="4"/>
                <w:szCs w:val="4"/>
              </w:rPr>
            </w:r>
          </w:p>
        </w:tc>
        <w:tc>
          <w:tcPr>
            <w:tcW w:w="3081" w:type="dxa"/>
            <w:gridSpan w:val="2"/>
            <w:tcBorders/>
            <w:vAlign w:val="center"/>
          </w:tcPr>
          <w:p>
            <w:pPr>
              <w:pStyle w:val="TableContents"/>
              <w:bidi w:val="0"/>
              <w:spacing w:before="0" w:after="283"/>
              <w:jc w:val="left"/>
              <w:rPr>
                <w:sz w:val="4"/>
                <w:szCs w:val="4"/>
              </w:rPr>
            </w:pPr>
            <w:r>
              <w:rPr>
                <w:sz w:val="4"/>
                <w:szCs w:val="4"/>
              </w:rPr>
            </w:r>
          </w:p>
        </w:tc>
      </w:tr>
      <w:tr>
        <w:trPr/>
        <w:tc>
          <w:tcPr>
            <w:tcW w:w="1001" w:type="dxa"/>
            <w:tcBorders/>
          </w:tcPr>
          <w:p>
            <w:pPr>
              <w:pStyle w:val="TableContents"/>
              <w:bidi w:val="0"/>
              <w:spacing w:before="0" w:after="283"/>
              <w:jc w:val="left"/>
              <w:rPr/>
            </w:pPr>
            <w:r>
              <w:rPr/>
              <w:t>By:</w:t>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pBdr>
                <w:bottom w:val="single" w:sz="2" w:space="1" w:color="000000"/>
              </w:pBdr>
              <w:bidi w:val="0"/>
              <w:spacing w:before="0" w:after="20"/>
              <w:jc w:val="left"/>
              <w:rPr/>
            </w:pPr>
            <w:r>
              <w:rPr/>
              <w:t> </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Name:</w:t>
            </w:r>
          </w:p>
        </w:tc>
      </w:tr>
      <w:tr>
        <w:trPr/>
        <w:tc>
          <w:tcPr>
            <w:tcW w:w="1001"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1. Base Prospectus dated [   ] relating to the Offered Securities and included in the Registration Statement (File No. [   ]) </w:t>
      </w:r>
    </w:p>
    <w:p>
      <w:pPr>
        <w:pStyle w:val="TextBody"/>
        <w:bidi w:val="0"/>
        <w:spacing w:before="240" w:after="0"/>
        <w:jc w:val="left"/>
        <w:rPr>
          <w:rFonts w:ascii="Times New Roman" w:hAnsi="Times New Roman"/>
          <w:sz w:val="20"/>
        </w:rPr>
      </w:pPr>
      <w:r>
        <w:rPr>
          <w:rFonts w:ascii="Times New Roman" w:hAnsi="Times New Roman"/>
          <w:sz w:val="20"/>
        </w:rPr>
        <w:t xml:space="preserve">2. Preliminary Prospectus Supplement dated [   ] relating to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3. Final term sheet containing the final terms of the Offered Securities as set forth in Schedule II hereto and filed with the Commission under Rule 433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FINAL TERM SHEET </w:t>
      </w:r>
    </w:p>
    <w:p>
      <w:pPr>
        <w:pStyle w:val="TextBody"/>
        <w:bidi w:val="0"/>
        <w:spacing w:before="0" w:after="0"/>
        <w:jc w:val="right"/>
        <w:rPr>
          <w:rFonts w:ascii="Times New Roman" w:hAnsi="Times New Roman"/>
          <w:b/>
          <w:sz w:val="20"/>
        </w:rPr>
      </w:pPr>
      <w:bookmarkStart w:id="19" w:name="d921757dex12.htm"/>
      <w:bookmarkStart w:id="20" w:name="ksd921757dex12"/>
      <w:bookmarkEnd w:id="19"/>
      <w:bookmarkEnd w:id="20"/>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COMCAST CORPORATION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STANDARD PROVISIONS </w:t>
      </w:r>
    </w:p>
    <w:p>
      <w:pPr>
        <w:pStyle w:val="TextBody"/>
        <w:bidi w:val="0"/>
        <w:spacing w:before="240" w:after="0"/>
        <w:jc w:val="center"/>
        <w:rPr>
          <w:rFonts w:ascii="Times New Roman" w:hAnsi="Times New Roman"/>
          <w:sz w:val="20"/>
        </w:rPr>
      </w:pPr>
      <w:r>
        <w:rPr>
          <w:rFonts w:ascii="Times New Roman" w:hAnsi="Times New Roman"/>
          <w:sz w:val="20"/>
        </w:rPr>
        <w:t xml:space="preserve">(DEBT SECURITIES) </w:t>
      </w:r>
    </w:p>
    <w:p>
      <w:pPr>
        <w:pStyle w:val="TextBody"/>
        <w:bidi w:val="0"/>
        <w:spacing w:before="240" w:after="0"/>
        <w:jc w:val="center"/>
        <w:rPr>
          <w:rFonts w:ascii="Times New Roman" w:hAnsi="Times New Roman"/>
          <w:sz w:val="20"/>
        </w:rPr>
      </w:pPr>
      <w:r>
        <w:rPr>
          <w:rFonts w:ascii="Times New Roman" w:hAnsi="Times New Roman"/>
          <w:sz w:val="20"/>
        </w:rPr>
        <w:t xml:space="preserve">August 1, 2019 </w:t>
      </w:r>
    </w:p>
    <w:p>
      <w:pPr>
        <w:pStyle w:val="TextBody"/>
        <w:bidi w:val="0"/>
        <w:spacing w:before="240" w:after="0"/>
        <w:jc w:val="left"/>
        <w:rPr>
          <w:rFonts w:ascii="Times New Roman" w:hAnsi="Times New Roman"/>
          <w:sz w:val="20"/>
        </w:rPr>
      </w:pPr>
      <w:r>
        <w:rPr>
          <w:rFonts w:ascii="Times New Roman" w:hAnsi="Times New Roman"/>
          <w:sz w:val="20"/>
        </w:rPr>
        <w:t>From time to time, Comcast Corporation, a Pennsylvania corporation (the </w:t>
      </w:r>
      <w:r>
        <w:rPr>
          <w:rFonts w:ascii="Times New Roman" w:hAnsi="Times New Roman"/>
          <w:b/>
          <w:sz w:val="20"/>
        </w:rPr>
        <w:t>Company</w:t>
      </w:r>
      <w:r>
        <w:rPr>
          <w:rFonts w:ascii="Times New Roman" w:hAnsi="Times New Roman"/>
          <w:sz w:val="20"/>
        </w:rPr>
        <w:t>), may, alone or together with NBCUniversal Media, LLC and Comcast Cable Communications, LLC (together, the </w:t>
      </w:r>
      <w:r>
        <w:rPr>
          <w:rFonts w:ascii="Times New Roman" w:hAnsi="Times New Roman"/>
          <w:b/>
          <w:sz w:val="20"/>
        </w:rPr>
        <w:t>Guarantors</w:t>
      </w:r>
      <w:r>
        <w:rPr>
          <w:rFonts w:ascii="Times New Roman" w:hAnsi="Times New Roman"/>
          <w:sz w:val="20"/>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hAnsi="Times New Roman"/>
          <w:b/>
          <w:sz w:val="20"/>
        </w:rPr>
        <w:t>Underwriting Agreement</w:t>
      </w:r>
      <w:r>
        <w:rPr>
          <w:rFonts w:ascii="Times New Roman" w:hAnsi="Times New Roman"/>
          <w:sz w:val="20"/>
        </w:rPr>
        <w:t xml:space="preserve">). The Underwriting Agreement, including the provisions incorporated therein by reference, is herein referred to as this Agreement. Terms defined in the Underwriting Agreement are used herein as therein defined. </w:t>
      </w:r>
    </w:p>
    <w:p>
      <w:pPr>
        <w:pStyle w:val="TextBody"/>
        <w:bidi w:val="0"/>
        <w:spacing w:before="240" w:after="0"/>
        <w:jc w:val="left"/>
        <w:rPr>
          <w:rFonts w:ascii="Times New Roman" w:hAnsi="Times New Roman"/>
          <w:sz w:val="20"/>
        </w:rPr>
      </w:pPr>
      <w:r>
        <w:rPr>
          <w:rFonts w:ascii="Times New Roman" w:hAnsi="Times New Roman"/>
          <w:sz w:val="20"/>
        </w:rPr>
        <w:t>The Company proposes to issue from time to time its senior debt securities (the </w:t>
      </w:r>
      <w:r>
        <w:rPr>
          <w:rFonts w:ascii="Times New Roman" w:hAnsi="Times New Roman"/>
          <w:b/>
          <w:sz w:val="20"/>
        </w:rPr>
        <w:t>Debt Securities</w:t>
      </w:r>
      <w:r>
        <w:rPr>
          <w:rFonts w:ascii="Times New Roman" w:hAnsi="Times New Roman"/>
          <w:sz w:val="20"/>
        </w:rPr>
        <w:t>), which Debt Securities may, if so designated, be convertible into the Companys Class A Common Stock, par value $0.01 per share. The Debt Securities may be guaranteed (the </w:t>
      </w:r>
      <w:r>
        <w:rPr>
          <w:rFonts w:ascii="Times New Roman" w:hAnsi="Times New Roman"/>
          <w:b/>
          <w:sz w:val="20"/>
        </w:rPr>
        <w:t>Guarantees</w:t>
      </w:r>
      <w:r>
        <w:rPr>
          <w:rFonts w:ascii="Times New Roman" w:hAnsi="Times New Roman"/>
          <w:sz w:val="20"/>
        </w:rPr>
        <w:t xml:space="preserve">) on an unsecured basis by the Guarantors. </w:t>
      </w:r>
    </w:p>
    <w:p>
      <w:pPr>
        <w:pStyle w:val="TextBody"/>
        <w:bidi w:val="0"/>
        <w:spacing w:before="240" w:after="0"/>
        <w:jc w:val="left"/>
        <w:rPr>
          <w:rFonts w:ascii="Times New Roman" w:hAnsi="Times New Roman"/>
          <w:sz w:val="20"/>
        </w:rPr>
      </w:pPr>
      <w:r>
        <w:rPr>
          <w:rFonts w:ascii="Times New Roman" w:hAnsi="Times New Roman"/>
          <w:sz w:val="20"/>
        </w:rPr>
        <w:t>The Company and the Guarantors have filed with the Securities and Exchange Commission (the </w:t>
      </w:r>
      <w:r>
        <w:rPr>
          <w:rFonts w:ascii="Times New Roman" w:hAnsi="Times New Roman"/>
          <w:b/>
          <w:sz w:val="20"/>
        </w:rPr>
        <w:t>Commission</w:t>
      </w:r>
      <w:r>
        <w:rPr>
          <w:rFonts w:ascii="Times New Roman" w:hAnsi="Times New Roman"/>
          <w:sz w:val="20"/>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Times New Roman" w:hAnsi="Times New Roman"/>
          <w:b/>
          <w:sz w:val="20"/>
        </w:rPr>
        <w:t>Prospectus Supplement</w:t>
      </w:r>
      <w:r>
        <w:rPr>
          <w:rFonts w:ascii="Times New Roman" w:hAnsi="Times New Roman"/>
          <w:sz w:val="20"/>
        </w:rPr>
        <w:t>) pursuant to Rule 424 under the Securities Act of 1933, as amended (the </w:t>
      </w:r>
      <w:r>
        <w:rPr>
          <w:rFonts w:ascii="Times New Roman" w:hAnsi="Times New Roman"/>
          <w:b/>
          <w:sz w:val="20"/>
        </w:rPr>
        <w:t>Securities Act</w:t>
      </w:r>
      <w:r>
        <w:rPr>
          <w:rFonts w:ascii="Times New Roman" w:hAnsi="Times New Roman"/>
          <w:sz w:val="20"/>
        </w:rPr>
        <w:t>), specifically relating to the Debt Securities and the Guarantees, if applicable, offered pursuant to this Agreement (the </w:t>
      </w:r>
      <w:r>
        <w:rPr>
          <w:rFonts w:ascii="Times New Roman" w:hAnsi="Times New Roman"/>
          <w:b/>
          <w:sz w:val="20"/>
        </w:rPr>
        <w:t>Offered Securities</w:t>
      </w:r>
      <w:r>
        <w:rPr>
          <w:rFonts w:ascii="Times New Roman" w:hAnsi="Times New Roman"/>
          <w:sz w:val="20"/>
        </w:rPr>
        <w:t>). The term </w:t>
      </w:r>
      <w:r>
        <w:rPr>
          <w:rFonts w:ascii="Times New Roman" w:hAnsi="Times New Roman"/>
          <w:b/>
          <w:sz w:val="20"/>
        </w:rPr>
        <w:t>Registration Statement</w:t>
      </w:r>
      <w:r>
        <w:rPr>
          <w:rFonts w:ascii="Times New Roman" w:hAnsi="Times New Roman"/>
          <w:sz w:val="20"/>
        </w:rPr>
        <w:t> means the registration statement as amended to the date of this Agreement, including any additional registration statement filed by the Company pursuant to Rule 462(b). The term </w:t>
      </w:r>
      <w:r>
        <w:rPr>
          <w:rFonts w:ascii="Times New Roman" w:hAnsi="Times New Roman"/>
          <w:b/>
          <w:sz w:val="20"/>
        </w:rPr>
        <w:t>Base Prospectus</w:t>
      </w:r>
      <w:r>
        <w:rPr>
          <w:rFonts w:ascii="Times New Roman" w:hAnsi="Times New Roman"/>
          <w:sz w:val="20"/>
        </w:rPr>
        <w:t> means the prospectus included in the Registration Statement. The term </w:t>
      </w:r>
      <w:r>
        <w:rPr>
          <w:rFonts w:ascii="Times New Roman" w:hAnsi="Times New Roman"/>
          <w:b/>
          <w:sz w:val="20"/>
        </w:rPr>
        <w:t>Prospectus</w:t>
      </w:r>
      <w:r>
        <w:rPr>
          <w:rFonts w:ascii="Times New Roman" w:hAnsi="Times New Roman"/>
          <w:sz w:val="20"/>
        </w:rPr>
        <w:t> means the Base Prospectus together with the Prospectus Supplement. The term </w:t>
      </w:r>
      <w:r>
        <w:rPr>
          <w:rFonts w:ascii="Times New Roman" w:hAnsi="Times New Roman"/>
          <w:b/>
          <w:sz w:val="20"/>
        </w:rPr>
        <w:t>preliminary prospectus</w:t>
      </w:r>
      <w:r>
        <w:rPr>
          <w:rFonts w:ascii="Times New Roman" w:hAnsi="Times New Roman"/>
          <w:sz w:val="20"/>
        </w:rPr>
        <w:t> means a preliminary prospectus supplement specifically relating to the Offered Securities, together with the Base Prospectus. The term </w:t>
      </w:r>
      <w:r>
        <w:rPr>
          <w:rFonts w:ascii="Times New Roman" w:hAnsi="Times New Roman"/>
          <w:b/>
          <w:sz w:val="20"/>
        </w:rPr>
        <w:t>free writing prospectus</w:t>
      </w:r>
      <w:r>
        <w:rPr>
          <w:rFonts w:ascii="Times New Roman" w:hAnsi="Times New Roman"/>
          <w:sz w:val="20"/>
        </w:rPr>
        <w:t> has the meaning set forth in Rule 405 under the Securities Act. The term </w:t>
      </w:r>
      <w:r>
        <w:rPr>
          <w:rFonts w:ascii="Times New Roman" w:hAnsi="Times New Roman"/>
          <w:b/>
          <w:sz w:val="20"/>
        </w:rPr>
        <w:t>issuer free writing prospectus</w:t>
      </w:r>
      <w:r>
        <w:rPr>
          <w:rFonts w:ascii="Times New Roman" w:hAnsi="Times New Roman"/>
          <w:sz w:val="20"/>
        </w:rPr>
        <w:t> has the meaning set forth in Rule 433 under the Securities Act. The term </w:t>
      </w:r>
      <w:r>
        <w:rPr>
          <w:rFonts w:ascii="Times New Roman" w:hAnsi="Times New Roman"/>
          <w:b/>
          <w:sz w:val="20"/>
        </w:rPr>
        <w:t>Disclosure Package</w:t>
      </w:r>
      <w:r>
        <w:rPr>
          <w:rFonts w:ascii="Times New Roman" w:hAnsi="Times New Roman"/>
          <w:sz w:val="20"/>
        </w:rPr>
        <w:t> means the Base Prospectus and preliminary prospectus, if any, together with any additional documents or other information identified in Schedule I to this Agreement. As used herein, the terms Base Prospectus, Prospectus, preliminary prospectus and Disclosure Package shall include in each case the documents, if any, incorporated by reference therein. As used herein, the term </w:t>
      </w:r>
      <w:r>
        <w:rPr>
          <w:rFonts w:ascii="Times New Roman" w:hAnsi="Times New Roman"/>
          <w:b/>
          <w:sz w:val="20"/>
        </w:rPr>
        <w:t>Applicable Time</w:t>
      </w:r>
      <w:r>
        <w:rPr>
          <w:rFonts w:ascii="Times New Roman" w:hAnsi="Times New Roman"/>
          <w:sz w:val="20"/>
        </w:rPr>
        <w:t xml:space="preserve"> means the time and date at which this Agreement is deemed to be executed or such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For purposes of this Agreement, </w:t>
      </w:r>
      <w:r>
        <w:rPr>
          <w:rFonts w:ascii="Times New Roman" w:hAnsi="Times New Roman"/>
          <w:b/>
          <w:sz w:val="20"/>
        </w:rPr>
        <w:t>Issuers</w:t>
      </w:r>
      <w:r>
        <w:rPr>
          <w:rFonts w:ascii="Times New Roman" w:hAnsi="Times New Roman"/>
          <w:sz w:val="20"/>
        </w:rPr>
        <w:t xml:space="preserve"> means the Company and includes the Guarantors if Guarantees are offered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Issuers, jointly and severally, represent and warrant to each of the Underwriters as of the Applicable Time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are pending before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(c) 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Times New Roman" w:hAnsi="Times New Roman"/>
          <w:b/>
          <w:sz w:val="20"/>
        </w:rPr>
        <w:t>Form T-1</w:t>
      </w:r>
      <w:r>
        <w:rPr>
          <w:rFonts w:ascii="Times New Roman" w:hAnsi="Times New Roman"/>
          <w:sz w:val="20"/>
        </w:rPr>
        <w:t xml:space="preserve">) or (ii) statements or omissions in the Registration Statement, the Disclosure Package or the Prospectus or any amendment or supplement thereto based upon information furnished to the Issuers in writing by any Underwriter through the Managers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 </w:t>
      </w:r>
    </w:p>
    <w:p>
      <w:pPr>
        <w:pStyle w:val="TextBody"/>
        <w:bidi w:val="0"/>
        <w:spacing w:before="120" w:after="0"/>
        <w:jc w:val="left"/>
        <w:rPr>
          <w:rFonts w:ascii="Times New Roman" w:hAnsi="Times New Roman"/>
          <w:sz w:val="20"/>
        </w:rPr>
      </w:pPr>
      <w:r>
        <w:rPr>
          <w:rFonts w:ascii="Times New Roman" w:hAnsi="Times New Roman"/>
          <w:sz w:val="20"/>
        </w:rPr>
        <w:t xml:space="preserve">(e) 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Times New Roman" w:hAnsi="Times New Roman"/>
          <w:i/>
          <w:sz w:val="20"/>
        </w:rPr>
        <w:t>provided, however</w:t>
      </w:r>
      <w:r>
        <w:rPr>
          <w:rFonts w:ascii="Times New Roman" w:hAnsi="Times New Roman"/>
          <w:sz w:val="20"/>
        </w:rPr>
        <w:t xml:space="preserve">, that no representation is made as to whether the purchase of the Offered Securities constitutes a prohibited transaction under Section 406 of the Employee Retirement Income Security Act of 1974, as amended, or Section 4975 of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(h) 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Public Offering</w:t>
      </w:r>
      <w:r>
        <w:rPr>
          <w:rFonts w:ascii="Times New Roman" w:hAnsi="Times New Roman"/>
          <w:sz w:val="20"/>
        </w:rPr>
        <w:t xml:space="preserve">. The Issuers are advised by the Managers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Purchase and Delivery</w:t>
      </w:r>
      <w:r>
        <w:rPr>
          <w:rFonts w:ascii="Times New Roman" w:hAnsi="Times New Roman"/>
          <w:sz w:val="20"/>
        </w:rPr>
        <w:t xml:space="preserve">. Except as otherwise provided in this Section 3, payment for the Offered Securities shall be made to the Company in federal 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Conditions to Closing</w:t>
      </w:r>
      <w:r>
        <w:rPr>
          <w:rFonts w:ascii="Times New Roman" w:hAnsi="Times New Roman"/>
          <w:sz w:val="20"/>
        </w:rPr>
        <w:t xml:space="preserve">. The several obligations of the Underwriters hereunder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(b) 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Managers shall have received on the Closing Date an opinion of Elizabeth Wideman, Esquire, Vice President, Senior Deputy General Counsel and Assistant Secretary of the Company (or another lawyer of the Company reasonably satisfactory to the Underwriters), dated the Closing Date, to the effect (as applicable) that: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indenture under which the Offered Securities are to be issued,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an authorized capitalization as set forth in the Disclosure Package, and all of the issued shares of capital stock of the Company have been duly and validly authorized and issued and are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(vi) the Offered Securities to be offered by the Company have been duly authorized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 </w:t>
      </w:r>
    </w:p>
    <w:p>
      <w:pPr>
        <w:pStyle w:val="TextBody"/>
        <w:bidi w:val="0"/>
        <w:spacing w:before="120" w:after="0"/>
        <w:jc w:val="left"/>
        <w:rPr>
          <w:rFonts w:ascii="Times New Roman" w:hAnsi="Times New Roman"/>
          <w:sz w:val="20"/>
        </w:rPr>
      </w:pPr>
      <w:r>
        <w:rPr>
          <w:rFonts w:ascii="Times New Roman" w:hAnsi="Times New Roman"/>
          <w:sz w:val="20"/>
        </w:rPr>
        <w:t xml:space="preserve">(viii) 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 </w:t>
      </w:r>
    </w:p>
    <w:p>
      <w:pPr>
        <w:pStyle w:val="TextBody"/>
        <w:bidi w:val="0"/>
        <w:spacing w:before="120" w:after="0"/>
        <w:jc w:val="left"/>
        <w:rPr>
          <w:rFonts w:ascii="Times New Roman" w:hAnsi="Times New Roman"/>
          <w:sz w:val="20"/>
        </w:rPr>
      </w:pPr>
      <w:r>
        <w:rPr>
          <w:rFonts w:ascii="Times New Roman" w:hAnsi="Times New Roman"/>
          <w:sz w:val="20"/>
        </w:rPr>
        <w:t xml:space="preserve">(ix) 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 </w:t>
      </w:r>
    </w:p>
    <w:p>
      <w:pPr>
        <w:pStyle w:val="TextBody"/>
        <w:bidi w:val="0"/>
        <w:spacing w:before="120" w:after="0"/>
        <w:jc w:val="left"/>
        <w:rPr>
          <w:rFonts w:ascii="Times New Roman" w:hAnsi="Times New Roman"/>
          <w:sz w:val="20"/>
        </w:rPr>
      </w:pPr>
      <w:r>
        <w:rPr>
          <w:rFonts w:ascii="Times New Roman" w:hAnsi="Times New Roman"/>
          <w:sz w:val="20"/>
        </w:rPr>
        <w:t xml:space="preserve">(x) 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 (C) the Registration Statement in Item 15 and (D) the Disclosure Package under the caption Description of Capital Stock,1 insofar as such statements summarize the legal matters, documents or proceedings referred to therein, fairly summarize such legal matters, documents and proceedings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(xi) 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1 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inclusion of Section 4(c)(x)(D) is only required for issuances of convertible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(xii) the securities into which the Offered Securities are convertible, initially reserved for issuance upon conversion of the Offered Securities (the </w:t>
      </w:r>
      <w:r>
        <w:rPr>
          <w:rFonts w:ascii="Times New Roman" w:hAnsi="Times New Roman"/>
          <w:b/>
          <w:sz w:val="20"/>
        </w:rPr>
        <w:t>Underlying Securities</w:t>
      </w:r>
      <w:r>
        <w:rPr>
          <w:rFonts w:ascii="Times New Roman" w:hAnsi="Times New Roman"/>
          <w:sz w:val="20"/>
        </w:rPr>
        <w:t xml:space="preserve">), have been duly authorized and reserved for issuance; and </w:t>
      </w:r>
    </w:p>
    <w:p>
      <w:pPr>
        <w:pStyle w:val="TextBody"/>
        <w:bidi w:val="0"/>
        <w:spacing w:before="120" w:after="0"/>
        <w:jc w:val="left"/>
        <w:rPr>
          <w:rFonts w:ascii="Times New Roman" w:hAnsi="Times New Roman"/>
          <w:sz w:val="20"/>
        </w:rPr>
      </w:pPr>
      <w:r>
        <w:rPr>
          <w:rFonts w:ascii="Times New Roman" w:hAnsi="Times New Roman"/>
          <w:sz w:val="20"/>
        </w:rPr>
        <w:t xml:space="preserve">(xiii) 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counsel shall also state that nothing has come to her attention that causes her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preceding paragraph, such counsel may state that her belief is based upon her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expressing her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Managers shall have received on the Closing Date an opinion of Davis Polk &amp; Wardwell LLP, special counsel for the Company, dated the Closing Date,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each Guarantor is validly existing as a limited liability company in good standing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(ii) 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 </w:t>
      </w:r>
    </w:p>
    <w:p>
      <w:pPr>
        <w:pStyle w:val="TextBody"/>
        <w:bidi w:val="0"/>
        <w:spacing w:before="120" w:after="0"/>
        <w:jc w:val="left"/>
        <w:rPr>
          <w:rFonts w:ascii="Times New Roman" w:hAnsi="Times New Roman"/>
          <w:sz w:val="20"/>
        </w:rPr>
      </w:pPr>
      <w:r>
        <w:rPr>
          <w:rFonts w:ascii="Times New Roman" w:hAnsi="Times New Roman"/>
          <w:sz w:val="20"/>
        </w:rPr>
        <w:t xml:space="preserve">(iii) 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 </w:t>
      </w:r>
    </w:p>
    <w:p>
      <w:pPr>
        <w:pStyle w:val="TextBody"/>
        <w:bidi w:val="0"/>
        <w:spacing w:before="120" w:after="0"/>
        <w:jc w:val="left"/>
        <w:rPr>
          <w:rFonts w:ascii="Times New Roman" w:hAnsi="Times New Roman"/>
          <w:sz w:val="20"/>
        </w:rPr>
      </w:pPr>
      <w:r>
        <w:rPr>
          <w:rFonts w:ascii="Times New Roman" w:hAnsi="Times New Roman"/>
          <w:sz w:val="20"/>
        </w:rPr>
        <w:t xml:space="preserve">(iv) this Agreement has been duly authorized, executed and delivered by each Guarantor party hereto; </w:t>
      </w:r>
    </w:p>
    <w:p>
      <w:pPr>
        <w:pStyle w:val="TextBody"/>
        <w:bidi w:val="0"/>
        <w:spacing w:before="120" w:after="0"/>
        <w:jc w:val="left"/>
        <w:rPr>
          <w:rFonts w:ascii="Times New Roman" w:hAnsi="Times New Roman"/>
          <w:sz w:val="20"/>
        </w:rPr>
      </w:pPr>
      <w:r>
        <w:rPr>
          <w:rFonts w:ascii="Times New Roman" w:hAnsi="Times New Roman"/>
          <w:sz w:val="20"/>
        </w:rPr>
        <w:t xml:space="preserve">(v) 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statutory laws of the State of New York or any federal law of the United States of America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Guarantor; and </w:t>
      </w:r>
    </w:p>
    <w:p>
      <w:pPr>
        <w:pStyle w:val="TextBody"/>
        <w:bidi w:val="0"/>
        <w:spacing w:before="120" w:after="0"/>
        <w:jc w:val="left"/>
        <w:rPr>
          <w:rFonts w:ascii="Times New Roman" w:hAnsi="Times New Roman"/>
          <w:sz w:val="20"/>
        </w:rPr>
      </w:pPr>
      <w:r>
        <w:rPr>
          <w:rFonts w:ascii="Times New Roman" w:hAnsi="Times New Roman"/>
          <w:sz w:val="20"/>
        </w:rPr>
        <w:t xml:space="preserve">(vi) 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 </w:t>
      </w:r>
    </w:p>
    <w:p>
      <w:pPr>
        <w:pStyle w:val="TextBody"/>
        <w:bidi w:val="0"/>
        <w:spacing w:before="240" w:after="0"/>
        <w:jc w:val="left"/>
        <w:rPr>
          <w:rFonts w:ascii="Times New Roman" w:hAnsi="Times New Roman"/>
          <w:sz w:val="20"/>
        </w:rPr>
      </w:pPr>
      <w:r>
        <w:rPr>
          <w:rFonts w:ascii="Times New Roman" w:hAnsi="Times New Roman"/>
          <w:sz w:val="20"/>
        </w:rPr>
        <w:t xml:space="preserve">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 </w:t>
      </w:r>
    </w:p>
    <w:p>
      <w:pPr>
        <w:pStyle w:val="TextBody"/>
        <w:bidi w:val="0"/>
        <w:spacing w:before="120" w:after="0"/>
        <w:jc w:val="left"/>
        <w:rPr>
          <w:rFonts w:ascii="Times New Roman" w:hAnsi="Times New Roman"/>
          <w:sz w:val="20"/>
        </w:rPr>
      </w:pPr>
      <w:r>
        <w:rPr>
          <w:rFonts w:ascii="Times New Roman" w:hAnsi="Times New Roman"/>
          <w:sz w:val="20"/>
        </w:rPr>
        <w:t xml:space="preserve">(e) The Managers shall have received on the Closing Date an opinion of internal communications counsel for the Company, dated the Closing Date,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no approval of the Federal Communications Commission (the FCC) is required in connection with the issuance and sale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(ii) 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 </w:t>
      </w:r>
    </w:p>
    <w:p>
      <w:pPr>
        <w:pStyle w:val="TextBody"/>
        <w:bidi w:val="0"/>
        <w:spacing w:before="120" w:after="0"/>
        <w:jc w:val="left"/>
        <w:rPr>
          <w:rFonts w:ascii="Times New Roman" w:hAnsi="Times New Roman"/>
          <w:sz w:val="20"/>
        </w:rPr>
      </w:pPr>
      <w:r>
        <w:rPr>
          <w:rFonts w:ascii="Times New Roman" w:hAnsi="Times New Roman"/>
          <w:sz w:val="20"/>
        </w:rPr>
        <w:t xml:space="preserve">(iv) 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Disclosure Package pursuant to Regulation S-K promulgated under the Securities Act, which is not described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Managers shall have received on the Closing Date an opinion of Cahill Gordon &amp; Reindel LLP, counsel for the Underwriters, dated the Closing Date, covering the matters requested by and in form and substance reasonably satisfactory to the Managers. </w:t>
      </w:r>
    </w:p>
    <w:p>
      <w:pPr>
        <w:pStyle w:val="TextBody"/>
        <w:bidi w:val="0"/>
        <w:spacing w:before="120" w:after="0"/>
        <w:jc w:val="left"/>
        <w:rPr>
          <w:rFonts w:ascii="Times New Roman" w:hAnsi="Times New Roman"/>
          <w:sz w:val="20"/>
        </w:rPr>
      </w:pPr>
      <w:r>
        <w:rPr>
          <w:rFonts w:ascii="Times New Roman" w:hAnsi="Times New Roman"/>
          <w:sz w:val="20"/>
        </w:rPr>
        <w:t xml:space="preserve">(g) 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(h) The Managers shall have received on the date hereof or on the Closing Date, as applicable, such additional documents as the Managers shall have reasonably requested to confirm compliance with the conditions to Closing listed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Covenants of the Company</w:t>
      </w:r>
      <w:r>
        <w:rPr>
          <w:rFonts w:ascii="Times New Roman" w:hAnsi="Times New Roman"/>
          <w:sz w:val="20"/>
        </w:rPr>
        <w:t xml:space="preserve">. In further consideration of the agreements of the Underwriters herein contained, the Issuers covenant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Disclosure Package or the Prospectus, to furnish the Managers a copy of each such proposed amendment or supplement. </w:t>
      </w:r>
    </w:p>
    <w:p>
      <w:pPr>
        <w:pStyle w:val="TextBody"/>
        <w:bidi w:val="0"/>
        <w:spacing w:before="120" w:after="0"/>
        <w:jc w:val="left"/>
        <w:rPr>
          <w:rFonts w:ascii="Times New Roman" w:hAnsi="Times New Roman"/>
          <w:sz w:val="20"/>
        </w:rPr>
      </w:pPr>
      <w:r>
        <w:rPr>
          <w:rFonts w:ascii="Times New Roman" w:hAnsi="Times New Roman"/>
          <w:sz w:val="20"/>
        </w:rPr>
        <w:t xml:space="preserve">(c) Before filing, using or referring to any free writing prospectus relating to the Offered Securities, to furnish the Managers a copy of each such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Offered Securities for offer and sale under the securities or Blue Sky laws of such U.S. jurisdictions as the Managers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Underwriters</w:t>
      </w:r>
      <w:r>
        <w:rPr>
          <w:rFonts w:ascii="Times New Roman" w:hAnsi="Times New Roman"/>
          <w:sz w:val="20"/>
        </w:rPr>
        <w:t xml:space="preserve">. In further consideration of the agreements of the Issuers herein contained, each Underwriter severally covenants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(b) Not to use, refer to or distribute any free writing prospectus except: </w:t>
      </w:r>
    </w:p>
    <w:p>
      <w:pPr>
        <w:pStyle w:val="TextBody"/>
        <w:bidi w:val="0"/>
        <w:spacing w:before="120" w:after="0"/>
        <w:jc w:val="left"/>
        <w:rPr>
          <w:rFonts w:ascii="Times New Roman" w:hAnsi="Times New Roman"/>
          <w:sz w:val="20"/>
        </w:rPr>
      </w:pPr>
      <w:r>
        <w:rPr>
          <w:rFonts w:ascii="Times New Roman" w:hAnsi="Times New Roman"/>
          <w:sz w:val="20"/>
        </w:rPr>
        <w:t xml:space="preserve">(i) 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w:t>
      </w:r>
    </w:p>
    <w:p>
      <w:pPr>
        <w:pStyle w:val="TextBody"/>
        <w:bidi w:val="0"/>
        <w:spacing w:before="120" w:after="0"/>
        <w:jc w:val="left"/>
        <w:rPr>
          <w:rFonts w:ascii="Times New Roman" w:hAnsi="Times New Roman"/>
          <w:sz w:val="20"/>
        </w:rPr>
      </w:pPr>
      <w:r>
        <w:rPr>
          <w:rFonts w:ascii="Times New Roman" w:hAnsi="Times New Roman"/>
          <w:sz w:val="20"/>
        </w:rPr>
        <w:t xml:space="preserve">(iii) a free writing prospectus identified in Schedule I to this Agreement as forming part of the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Indemnification and Contribution</w:t>
      </w:r>
      <w:r>
        <w:rPr>
          <w:rFonts w:ascii="Times New Roman" w:hAnsi="Times New Roman"/>
          <w:sz w:val="20"/>
        </w:rPr>
        <w:t xml:space="preserve">. The Issuers, jointly and severally, agree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the contact of the Managers indicated in the notice provision contained in this Agreement sufficiently in advance of first entering into a contract of sale of Offered Securities with such person (the </w:t>
      </w:r>
      <w:r>
        <w:rPr>
          <w:rFonts w:ascii="Times New Roman" w:hAnsi="Times New Roman"/>
          <w:b/>
          <w:sz w:val="20"/>
        </w:rPr>
        <w:t>Time of Sale</w:t>
      </w:r>
      <w:r>
        <w:rPr>
          <w:rFonts w:ascii="Times New Roman" w:hAnsi="Times New Roman"/>
          <w:sz w:val="20"/>
        </w:rPr>
        <w:t xml:space="preserve">)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Termination</w:t>
      </w:r>
      <w:r>
        <w:rPr>
          <w:rFonts w:ascii="Times New Roman" w:hAnsi="Times New Roman"/>
          <w:sz w:val="20"/>
        </w:rPr>
        <w:t xml:space="preserve">. This Agreement shall be subject to termination in the absolute discretion of the Managers by notice given by the Managers to the 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Defaulting Underwriters</w:t>
      </w:r>
      <w:r>
        <w:rPr>
          <w:rFonts w:ascii="Times New Roman" w:hAnsi="Times New Roman"/>
          <w:sz w:val="20"/>
        </w:rPr>
        <w:t xml:space="preserve">.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Counterparts</w:t>
      </w:r>
      <w:r>
        <w:rPr>
          <w:rFonts w:ascii="Times New Roman" w:hAnsi="Times New Roman"/>
          <w:sz w:val="20"/>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 xml:space="preserve">USA Patriot Act. </w:t>
      </w: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right"/>
        <w:rPr>
          <w:rFonts w:ascii="Times New Roman" w:hAnsi="Times New Roman"/>
          <w:b/>
          <w:sz w:val="20"/>
        </w:rPr>
      </w:pPr>
      <w:bookmarkStart w:id="21" w:name="d921757dex45.htm"/>
      <w:bookmarkStart w:id="22" w:name="ksd921757dex45"/>
      <w:bookmarkEnd w:id="21"/>
      <w:bookmarkEnd w:id="22"/>
      <w:r>
        <w:rPr>
          <w:rFonts w:ascii="Times New Roman" w:hAnsi="Times New Roman"/>
          <w:b/>
          <w:sz w:val="20"/>
        </w:rPr>
        <w:t xml:space="preserve">Exhibit 4.5 </w:t>
      </w:r>
      <w:r>
        <w:br w:type="page"/>
      </w:r>
    </w:p>
    <w:p>
      <w:pPr>
        <w:pStyle w:val="TextBody"/>
        <w:bidi w:val="0"/>
        <w:spacing w:before="240" w:after="0"/>
        <w:jc w:val="left"/>
        <w:rPr>
          <w:rFonts w:ascii="Times New Roman" w:hAnsi="Times New Roman"/>
          <w:sz w:val="20"/>
        </w:rPr>
      </w:pPr>
      <w:r>
        <w:rPr>
          <w:rFonts w:ascii="Times New Roman" w:hAnsi="Times New Roman"/>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[ ]% Senior Notes Due 20[ ]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9"/>
        <w:gridCol w:w="127"/>
        <w:gridCol w:w="4979"/>
      </w:tblGrid>
      <w:tr>
        <w:trPr/>
        <w:tc>
          <w:tcPr>
            <w:tcW w:w="509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979" w:type="dxa"/>
            <w:tcBorders/>
            <w:vAlign w:val="center"/>
          </w:tcPr>
          <w:p>
            <w:pPr>
              <w:pStyle w:val="TableContents"/>
              <w:bidi w:val="0"/>
              <w:spacing w:before="0" w:after="283"/>
              <w:jc w:val="left"/>
              <w:rPr>
                <w:sz w:val="4"/>
                <w:szCs w:val="4"/>
              </w:rPr>
            </w:pPr>
            <w:r>
              <w:rPr>
                <w:sz w:val="4"/>
                <w:szCs w:val="4"/>
              </w:rPr>
            </w:r>
          </w:p>
        </w:tc>
      </w:tr>
      <w:tr>
        <w:trPr/>
        <w:tc>
          <w:tcPr>
            <w:tcW w:w="5099" w:type="dxa"/>
            <w:tcBorders/>
          </w:tcPr>
          <w:p>
            <w:pPr>
              <w:pStyle w:val="TableContents"/>
              <w:bidi w:val="0"/>
              <w:spacing w:before="0" w:after="0"/>
              <w:jc w:val="left"/>
              <w:rPr>
                <w:rFonts w:ascii="Times New Roman" w:hAnsi="Times New Roman"/>
                <w:sz w:val="20"/>
              </w:rPr>
            </w:pPr>
            <w:r>
              <w:rPr>
                <w:rFonts w:ascii="Times New Roman" w:hAnsi="Times New Roman"/>
                <w:sz w:val="20"/>
              </w:rPr>
              <w:t>No. [ ]</w:t>
            </w:r>
          </w:p>
        </w:tc>
        <w:tc>
          <w:tcPr>
            <w:tcW w:w="127"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right"/>
              <w:rPr/>
            </w:pPr>
            <w:r>
              <w:rPr/>
              <w:t>CUSIP No.: [   ]</w:t>
            </w:r>
          </w:p>
        </w:tc>
      </w:tr>
      <w:tr>
        <w:trPr/>
        <w:tc>
          <w:tcPr>
            <w:tcW w:w="50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right"/>
              <w:rPr/>
            </w:pPr>
            <w:r>
              <w:rPr/>
              <w:t>ISIN No.: [   ]</w:t>
            </w:r>
          </w:p>
        </w:tc>
      </w:tr>
      <w:tr>
        <w:trPr/>
        <w:tc>
          <w:tcPr>
            <w:tcW w:w="509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which term includes any successor corporation), for value received promises to pay to CEDE &amp; CO. or registered assigns, the principal sum of $[   ] ([   ] Dollars) on [   ]. </w:t>
      </w:r>
    </w:p>
    <w:p>
      <w:pPr>
        <w:pStyle w:val="TextBody"/>
        <w:bidi w:val="0"/>
        <w:spacing w:before="240" w:after="0"/>
        <w:jc w:val="left"/>
        <w:rPr>
          <w:rFonts w:ascii="Times New Roman" w:hAnsi="Times New Roman"/>
          <w:sz w:val="20"/>
        </w:rPr>
      </w:pPr>
      <w:r>
        <w:rPr>
          <w:rFonts w:ascii="Times New Roman" w:hAnsi="Times New Roman"/>
          <w:sz w:val="20"/>
        </w:rPr>
        <w:t>Interest Payment Dates: [   ] and [   ] (each, an </w:t>
      </w:r>
      <w:r>
        <w:rPr>
          <w:rFonts w:ascii="Times New Roman" w:hAnsi="Times New Roman"/>
          <w:b/>
          <w:sz w:val="20"/>
        </w:rPr>
        <w:t>Interest Payment Date</w:t>
      </w:r>
      <w:r>
        <w:rPr>
          <w:rFonts w:ascii="Times New Roman" w:hAnsi="Times New Roman"/>
          <w:sz w:val="20"/>
        </w:rPr>
        <w:t xml:space="preserve">), commencing on [   ]. </w:t>
      </w:r>
    </w:p>
    <w:p>
      <w:pPr>
        <w:pStyle w:val="TextBody"/>
        <w:bidi w:val="0"/>
        <w:spacing w:before="240" w:after="0"/>
        <w:jc w:val="left"/>
        <w:rPr>
          <w:rFonts w:ascii="Times New Roman" w:hAnsi="Times New Roman"/>
          <w:sz w:val="20"/>
        </w:rPr>
      </w:pPr>
      <w:r>
        <w:rPr>
          <w:rFonts w:ascii="Times New Roman" w:hAnsi="Times New Roman"/>
          <w:sz w:val="20"/>
        </w:rPr>
        <w:t>Interest Record Dates: [   ] and [   ]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1"/>
        <w:gridCol w:w="118"/>
        <w:gridCol w:w="3313"/>
      </w:tblGrid>
      <w:tr>
        <w:trPr/>
        <w:tc>
          <w:tcPr>
            <w:tcW w:w="65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COMCAST CORPORATION</w:t>
            </w:r>
          </w:p>
        </w:tc>
      </w:tr>
      <w:tr>
        <w:trPr>
          <w:trHeight w:val="24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c>
          <w:tcPr>
            <w:tcW w:w="651"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Name:</w:t>
            </w:r>
          </w:p>
        </w:tc>
      </w:tr>
      <w:tr>
        <w:trPr/>
        <w:tc>
          <w:tcPr>
            <w:tcW w:w="651"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of Comcast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pPr>
            <w:r>
              <w:rPr/>
              <w:t> </w:t>
            </w:r>
            <w:r>
              <w:rPr/>
              <w:t>as Trustee</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pPr>
            <w:r>
              <w:rPr/>
              <w:t> </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 </w:t>
            </w: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[ ]% Senior Notes Due [ ]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w:t>
            </w:r>
          </w:p>
        </w:tc>
      </w:tr>
    </w:tbl>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promises to pay interest on the principal amount of this Security at the rate per annum shown above. Cash interest on the Securities will accrue from the most recent date to which interest has been paid or, if no interest has been paid, from [   ]. The Issuer will pay interest semi-annually in arrears on each Interest Payment Date, commencing [   ].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Securities and on overdue installments of interest (without regard to any applicable grace periods)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w:t>
            </w:r>
          </w:p>
        </w:tc>
      </w:tr>
    </w:tbl>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hAnsi="Times New Roman"/>
          <w:b/>
          <w:sz w:val="20"/>
        </w:rPr>
        <w:t>Trustee</w:t>
      </w:r>
      <w:r>
        <w:rPr>
          <w:rFonts w:ascii="Times New Roman" w:hAnsi="Times New Roman"/>
          <w:sz w:val="20"/>
        </w:rPr>
        <w:t>) to collect principal payments. The Issuer shall pay principal and interest in money of the United States that at the time of payment is legal tender for payment of public and private debts (</w:t>
      </w:r>
      <w:r>
        <w:rPr>
          <w:rFonts w:ascii="Times New Roman" w:hAnsi="Times New Roman"/>
          <w:b/>
          <w:sz w:val="20"/>
        </w:rPr>
        <w:t>U.S. Legal Tender</w:t>
      </w:r>
      <w:r>
        <w:rPr>
          <w:rFonts w:ascii="Times New Roman" w:hAnsi="Times New Roman"/>
          <w:sz w:val="20"/>
        </w:rPr>
        <w:t xml:space="preserve">).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The Issuer may change any Paying Agent without notice to the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Indenture. </w:t>
            </w:r>
          </w:p>
        </w:tc>
      </w:tr>
    </w:tbl>
    <w:p>
      <w:pPr>
        <w:pStyle w:val="TextBody"/>
        <w:bidi w:val="0"/>
        <w:spacing w:before="240" w:after="0"/>
        <w:jc w:val="left"/>
        <w:rPr>
          <w:rFonts w:ascii="Times New Roman" w:hAnsi="Times New Roman"/>
          <w:sz w:val="20"/>
        </w:rPr>
      </w:pPr>
      <w:r>
        <w:rPr>
          <w:rFonts w:ascii="Times New Roman" w:hAnsi="Times New Roman"/>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hAnsi="Times New Roman"/>
          <w:b/>
          <w:sz w:val="20"/>
        </w:rPr>
        <w:t>Guarantors</w:t>
      </w:r>
      <w:r>
        <w:rPr>
          <w:rFonts w:ascii="Times New Roman" w:hAnsi="Times New Roman"/>
          <w:sz w:val="20"/>
        </w:rPr>
        <w:t>) and the Trustee (as amended, the </w:t>
      </w:r>
      <w:r>
        <w:rPr>
          <w:rFonts w:ascii="Times New Roman" w:hAnsi="Times New Roman"/>
          <w:b/>
          <w:sz w:val="20"/>
        </w:rPr>
        <w:t>Indenture</w:t>
      </w:r>
      <w:r>
        <w:rPr>
          <w:rFonts w:ascii="Times New Roman" w:hAnsi="Times New Roman"/>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xml:space="preserve">), as is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Security and the notes are Securities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are in registered form, without coupons, in denominations of $[   ] and multiples of $[   ] in excess thereof. A Holder shall register the transfer of or exchange Securities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of or exchange any security selected for redemption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Unclaimed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at its written request. After that, all liability of the Trustee and such Paying Agent with respect to such funds shall cease.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Defeasance and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Prior to [●], 20[●] ([●] ([●]) month[s] prior to the maturity date of the Securities) (the </w:t>
      </w:r>
      <w:r>
        <w:rPr>
          <w:rFonts w:ascii="Times New Roman" w:hAnsi="Times New Roman"/>
          <w:b/>
          <w:sz w:val="20"/>
        </w:rPr>
        <w:t>Par Call Date</w:t>
      </w:r>
      <w:r>
        <w:rPr>
          <w:rFonts w:ascii="Times New Roman" w:hAnsi="Times New Roman"/>
          <w:sz w:val="20"/>
        </w:rPr>
        <w:t xml:space="preserve">), the Issuer may redeem Securities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Securities, in whole or in part, at any time and from time to time,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Issuer shall select, as applicable: (1) the yield for the Treasury constant maturity on H.15 exactly equal to the period from the redemption date to the applicable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Securities or portions thereof called for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manually signs the certificate of authentication on this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and Defined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7"/>
        <w:gridCol w:w="1982"/>
        <w:gridCol w:w="3586"/>
      </w:tblGrid>
      <w:tr>
        <w:trPr/>
        <w:tc>
          <w:tcPr>
            <w:tcW w:w="4637" w:type="dxa"/>
            <w:tcBorders/>
            <w:vAlign w:val="center"/>
          </w:tcPr>
          <w:p>
            <w:pPr>
              <w:pStyle w:val="TableContents"/>
              <w:bidi w:val="0"/>
              <w:spacing w:before="0" w:after="283"/>
              <w:jc w:val="left"/>
              <w:rPr>
                <w:sz w:val="4"/>
                <w:szCs w:val="4"/>
              </w:rPr>
            </w:pPr>
            <w:r>
              <w:rPr>
                <w:sz w:val="4"/>
                <w:szCs w:val="4"/>
              </w:rPr>
            </w:r>
          </w:p>
        </w:tc>
        <w:tc>
          <w:tcPr>
            <w:tcW w:w="1982" w:type="dxa"/>
            <w:tcBorders/>
            <w:vAlign w:val="bottom"/>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center"/>
              <w:rPr/>
            </w:pPr>
            <w:r>
              <w:rPr/>
              <w:t>  </w:t>
            </w:r>
          </w:p>
        </w:tc>
      </w:tr>
      <w:tr>
        <w:trPr/>
        <w:tc>
          <w:tcPr>
            <w:tcW w:w="10205"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(Print or type name, address and zip code of assignee or transferee)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pBdr>
                <w:bottom w:val="single" w:sz="2" w:space="1" w:color="000000"/>
              </w:pBdr>
              <w:bidi w:val="0"/>
              <w:spacing w:before="0" w:after="20"/>
              <w:jc w:val="center"/>
              <w:rPr/>
            </w:pPr>
            <w:r>
              <w:rPr/>
              <w:t>  </w:t>
            </w:r>
          </w:p>
        </w:tc>
      </w:tr>
      <w:tr>
        <w:trPr/>
        <w:tc>
          <w:tcPr>
            <w:tcW w:w="10205"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(Insert Social Security or other identifying number of assignee or transferee)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and irrevocably appoint </w:t>
            </w:r>
            <w:r>
              <w:rPr>
                <w:u w:val="single"/>
              </w:rPr>
              <w:t>                             </w:t>
            </w:r>
            <w:r>
              <w:rPr/>
              <w:t xml:space="preserve"> agent to transfer this Security on the books of the Issuer. The agent may substitute another to act for him.</w:t>
            </w:r>
          </w:p>
        </w:tc>
      </w:tr>
    </w:tbl>
    <w:tbl>
      <w:tblPr>
        <w:tblW w:w="5000" w:type="pct"/>
        <w:jc w:val="center"/>
        <w:tblInd w:w="0" w:type="dxa"/>
        <w:tblLayout w:type="fixed"/>
        <w:tblCellMar>
          <w:top w:w="0" w:type="dxa"/>
          <w:left w:w="0" w:type="dxa"/>
          <w:bottom w:w="0" w:type="dxa"/>
          <w:right w:w="0" w:type="dxa"/>
        </w:tblCellMar>
      </w:tblPr>
      <w:tblGrid>
        <w:gridCol w:w="1080"/>
        <w:gridCol w:w="197"/>
        <w:gridCol w:w="1789"/>
        <w:gridCol w:w="127"/>
        <w:gridCol w:w="2754"/>
        <w:gridCol w:w="127"/>
        <w:gridCol w:w="1243"/>
        <w:gridCol w:w="127"/>
        <w:gridCol w:w="1389"/>
        <w:gridCol w:w="240"/>
        <w:gridCol w:w="1132"/>
      </w:tblGrid>
      <w:tr>
        <w:trPr/>
        <w:tc>
          <w:tcPr>
            <w:tcW w:w="108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066" w:type="dxa"/>
            <w:gridSpan w:val="3"/>
            <w:tcBorders/>
            <w:vAlign w:val="center"/>
          </w:tcPr>
          <w:p>
            <w:pPr>
              <w:pStyle w:val="TableContents"/>
              <w:bidi w:val="0"/>
              <w:spacing w:before="0" w:after="283"/>
              <w:jc w:val="left"/>
              <w:rPr>
                <w:sz w:val="4"/>
                <w:szCs w:val="4"/>
              </w:rPr>
            </w:pPr>
            <w:r>
              <w:rPr>
                <w:sz w:val="4"/>
                <w:szCs w:val="4"/>
              </w:rPr>
            </w:r>
          </w:p>
        </w:tc>
        <w:tc>
          <w:tcPr>
            <w:tcW w:w="2881"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888" w:type="dxa"/>
            <w:gridSpan w:val="4"/>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Dated:</w:t>
            </w:r>
          </w:p>
        </w:tc>
        <w:tc>
          <w:tcPr>
            <w:tcW w:w="127" w:type="dxa"/>
            <w:tcBorders/>
            <w:vAlign w:val="bottom"/>
          </w:tcPr>
          <w:p>
            <w:pPr>
              <w:pStyle w:val="TableContents"/>
              <w:bidi w:val="0"/>
              <w:spacing w:before="0" w:after="283"/>
              <w:jc w:val="left"/>
              <w:rPr/>
            </w:pPr>
            <w:r>
              <w:rPr/>
              <w:t> </w:t>
            </w:r>
          </w:p>
        </w:tc>
        <w:tc>
          <w:tcPr>
            <w:tcW w:w="275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43" w:type="dxa"/>
            <w:tcBorders/>
          </w:tcPr>
          <w:p>
            <w:pPr>
              <w:pStyle w:val="TableContents"/>
              <w:bidi w:val="0"/>
              <w:spacing w:before="0" w:after="283"/>
              <w:jc w:val="right"/>
              <w:rPr/>
            </w:pPr>
            <w:r>
              <w:rPr/>
              <w:t>Signed:</w:t>
            </w:r>
          </w:p>
        </w:tc>
        <w:tc>
          <w:tcPr>
            <w:tcW w:w="127" w:type="dxa"/>
            <w:tcBorders/>
            <w:vAlign w:val="bottom"/>
          </w:tcPr>
          <w:p>
            <w:pPr>
              <w:pStyle w:val="TableContents"/>
              <w:bidi w:val="0"/>
              <w:spacing w:before="0" w:after="283"/>
              <w:jc w:val="left"/>
              <w:rPr/>
            </w:pPr>
            <w:r>
              <w:rPr/>
              <w:t> </w:t>
            </w:r>
          </w:p>
        </w:tc>
        <w:tc>
          <w:tcPr>
            <w:tcW w:w="2761" w:type="dxa"/>
            <w:gridSpan w:val="3"/>
            <w:tcBorders/>
          </w:tcPr>
          <w:p>
            <w:pPr>
              <w:pStyle w:val="TableContents"/>
              <w:pBdr>
                <w:bottom w:val="single" w:sz="2" w:space="1" w:color="000000"/>
              </w:pBdr>
              <w:bidi w:val="0"/>
              <w:spacing w:before="0" w:after="20"/>
              <w:jc w:val="right"/>
              <w:rPr/>
            </w:pPr>
            <w:r>
              <w:rPr/>
              <w:t> </w:t>
            </w:r>
          </w:p>
        </w:tc>
      </w:tr>
      <w:tr>
        <w:trPr/>
        <w:tc>
          <w:tcPr>
            <w:tcW w:w="3066" w:type="dxa"/>
            <w:gridSpan w:val="3"/>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75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4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76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(Signed exactly as name appears</w:t>
            </w:r>
          </w:p>
          <w:p>
            <w:pPr>
              <w:pStyle w:val="TableContents"/>
              <w:bidi w:val="0"/>
              <w:spacing w:before="0" w:after="20"/>
              <w:jc w:val="left"/>
              <w:rPr>
                <w:rFonts w:ascii="Times New Roman" w:hAnsi="Times New Roman"/>
                <w:sz w:val="20"/>
              </w:rPr>
            </w:pPr>
            <w:r>
              <w:rPr>
                <w:rFonts w:ascii="Times New Roman" w:hAnsi="Times New Roman"/>
                <w:sz w:val="20"/>
              </w:rPr>
              <w:t>on the other side of this Security)</w:t>
            </w:r>
          </w:p>
        </w:tc>
      </w:tr>
    </w:tbl>
    <w:tbl>
      <w:tblPr>
        <w:tblW w:w="5000" w:type="pct"/>
        <w:jc w:val="center"/>
        <w:tblInd w:w="0" w:type="dxa"/>
        <w:tblLayout w:type="fixed"/>
        <w:tblCellMar>
          <w:top w:w="0" w:type="dxa"/>
          <w:left w:w="0" w:type="dxa"/>
          <w:bottom w:w="0" w:type="dxa"/>
          <w:right w:w="0" w:type="dxa"/>
        </w:tblCellMar>
      </w:tblPr>
      <w:tblGrid>
        <w:gridCol w:w="2554"/>
        <w:gridCol w:w="120"/>
        <w:gridCol w:w="916"/>
        <w:gridCol w:w="120"/>
        <w:gridCol w:w="871"/>
        <w:gridCol w:w="216"/>
        <w:gridCol w:w="2676"/>
        <w:gridCol w:w="216"/>
        <w:gridCol w:w="2516"/>
      </w:tblGrid>
      <w:tr>
        <w:trPr/>
        <w:tc>
          <w:tcPr>
            <w:tcW w:w="25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54" w:type="dxa"/>
            <w:tcBorders/>
            <w:vAlign w:val="center"/>
          </w:tcPr>
          <w:p>
            <w:pPr>
              <w:pStyle w:val="TableContents"/>
              <w:bidi w:val="0"/>
              <w:spacing w:before="0" w:after="283"/>
              <w:jc w:val="left"/>
              <w:rPr>
                <w:sz w:val="4"/>
                <w:szCs w:val="4"/>
              </w:rPr>
            </w:pPr>
            <w:r>
              <w:rPr>
                <w:sz w:val="4"/>
                <w:szCs w:val="4"/>
              </w:rPr>
            </w:r>
          </w:p>
        </w:tc>
        <w:tc>
          <w:tcPr>
            <w:tcW w:w="1036" w:type="dxa"/>
            <w:gridSpan w:val="2"/>
            <w:tcBorders/>
            <w:vAlign w:val="center"/>
          </w:tcPr>
          <w:p>
            <w:pPr>
              <w:pStyle w:val="TableContents"/>
              <w:bidi w:val="0"/>
              <w:spacing w:before="0" w:after="283"/>
              <w:jc w:val="left"/>
              <w:rPr>
                <w:sz w:val="4"/>
                <w:szCs w:val="4"/>
              </w:rPr>
            </w:pPr>
            <w:r>
              <w:rPr>
                <w:sz w:val="4"/>
                <w:szCs w:val="4"/>
              </w:rPr>
            </w:r>
          </w:p>
        </w:tc>
        <w:tc>
          <w:tcPr>
            <w:tcW w:w="6615" w:type="dxa"/>
            <w:gridSpan w:val="6"/>
            <w:tcBorders/>
            <w:vAlign w:val="center"/>
          </w:tcPr>
          <w:p>
            <w:pPr>
              <w:pStyle w:val="TableContents"/>
              <w:bidi w:val="0"/>
              <w:spacing w:before="0" w:after="283"/>
              <w:jc w:val="left"/>
              <w:rPr>
                <w:sz w:val="4"/>
                <w:szCs w:val="4"/>
              </w:rPr>
            </w:pPr>
            <w:r>
              <w:rPr>
                <w:sz w:val="4"/>
                <w:szCs w:val="4"/>
              </w:rPr>
            </w:r>
          </w:p>
        </w:tc>
      </w:tr>
      <w:tr>
        <w:trPr/>
        <w:tc>
          <w:tcPr>
            <w:tcW w:w="2554" w:type="dxa"/>
            <w:tcBorders/>
          </w:tcPr>
          <w:p>
            <w:pPr>
              <w:pStyle w:val="TableContents"/>
              <w:bidi w:val="0"/>
              <w:spacing w:before="0" w:after="283"/>
              <w:jc w:val="left"/>
              <w:rPr/>
            </w:pPr>
            <w:r>
              <w:rPr/>
              <w:t>Signature Guarantee:</w:t>
            </w:r>
          </w:p>
        </w:tc>
        <w:tc>
          <w:tcPr>
            <w:tcW w:w="12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95" w:type="dxa"/>
            <w:gridSpan w:val="5"/>
            <w:tcBorders/>
          </w:tcPr>
          <w:p>
            <w:pPr>
              <w:pStyle w:val="TableContents"/>
              <w:pBdr>
                <w:bottom w:val="single" w:sz="2" w:space="1" w:color="000000"/>
              </w:pBdr>
              <w:bidi w:val="0"/>
              <w:spacing w:before="0" w:after="20"/>
              <w:jc w:val="left"/>
              <w:rPr/>
            </w:pPr>
            <w:r>
              <w:rPr/>
              <w:t> </w:t>
            </w:r>
          </w:p>
        </w:tc>
      </w:tr>
      <w:tr>
        <w:trPr/>
        <w:tc>
          <w:tcPr>
            <w:tcW w:w="25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95" w:type="dxa"/>
            <w:gridSpan w:val="5"/>
            <w:tcBorders/>
          </w:tcPr>
          <w:p>
            <w:pPr>
              <w:pStyle w:val="TableContents"/>
              <w:bidi w:val="0"/>
              <w:spacing w:before="0" w:after="283"/>
              <w:jc w:val="left"/>
              <w:rPr/>
            </w:pPr>
            <w:r>
              <w:rPr/>
              <w:t>Participant in a recognized Signature Guarantee Medallion Program (or other signature guarantor program reasonably acceptable to the Trustee)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INCREASES OR DECREASES 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Security is $[   ]. The following increases or decreases in this Global Security have been made: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89"/>
        <w:gridCol w:w="184"/>
        <w:gridCol w:w="1625"/>
        <w:gridCol w:w="184"/>
        <w:gridCol w:w="1625"/>
        <w:gridCol w:w="184"/>
        <w:gridCol w:w="1625"/>
        <w:gridCol w:w="184"/>
        <w:gridCol w:w="1688"/>
      </w:tblGrid>
      <w:tr>
        <w:trPr/>
        <w:tc>
          <w:tcPr>
            <w:tcW w:w="2089"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 or Transfer</w:t>
            </w:r>
          </w:p>
        </w:tc>
        <w:tc>
          <w:tcPr>
            <w:tcW w:w="184"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pPr>
            <w:r>
              <w:rPr/>
              <w:t>Amount of</w:t>
              <w:br/>
              <w:t>decrease in</w:t>
              <w:br/>
              <w:t>Principal amount</w:t>
              <w:br/>
              <w:t>of this Global</w:t>
              <w:br/>
              <w:t>Security</w:t>
            </w:r>
          </w:p>
        </w:tc>
        <w:tc>
          <w:tcPr>
            <w:tcW w:w="184"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pPr>
            <w:r>
              <w:rPr/>
              <w:t>Amount of</w:t>
              <w:br/>
              <w:t>increase in</w:t>
              <w:br/>
              <w:t>Principal amount</w:t>
              <w:br/>
              <w:t>of this Global</w:t>
              <w:br/>
              <w:t>Security</w:t>
            </w:r>
          </w:p>
        </w:tc>
        <w:tc>
          <w:tcPr>
            <w:tcW w:w="184"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pPr>
            <w:r>
              <w:rPr/>
              <w:t>Principal amount</w:t>
              <w:br/>
              <w:t>of this Global</w:t>
              <w:br/>
              <w:t>Security</w:t>
              <w:br/>
              <w:t>following such</w:t>
              <w:br/>
              <w:t>decrease or</w:t>
              <w:br/>
              <w:t>increase</w:t>
            </w:r>
          </w:p>
        </w:tc>
        <w:tc>
          <w:tcPr>
            <w:tcW w:w="184" w:type="dxa"/>
            <w:tcBorders/>
            <w:vAlign w:val="bottom"/>
          </w:tcPr>
          <w:p>
            <w:pPr>
              <w:pStyle w:val="TableContents"/>
              <w:bidi w:val="0"/>
              <w:spacing w:before="0" w:after="283"/>
              <w:jc w:val="left"/>
              <w:rPr/>
            </w:pPr>
            <w:r>
              <w:rPr/>
              <w:t>  </w:t>
            </w:r>
          </w:p>
        </w:tc>
        <w:tc>
          <w:tcPr>
            <w:tcW w:w="1688" w:type="dxa"/>
            <w:tcBorders>
              <w:bottom w:val="single" w:sz="8" w:space="0" w:color="000000"/>
            </w:tcBorders>
            <w:tcMar>
              <w:bottom w:w="28" w:type="dxa"/>
            </w:tcMar>
            <w:vAlign w:val="bottom"/>
          </w:tcPr>
          <w:p>
            <w:pPr>
              <w:pStyle w:val="TableContents"/>
              <w:bidi w:val="0"/>
              <w:spacing w:before="0" w:after="283"/>
              <w:jc w:val="center"/>
              <w:rPr/>
            </w:pPr>
            <w:r>
              <w:rPr/>
              <w:t>Signature of</w:t>
              <w:br/>
              <w:t>authorized officer</w:t>
              <w:br/>
              <w:t>of Trustee or</w:t>
              <w:br/>
              <w:t>Custodian</w:t>
            </w:r>
          </w:p>
        </w:tc>
      </w:tr>
      <w:tr>
        <w:trPr/>
        <w:tc>
          <w:tcPr>
            <w:tcW w:w="2089"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68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3" w:name="d921757dex51.htm"/>
      <w:bookmarkStart w:id="24" w:name="ksd921757dex51"/>
      <w:bookmarkEnd w:id="23"/>
      <w:bookmarkEnd w:id="2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549400" cy="5448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549400" cy="5448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February 28, 2025 </w:t>
      </w:r>
    </w:p>
    <w:p>
      <w:pPr>
        <w:pStyle w:val="TextBody"/>
        <w:bidi w:val="0"/>
        <w:spacing w:before="240" w:after="0"/>
        <w:jc w:val="left"/>
        <w:rPr>
          <w:rFonts w:ascii="Times New Roman" w:hAnsi="Times New Roman"/>
          <w:sz w:val="20"/>
        </w:rPr>
      </w:pPr>
      <w:r>
        <w:rPr>
          <w:rFonts w:ascii="Times New Roman" w:hAnsi="Times New Roman"/>
          <w:sz w:val="20"/>
        </w:rPr>
        <w:t xml:space="preserve">Re: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Company</w:t>
      </w:r>
      <w:r>
        <w:rPr>
          <w:rFonts w:ascii="Times New Roman" w:hAnsi="Times New Roman"/>
          <w:sz w:val="20"/>
        </w:rPr>
        <w:t>) is filing with the Securities and Exchange Commission a Registration Statement on Form S-3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the offer and sale of (i) shares of the Companys Class A Common Stock, par value $0.01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(ii) shares of the Companys preferred stock, without par value (the </w:t>
      </w:r>
      <w:r>
        <w:rPr>
          <w:rFonts w:ascii="Times New Roman" w:hAnsi="Times New Roman"/>
          <w:b/>
          <w:sz w:val="20"/>
        </w:rPr>
        <w:t>Preferred Stock</w:t>
      </w:r>
      <w:r>
        <w:rPr>
          <w:rFonts w:ascii="Times New Roman" w:hAnsi="Times New Roman"/>
          <w:sz w:val="20"/>
        </w:rPr>
        <w:t>); (iii) the Companys senior debt securities (the </w:t>
      </w:r>
      <w:r>
        <w:rPr>
          <w:rFonts w:ascii="Times New Roman" w:hAnsi="Times New Roman"/>
          <w:b/>
          <w:sz w:val="20"/>
        </w:rPr>
        <w:t>Debt Securities</w:t>
      </w:r>
      <w:r>
        <w:rPr>
          <w:rFonts w:ascii="Times New Roman" w:hAnsi="Times New Roman"/>
          <w:sz w:val="20"/>
        </w:rPr>
        <w:t>), which may be fully and unconditionally guaranteed by each of NBCUniversal Media, LLC and Comcast Cable Communications, LLC (together, the </w:t>
      </w:r>
      <w:r>
        <w:rPr>
          <w:rFonts w:ascii="Times New Roman" w:hAnsi="Times New Roman"/>
          <w:b/>
          <w:sz w:val="20"/>
        </w:rPr>
        <w:t>Guarantors</w:t>
      </w:r>
      <w:r>
        <w:rPr>
          <w:rFonts w:ascii="Times New Roman" w:hAnsi="Times New Roman"/>
          <w:sz w:val="20"/>
        </w:rPr>
        <w:t>); (iv) warrants (the </w:t>
      </w:r>
      <w:r>
        <w:rPr>
          <w:rFonts w:ascii="Times New Roman" w:hAnsi="Times New Roman"/>
          <w:b/>
          <w:sz w:val="20"/>
        </w:rPr>
        <w:t>Warrants</w:t>
      </w:r>
      <w:r>
        <w:rPr>
          <w:rFonts w:ascii="Times New Roman" w:hAnsi="Times New Roman"/>
          <w:sz w:val="20"/>
        </w:rPr>
        <w:t>), which may be issued pursuant to a warrant agreement (the </w:t>
      </w:r>
      <w:r>
        <w:rPr>
          <w:rFonts w:ascii="Times New Roman" w:hAnsi="Times New Roman"/>
          <w:b/>
          <w:sz w:val="20"/>
        </w:rPr>
        <w:t>Warrant Agreement</w:t>
      </w:r>
      <w:r>
        <w:rPr>
          <w:rFonts w:ascii="Times New Roman" w:hAnsi="Times New Roman"/>
          <w:sz w:val="20"/>
        </w:rPr>
        <w:t>) between the Company and the warrant agent to be named therein; (v) purchase contracts (the </w:t>
      </w:r>
      <w:r>
        <w:rPr>
          <w:rFonts w:ascii="Times New Roman" w:hAnsi="Times New Roman"/>
          <w:b/>
          <w:sz w:val="20"/>
        </w:rPr>
        <w:t>Purchase Contracts</w:t>
      </w:r>
      <w:r>
        <w:rPr>
          <w:rFonts w:ascii="Times New Roman" w:hAnsi="Times New Roman"/>
          <w:sz w:val="20"/>
        </w:rPr>
        <w:t>) which may be issued under one or more purchase contract agreements (each, a </w:t>
      </w:r>
      <w:r>
        <w:rPr>
          <w:rFonts w:ascii="Times New Roman" w:hAnsi="Times New Roman"/>
          <w:b/>
          <w:sz w:val="20"/>
        </w:rPr>
        <w:t>Purchase Contract Agreement</w:t>
      </w:r>
      <w:r>
        <w:rPr>
          <w:rFonts w:ascii="Times New Roman" w:hAnsi="Times New Roman"/>
          <w:sz w:val="20"/>
        </w:rPr>
        <w:t>) to be entered into between the Company and the purchase contract agent to be named therein (the </w:t>
      </w:r>
      <w:r>
        <w:rPr>
          <w:rFonts w:ascii="Times New Roman" w:hAnsi="Times New Roman"/>
          <w:b/>
          <w:sz w:val="20"/>
        </w:rPr>
        <w:t>Purchase Contract Agent</w:t>
      </w:r>
      <w:r>
        <w:rPr>
          <w:rFonts w:ascii="Times New Roman" w:hAnsi="Times New Roman"/>
          <w:sz w:val="20"/>
        </w:rPr>
        <w: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 units (the </w:t>
      </w:r>
      <w:r>
        <w:rPr>
          <w:rFonts w:ascii="Times New Roman" w:hAnsi="Times New Roman"/>
          <w:b/>
          <w:sz w:val="20"/>
        </w:rPr>
        <w:t>Units</w:t>
      </w:r>
      <w:r>
        <w:rPr>
          <w:rFonts w:ascii="Times New Roman" w:hAnsi="Times New Roman"/>
          <w:sz w:val="20"/>
        </w:rPr>
        <w:t>)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Times New Roman" w:hAnsi="Times New Roman"/>
          <w:b/>
          <w:sz w:val="20"/>
        </w:rPr>
        <w:t>Unit Agent</w:t>
      </w:r>
      <w:r>
        <w:rPr>
          <w:rFonts w:ascii="Times New Roman" w:hAnsi="Times New Roman"/>
          <w:sz w:val="20"/>
        </w:rPr>
        <w:t>), and the holders from time to time of the Units (each such unit agreement, a </w:t>
      </w:r>
      <w:r>
        <w:rPr>
          <w:rFonts w:ascii="Times New Roman" w:hAnsi="Times New Roman"/>
          <w:b/>
          <w:sz w:val="20"/>
        </w:rPr>
        <w:t>Unit Agreement</w:t>
      </w:r>
      <w:r>
        <w:rPr>
          <w:rFonts w:ascii="Times New Roman" w:hAnsi="Times New Roman"/>
          <w:sz w:val="20"/>
        </w:rPr>
        <w:t>); (vii) guarantees (the </w:t>
      </w:r>
      <w:r>
        <w:rPr>
          <w:rFonts w:ascii="Times New Roman" w:hAnsi="Times New Roman"/>
          <w:b/>
          <w:sz w:val="20"/>
        </w:rPr>
        <w:t>Guarantees</w:t>
      </w:r>
      <w:r>
        <w:rPr>
          <w:rFonts w:ascii="Times New Roman" w:hAnsi="Times New Roman"/>
          <w:sz w:val="20"/>
        </w:rPr>
        <w:t>) of the Debt Securities by the Guarantors; and (viii) guarantees (the </w:t>
      </w:r>
      <w:r>
        <w:rPr>
          <w:rFonts w:ascii="Times New Roman" w:hAnsi="Times New Roman"/>
          <w:b/>
          <w:sz w:val="20"/>
        </w:rPr>
        <w:t>Additional Guarantees</w:t>
      </w:r>
      <w:r>
        <w:rPr>
          <w:rFonts w:ascii="Times New Roman" w:hAnsi="Times New Roman"/>
          <w:sz w:val="20"/>
        </w:rPr>
        <w:t>) of Warrants, Purchase Contracts and Units or any combination of the foregoing by the Guarantors to be issued under one or more guarantee agreements (each, a </w:t>
      </w:r>
      <w:r>
        <w:rPr>
          <w:rFonts w:ascii="Times New Roman" w:hAnsi="Times New Roman"/>
          <w:b/>
          <w:sz w:val="20"/>
        </w:rPr>
        <w:t>Guarantee Agreement</w:t>
      </w:r>
      <w:r>
        <w:rPr>
          <w:rFonts w:ascii="Times New Roman" w:hAnsi="Times New Roman"/>
          <w:sz w:val="20"/>
        </w:rPr>
        <w:t>) to be entered into by the Guarantors. The Debt Securities, Preferred Stock, Class A Common Stock, Warrants, Purchase Contracts, Units, Guarantees and Additional Guarantees are herein collectively referred to as the </w:t>
      </w:r>
      <w:r>
        <w:rPr>
          <w:rFonts w:ascii="Times New Roman" w:hAnsi="Times New Roman"/>
          <w:b/>
          <w:sz w:val="20"/>
        </w:rPr>
        <w:t>Securities.</w:t>
      </w:r>
      <w:r>
        <w:rPr>
          <w:rFonts w:ascii="Times New Roman" w:hAnsi="Times New Roman"/>
          <w:sz w:val="20"/>
        </w:rPr>
        <w:t> The Debt Securities and the Preferred Stock may be convertible and/or exchangeable for Securities or other securities or rights. The Debt Securities are to be issued pursuant to an indenture dated September 18, 2013, (the </w:t>
      </w:r>
      <w:r>
        <w:rPr>
          <w:rFonts w:ascii="Times New Roman" w:hAnsi="Times New Roman"/>
          <w:b/>
          <w:sz w:val="20"/>
        </w:rPr>
        <w:t>Base Indenture</w:t>
      </w:r>
      <w:r>
        <w:rPr>
          <w:rFonts w:ascii="Times New Roman" w:hAnsi="Times New Roman"/>
          <w:sz w:val="20"/>
        </w:rPr>
        <w:t>) by and among the Company, the guarantors named therein and The Bank of New York Mellon, as trustee (the </w:t>
      </w:r>
      <w:r>
        <w:rPr>
          <w:rFonts w:ascii="Times New Roman" w:hAnsi="Times New Roman"/>
          <w:b/>
          <w:sz w:val="20"/>
        </w:rPr>
        <w:t>Trustee</w:t>
      </w:r>
      <w:r>
        <w:rPr>
          <w:rFonts w:ascii="Times New Roman" w:hAnsi="Times New Roman"/>
          <w:sz w:val="20"/>
        </w:rPr>
        <w:t>), as supplemented by the First Supplemental Indenture dated as of November 17, 2015 (the </w:t>
      </w:r>
      <w:r>
        <w:rPr>
          <w:rFonts w:ascii="Times New Roman" w:hAnsi="Times New Roman"/>
          <w:b/>
          <w:sz w:val="20"/>
        </w:rPr>
        <w:t>First Supplemental Indenture</w:t>
      </w:r>
      <w:r>
        <w:rPr>
          <w:rFonts w:ascii="Times New Roman" w:hAnsi="Times New Roman"/>
          <w:sz w:val="20"/>
        </w:rPr>
        <w:t>) and by the Second Supplemental Indenture dated as of July 29, 2022 (the </w:t>
      </w:r>
      <w:r>
        <w:rPr>
          <w:rFonts w:ascii="Times New Roman" w:hAnsi="Times New Roman"/>
          <w:b/>
          <w:sz w:val="20"/>
        </w:rPr>
        <w:t>Second Supplemental Indenture</w:t>
      </w:r>
      <w:r>
        <w:rPr>
          <w:rFonts w:ascii="Times New Roman" w:hAnsi="Times New Roman"/>
          <w:sz w:val="20"/>
        </w:rPr>
        <w:t> and, together with the Base Indenture and the First Supplemental Indenture, the </w:t>
      </w:r>
      <w:r>
        <w:rPr>
          <w:rFonts w:ascii="Times New Roman" w:hAnsi="Times New Roman"/>
          <w:b/>
          <w:sz w:val="20"/>
        </w:rPr>
        <w:t>Indenture</w:t>
      </w:r>
      <w:r>
        <w:rPr>
          <w:rFonts w:ascii="Times New Roman" w:hAnsi="Times New Roman"/>
          <w:sz w:val="20"/>
        </w:rPr>
        <w:t>), among the Company, the guarantors named therein, and the Trustee, as may be further amended and supplemented from time to time. The Company may offer Depositary Shares (the </w:t>
      </w:r>
      <w:r>
        <w:rPr>
          <w:rFonts w:ascii="Times New Roman" w:hAnsi="Times New Roman"/>
          <w:b/>
          <w:sz w:val="20"/>
        </w:rPr>
        <w:t>Depositary Shares</w:t>
      </w:r>
      <w:r>
        <w:rPr>
          <w:rFonts w:ascii="Times New Roman" w:hAnsi="Times New Roman"/>
          <w:sz w:val="20"/>
        </w:rPr>
        <w:t xml:space="preserve">) representing interests in Preferred Stock deposited with a Depositary and evidenced by Depositary Receipts, and such Depositary Shares are also covered by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have examined originals or copies, certified or otherwise identified to my satisfaction, of such documents, corporate records, certificates of public officials and other instruments as I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I advise you that, in my opinion: </w:t>
      </w:r>
    </w:p>
    <w:p>
      <w:pPr>
        <w:pStyle w:val="TextBody"/>
        <w:bidi w:val="0"/>
        <w:spacing w:before="120" w:after="0"/>
        <w:jc w:val="left"/>
        <w:rPr>
          <w:rFonts w:ascii="Times New Roman" w:hAnsi="Times New Roman"/>
          <w:sz w:val="20"/>
        </w:rPr>
      </w:pPr>
      <w:r>
        <w:rPr>
          <w:rFonts w:ascii="Times New Roman" w:hAnsi="Times New Roman"/>
          <w:sz w:val="20"/>
        </w:rPr>
        <w:t>1. When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w:t>
      </w:r>
      <w:r>
        <w:rPr>
          <w:rFonts w:ascii="Times New Roman" w:hAnsi="Times New Roman"/>
          <w:b/>
          <w:sz w:val="20"/>
        </w:rPr>
        <w:t>Offered Security</w:t>
      </w:r>
      <w:r>
        <w:rPr>
          <w:rFonts w:ascii="Times New Roman" w:hAnsi="Times New Roman"/>
          <w:sz w:val="20"/>
        </w:rPr>
        <w:t xml:space="preserve">),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2. Upon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4. The Indenture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become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I am a member of the Bar of the Commonwealth of Pennsylvania and the foregoing opinion is limited to the laws of the Commonwealth of Pennsylvania.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6"/>
        <w:gridCol w:w="60"/>
        <w:gridCol w:w="662"/>
        <w:gridCol w:w="60"/>
        <w:gridCol w:w="2934"/>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/s/ 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4" w:type="dxa"/>
            <w:tcBorders/>
            <w:vAlign w:val="bottom"/>
          </w:tcPr>
          <w:p>
            <w:pPr>
              <w:pStyle w:val="TableContents"/>
              <w:bidi w:val="0"/>
              <w:spacing w:before="0" w:after="283"/>
              <w:jc w:val="left"/>
              <w:rPr/>
            </w:pPr>
            <w:r>
              <w:rPr/>
              <w:t>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Vice President, Senior</w:t>
            </w:r>
          </w:p>
          <w:p>
            <w:pPr>
              <w:pStyle w:val="TableContents"/>
              <w:bidi w:val="0"/>
              <w:spacing w:before="0" w:after="0"/>
              <w:jc w:val="left"/>
              <w:rPr>
                <w:rFonts w:ascii="Times New Roman" w:hAnsi="Times New Roman"/>
                <w:sz w:val="20"/>
              </w:rPr>
            </w:pPr>
            <w:r>
              <w:rPr>
                <w:rFonts w:ascii="Times New Roman" w:hAnsi="Times New Roman"/>
                <w:sz w:val="20"/>
              </w:rPr>
              <w:t>Deputy General Counsel and</w:t>
            </w:r>
          </w:p>
          <w:p>
            <w:pPr>
              <w:pStyle w:val="TableContents"/>
              <w:bidi w:val="0"/>
              <w:spacing w:before="0" w:after="20"/>
              <w:jc w:val="left"/>
              <w:rPr>
                <w:rFonts w:ascii="Times New Roman" w:hAnsi="Times New Roman"/>
                <w:sz w:val="20"/>
              </w:rPr>
            </w:pPr>
            <w:r>
              <w:rPr>
                <w:rFonts w:ascii="Times New Roman" w:hAnsi="Times New Roman"/>
                <w:sz w:val="20"/>
              </w:rPr>
              <w:t>Assistant Secretary</w:t>
            </w:r>
          </w:p>
        </w:tc>
      </w:tr>
    </w:tbl>
    <w:p>
      <w:pPr>
        <w:pStyle w:val="TextBody"/>
        <w:bidi w:val="0"/>
        <w:spacing w:before="0" w:after="0"/>
        <w:jc w:val="right"/>
        <w:rPr>
          <w:rFonts w:ascii="Times New Roman" w:hAnsi="Times New Roman"/>
          <w:b/>
          <w:sz w:val="20"/>
        </w:rPr>
      </w:pPr>
      <w:bookmarkStart w:id="25" w:name="d921757dex52.htm"/>
      <w:bookmarkStart w:id="26" w:name="ksd921757dex52"/>
      <w:bookmarkEnd w:id="25"/>
      <w:bookmarkEnd w:id="26"/>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5"/>
        <w:gridCol w:w="123"/>
        <w:gridCol w:w="8287"/>
      </w:tblGrid>
      <w:tr>
        <w:trPr/>
        <w:tc>
          <w:tcPr>
            <w:tcW w:w="17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87" w:type="dxa"/>
            <w:tcBorders/>
            <w:vAlign w:val="center"/>
          </w:tcPr>
          <w:p>
            <w:pPr>
              <w:pStyle w:val="TableContents"/>
              <w:bidi w:val="0"/>
              <w:spacing w:before="0" w:after="283"/>
              <w:jc w:val="left"/>
              <w:rPr>
                <w:sz w:val="4"/>
                <w:szCs w:val="4"/>
              </w:rPr>
            </w:pPr>
            <w:r>
              <w:rPr>
                <w:sz w:val="4"/>
                <w:szCs w:val="4"/>
              </w:rPr>
            </w:r>
          </w:p>
        </w:tc>
      </w:tr>
      <w:tr>
        <w:trPr/>
        <w:tc>
          <w:tcPr>
            <w:tcW w:w="1795" w:type="dxa"/>
            <w:tcBorders/>
          </w:tcPr>
          <w:p>
            <w:pPr>
              <w:pStyle w:val="TableContents"/>
              <w:bidi w:val="0"/>
              <w:spacing w:before="0" w:after="283"/>
              <w:jc w:val="left"/>
              <w:rPr/>
            </w:pPr>
            <w:r>
              <w:rPr/>
              <w:drawing>
                <wp:inline distT="0" distB="0" distL="0" distR="0">
                  <wp:extent cx="10001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000125" cy="190500"/>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8287"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450 Lexington Avenue</w:t>
            </w:r>
          </w:p>
          <w:p>
            <w:pPr>
              <w:pStyle w:val="TableContents"/>
              <w:bidi w:val="0"/>
              <w:spacing w:before="0" w:after="0"/>
              <w:jc w:val="left"/>
              <w:rPr>
                <w:rFonts w:ascii="Times New Roman" w:hAnsi="Times New Roman"/>
                <w:sz w:val="20"/>
              </w:rPr>
            </w:pPr>
            <w:r>
              <w:rPr>
                <w:rFonts w:ascii="Times New Roman" w:hAnsi="Times New Roman"/>
                <w:sz w:val="20"/>
              </w:rPr>
              <w:t>New York, NY 10017</w:t>
            </w:r>
          </w:p>
          <w:p>
            <w:pPr>
              <w:pStyle w:val="TableContents"/>
              <w:bidi w:val="0"/>
              <w:spacing w:before="0" w:after="20"/>
              <w:jc w:val="left"/>
              <w:rPr>
                <w:rFonts w:ascii="Times New Roman" w:hAnsi="Times New Roman"/>
                <w:sz w:val="20"/>
              </w:rPr>
            </w:pPr>
            <w:r>
              <w:rPr>
                <w:rFonts w:ascii="Times New Roman" w:hAnsi="Times New Roman"/>
                <w:sz w:val="20"/>
              </w:rPr>
              <w:t>davispolk.com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28, 2025 </w:t>
      </w:r>
    </w:p>
    <w:p>
      <w:pPr>
        <w:pStyle w:val="TextBody"/>
        <w:bidi w:val="0"/>
        <w:spacing w:before="240" w:after="0"/>
        <w:jc w:val="left"/>
        <w:rPr>
          <w:rFonts w:ascii="Times New Roman" w:hAnsi="Times New Roman"/>
          <w:sz w:val="20"/>
        </w:rPr>
      </w:pPr>
      <w:r>
        <w:rPr>
          <w:rFonts w:ascii="Times New Roman" w:hAnsi="Times New Roman"/>
          <w:sz w:val="20"/>
        </w:rPr>
        <w:t xml:space="preserve">Re: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Company</w:t>
      </w:r>
      <w:r>
        <w:rPr>
          <w:rFonts w:ascii="Times New Roman" w:hAnsi="Times New Roman"/>
          <w:sz w:val="20"/>
        </w:rPr>
        <w:t>) is filing with the Securities and Exchange Commission a Registration Statement on Form S-3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(i) shares of the Companys Class A Common Stock, par value $0.01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(ii) shares of the Companys preferred stock, without par value (the </w:t>
      </w:r>
      <w:r>
        <w:rPr>
          <w:rFonts w:ascii="Times New Roman" w:hAnsi="Times New Roman"/>
          <w:b/>
          <w:sz w:val="20"/>
        </w:rPr>
        <w:t>Preferred Stock</w:t>
      </w:r>
      <w:r>
        <w:rPr>
          <w:rFonts w:ascii="Times New Roman" w:hAnsi="Times New Roman"/>
          <w:sz w:val="20"/>
        </w:rPr>
        <w:t>); (iii) the Companys senior debt securities (the </w:t>
      </w:r>
      <w:r>
        <w:rPr>
          <w:rFonts w:ascii="Times New Roman" w:hAnsi="Times New Roman"/>
          <w:b/>
          <w:sz w:val="20"/>
        </w:rPr>
        <w:t>Debt Securities</w:t>
      </w:r>
      <w:r>
        <w:rPr>
          <w:rFonts w:ascii="Times New Roman" w:hAnsi="Times New Roman"/>
          <w:sz w:val="20"/>
        </w:rPr>
        <w:t>), which may be fully and unconditionally guaranteed by each of NBCUniversal Media, LLC and Comcast Cable Communications, LLC (together, the </w:t>
      </w:r>
      <w:r>
        <w:rPr>
          <w:rFonts w:ascii="Times New Roman" w:hAnsi="Times New Roman"/>
          <w:b/>
          <w:sz w:val="20"/>
        </w:rPr>
        <w:t>Guarantors</w:t>
      </w:r>
      <w:r>
        <w:rPr>
          <w:rFonts w:ascii="Times New Roman" w:hAnsi="Times New Roman"/>
          <w:sz w:val="20"/>
        </w:rPr>
        <w:t>), and which may be issued pursuant to an indenture dated as of September 18, 2013 (the </w:t>
      </w:r>
      <w:r>
        <w:rPr>
          <w:rFonts w:ascii="Times New Roman" w:hAnsi="Times New Roman"/>
          <w:b/>
          <w:sz w:val="20"/>
        </w:rPr>
        <w:t>Base Indenture</w:t>
      </w:r>
      <w:r>
        <w:rPr>
          <w:rFonts w:ascii="Times New Roman" w:hAnsi="Times New Roman"/>
          <w:sz w:val="20"/>
        </w:rPr>
        <w:t>) by and among the Company, the guarantors named therein and The Bank of New York Mellon, as trustee (the </w:t>
      </w:r>
      <w:r>
        <w:rPr>
          <w:rFonts w:ascii="Times New Roman" w:hAnsi="Times New Roman"/>
          <w:b/>
          <w:sz w:val="20"/>
        </w:rPr>
        <w:t>Trustee</w:t>
      </w:r>
      <w:r>
        <w:rPr>
          <w:rFonts w:ascii="Times New Roman" w:hAnsi="Times New Roman"/>
          <w:sz w:val="20"/>
        </w:rPr>
        <w:t>), as supplemented by the First Supplemental Indenture dated as of November 17, 2015 (the </w:t>
      </w:r>
      <w:r>
        <w:rPr>
          <w:rFonts w:ascii="Times New Roman" w:hAnsi="Times New Roman"/>
          <w:b/>
          <w:sz w:val="20"/>
        </w:rPr>
        <w:t>First Supplemental Indenture</w:t>
      </w:r>
      <w:r>
        <w:rPr>
          <w:rFonts w:ascii="Times New Roman" w:hAnsi="Times New Roman"/>
          <w:sz w:val="20"/>
        </w:rPr>
        <w:t>) and by the Second Supplemental Indenture dated as of July 29, 2022 (the </w:t>
      </w:r>
      <w:r>
        <w:rPr>
          <w:rFonts w:ascii="Times New Roman" w:hAnsi="Times New Roman"/>
          <w:b/>
          <w:sz w:val="20"/>
        </w:rPr>
        <w:t>Second Supplemental Indenture</w:t>
      </w:r>
      <w:r>
        <w:rPr>
          <w:rFonts w:ascii="Times New Roman" w:hAnsi="Times New Roman"/>
          <w:sz w:val="20"/>
        </w:rPr>
        <w:t> and, together with the Base Indenture and the First Supplemental Indenture, the </w:t>
      </w:r>
      <w:r>
        <w:rPr>
          <w:rFonts w:ascii="Times New Roman" w:hAnsi="Times New Roman"/>
          <w:b/>
          <w:sz w:val="20"/>
        </w:rPr>
        <w:t>Indenture</w:t>
      </w:r>
      <w:r>
        <w:rPr>
          <w:rFonts w:ascii="Times New Roman" w:hAnsi="Times New Roman"/>
          <w:sz w:val="20"/>
        </w:rPr>
        <w:t>), among the Company, the guarantors named therein, and the Trustee, as may be further amended and supplemented from time to time; (iv) warrants of the Company (the </w:t>
      </w:r>
      <w:r>
        <w:rPr>
          <w:rFonts w:ascii="Times New Roman" w:hAnsi="Times New Roman"/>
          <w:b/>
          <w:sz w:val="20"/>
        </w:rPr>
        <w:t>Warrants</w:t>
      </w:r>
      <w:r>
        <w:rPr>
          <w:rFonts w:ascii="Times New Roman" w:hAnsi="Times New Roman"/>
          <w:sz w:val="20"/>
        </w:rPr>
        <w:t>), which may be issued under one or more warrant agreements (each a </w:t>
      </w:r>
      <w:r>
        <w:rPr>
          <w:rFonts w:ascii="Times New Roman" w:hAnsi="Times New Roman"/>
          <w:b/>
          <w:sz w:val="20"/>
        </w:rPr>
        <w:t>Warrant Agreement</w:t>
      </w:r>
      <w:r>
        <w:rPr>
          <w:rFonts w:ascii="Times New Roman" w:hAnsi="Times New Roman"/>
          <w:sz w:val="20"/>
        </w:rPr>
        <w:t>) to be entered into between the Company and the warrant agent to be named therein (the </w:t>
      </w:r>
      <w:r>
        <w:rPr>
          <w:rFonts w:ascii="Times New Roman" w:hAnsi="Times New Roman"/>
          <w:b/>
          <w:sz w:val="20"/>
        </w:rPr>
        <w:t>Warrant Agent</w:t>
      </w:r>
      <w:r>
        <w:rPr>
          <w:rFonts w:ascii="Times New Roman" w:hAnsi="Times New Roman"/>
          <w:sz w:val="20"/>
        </w:rPr>
        <w:t>); (v) purchase contracts (the </w:t>
      </w:r>
      <w:r>
        <w:rPr>
          <w:rFonts w:ascii="Times New Roman" w:hAnsi="Times New Roman"/>
          <w:b/>
          <w:sz w:val="20"/>
        </w:rPr>
        <w:t>Purchase Contracts</w:t>
      </w:r>
      <w:r>
        <w:rPr>
          <w:rFonts w:ascii="Times New Roman" w:hAnsi="Times New Roman"/>
          <w:sz w:val="20"/>
        </w:rPr>
        <w:t>) which may be issued under one or more purchase contract agreements (each, a </w:t>
      </w:r>
      <w:r>
        <w:rPr>
          <w:rFonts w:ascii="Times New Roman" w:hAnsi="Times New Roman"/>
          <w:b/>
          <w:sz w:val="20"/>
        </w:rPr>
        <w:t>Purchase Contract Agreement</w:t>
      </w:r>
      <w:r>
        <w:rPr>
          <w:rFonts w:ascii="Times New Roman" w:hAnsi="Times New Roman"/>
          <w:sz w:val="20"/>
        </w:rPr>
        <w:t>) to be entered into between the Company and the purchase contract agent to be named therein (the </w:t>
      </w:r>
      <w:r>
        <w:rPr>
          <w:rFonts w:ascii="Times New Roman" w:hAnsi="Times New Roman"/>
          <w:b/>
          <w:sz w:val="20"/>
        </w:rPr>
        <w:t>Purchase Contract Agent</w:t>
      </w:r>
      <w:r>
        <w:rPr>
          <w:rFonts w:ascii="Times New Roman" w:hAnsi="Times New Roman"/>
          <w:sz w:val="20"/>
        </w:rPr>
        <w: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 units (the </w:t>
      </w:r>
      <w:r>
        <w:rPr>
          <w:rFonts w:ascii="Times New Roman" w:hAnsi="Times New Roman"/>
          <w:b/>
          <w:sz w:val="20"/>
        </w:rPr>
        <w:t>Units</w:t>
      </w:r>
      <w:r>
        <w:rPr>
          <w:rFonts w:ascii="Times New Roman" w:hAnsi="Times New Roman"/>
          <w:sz w:val="20"/>
        </w:rPr>
        <w:t>)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Times New Roman" w:hAnsi="Times New Roman"/>
          <w:b/>
          <w:sz w:val="20"/>
        </w:rPr>
        <w:t>Unit Agent</w:t>
      </w:r>
      <w:r>
        <w:rPr>
          <w:rFonts w:ascii="Times New Roman" w:hAnsi="Times New Roman"/>
          <w:sz w:val="20"/>
        </w:rPr>
        <w:t>), and the holders from time to time of the Units (each such unit agreement, a </w:t>
      </w:r>
      <w:r>
        <w:rPr>
          <w:rFonts w:ascii="Times New Roman" w:hAnsi="Times New Roman"/>
          <w:b/>
          <w:sz w:val="20"/>
        </w:rPr>
        <w:t>Unit Agreement</w:t>
      </w:r>
      <w:r>
        <w:rPr>
          <w:rFonts w:ascii="Times New Roman" w:hAnsi="Times New Roman"/>
          <w:sz w:val="20"/>
        </w:rPr>
        <w:t>); (vii) guarantees (the </w:t>
      </w:r>
      <w:r>
        <w:rPr>
          <w:rFonts w:ascii="Times New Roman" w:hAnsi="Times New Roman"/>
          <w:b/>
          <w:sz w:val="20"/>
        </w:rPr>
        <w:t>Guarantees</w:t>
      </w:r>
      <w:r>
        <w:rPr>
          <w:rFonts w:ascii="Times New Roman" w:hAnsi="Times New Roman"/>
          <w:sz w:val="20"/>
        </w:rPr>
        <w:t>) of the Debt Securities by the Guarantors, to be issued under the Indenture; (viii) guarantees (the </w:t>
      </w:r>
      <w:r>
        <w:rPr>
          <w:rFonts w:ascii="Times New Roman" w:hAnsi="Times New Roman"/>
          <w:b/>
          <w:sz w:val="20"/>
        </w:rPr>
        <w:t>Additional Guarantees</w:t>
      </w:r>
      <w:r>
        <w:rPr>
          <w:rFonts w:ascii="Times New Roman" w:hAnsi="Times New Roman"/>
          <w:sz w:val="20"/>
        </w:rPr>
        <w:t>) of Warrants, Purchase Contracts, Units or any combination of the foregoing by the Guarantors to be issued under one or more guarantee agreements (each, a </w:t>
      </w:r>
      <w:r>
        <w:rPr>
          <w:rFonts w:ascii="Times New Roman" w:hAnsi="Times New Roman"/>
          <w:b/>
          <w:sz w:val="20"/>
        </w:rPr>
        <w:t>Guarantee Agreement</w:t>
      </w:r>
      <w:r>
        <w:rPr>
          <w:rFonts w:ascii="Times New Roman" w:hAnsi="Times New Roman"/>
          <w:sz w:val="20"/>
        </w:rPr>
        <w:t>) to be entered into by the Guarantors. The Debt Securities, Preferred Stock, Class A Common Stock, Warrants, Purchase Contracts, Units, Guarantees and Additional Guarantees are herein collectively referred to as the </w:t>
      </w:r>
      <w:r>
        <w:rPr>
          <w:rFonts w:ascii="Times New Roman" w:hAnsi="Times New Roman"/>
          <w:b/>
          <w:sz w:val="20"/>
        </w:rPr>
        <w:t>Securities.</w:t>
      </w:r>
      <w:r>
        <w:rPr>
          <w:rFonts w:ascii="Times New Roman" w:hAnsi="Times New Roman"/>
          <w:sz w:val="20"/>
        </w:rPr>
        <w:t xml:space="preserve"> The Debt Securities and the Preferred Stock may be convertible and/or exchangeable for Securities or other securities or rights.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61"/>
        <w:gridCol w:w="120"/>
        <w:gridCol w:w="4382"/>
        <w:gridCol w:w="120"/>
        <w:gridCol w:w="3822"/>
      </w:tblGrid>
      <w:tr>
        <w:trPr/>
        <w:tc>
          <w:tcPr>
            <w:tcW w:w="17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drawing>
                <wp:inline distT="0" distB="0" distL="0" distR="0">
                  <wp:extent cx="10001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000125" cy="1905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382" w:type="dxa"/>
            <w:tcBorders/>
          </w:tcPr>
          <w:p>
            <w:pPr>
              <w:pStyle w:val="TableContents"/>
              <w:bidi w:val="0"/>
              <w:spacing w:before="0" w:after="283"/>
              <w:jc w:val="left"/>
              <w:rPr/>
            </w:pPr>
            <w:r>
              <w:rPr/>
              <w:t>Comcast Corporation</w:t>
            </w:r>
          </w:p>
        </w:tc>
        <w:tc>
          <w:tcPr>
            <w:tcW w:w="120" w:type="dxa"/>
            <w:tcBorders/>
            <w:vAlign w:val="bottom"/>
          </w:tcPr>
          <w:p>
            <w:pPr>
              <w:pStyle w:val="TableContents"/>
              <w:bidi w:val="0"/>
              <w:spacing w:before="0" w:after="283"/>
              <w:jc w:val="left"/>
              <w:rPr/>
            </w:pPr>
            <w:r>
              <w:rPr/>
              <w:t>  </w:t>
            </w:r>
          </w:p>
        </w:tc>
        <w:tc>
          <w:tcPr>
            <w:tcW w:w="382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w:t>
      </w:r>
    </w:p>
    <w:p>
      <w:pPr>
        <w:pStyle w:val="TextBody"/>
        <w:bidi w:val="0"/>
        <w:spacing w:before="240" w:after="0"/>
        <w:jc w:val="left"/>
        <w:rPr>
          <w:rFonts w:ascii="Times New Roman" w:hAnsi="Times New Roman"/>
          <w:sz w:val="20"/>
        </w:rPr>
      </w:pPr>
      <w:r>
        <w:rPr>
          <w:rFonts w:ascii="Times New Roman" w:hAnsi="Times New Roman"/>
          <w:sz w:val="20"/>
        </w:rPr>
        <w:t xml:space="preserve">1. Assuming the Indenture and any amendment or supplement thereto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 </w:t>
      </w:r>
    </w:p>
    <w:p>
      <w:pPr>
        <w:pStyle w:val="TextBody"/>
        <w:bidi w:val="0"/>
        <w:spacing w:before="240" w:after="0"/>
        <w:jc w:val="left"/>
        <w:rPr>
          <w:rFonts w:ascii="Times New Roman" w:hAnsi="Times New Roman"/>
          <w:sz w:val="20"/>
        </w:rPr>
      </w:pPr>
      <w:r>
        <w:rPr>
          <w:rFonts w:ascii="Times New Roman" w:hAnsi="Times New Roman"/>
          <w:sz w:val="20"/>
        </w:rPr>
        <w:t xml:space="preserve">2. 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w:t>
      </w:r>
    </w:p>
    <w:p>
      <w:pPr>
        <w:pStyle w:val="TextBody"/>
        <w:bidi w:val="0"/>
        <w:spacing w:before="240" w:after="0"/>
        <w:jc w:val="left"/>
        <w:rPr>
          <w:rFonts w:ascii="Times New Roman" w:hAnsi="Times New Roman"/>
          <w:sz w:val="20"/>
        </w:rPr>
      </w:pPr>
      <w:r>
        <w:rPr>
          <w:rFonts w:ascii="Times New Roman" w:hAnsi="Times New Roman"/>
          <w:sz w:val="20"/>
        </w:rPr>
        <w:t xml:space="preserve">3. When the Guarantee Agreement to be entered into in connection with the issuance of any Additional Guarantees has been duly authorized, executed and delivered by the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 </w:t>
      </w:r>
    </w:p>
    <w:p>
      <w:pPr>
        <w:pStyle w:val="TextBody"/>
        <w:bidi w:val="0"/>
        <w:spacing w:before="240" w:after="0"/>
        <w:jc w:val="left"/>
        <w:rPr>
          <w:rFonts w:ascii="Times New Roman" w:hAnsi="Times New Roman"/>
          <w:sz w:val="20"/>
        </w:rPr>
      </w:pPr>
      <w:r>
        <w:rPr>
          <w:rFonts w:ascii="Times New Roman" w:hAnsi="Times New Roman"/>
          <w:sz w:val="20"/>
        </w:rPr>
        <w:t xml:space="preserve">4. 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3667"/>
        <w:gridCol w:w="125"/>
        <w:gridCol w:w="3179"/>
        <w:gridCol w:w="125"/>
        <w:gridCol w:w="3109"/>
      </w:tblGrid>
      <w:tr>
        <w:trPr/>
        <w:tc>
          <w:tcPr>
            <w:tcW w:w="366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3667" w:type="dxa"/>
            <w:tcBorders/>
          </w:tcPr>
          <w:p>
            <w:pPr>
              <w:pStyle w:val="TableContents"/>
              <w:bidi w:val="0"/>
              <w:spacing w:before="0" w:after="283"/>
              <w:jc w:val="left"/>
              <w:rPr/>
            </w:pPr>
            <w:r>
              <w:rPr/>
              <w:t>February 28, 2025</w:t>
            </w:r>
          </w:p>
        </w:tc>
        <w:tc>
          <w:tcPr>
            <w:tcW w:w="125"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61"/>
        <w:gridCol w:w="120"/>
        <w:gridCol w:w="4382"/>
        <w:gridCol w:w="120"/>
        <w:gridCol w:w="3822"/>
      </w:tblGrid>
      <w:tr>
        <w:trPr/>
        <w:tc>
          <w:tcPr>
            <w:tcW w:w="17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drawing>
                <wp:inline distT="0" distB="0" distL="0" distR="0">
                  <wp:extent cx="1000125"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1000125" cy="1905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382" w:type="dxa"/>
            <w:tcBorders/>
          </w:tcPr>
          <w:p>
            <w:pPr>
              <w:pStyle w:val="TableContents"/>
              <w:bidi w:val="0"/>
              <w:spacing w:before="0" w:after="283"/>
              <w:jc w:val="left"/>
              <w:rPr/>
            </w:pPr>
            <w:r>
              <w:rPr/>
              <w:t>Comcast Corporation</w:t>
            </w:r>
          </w:p>
        </w:tc>
        <w:tc>
          <w:tcPr>
            <w:tcW w:w="120" w:type="dxa"/>
            <w:tcBorders/>
            <w:vAlign w:val="bottom"/>
          </w:tcPr>
          <w:p>
            <w:pPr>
              <w:pStyle w:val="TableContents"/>
              <w:bidi w:val="0"/>
              <w:spacing w:before="0" w:after="283"/>
              <w:jc w:val="left"/>
              <w:rPr/>
            </w:pPr>
            <w:r>
              <w:rPr/>
              <w:t>  </w:t>
            </w:r>
          </w:p>
        </w:tc>
        <w:tc>
          <w:tcPr>
            <w:tcW w:w="382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each of the Company and the Guarantors is, and shall remain validly existing and in good standing under the laws of the Commonwealth of Pennsylvania or the State of Delaware, as applicable; (iii) the Registration Statement shall have become effective pursuant to Rule 462(e) and such effectiveness shall not have been terminated or rescinded; (iv) the Indenture, the Debt Securities, the Warrant Agreement, the Purchase Contract Agreement, the Unit Agreement and the Guarantee Agreement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execution, delivery and performance by the Company or any Guarantor of any Security whose terms are established subsequent to the date hereof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 is limited to the laws of the State of New York and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Davis Polk &amp; Wardwell LLP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3667"/>
        <w:gridCol w:w="125"/>
        <w:gridCol w:w="3179"/>
        <w:gridCol w:w="125"/>
        <w:gridCol w:w="3109"/>
      </w:tblGrid>
      <w:tr>
        <w:trPr/>
        <w:tc>
          <w:tcPr>
            <w:tcW w:w="366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3667" w:type="dxa"/>
            <w:tcBorders/>
          </w:tcPr>
          <w:p>
            <w:pPr>
              <w:pStyle w:val="TableContents"/>
              <w:bidi w:val="0"/>
              <w:spacing w:before="0" w:after="283"/>
              <w:jc w:val="left"/>
              <w:rPr/>
            </w:pPr>
            <w:r>
              <w:rPr/>
              <w:t>February 28, 2025</w:t>
            </w:r>
          </w:p>
        </w:tc>
        <w:tc>
          <w:tcPr>
            <w:tcW w:w="125"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right"/>
              <w:rPr/>
            </w:pPr>
            <w:r>
              <w:rPr/>
              <w:t>3</w:t>
            </w:r>
          </w:p>
        </w:tc>
      </w:tr>
    </w:tbl>
    <w:p>
      <w:pPr>
        <w:pStyle w:val="TextBody"/>
        <w:bidi w:val="0"/>
        <w:spacing w:before="0" w:after="0"/>
        <w:jc w:val="right"/>
        <w:rPr>
          <w:rFonts w:ascii="Times New Roman" w:hAnsi="Times New Roman"/>
          <w:b/>
          <w:sz w:val="20"/>
        </w:rPr>
      </w:pPr>
      <w:bookmarkStart w:id="27" w:name="d921757dex231.htm"/>
      <w:bookmarkStart w:id="28" w:name="ksd921757dex231"/>
      <w:bookmarkEnd w:id="27"/>
      <w:bookmarkEnd w:id="28"/>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January 31, 2025 relating to the financial statements of Comcast Corporation and the effectiveness of Comcast Corporations internal control over financial reporting, appearing in the Annual Report on Form 10-K of Comcast Corporation for the year ended December 31, 2024.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i/>
              </w:rPr>
            </w:pPr>
            <w:r>
              <w:rPr>
                <w:i/>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Philadelphia, Pennsylvania</w:t>
            </w:r>
          </w:p>
        </w:tc>
      </w:tr>
      <w:tr>
        <w:trPr/>
        <w:tc>
          <w:tcPr>
            <w:tcW w:w="4082" w:type="dxa"/>
            <w:tcBorders/>
          </w:tcPr>
          <w:p>
            <w:pPr>
              <w:pStyle w:val="TableContents"/>
              <w:bidi w:val="0"/>
              <w:spacing w:before="0" w:after="283"/>
              <w:jc w:val="left"/>
              <w:rPr/>
            </w:pPr>
            <w:r>
              <w:rPr/>
              <w:t>February 28, 2025</w:t>
            </w:r>
          </w:p>
        </w:tc>
      </w:tr>
    </w:tbl>
    <w:p>
      <w:pPr>
        <w:pStyle w:val="TextBody"/>
        <w:bidi w:val="0"/>
        <w:spacing w:before="0" w:after="0"/>
        <w:jc w:val="right"/>
        <w:rPr>
          <w:rFonts w:ascii="Times New Roman" w:hAnsi="Times New Roman"/>
          <w:b/>
          <w:sz w:val="20"/>
        </w:rPr>
      </w:pPr>
      <w:bookmarkStart w:id="29" w:name="d921757dex251.htm"/>
      <w:bookmarkStart w:id="30" w:name="ksd921757dex251"/>
      <w:bookmarkEnd w:id="29"/>
      <w:bookmarkEnd w:id="30"/>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 xml:space="preserve">New York </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13-5160382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w:t>
            </w:r>
          </w:p>
          <w:p>
            <w:pPr>
              <w:pStyle w:val="TableContents"/>
              <w:bidi w:val="0"/>
              <w:spacing w:before="0" w:after="20"/>
              <w:jc w:val="center"/>
              <w:rPr>
                <w:rFonts w:ascii="Times New Roman" w:hAnsi="Times New Roman"/>
                <w:b/>
                <w:sz w:val="16"/>
              </w:rPr>
            </w:pPr>
            <w:r>
              <w:rPr>
                <w:rFonts w:ascii="Times New Roman" w:hAnsi="Times New Roman"/>
                <w:b/>
                <w:sz w:val="16"/>
              </w:rPr>
              <w:t>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240 Greenwich Street, New York, N.Y.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10286</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 xml:space="preserve">Pennsylvania </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27-0000798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Pennsylvania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19103-2838</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Cable Communications, LLC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23-2175755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Pennsylvania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19103-2838</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14-1682529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30 Rockefeller Plaza</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10112-0015</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and Guarantees of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3"/>
        <w:gridCol w:w="4893"/>
      </w:tblGrid>
      <w:tr>
        <w:trPr/>
        <w:tc>
          <w:tcPr>
            <w:tcW w:w="51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3" w:type="dxa"/>
            <w:tcBorders/>
            <w:vAlign w:val="center"/>
          </w:tcPr>
          <w:p>
            <w:pPr>
              <w:pStyle w:val="TableContents"/>
              <w:bidi w:val="0"/>
              <w:spacing w:before="0" w:after="283"/>
              <w:jc w:val="left"/>
              <w:rPr>
                <w:sz w:val="4"/>
                <w:szCs w:val="4"/>
              </w:rPr>
            </w:pPr>
            <w:r>
              <w:rPr>
                <w:sz w:val="4"/>
                <w:szCs w:val="4"/>
              </w:rPr>
            </w:r>
          </w:p>
        </w:tc>
      </w:tr>
      <w:tr>
        <w:trPr/>
        <w:tc>
          <w:tcPr>
            <w:tcW w:w="518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w:t>
            </w:r>
          </w:p>
        </w:tc>
        <w:tc>
          <w:tcPr>
            <w:tcW w:w="123" w:type="dxa"/>
            <w:tcBorders/>
            <w:vAlign w:val="bottom"/>
          </w:tcPr>
          <w:p>
            <w:pPr>
              <w:pStyle w:val="TableContents"/>
              <w:bidi w:val="0"/>
              <w:spacing w:before="0" w:after="283"/>
              <w:jc w:val="left"/>
              <w:rPr/>
            </w:pPr>
            <w:r>
              <w:rPr/>
              <w:t>  </w:t>
            </w:r>
          </w:p>
        </w:tc>
        <w:tc>
          <w:tcPr>
            <w:tcW w:w="489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Address</w:t>
            </w:r>
          </w:p>
        </w:tc>
      </w:tr>
      <w:tr>
        <w:trPr>
          <w:trHeight w:val="6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Superintendent of the Department of Financial Services of the State of New York</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One State Street, New York, N.Y. 10004-1417, and Albany, N.Y. 12223</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Bank of New York</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33 Liberty Street, New York, N.Y. 10045</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Federal Deposit Insurance Corporation</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 xml:space="preserve">550 17th Street, NW </w:t>
              <w:br/>
              <w:t>Washington, D.C. 20429</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The Clearing House Association L.L.C.</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 xml:space="preserve">100 Broad Street </w:t>
              <w:br/>
              <w:t>New York, N.Y. 10004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333-261533).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333-229519).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20th day of February,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THE BANK OF NEW YORK MELLON</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Stacey B. Poindexter</w:t>
            </w:r>
          </w:p>
        </w:tc>
      </w:tr>
      <w:tr>
        <w:trPr/>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Name: Stacey B. Poindexter</w:t>
            </w:r>
          </w:p>
        </w:tc>
      </w:tr>
      <w:tr>
        <w:trPr/>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240" w:after="0"/>
        <w:jc w:val="center"/>
        <w:rPr>
          <w:rFonts w:ascii="Times New Roman" w:hAnsi="Times New Roman"/>
          <w:sz w:val="20"/>
        </w:rPr>
      </w:pPr>
      <w:r>
        <w:rPr>
          <w:rFonts w:ascii="Times New Roman" w:hAnsi="Times New Roman"/>
          <w:sz w:val="20"/>
        </w:rPr>
        <w:t xml:space="preserve">THE BANK OF NEW YORK MELLON </w:t>
      </w:r>
    </w:p>
    <w:p>
      <w:pPr>
        <w:pStyle w:val="TextBody"/>
        <w:bidi w:val="0"/>
        <w:spacing w:before="240" w:after="0"/>
        <w:jc w:val="center"/>
        <w:rPr>
          <w:rFonts w:ascii="Times New Roman" w:hAnsi="Times New Roman"/>
          <w:sz w:val="20"/>
        </w:rPr>
      </w:pPr>
      <w:r>
        <w:rPr>
          <w:rFonts w:ascii="Times New Roman" w:hAnsi="Times New Roman"/>
          <w:sz w:val="20"/>
        </w:rPr>
        <w:t xml:space="preserve">of 240 Greenwich Street, New York, N.Y. 10286 </w:t>
      </w:r>
    </w:p>
    <w:p>
      <w:pPr>
        <w:pStyle w:val="TextBody"/>
        <w:bidi w:val="0"/>
        <w:spacing w:before="0" w:after="0"/>
        <w:jc w:val="center"/>
        <w:rPr>
          <w:rFonts w:ascii="Times New Roman" w:hAnsi="Times New Roman"/>
          <w:sz w:val="20"/>
        </w:rPr>
      </w:pPr>
      <w:r>
        <w:rPr>
          <w:rFonts w:ascii="Times New Roman" w:hAnsi="Times New Roman"/>
          <w:sz w:val="20"/>
        </w:rPr>
        <w:t xml:space="preserve">And Foreign and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 member of the Federal Reserve System, at the close of business December 31, 2024, published in accordance with a call made by the Federal Reserve Bank of this District pursuant to the provisions of the Federal Reserve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1"/>
        <w:gridCol w:w="138"/>
        <w:gridCol w:w="60"/>
        <w:gridCol w:w="1503"/>
        <w:gridCol w:w="63"/>
      </w:tblGrid>
      <w:tr>
        <w:trPr/>
        <w:tc>
          <w:tcPr>
            <w:tcW w:w="844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4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jc w:val="center"/>
              <w:rPr/>
            </w:pPr>
            <w:r>
              <w:rPr/>
              <w:t>Dollar amounts</w:t>
            </w:r>
          </w:p>
          <w:p>
            <w:pPr>
              <w:pStyle w:val="TableContents"/>
              <w:bidi w:val="0"/>
              <w:spacing w:before="0" w:after="20"/>
              <w:jc w:val="center"/>
              <w:rPr>
                <w:rFonts w:ascii="Times New Roman" w:hAnsi="Times New Roman"/>
                <w:sz w:val="16"/>
              </w:rPr>
            </w:pPr>
            <w:r>
              <w:rPr>
                <w:rFonts w:ascii="Times New Roman" w:hAnsi="Times New Roman"/>
                <w:sz w:val="16"/>
              </w:rPr>
              <w:t>in thousands</w:t>
            </w:r>
          </w:p>
        </w:tc>
        <w:tc>
          <w:tcPr>
            <w:tcW w:w="63" w:type="dxa"/>
            <w:tcBorders/>
            <w:vAlign w:val="bottom"/>
          </w:tcPr>
          <w:p>
            <w:pPr>
              <w:pStyle w:val="TableContents"/>
              <w:bidi w:val="0"/>
              <w:jc w:val="left"/>
              <w:rPr/>
            </w:pPr>
            <w:r>
              <w:rPr/>
            </w:r>
          </w:p>
          <w:p>
            <w:pPr>
              <w:pStyle w:val="TableContents"/>
              <w:bidi w:val="0"/>
              <w:spacing w:before="0" w:after="20"/>
              <w:jc w:val="left"/>
              <w:rPr/>
            </w:pPr>
            <w:r>
              <w:rPr/>
              <w:t> </w:t>
            </w:r>
          </w:p>
        </w:tc>
      </w:tr>
      <w:tr>
        <w:trPr>
          <w:trHeight w:val="120" w:hRule="atLeast"/>
        </w:trPr>
        <w:tc>
          <w:tcPr>
            <w:tcW w:w="8441" w:type="dxa"/>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3,316,000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96,711,000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48,596,000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87,787,000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24,014,000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37,084,000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 on loans and leases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272,000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36,812,000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7,593,000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right-of-use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2,912,000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2,021,000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7,329,000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18,864,000</w:t>
            </w:r>
          </w:p>
        </w:tc>
        <w:tc>
          <w:tcPr>
            <w:tcW w:w="63" w:type="dxa"/>
            <w:tcBorders/>
            <w:vAlign w:val="bottom"/>
          </w:tcPr>
          <w:p>
            <w:pPr>
              <w:pStyle w:val="TableContents"/>
              <w:bidi w:val="0"/>
              <w:spacing w:before="0" w:after="283"/>
              <w:jc w:val="left"/>
              <w:rPr/>
            </w:pPr>
            <w:r>
              <w:rPr/>
              <w:t> </w:t>
            </w:r>
          </w:p>
        </w:tc>
      </w:tr>
      <w:tr>
        <w:trPr/>
        <w:tc>
          <w:tcPr>
            <w:tcW w:w="8441"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335,955,000</w:t>
            </w:r>
          </w:p>
        </w:tc>
        <w:tc>
          <w:tcPr>
            <w:tcW w:w="63" w:type="dxa"/>
            <w:tcBorders/>
            <w:shd w:fill="CCEEFF" w:val="clear"/>
            <w:vAlign w:val="bottom"/>
          </w:tcPr>
          <w:p>
            <w:pPr>
              <w:pStyle w:val="TableContents"/>
              <w:bidi w:val="0"/>
              <w:spacing w:before="0" w:after="283"/>
              <w:jc w:val="left"/>
              <w:rPr/>
            </w:pPr>
            <w:r>
              <w:rPr/>
              <w:t> </w:t>
            </w:r>
          </w:p>
        </w:tc>
      </w:tr>
      <w:tr>
        <w:trPr/>
        <w:tc>
          <w:tcPr>
            <w:tcW w:w="8441"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725"/>
        <w:gridCol w:w="123"/>
        <w:gridCol w:w="60"/>
        <w:gridCol w:w="1235"/>
        <w:gridCol w:w="62"/>
      </w:tblGrid>
      <w:tr>
        <w:trPr/>
        <w:tc>
          <w:tcPr>
            <w:tcW w:w="87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LIABILITIES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194,168,000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61,444,000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132,724,000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In foreign offices, Edge and Agreement subsidiaries, and IBFs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97,210,000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3,557,000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93,653,000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2,499,000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2,911,000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Other borrowed money: </w:t>
              <w:br/>
              <w:t>(includes mortgage indebtedness)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3,031,000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8,176,000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307,995,000</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rHeight w:val="12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Perpetual preferred stock and related </w:t>
              <w:br/>
              <w:t>surplus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1,135,000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12,511,000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17,415,000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-3,101,000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27,960,000</w:t>
            </w:r>
          </w:p>
        </w:tc>
        <w:tc>
          <w:tcPr>
            <w:tcW w:w="62" w:type="dxa"/>
            <w:tcBorders/>
            <w:vAlign w:val="bottom"/>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Noncontrolling (minority) interests in </w:t>
              <w:br/>
              <w:t>consolidated subsidiaries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27,960,000</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335,955,000</w:t>
            </w:r>
          </w:p>
        </w:tc>
        <w:tc>
          <w:tcPr>
            <w:tcW w:w="62" w:type="dxa"/>
            <w:tcBorders/>
            <w:shd w:fill="CCEEFF" w:val="clear"/>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Dermot McDonogh, Chief Financial Officer of the above-named bank do hereby declare that this Report of Condition is true and correct to the best of my knowledge and belief.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Dermot McDonogh</w:t>
            </w:r>
          </w:p>
          <w:p>
            <w:pPr>
              <w:pStyle w:val="TableContents"/>
              <w:bidi w:val="0"/>
              <w:spacing w:before="0" w:after="20"/>
              <w:jc w:val="righ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attest to the correctness of this statement of resources and liabilities. We declare that it has been examined by us, and to the best of our knowledge and belief has been prepared in conformance with the instructions and is true and correct.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1"/>
        <w:gridCol w:w="104"/>
        <w:gridCol w:w="23"/>
        <w:gridCol w:w="104"/>
        <w:gridCol w:w="104"/>
        <w:gridCol w:w="104"/>
        <w:gridCol w:w="7805"/>
      </w:tblGrid>
      <w:tr>
        <w:trPr/>
        <w:tc>
          <w:tcPr>
            <w:tcW w:w="19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1961" w:type="dxa"/>
            <w:tcBorders/>
          </w:tcPr>
          <w:p>
            <w:pPr>
              <w:pStyle w:val="TableContents"/>
              <w:bidi w:val="0"/>
              <w:spacing w:before="0" w:after="283"/>
              <w:jc w:val="left"/>
              <w:rPr/>
            </w:pPr>
            <w:r>
              <w:rPr/>
              <w:t xml:space="preserve">Robin A. Vince </w:t>
              <w:br/>
              <w:t>Jeffrey A. Goldstein</w:t>
              <w:br/>
              <w:t>Joseph J. Echevarria</w:t>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4"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r>
              <w:rPr/>
              <w:t>Directors</w:t>
            </w:r>
          </w:p>
        </w:tc>
      </w:tr>
    </w:tbl>
    <w:p>
      <w:pPr>
        <w:pStyle w:val="TextBody"/>
        <w:bidi w:val="0"/>
        <w:spacing w:before="0" w:after="0"/>
        <w:jc w:val="right"/>
        <w:rPr>
          <w:rFonts w:ascii="Times New Roman" w:hAnsi="Times New Roman"/>
          <w:b/>
          <w:sz w:val="20"/>
        </w:rPr>
      </w:pPr>
      <w:bookmarkStart w:id="31" w:name="d921757dexfilingfees.htm"/>
      <w:bookmarkStart w:id="32" w:name="ksd921757dexfilingfees"/>
      <w:bookmarkEnd w:id="31"/>
      <w:bookmarkEnd w:id="32"/>
      <w:r>
        <w:rPr>
          <w:rFonts w:ascii="Times New Roman" w:hAnsi="Times New Roman"/>
          <w:b/>
          <w:sz w:val="20"/>
        </w:rPr>
        <w:t xml:space="preserve">Exhibit 107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S-3</w:t>
      </w:r>
    </w:p>
    <w:p>
      <w:pPr>
        <w:pStyle w:val="TextBody"/>
        <w:bidi w:val="0"/>
        <w:spacing w:before="0" w:after="0"/>
        <w:jc w:val="center"/>
        <w:rPr>
          <w:rFonts w:ascii="Times New Roman" w:hAnsi="Times New Roman"/>
          <w:b/>
          <w:sz w:val="20"/>
        </w:rPr>
      </w:pPr>
      <w:r>
        <w:rPr>
          <w:rFonts w:ascii="Times New Roman" w:hAnsi="Times New Roman"/>
          <w:b/>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0" w:after="0"/>
        <w:jc w:val="center"/>
        <w:rPr>
          <w:rFonts w:ascii="Times New Roman" w:hAnsi="Times New Roman"/>
          <w:b/>
          <w:sz w:val="20"/>
        </w:rPr>
      </w:pPr>
      <w:r>
        <w:rPr>
          <w:rFonts w:ascii="Times New Roman" w:hAnsi="Times New Roman"/>
          <w:b/>
          <w:sz w:val="20"/>
        </w:rPr>
        <w:t xml:space="preserve">Comcast Cable Communications,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240" w:after="0"/>
        <w:jc w:val="center"/>
        <w:rPr>
          <w:rFonts w:ascii="Times New Roman" w:hAnsi="Times New Roman"/>
          <w:b/>
          <w:spacing w:val="0"/>
          <w:sz w:val="20"/>
          <w:u w:val="single"/>
        </w:rPr>
      </w:pPr>
      <w:r>
        <w:rPr>
          <w:rFonts w:ascii="Times New Roman" w:hAnsi="Times New Roman"/>
          <w:b/>
          <w:spacing w:val="0"/>
          <w:sz w:val="20"/>
          <w:u w:val="single"/>
        </w:rPr>
        <w:t xml:space="preserve">Table 1: Newly Registered and Carry Forward Securities </w:t>
      </w:r>
    </w:p>
    <w:p>
      <w:pPr>
        <w:pStyle w:val="TextBody"/>
        <w:bidi w:val="0"/>
        <w:spacing w:before="0" w:after="0"/>
        <w:jc w:val="left"/>
        <w:rPr/>
      </w:pPr>
      <w:r>
        <w:rPr/>
        <w:t> </w:t>
      </w:r>
    </w:p>
    <w:tbl>
      <w:tblPr>
        <w:tblW w:w="12320" w:type="dxa"/>
        <w:jc w:val="left"/>
        <w:tblInd w:w="0" w:type="dxa"/>
        <w:tblLayout w:type="fixed"/>
        <w:tblCellMar>
          <w:top w:w="0" w:type="dxa"/>
          <w:left w:w="0" w:type="dxa"/>
          <w:bottom w:w="0" w:type="dxa"/>
          <w:right w:w="0" w:type="dxa"/>
        </w:tblCellMar>
      </w:tblPr>
      <w:tblGrid>
        <w:gridCol w:w="905"/>
        <w:gridCol w:w="60"/>
        <w:gridCol w:w="800"/>
        <w:gridCol w:w="60"/>
        <w:gridCol w:w="1085"/>
        <w:gridCol w:w="60"/>
        <w:gridCol w:w="695"/>
        <w:gridCol w:w="60"/>
        <w:gridCol w:w="1025"/>
        <w:gridCol w:w="60"/>
        <w:gridCol w:w="1040"/>
        <w:gridCol w:w="60"/>
        <w:gridCol w:w="635"/>
        <w:gridCol w:w="60"/>
        <w:gridCol w:w="455"/>
        <w:gridCol w:w="60"/>
        <w:gridCol w:w="1205"/>
        <w:gridCol w:w="60"/>
        <w:gridCol w:w="875"/>
        <w:gridCol w:w="60"/>
        <w:gridCol w:w="875"/>
        <w:gridCol w:w="60"/>
        <w:gridCol w:w="875"/>
        <w:gridCol w:w="60"/>
        <w:gridCol w:w="1130"/>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Security</w:t>
              <w:br/>
              <w:t>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0"/>
              <w:jc w:val="center"/>
              <w:rPr>
                <w:rFonts w:ascii="Times New Roman" w:hAnsi="Times New Roman"/>
                <w:sz w:val="14"/>
              </w:rPr>
            </w:pPr>
            <w:r>
              <w:rPr>
                <w:rFonts w:ascii="Times New Roman" w:hAnsi="Times New Roman"/>
                <w:sz w:val="14"/>
              </w:rPr>
              <w:t>or 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20"/>
              <w:jc w:val="center"/>
              <w:rPr>
                <w:rFonts w:ascii="Times New Roman" w:hAnsi="Times New Roman"/>
                <w:sz w:val="14"/>
              </w:rPr>
            </w:pPr>
            <w:r>
              <w:rPr>
                <w:rFonts w:ascii="Times New Roman" w:hAnsi="Times New Roman"/>
                <w:sz w:val="14"/>
              </w:rPr>
              <w:t>Rule (1)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Amount</w:t>
              <w:br/>
              <w:t>Registered</w:t>
              <w:br/>
              <w:t>(2)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Proposed</w:t>
              <w:br/>
              <w:t>Maximum </w:t>
              <w:br/>
              <w:t>Offering</w:t>
              <w:br/>
              <w:t>Price Per</w:t>
              <w:br/>
              <w:t>Unit (2)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Maximum </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 (2)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Fee</w:t>
              <w:br/>
              <w:t>Rate</w:t>
              <w:br/>
              <w:t>(1)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Amount of</w:t>
              <w:br/>
              <w:t>Registration </w:t>
              <w:br/>
              <w:t>Fee (1)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 </w:t>
              <w:br/>
              <w:t>Form</w:t>
              <w:br/>
              <w:t>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 </w:t>
              <w:br/>
              <w:t>File</w:t>
              <w:br/>
              <w:t>Number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w:t>
              <w:br/>
              <w:t>Initial</w:t>
              <w:br/>
              <w:t>Effective</w:t>
              <w:br/>
              <w:t>Date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center"/>
              <w:rPr/>
            </w:pPr>
            <w:r>
              <w:rPr/>
              <w:t>Filing Fee</w:t>
              <w:br/>
              <w:t>Previously</w:t>
              <w:br/>
              <w:t>Paid In</w:t>
              <w:br/>
              <w:t>Connection</w:t>
              <w:br/>
              <w:t>with</w:t>
              <w:br/>
              <w:t>Unsold</w:t>
              <w:br/>
              <w:t>Securities</w:t>
              <w:br/>
              <w:t>to be</w:t>
              <w:br/>
              <w:t>Carried</w:t>
              <w:br/>
              <w:t>Forward</w:t>
            </w:r>
          </w:p>
        </w:tc>
      </w:tr>
      <w:tr>
        <w:trPr/>
        <w:tc>
          <w:tcPr>
            <w:tcW w:w="12320" w:type="dxa"/>
            <w:gridSpan w:val="25"/>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320" w:type="dxa"/>
            <w:gridSpan w:val="25"/>
            <w:tcBorders>
              <w:left w:val="single" w:sz="6" w:space="0" w:color="000000"/>
              <w:right w:val="single" w:sz="6" w:space="0" w:color="000000"/>
            </w:tcBorders>
            <w:tcMar>
              <w:left w:w="160" w:type="dxa"/>
              <w:right w:w="40" w:type="dxa"/>
            </w:tcMar>
            <w:vAlign w:val="center"/>
          </w:tcPr>
          <w:p>
            <w:pPr>
              <w:pStyle w:val="TableContents"/>
              <w:bidi w:val="0"/>
              <w:spacing w:before="0" w:after="283"/>
              <w:jc w:val="center"/>
              <w:rPr/>
            </w:pPr>
            <w:r>
              <w:rPr/>
              <w:t>Newly Registered Securities</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Class A Common Stock, $0.01 par value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Preferred Stock</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Debt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Senior Debt 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Debt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Guarantees of Senior Debt 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Depositary Shares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Warrants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Purchase Contracts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Units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Guarantees of Warrants, Purchase Contracts or Units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Rule 456(b) and  Rule 457(r)(3)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w:t>
            </w:r>
          </w:p>
          <w:p>
            <w:pPr>
              <w:pStyle w:val="TableContents"/>
              <w:bidi w:val="0"/>
              <w:spacing w:before="0" w:after="0"/>
              <w:jc w:val="center"/>
              <w:rPr>
                <w:rFonts w:ascii="Times New Roman" w:hAnsi="Times New Roman"/>
                <w:sz w:val="20"/>
              </w:rPr>
            </w:pPr>
            <w:r>
              <w:rPr>
                <w:rFonts w:ascii="Times New Roman" w:hAnsi="Times New Roman"/>
                <w:sz w:val="20"/>
              </w:rPr>
              <w:t>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2320" w:type="dxa"/>
            <w:gridSpan w:val="25"/>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320" w:type="dxa"/>
            <w:gridSpan w:val="25"/>
            <w:tcBorders>
              <w:left w:val="single" w:sz="6" w:space="0" w:color="000000"/>
              <w:right w:val="single" w:sz="6" w:space="0" w:color="000000"/>
            </w:tcBorders>
            <w:tcMar>
              <w:left w:w="160" w:type="dxa"/>
              <w:right w:w="40" w:type="dxa"/>
            </w:tcMar>
            <w:vAlign w:val="center"/>
          </w:tcPr>
          <w:p>
            <w:pPr>
              <w:pStyle w:val="TableContents"/>
              <w:bidi w:val="0"/>
              <w:spacing w:before="0" w:after="283"/>
              <w:jc w:val="center"/>
              <w:rPr/>
            </w:pPr>
            <w:r>
              <w:rPr/>
              <w:t>Carry Forward Securities</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0"/>
              <w:jc w:val="center"/>
              <w:rPr>
                <w:rFonts w:ascii="Times New Roman" w:hAnsi="Times New Roman"/>
                <w:sz w:val="20"/>
              </w:rPr>
            </w:pPr>
            <w:r>
              <w:rPr>
                <w:rFonts w:ascii="Times New Roman" w:hAnsi="Times New Roman"/>
                <w:sz w:val="20"/>
              </w:rPr>
              <w:t>Forward</w:t>
            </w:r>
          </w:p>
          <w:p>
            <w:pPr>
              <w:pStyle w:val="TableContents"/>
              <w:bidi w:val="0"/>
              <w:spacing w:before="0" w:after="20"/>
              <w:jc w:val="center"/>
              <w:rPr>
                <w:rFonts w:ascii="Times New Roman" w:hAnsi="Times New Roman"/>
                <w:sz w:val="20"/>
              </w:rPr>
            </w:pPr>
            <w:r>
              <w:rPr>
                <w:rFonts w:ascii="Times New Roman" w:hAnsi="Times New Roman"/>
                <w:sz w:val="20"/>
              </w:rPr>
              <w:t>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center"/>
              <w:rPr/>
            </w:pPr>
            <w:r>
              <w:rPr/>
              <w:t>N/A</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384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785" w:type="dxa"/>
            <w:gridSpan w:val="7"/>
            <w:tcBorders/>
            <w:vAlign w:val="center"/>
          </w:tcPr>
          <w:p>
            <w:pPr>
              <w:pStyle w:val="TableContents"/>
              <w:bidi w:val="0"/>
              <w:spacing w:before="0" w:after="283"/>
              <w:jc w:val="right"/>
              <w:rPr/>
            </w:pPr>
            <w:r>
              <w:rPr/>
              <w:t>Total Offering Amounts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384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785" w:type="dxa"/>
            <w:gridSpan w:val="7"/>
            <w:tcBorders/>
            <w:vAlign w:val="center"/>
          </w:tcPr>
          <w:p>
            <w:pPr>
              <w:pStyle w:val="TableContents"/>
              <w:bidi w:val="0"/>
              <w:spacing w:before="0" w:after="283"/>
              <w:jc w:val="right"/>
              <w:rPr/>
            </w:pPr>
            <w:r>
              <w:rPr/>
              <w:t>Total Fees Previously Paid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384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785" w:type="dxa"/>
            <w:gridSpan w:val="7"/>
            <w:tcBorders/>
            <w:vAlign w:val="center"/>
          </w:tcPr>
          <w:p>
            <w:pPr>
              <w:pStyle w:val="TableContents"/>
              <w:bidi w:val="0"/>
              <w:spacing w:before="0" w:after="283"/>
              <w:jc w:val="right"/>
              <w:rPr/>
            </w:pPr>
            <w:r>
              <w:rPr/>
              <w:t>Total Fee Offsets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N/A</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3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384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9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785" w:type="dxa"/>
            <w:gridSpan w:val="7"/>
            <w:tcBorders>
              <w:bottom w:val="single" w:sz="6" w:space="0" w:color="000000"/>
            </w:tcBorders>
            <w:tcMar>
              <w:bottom w:w="28" w:type="dxa"/>
            </w:tcMar>
            <w:vAlign w:val="center"/>
          </w:tcPr>
          <w:p>
            <w:pPr>
              <w:pStyle w:val="TableContents"/>
              <w:bidi w:val="0"/>
              <w:spacing w:before="0" w:after="283"/>
              <w:jc w:val="right"/>
              <w:rPr/>
            </w:pPr>
            <w:r>
              <w:rPr/>
              <w:t>Net Fee Due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t>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3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under the Securities Act of 1933, as amended, Comcast Corporation (“Comcast”) is deferring payment of all of the registration fee. Registration fees will be paid subsequently on a “pay as you go” basis. Comcast will calculate the registration fee applicable to an offer of securities pursuant to this Registration Statement based on the fee payment rate in effect on the date of such fee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separate consideration will be received for the guarantees of securities being registered. In accordance with Rule 457(n), no registration fee is payable with respect to such guarantees.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66691/000116669125000011/cmcsa-20241231.htm" TargetMode="External"/><Relationship Id="rId4" Type="http://schemas.openxmlformats.org/officeDocument/2006/relationships/hyperlink" Target="http://www.sec.gov/Archives/edgar/data/../../../ix?doc=/Archives/edgar/data/1166691/000130817924000600/cmcsa4226581-def14a.htm" TargetMode="External"/><Relationship Id="rId5" Type="http://schemas.openxmlformats.org/officeDocument/2006/relationships/hyperlink" Target="http://www.sec.gov/Archives/edgar/data/../../../ix?doc=/Archives/edgar/data/1166691/000116669124000011/cmcsa-20231231.htm" TargetMode="External"/><Relationship Id="rId6" Type="http://schemas.openxmlformats.org/officeDocument/2006/relationships/hyperlink" Target="http://www.sec.gov/Archives/edgar/data/1166691/000095010315009516/dp61838_8k.htm" TargetMode="External"/><Relationship Id="rId7" Type="http://schemas.openxmlformats.org/officeDocument/2006/relationships/hyperlink" Target="http://www.sec.gov/Archives/edgar/data/1166691/000095015903000238/exhibit4-1.txt" TargetMode="External"/><Relationship Id="rId8" Type="http://schemas.openxmlformats.org/officeDocument/2006/relationships/hyperlink" Target="http://www.sec.gov/Archives/edgar/data/355069/000119312513370526/d554661dex43.htm" TargetMode="External"/><Relationship Id="rId9" Type="http://schemas.openxmlformats.org/officeDocument/2006/relationships/hyperlink" Target="http://www.sec.gov/Archives/edgar/data/902739/000119312515384253/d60854dex44.htm" TargetMode="External"/><Relationship Id="rId10" Type="http://schemas.openxmlformats.org/officeDocument/2006/relationships/hyperlink" Target="http://www.sec.gov/Archives/edgar/data/902739/000119312522205728/d278911dex44.htm" TargetMode="External"/><Relationship Id="rId11" Type="http://schemas.openxmlformats.org/officeDocument/2006/relationships/hyperlink" Target="http://www.sec.gov/Archives/edgar/data/1166691/000116669125000011/ex22-12312024.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38453</Words>
  <Characters>199107</Characters>
  <CharactersWithSpaces>237948</CharactersWithSpaces>
  <Paragraphs>3001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