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7"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jc w:val="right"/>
        <w:spacing w:after="0" w:line="234" w:lineRule="auto"/>
        <w:rPr>
          <w:sz w:val="20"/>
          <w:szCs w:val="20"/>
          <w:color w:val="auto"/>
        </w:rPr>
      </w:pPr>
      <w:r>
        <w:rPr>
          <w:rFonts w:ascii="Arial" w:cs="Arial" w:eastAsia="Arial" w:hAnsi="Arial"/>
          <w:sz w:val="18"/>
          <w:szCs w:val="18"/>
          <w:color w:val="auto"/>
        </w:rPr>
        <w:t>and deemed filed pursuant to Rule 14a-12</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3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7"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on Form S-4 filed by Comcast Corporation: 333-194698</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The following communication was made available by a blog post on Comcast’s website:</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COMCAST TO PRESENT CONSUMER AND PUBLIC INTEREST BENEFITS OF TIME WARNER CABLE MERGER TO CONGRESS</w:t>
      </w: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By David L. Cohen, Executive Vice President and Chief Diversity Officer</w:t>
      </w:r>
    </w:p>
    <w:p>
      <w:pPr>
        <w:spacing w:after="0" w:line="216" w:lineRule="exact"/>
        <w:rPr>
          <w:sz w:val="24"/>
          <w:szCs w:val="24"/>
          <w:color w:val="auto"/>
        </w:rPr>
      </w:pPr>
    </w:p>
    <w:p>
      <w:pPr>
        <w:ind w:right="40"/>
        <w:spacing w:after="0" w:line="239" w:lineRule="auto"/>
        <w:rPr>
          <w:sz w:val="20"/>
          <w:szCs w:val="20"/>
          <w:color w:val="auto"/>
        </w:rPr>
      </w:pPr>
      <w:r>
        <w:rPr>
          <w:rFonts w:ascii="Arial" w:cs="Arial" w:eastAsia="Arial" w:hAnsi="Arial"/>
          <w:sz w:val="18"/>
          <w:szCs w:val="18"/>
          <w:color w:val="auto"/>
        </w:rPr>
        <w:t>Today, I will testify before the Regulatory Reform, Commercial and Antitrust Law Subcommittee of the U.S House of Representatives Judiciary Committee in my second appearance before Congress – the first was last month before the U.S. Senate Judiciary Committee – as we continue to make the strong public interest case for our transaction with Time Warner Cable. I plan to outline for the Subcommittee the substantial consumer and public interest benefits of the proposed transaction to combine Time Warner Cable with Comcast.</w:t>
      </w:r>
    </w:p>
    <w:p>
      <w:pPr>
        <w:spacing w:after="0" w:line="188" w:lineRule="exact"/>
        <w:rPr>
          <w:sz w:val="24"/>
          <w:szCs w:val="24"/>
          <w:color w:val="auto"/>
        </w:rPr>
      </w:pPr>
    </w:p>
    <w:p>
      <w:pPr>
        <w:ind w:right="40"/>
        <w:spacing w:after="0" w:line="239" w:lineRule="auto"/>
        <w:rPr>
          <w:sz w:val="20"/>
          <w:szCs w:val="20"/>
          <w:color w:val="auto"/>
        </w:rPr>
      </w:pPr>
      <w:r>
        <w:rPr>
          <w:rFonts w:ascii="Arial" w:cs="Arial" w:eastAsia="Arial" w:hAnsi="Arial"/>
          <w:sz w:val="18"/>
          <w:szCs w:val="18"/>
          <w:color w:val="auto"/>
        </w:rPr>
        <w:t>At the hearing, I’ll be joined by Time Warner Cable Chairman and CEO Robert D. Marcus, ACA President and CEO Matthew M. Polka, Columbia Law School Professor C. Scott Hemphill, Geyer Gorey LLP antitrust lawyer Allen Grunes, Rural Media Group Founder and Chairman Patrick Gottsch, Cogent Communications Founder and CEO Dave Schaeffer, and DeepField Networks, Inc. Co-Founder, CEO and President Dr. Craig Labovitz. You can watch the hearing live on the U.S. House Judiciary Committee’s website and c-span.org.</w:t>
      </w:r>
    </w:p>
    <w:p>
      <w:pPr>
        <w:spacing w:after="0" w:line="188" w:lineRule="exact"/>
        <w:rPr>
          <w:sz w:val="24"/>
          <w:szCs w:val="24"/>
          <w:color w:val="auto"/>
        </w:rPr>
      </w:pPr>
    </w:p>
    <w:p>
      <w:pPr>
        <w:ind w:right="100"/>
        <w:spacing w:after="0" w:line="239" w:lineRule="auto"/>
        <w:rPr>
          <w:sz w:val="20"/>
          <w:szCs w:val="20"/>
          <w:color w:val="auto"/>
        </w:rPr>
      </w:pPr>
      <w:r>
        <w:rPr>
          <w:rFonts w:ascii="Arial" w:cs="Arial" w:eastAsia="Arial" w:hAnsi="Arial"/>
          <w:sz w:val="18"/>
          <w:szCs w:val="18"/>
          <w:color w:val="auto"/>
        </w:rPr>
        <w:t>In a nutshell, this transaction will give us the scale to invest more in innovation and infrastructure, so we can compete more effectively with our mostly larger national and global competitors, including the Bells, DirecTV, DISH, Apple, and Google, to name a few. And when we invest, so do our competitors. AT&amp;T, for instance, has said this transaction “puts a heightened sense of urgency” on competitors to invest more in their networks and improve service. The ultimate beneficiary of this enhanced competition and greater investment is the American consumer.</w:t>
      </w:r>
    </w:p>
    <w:p>
      <w:pPr>
        <w:spacing w:after="0" w:line="188" w:lineRule="exact"/>
        <w:rPr>
          <w:sz w:val="24"/>
          <w:szCs w:val="24"/>
          <w:color w:val="auto"/>
        </w:rPr>
      </w:pPr>
    </w:p>
    <w:p>
      <w:pPr>
        <w:ind w:right="280"/>
        <w:spacing w:after="0" w:line="246" w:lineRule="auto"/>
        <w:rPr>
          <w:sz w:val="20"/>
          <w:szCs w:val="20"/>
          <w:color w:val="auto"/>
        </w:rPr>
      </w:pPr>
      <w:r>
        <w:rPr>
          <w:rFonts w:ascii="Arial" w:cs="Arial" w:eastAsia="Arial" w:hAnsi="Arial"/>
          <w:sz w:val="18"/>
          <w:szCs w:val="18"/>
          <w:color w:val="auto"/>
        </w:rPr>
        <w:t>Specifically, Comcast will bring Time Warner Cable residential customers faster Internet speeds – more programming choices – more robust Wi-Fi – and our best-in-class X1 entertainment operating system.</w:t>
      </w:r>
    </w:p>
    <w:p>
      <w:pPr>
        <w:spacing w:after="0" w:line="224" w:lineRule="exact"/>
        <w:rPr>
          <w:sz w:val="24"/>
          <w:szCs w:val="24"/>
          <w:color w:val="auto"/>
        </w:rPr>
      </w:pPr>
    </w:p>
    <w:p>
      <w:pPr>
        <w:ind w:right="40"/>
        <w:spacing w:after="0" w:line="239" w:lineRule="auto"/>
        <w:rPr>
          <w:sz w:val="20"/>
          <w:szCs w:val="20"/>
          <w:color w:val="auto"/>
        </w:rPr>
      </w:pPr>
      <w:r>
        <w:rPr>
          <w:rFonts w:ascii="Arial" w:cs="Arial" w:eastAsia="Arial" w:hAnsi="Arial"/>
          <w:sz w:val="18"/>
          <w:szCs w:val="18"/>
          <w:color w:val="auto"/>
        </w:rPr>
        <w:t>Just by way of example, today, we announced the launch of X1 DVR with cloud technology and live in-home streaming TV to new Xfinity TV customers in southern Delaware, Maryland, Virginia, and Washington, D.C. This further amplifies our technology leadership and innovative products and services that we will bring to millions of Americans through the transaction with Time Warner Cable. Business customers will also benefit from a stronger new entrant offering more choice and better prices.</w:t>
      </w:r>
    </w:p>
    <w:p>
      <w:pPr>
        <w:spacing w:after="0" w:line="188" w:lineRule="exact"/>
        <w:rPr>
          <w:sz w:val="24"/>
          <w:szCs w:val="24"/>
          <w:color w:val="auto"/>
        </w:rPr>
      </w:pPr>
    </w:p>
    <w:p>
      <w:pPr>
        <w:ind w:right="300"/>
        <w:spacing w:after="0" w:line="239" w:lineRule="auto"/>
        <w:rPr>
          <w:sz w:val="20"/>
          <w:szCs w:val="20"/>
          <w:color w:val="auto"/>
        </w:rPr>
      </w:pPr>
      <w:r>
        <w:rPr>
          <w:rFonts w:ascii="Arial" w:cs="Arial" w:eastAsia="Arial" w:hAnsi="Arial"/>
          <w:sz w:val="18"/>
          <w:szCs w:val="18"/>
          <w:color w:val="auto"/>
        </w:rPr>
        <w:t>The broader American public will also benefit from this transaction. We will expand our acclaimed Internet Essentials program, which has already connected over 1.2 million low-income Americans to the Internet, more than any other program of its kind. And we will extend many other public interest benefits from the NBCUniversal transaction to the Time Warner Cable footprint – including our commitments to diversity and to an Open Internet.</w:t>
      </w:r>
    </w:p>
    <w:p>
      <w:pPr>
        <w:spacing w:after="0" w:line="188" w:lineRule="exact"/>
        <w:rPr>
          <w:sz w:val="24"/>
          <w:szCs w:val="24"/>
          <w:color w:val="auto"/>
        </w:rPr>
      </w:pPr>
    </w:p>
    <w:p>
      <w:pPr>
        <w:ind w:left="40" w:right="60" w:hanging="39"/>
        <w:spacing w:after="0" w:line="246" w:lineRule="auto"/>
        <w:rPr>
          <w:sz w:val="20"/>
          <w:szCs w:val="20"/>
          <w:color w:val="auto"/>
        </w:rPr>
      </w:pPr>
      <w:r>
        <w:rPr>
          <w:rFonts w:ascii="Arial" w:cs="Arial" w:eastAsia="Arial" w:hAnsi="Arial"/>
          <w:sz w:val="18"/>
          <w:szCs w:val="18"/>
          <w:color w:val="auto"/>
        </w:rPr>
        <w:t>Understandably, even with these substantial benefits, we expect some of the witnesses to raise questions about two big companies combining. And while the questions are legitimate, most of them are not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372110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specifically tied to this transaction — they really raise questions that need to be considered as part of an industry-wide proceeding. Putting any emotion aside, this transaction must be viewed by reference to the facts, sound economic theory, and the law. And on that basis, we believe that any anti-competitive risks are soundly outweighed by the pro-consumer benefits.</w:t>
      </w:r>
    </w:p>
    <w:p>
      <w:pPr>
        <w:spacing w:after="0" w:line="230"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Let me lay out the facts. Our two companies don’t compete for customers anywhere. Every consumer in America will have the same choices among broadband and video providers after this transaction as before. Nor will Comcast gain undue power over programmers. Last week, we took an important step in our merger with Time Warner Cable and announced a transaction with Charter to divest almost 4 million customers, thereby reducing the number of our managed residential subscribers to approximately 29 million, below a 30% share of MPVD subscribers.</w:t>
      </w:r>
    </w:p>
    <w:p>
      <w:pPr>
        <w:spacing w:after="0" w:line="229"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Some history here. The FCC has twice concluded that a 30 percent “ownership cap” was justified to prevent a single cable operator from wielding undue control over programmers. But the federal courts twice rejected that rationale, saying that no cable operator could exercise market power at 30 percent. Nevertheless, we will remain below that level, which is essentially the same share we had after our AT&amp;T Broadband and Adelphia transactions.</w:t>
      </w:r>
    </w:p>
    <w:p>
      <w:pPr>
        <w:spacing w:after="0" w:line="22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Comcast is a company that keeps its promises and plays fair. In fact, we don’t just keep our promises – we over-deliver. Since our NBCUniversal transaction, we have successfully negotiated dozens of agreements with MVPDs for carriage of NBCUniversal content – without any withholding of programming from consumers – and no arbitrations have been needed under the MVPD provisions of the NBCUniversal Order. And we have met all of the 150 conditions and commitments contained in the NBCUniversal order, with only one issue investigated by the FCC over the last three years (with that review resolved through a consent decree which we are now complying with).</w:t>
      </w:r>
    </w:p>
    <w:p>
      <w:pPr>
        <w:spacing w:after="0" w:line="18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also play fair in the exchange of Internet traffic, or what’s sometimes called “interconnection.” This market is distinct from the ISP market – and the two markets should not be analytically conflated, as some will try to do. For 20 years, we have successfully negotiated very common business arrangements with thousands of companies that connect to our network, including direct interconnection agreements with content providers such as Netflix. Other ISPs do the exact same thing. The interconnection market is fiercely competitive, with dozens of substantial players, evidenced by the fact that prices have plummeted by 99% over the last 15 years. Nothing in this transaction will affect the competitiveness of that market.</w:t>
      </w:r>
    </w:p>
    <w:p>
      <w:pPr>
        <w:spacing w:after="0" w:line="192"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This transaction will allow us to bring more investment and technology and new services to more American homes and businesses. In doing so, we will incentivize our competitors to invest more, which will benefit more consumers.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We expect a full examination of our transaction, and we hope for a timely conclusion that will allow us to deliver the benefits we have promised. I look forward to presenting the numerous pro-consumer, pro-competitive benefits of our transaction and addressing questions from the Subcommittee members.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61"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Charter Communications, Inc. (“Charter”), Charter will file with the Securities and Exchange Commission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2" w:name="page3"/>
    <w:bookmarkEnd w:id="2"/>
    <w:p>
      <w:pPr>
        <w:ind w:right="60"/>
        <w:spacing w:after="0" w:line="238" w:lineRule="auto"/>
        <w:rPr>
          <w:sz w:val="20"/>
          <w:szCs w:val="20"/>
          <w:color w:val="auto"/>
        </w:rPr>
      </w:pPr>
      <w:r>
        <w:rPr>
          <w:rFonts w:ascii="Arial" w:cs="Arial" w:eastAsia="Arial" w:hAnsi="Arial"/>
          <w:sz w:val="18"/>
          <w:szCs w:val="18"/>
          <w:color w:val="auto"/>
        </w:rPr>
        <w:t>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3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addition, in connection with the proposed transaction between Comcast and Time Warner Cable Inc. (“Time Warner Cable”), on March 20, 2014, Comcast filed with the SEC a registration statement on Form S-4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3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230"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and its proxy statement for its 2014 annual meeting of stockholders, which was filed with the SEC on April 29, 2014. Information about the directors and executive officers of Comcast is set forth in its Annual Report on Form 10-K for the year ended December 31, 2013, which was filed with the SEC on February 12, 2014, and its proxy statement for its 2014 annual meeting of stockholders, which was filed with the SEC on April 11, 2014. Information about the directors and executive officers of Charter is set forth in its Annual Report on Form 10-K for the year ended December 31, 2013, which was filed with the SEC on February 21, 2014, and its proxy statement for its 2014 annual meeting of stockholders, which was filed with the SEC on March 27,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of Comcast and Time Warner Cable filed with the SEC and will be contained in the definitive joint proxy statement/prospectus of Comcast and Time Warner Cable and other relevant materials to be filed with the SEC when they become available, and will also be contained in the preliminary proxy statement/prospectus of Charter when it becomes available.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61"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and the proposed transaction between Comcast and Charter, including any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372110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3" w:name="page4"/>
    <w:bookmarkEnd w:id="3"/>
    <w:p>
      <w:pPr>
        <w:spacing w:after="0" w:line="235" w:lineRule="auto"/>
        <w:rPr>
          <w:sz w:val="20"/>
          <w:szCs w:val="20"/>
          <w:color w:val="auto"/>
        </w:rPr>
      </w:pPr>
      <w:r>
        <w:rPr>
          <w:rFonts w:ascii="Arial" w:cs="Arial" w:eastAsia="Arial" w:hAnsi="Arial"/>
          <w:sz w:val="18"/>
          <w:szCs w:val="18"/>
          <w:color w:val="auto"/>
        </w:rPr>
        <w:t>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80"/>
      </w:cols>
      <w:pgMar w:left="240" w:top="49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2019-12-16T12:02:12Z</dcterms:created>
  <dcterms:modified xsi:type="dcterms:W3CDTF">2019-12-16T12:02:12Z</dcterms:modified>
</cp:coreProperties>
</file>