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0001063948</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Comcast Corporation</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001-32871</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One Comcast Center</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Philadelphia</w:t>
      </w:r>
    </w:p>
    <w:p>
      <w:pPr>
        <w:spacing w:after="0" w:line="230" w:lineRule="auto"/>
        <w:rPr>
          <w:sz w:val="20"/>
          <w:szCs w:val="20"/>
          <w:color w:val="auto"/>
        </w:rPr>
      </w:pPr>
      <w:r>
        <w:rPr>
          <w:rFonts w:ascii="Arial" w:cs="Arial" w:eastAsia="Arial" w:hAnsi="Arial"/>
          <w:sz w:val="22"/>
          <w:szCs w:val="22"/>
          <w:color w:val="auto"/>
        </w:rPr>
        <w:t>PENNSYLVANIA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19103</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215-286-1700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Brian L. Roberts</w:t>
      </w:r>
    </w:p>
    <w:p>
      <w:pPr>
        <w:spacing w:after="0" w:line="44" w:lineRule="exact"/>
        <w:rPr>
          <w:sz w:val="24"/>
          <w:szCs w:val="24"/>
          <w:color w:val="auto"/>
        </w:rPr>
      </w:pPr>
    </w:p>
    <w:p>
      <w:pPr>
        <w:sectPr>
          <w:pgSz w:w="11900" w:h="16838" w:orient="portrait"/>
          <w:cols w:equalWidth="0" w:num="2">
            <w:col w:w="7740" w:space="720"/>
            <w:col w:w="27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4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Chairman / CEO</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9"/>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322" w:lineRule="exact"/>
        <w:rPr>
          <w:sz w:val="24"/>
          <w:szCs w:val="24"/>
          <w:color w:val="auto"/>
        </w:rPr>
      </w:pPr>
    </w:p>
    <w:p>
      <w:pPr>
        <w:ind w:left="40"/>
        <w:spacing w:after="0"/>
        <w:rPr>
          <w:sz w:val="20"/>
          <w:szCs w:val="20"/>
          <w:color w:val="auto"/>
        </w:rPr>
      </w:pPr>
      <w:r>
        <w:rPr>
          <w:rFonts w:ascii="Arial" w:cs="Arial" w:eastAsia="Arial" w:hAnsi="Arial"/>
          <w:sz w:val="19"/>
          <w:szCs w:val="19"/>
          <w:color w:val="auto"/>
        </w:rPr>
        <w:t>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1" w:lineRule="exact"/>
        <w:rPr>
          <w:sz w:val="24"/>
          <w:szCs w:val="24"/>
          <w:color w:val="auto"/>
        </w:rPr>
      </w:pPr>
    </w:p>
    <w:p>
      <w:pPr>
        <w:jc w:val="center"/>
        <w:ind w:left="-19"/>
        <w:spacing w:after="0"/>
        <w:rPr>
          <w:sz w:val="20"/>
          <w:szCs w:val="20"/>
          <w:color w:val="auto"/>
        </w:rPr>
      </w:pPr>
      <w:r>
        <w:rPr>
          <w:rFonts w:ascii="Arial" w:cs="Arial" w:eastAsia="Arial" w:hAnsi="Arial"/>
          <w:sz w:val="22"/>
          <w:szCs w:val="22"/>
          <w:b w:val="1"/>
          <w:bCs w:val="1"/>
          <w:color w:val="auto"/>
        </w:rPr>
        <w:t>Name and Address of</w:t>
      </w:r>
    </w:p>
    <w:p>
      <w:pPr>
        <w:spacing w:after="0" w:line="14" w:lineRule="exact"/>
        <w:rPr>
          <w:sz w:val="24"/>
          <w:szCs w:val="24"/>
          <w:color w:val="auto"/>
        </w:rPr>
      </w:pPr>
    </w:p>
    <w:p>
      <w:pPr>
        <w:jc w:val="center"/>
        <w:ind w:left="-19"/>
        <w:spacing w:after="0"/>
        <w:rPr>
          <w:sz w:val="20"/>
          <w:szCs w:val="20"/>
          <w:color w:val="auto"/>
        </w:rPr>
      </w:pPr>
      <w:r>
        <w:rPr>
          <w:rFonts w:ascii="Arial" w:cs="Arial" w:eastAsia="Arial" w:hAnsi="Arial"/>
          <w:sz w:val="22"/>
          <w:szCs w:val="22"/>
          <w:b w:val="1"/>
          <w:bCs w:val="1"/>
          <w:color w:val="auto"/>
        </w:rPr>
        <w:t>the Broker</w:t>
      </w:r>
    </w:p>
    <w:p>
      <w:pPr>
        <w:spacing w:after="0" w:line="269" w:lineRule="exact"/>
        <w:rPr>
          <w:sz w:val="24"/>
          <w:szCs w:val="24"/>
          <w:color w:val="auto"/>
        </w:rPr>
      </w:pPr>
    </w:p>
    <w:p>
      <w:pPr>
        <w:spacing w:after="0" w:line="236" w:lineRule="auto"/>
        <w:rPr>
          <w:sz w:val="20"/>
          <w:szCs w:val="20"/>
          <w:color w:val="auto"/>
        </w:rPr>
      </w:pPr>
      <w:r>
        <w:rPr>
          <w:rFonts w:ascii="Arial" w:cs="Arial" w:eastAsia="Arial" w:hAnsi="Arial"/>
          <w:sz w:val="22"/>
          <w:szCs w:val="22"/>
          <w:color w:val="auto"/>
        </w:rPr>
        <w:t>JP Morgan Securities LLC 390 Madison Avenue 6th Floor</w:t>
      </w:r>
    </w:p>
    <w:p>
      <w:pPr>
        <w:spacing w:after="0" w:line="1" w:lineRule="exact"/>
        <w:rPr>
          <w:sz w:val="24"/>
          <w:szCs w:val="24"/>
          <w:color w:val="auto"/>
        </w:rPr>
      </w:pPr>
    </w:p>
    <w:p>
      <w:pPr>
        <w:jc w:val="center"/>
        <w:ind w:right="260"/>
        <w:spacing w:after="0"/>
        <w:rPr>
          <w:sz w:val="20"/>
          <w:szCs w:val="20"/>
          <w:color w:val="auto"/>
        </w:rPr>
      </w:pPr>
      <w:r>
        <w:rPr>
          <w:rFonts w:ascii="Arial" w:cs="Arial" w:eastAsia="Arial" w:hAnsi="Arial"/>
          <w:sz w:val="21"/>
          <w:szCs w:val="21"/>
          <w:color w:val="auto"/>
        </w:rPr>
        <w:t>New York  NY  10017</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11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432"/>
              <w:spacing w:after="0"/>
              <w:rPr>
                <w:sz w:val="20"/>
                <w:szCs w:val="20"/>
                <w:color w:val="auto"/>
              </w:rPr>
            </w:pPr>
            <w:r>
              <w:rPr>
                <w:rFonts w:ascii="Arial" w:cs="Arial" w:eastAsia="Arial" w:hAnsi="Arial"/>
                <w:sz w:val="22"/>
                <w:szCs w:val="22"/>
                <w:color w:val="auto"/>
                <w:w w:val="84"/>
              </w:rPr>
              <w:t>616143</w:t>
            </w:r>
          </w:p>
        </w:tc>
        <w:tc>
          <w:tcPr>
            <w:tcW w:w="1140" w:type="dxa"/>
            <w:vAlign w:val="bottom"/>
          </w:tcPr>
          <w:p>
            <w:pPr>
              <w:jc w:val="right"/>
              <w:ind w:right="132"/>
              <w:spacing w:after="0"/>
              <w:rPr>
                <w:sz w:val="20"/>
                <w:szCs w:val="20"/>
                <w:color w:val="auto"/>
              </w:rPr>
            </w:pPr>
            <w:r>
              <w:rPr>
                <w:rFonts w:ascii="Arial" w:cs="Arial" w:eastAsia="Arial" w:hAnsi="Arial"/>
                <w:sz w:val="22"/>
                <w:szCs w:val="22"/>
                <w:color w:val="auto"/>
                <w:w w:val="89"/>
              </w:rPr>
              <w:t>26062850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Arial" w:cs="Arial" w:eastAsia="Arial" w:hAnsi="Arial"/>
                <w:sz w:val="22"/>
                <w:szCs w:val="22"/>
                <w:color w:val="auto"/>
                <w:w w:val="86"/>
              </w:rPr>
              <w:t>4015635374</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11/14/2023   NASDAQ</w:t>
            </w:r>
          </w:p>
        </w:tc>
        <w:tc>
          <w:tcPr>
            <w:tcW w:w="0" w:type="dxa"/>
            <w:vAlign w:val="bottom"/>
          </w:tcPr>
          <w:p>
            <w:pPr>
              <w:spacing w:after="0"/>
              <w:rPr>
                <w:sz w:val="1"/>
                <w:szCs w:val="1"/>
                <w:color w:val="auto"/>
              </w:rPr>
            </w:pPr>
          </w:p>
        </w:tc>
      </w:tr>
    </w:tbl>
    <w:p>
      <w:pPr>
        <w:spacing w:after="0" w:line="549" w:lineRule="exact"/>
        <w:rPr>
          <w:sz w:val="24"/>
          <w:szCs w:val="24"/>
          <w:color w:val="auto"/>
        </w:rPr>
      </w:pPr>
    </w:p>
    <w:p>
      <w:pPr>
        <w:sectPr>
          <w:pgSz w:w="11900" w:h="16838" w:orient="portrait"/>
          <w:cols w:equalWidth="0" w:num="4">
            <w:col w:w="2220" w:space="280"/>
            <w:col w:w="2320" w:space="60"/>
            <w:col w:w="2320" w:space="220"/>
            <w:col w:w="3820"/>
          </w:cols>
          <w:pgMar w:left="320" w:top="267" w:right="339" w:bottom="0" w:gutter="0" w:footer="0" w:header="0"/>
          <w:type w:val="continuous"/>
        </w:sectPr>
      </w:pPr>
    </w:p>
    <w:p>
      <w:pPr>
        <w:spacing w:after="0" w:line="310"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0"/>
                <w:szCs w:val="20"/>
                <w:color w:val="auto"/>
              </w:rPr>
            </w:pPr>
            <w:r>
              <w:rPr>
                <w:rFonts w:ascii="Arial" w:cs="Arial" w:eastAsia="Arial" w:hAnsi="Arial"/>
                <w:sz w:val="22"/>
                <w:szCs w:val="22"/>
                <w:color w:val="auto"/>
              </w:rPr>
              <w:t>Class A</w:t>
            </w:r>
          </w:p>
        </w:tc>
        <w:tc>
          <w:tcPr>
            <w:tcW w:w="2120" w:type="dxa"/>
            <w:vAlign w:val="bottom"/>
            <w:vMerge w:val="restart"/>
          </w:tcPr>
          <w:p>
            <w:pPr>
              <w:ind w:left="60"/>
              <w:spacing w:after="0"/>
              <w:rPr>
                <w:sz w:val="20"/>
                <w:szCs w:val="20"/>
                <w:color w:val="auto"/>
              </w:rPr>
            </w:pPr>
            <w:r>
              <w:rPr>
                <w:rFonts w:ascii="Arial" w:cs="Arial" w:eastAsia="Arial" w:hAnsi="Arial"/>
                <w:sz w:val="22"/>
                <w:szCs w:val="22"/>
                <w:color w:val="auto"/>
              </w:rPr>
              <w:t>06/10/1998 Gift</w:t>
            </w:r>
          </w:p>
        </w:tc>
        <w:tc>
          <w:tcPr>
            <w:tcW w:w="2520" w:type="dxa"/>
            <w:vAlign w:val="bottom"/>
          </w:tcPr>
          <w:p>
            <w:pPr>
              <w:ind w:left="680"/>
              <w:spacing w:after="0"/>
              <w:rPr>
                <w:sz w:val="20"/>
                <w:szCs w:val="20"/>
                <w:color w:val="auto"/>
              </w:rPr>
            </w:pPr>
            <w:r>
              <w:rPr>
                <w:rFonts w:ascii="Arial" w:cs="Arial" w:eastAsia="Arial" w:hAnsi="Arial"/>
                <w:sz w:val="22"/>
                <w:szCs w:val="22"/>
                <w:color w:val="auto"/>
              </w:rPr>
              <w:t>Brian L.</w:t>
            </w:r>
          </w:p>
        </w:tc>
        <w:tc>
          <w:tcPr>
            <w:tcW w:w="2100" w:type="dxa"/>
            <w:vAlign w:val="bottom"/>
            <w:vMerge w:val="restart"/>
          </w:tcPr>
          <w:p>
            <w:pPr>
              <w:jc w:val="right"/>
              <w:ind w:right="232"/>
              <w:spacing w:after="0"/>
              <w:rPr>
                <w:sz w:val="20"/>
                <w:szCs w:val="20"/>
                <w:color w:val="auto"/>
              </w:rPr>
            </w:pPr>
            <w:r>
              <w:rPr>
                <w:rFonts w:ascii="Arial" w:cs="Arial" w:eastAsia="Arial" w:hAnsi="Arial"/>
                <w:sz w:val="22"/>
                <w:szCs w:val="22"/>
                <w:color w:val="auto"/>
              </w:rPr>
              <w:t>616143</w:t>
            </w:r>
          </w:p>
        </w:tc>
        <w:tc>
          <w:tcPr>
            <w:tcW w:w="1740" w:type="dxa"/>
            <w:vAlign w:val="bottom"/>
            <w:vMerge w:val="restart"/>
          </w:tcPr>
          <w:p>
            <w:pPr>
              <w:ind w:left="320"/>
              <w:spacing w:after="0"/>
              <w:rPr>
                <w:sz w:val="20"/>
                <w:szCs w:val="20"/>
                <w:color w:val="auto"/>
              </w:rPr>
            </w:pPr>
            <w:r>
              <w:rPr>
                <w:rFonts w:ascii="Arial" w:cs="Arial" w:eastAsia="Arial" w:hAnsi="Arial"/>
                <w:sz w:val="22"/>
                <w:szCs w:val="22"/>
                <w:color w:val="auto"/>
                <w:w w:val="91"/>
              </w:rPr>
              <w:t>06/10/1998 N/A</w:t>
            </w:r>
          </w:p>
        </w:tc>
        <w:tc>
          <w:tcPr>
            <w:tcW w:w="0" w:type="dxa"/>
            <w:vAlign w:val="bottom"/>
          </w:tcPr>
          <w:p>
            <w:pPr>
              <w:spacing w:after="0"/>
              <w:rPr>
                <w:sz w:val="1"/>
                <w:szCs w:val="1"/>
                <w:color w:val="auto"/>
              </w:rPr>
            </w:pPr>
          </w:p>
        </w:tc>
      </w:tr>
      <w:tr>
        <w:trPr>
          <w:trHeight w:val="274"/>
        </w:trPr>
        <w:tc>
          <w:tcPr>
            <w:tcW w:w="1420" w:type="dxa"/>
            <w:vAlign w:val="bottom"/>
          </w:tcPr>
          <w:p>
            <w:pPr>
              <w:spacing w:after="0"/>
              <w:rPr>
                <w:sz w:val="20"/>
                <w:szCs w:val="20"/>
                <w:color w:val="auto"/>
              </w:rPr>
            </w:pPr>
            <w:r>
              <w:rPr>
                <w:rFonts w:ascii="Arial" w:cs="Arial" w:eastAsia="Arial" w:hAnsi="Arial"/>
                <w:sz w:val="22"/>
                <w:szCs w:val="22"/>
                <w:color w:val="auto"/>
                <w:w w:val="93"/>
              </w:rPr>
              <w:t>Common Stock</w:t>
            </w:r>
          </w:p>
        </w:tc>
        <w:tc>
          <w:tcPr>
            <w:tcW w:w="2120" w:type="dxa"/>
            <w:vAlign w:val="bottom"/>
            <w:vMerge w:val="continue"/>
          </w:tcPr>
          <w:p>
            <w:pPr>
              <w:spacing w:after="0"/>
              <w:rPr>
                <w:sz w:val="23"/>
                <w:szCs w:val="23"/>
                <w:color w:val="auto"/>
              </w:rPr>
            </w:pPr>
          </w:p>
        </w:tc>
        <w:tc>
          <w:tcPr>
            <w:tcW w:w="2520" w:type="dxa"/>
            <w:vAlign w:val="bottom"/>
          </w:tcPr>
          <w:p>
            <w:pPr>
              <w:ind w:left="680"/>
              <w:spacing w:after="0"/>
              <w:rPr>
                <w:sz w:val="20"/>
                <w:szCs w:val="20"/>
                <w:color w:val="auto"/>
              </w:rPr>
            </w:pPr>
            <w:r>
              <w:rPr>
                <w:rFonts w:ascii="Arial" w:cs="Arial" w:eastAsia="Arial" w:hAnsi="Arial"/>
                <w:sz w:val="22"/>
                <w:szCs w:val="22"/>
                <w:color w:val="auto"/>
              </w:rPr>
              <w:t>Roberts</w:t>
            </w:r>
          </w:p>
        </w:tc>
        <w:tc>
          <w:tcPr>
            <w:tcW w:w="2100" w:type="dxa"/>
            <w:vAlign w:val="bottom"/>
            <w:vMerge w:val="continue"/>
          </w:tcPr>
          <w:p>
            <w:pPr>
              <w:spacing w:after="0"/>
              <w:rPr>
                <w:sz w:val="23"/>
                <w:szCs w:val="23"/>
                <w:color w:val="auto"/>
              </w:rPr>
            </w:pPr>
          </w:p>
        </w:tc>
        <w:tc>
          <w:tcPr>
            <w:tcW w:w="17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19"/>
          <w:szCs w:val="19"/>
          <w:color w:val="auto"/>
        </w:rPr>
        <w:t>Remarks</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Arial" w:cs="Arial" w:eastAsia="Arial" w:hAnsi="Arial"/>
          <w:sz w:val="19"/>
          <w:szCs w:val="19"/>
          <w:color w:val="auto"/>
        </w:rPr>
        <w:t>The shares filed today will be sold by the Panorama 1998 Trust.</w:t>
      </w:r>
    </w:p>
    <w:p>
      <w:pPr>
        <w:spacing w:after="0" w:line="79" w:lineRule="exact"/>
        <w:rPr>
          <w:sz w:val="20"/>
          <w:szCs w:val="20"/>
          <w:color w:val="auto"/>
        </w:rPr>
      </w:pPr>
    </w:p>
    <w:p>
      <w:pPr>
        <w:sectPr>
          <w:pgSz w:w="11900" w:h="16838" w:orient="portrait"/>
          <w:cols w:equalWidth="0" w:num="2">
            <w:col w:w="1100" w:space="720"/>
            <w:col w:w="9420"/>
          </w:cols>
          <w:pgMar w:left="320" w:top="111" w:right="3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11/14/2023</w:t>
      </w:r>
    </w:p>
    <w:p>
      <w:pPr>
        <w:spacing w:after="0" w:line="79" w:lineRule="exact"/>
        <w:rPr>
          <w:sz w:val="20"/>
          <w:szCs w:val="20"/>
          <w:color w:val="auto"/>
        </w:rPr>
      </w:pPr>
    </w:p>
    <w:p>
      <w:pPr>
        <w:sectPr>
          <w:pgSz w:w="11900" w:h="16838" w:orient="portrait"/>
          <w:cols w:equalWidth="0" w:num="2">
            <w:col w:w="1320" w:space="500"/>
            <w:col w:w="9420"/>
          </w:cols>
          <w:pgMar w:left="320" w:top="111" w:right="339" w:bottom="1440" w:gutter="0" w:footer="0" w:header="0"/>
          <w:type w:val="continuous"/>
        </w:sectPr>
      </w:pPr>
    </w:p>
    <w:p>
      <w:pPr>
        <w:ind w:left="40"/>
        <w:spacing w:after="0"/>
        <w:rPr>
          <w:sz w:val="20"/>
          <w:szCs w:val="20"/>
          <w:color w:val="auto"/>
        </w:rPr>
      </w:pPr>
      <w:r>
        <w:rPr>
          <w:rFonts w:ascii="Arial" w:cs="Arial" w:eastAsia="Arial" w:hAnsi="Arial"/>
          <w:sz w:val="21"/>
          <w:szCs w:val="21"/>
          <w:b w:val="1"/>
          <w:bCs w:val="1"/>
          <w:i w:val="1"/>
          <w:iCs w:val="1"/>
          <w:color w:val="auto"/>
        </w:rPr>
        <w:t>ATTENTION:</w:t>
      </w:r>
    </w:p>
    <w:p>
      <w:pPr>
        <w:sectPr>
          <w:pgSz w:w="11900" w:h="16838" w:orient="portrait"/>
          <w:cols w:equalWidth="0" w:num="1">
            <w:col w:w="11240"/>
          </w:cols>
          <w:pgMar w:left="320" w:top="111" w:right="339" w:bottom="1440" w:gutter="0" w:footer="0" w:header="0"/>
          <w:type w:val="continuous"/>
        </w:sectPr>
      </w:pPr>
    </w:p>
    <w:p>
      <w:pPr>
        <w:spacing w:after="0" w:line="339"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18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J.P. Morgan Securities LLC as agent and attorney-in-fact for Brian L. Roberts</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2023-11-14T20:08:00Z</dcterms:created>
  <dcterms:modified xsi:type="dcterms:W3CDTF">2023-11-14T20:08:00Z</dcterms:modified>
</cp:coreProperties>
</file>