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3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223520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ValueVision Media,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92047K-10-7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Arthur R. Block, Esq.</w:t>
      </w:r>
    </w:p>
    <w:p>
      <w:pPr>
        <w:spacing w:after="0" w:line="27"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4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May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Rules 13d-1(e), 13d-1(f) or 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954" w:right="81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92047K-10-7</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13D</w:t>
            </w:r>
          </w:p>
        </w:tc>
        <w:tc>
          <w:tcPr>
            <w:tcW w:w="4420" w:type="dxa"/>
            <w:vAlign w:val="bottom"/>
            <w:tcBorders>
              <w:top w:val="single" w:sz="8" w:color="auto"/>
              <w:bottom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Page 2</w:t>
            </w:r>
          </w:p>
        </w:tc>
      </w:tr>
      <w:tr>
        <w:trPr>
          <w:trHeight w:val="270"/>
        </w:trPr>
        <w:tc>
          <w:tcPr>
            <w:tcW w:w="90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2"/>
          </w:tcPr>
          <w:p>
            <w:pPr>
              <w:spacing w:after="0"/>
              <w:rPr>
                <w:sz w:val="23"/>
                <w:szCs w:val="23"/>
                <w:color w:val="auto"/>
              </w:rPr>
            </w:pPr>
          </w:p>
        </w:tc>
        <w:tc>
          <w:tcPr>
            <w:tcW w:w="4420" w:type="dxa"/>
            <w:vAlign w:val="bottom"/>
            <w:tcBorders>
              <w:bottom w:val="single" w:sz="8" w:color="auto"/>
            </w:tcBorders>
          </w:tcPr>
          <w:p>
            <w:pPr>
              <w:spacing w:after="0"/>
              <w:rPr>
                <w:sz w:val="23"/>
                <w:szCs w:val="23"/>
                <w:color w:val="auto"/>
              </w:rPr>
            </w:pPr>
          </w:p>
        </w:tc>
      </w:tr>
      <w:tr>
        <w:trPr>
          <w:trHeight w:val="218"/>
        </w:trPr>
        <w:tc>
          <w:tcPr>
            <w:tcW w:w="900" w:type="dxa"/>
            <w:vAlign w:val="bottom"/>
            <w:tcBorders>
              <w:left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Comcast Corporation</w:t>
            </w:r>
          </w:p>
        </w:tc>
        <w:tc>
          <w:tcPr>
            <w:tcW w:w="4420" w:type="dxa"/>
            <w:vAlign w:val="bottom"/>
          </w:tcPr>
          <w:p>
            <w:pPr>
              <w:spacing w:after="0"/>
              <w:rPr>
                <w:sz w:val="18"/>
                <w:szCs w:val="18"/>
                <w:color w:val="auto"/>
              </w:rPr>
            </w:pPr>
          </w:p>
        </w:tc>
      </w:tr>
      <w:tr>
        <w:trPr>
          <w:trHeight w:val="204"/>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-16510</wp:posOffset>
            </wp:positionV>
            <wp:extent cx="17145" cy="1475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147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7145" cy="3790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379031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-307975</wp:posOffset>
            </wp:positionV>
            <wp:extent cx="17145" cy="4098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4098925"/>
                    </a:xfrm>
                    <a:prstGeom prst="rect">
                      <a:avLst/>
                    </a:prstGeom>
                    <a:noFill/>
                  </pic:spPr>
                </pic:pic>
              </a:graphicData>
            </a:graphic>
          </wp:anchor>
        </w:drawing>
      </w:r>
    </w:p>
    <w:p>
      <w:pPr>
        <w:ind w:left="920" w:hanging="498"/>
        <w:spacing w:after="0"/>
        <w:tabs>
          <w:tab w:leader="none" w:pos="9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MEMBER(a)  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 A GROUP:</w:t>
            </w:r>
          </w:p>
        </w:tc>
        <w:tc>
          <w:tcPr>
            <w:tcW w:w="2320" w:type="dxa"/>
            <w:vAlign w:val="bottom"/>
            <w:tcBorders>
              <w:bottom w:val="single" w:sz="8" w:color="auto"/>
            </w:tcBorders>
          </w:tcPr>
          <w:p>
            <w:pPr>
              <w:spacing w:after="0"/>
              <w:rPr>
                <w:sz w:val="19"/>
                <w:szCs w:val="19"/>
                <w:color w:val="auto"/>
              </w:rPr>
            </w:pPr>
          </w:p>
        </w:tc>
        <w:tc>
          <w:tcPr>
            <w:tcW w:w="7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  x</w:t>
            </w: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7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3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5</w:t>
            </w:r>
          </w:p>
        </w:tc>
        <w:tc>
          <w:tcPr>
            <w:tcW w:w="105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ind w:left="68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  Pennsylvania</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7,156,593 (see Item 5)</w:t>
            </w:r>
          </w:p>
        </w:tc>
        <w:tc>
          <w:tcPr>
            <w:tcW w:w="0" w:type="dxa"/>
            <w:vAlign w:val="bottom"/>
          </w:tcPr>
          <w:p>
            <w:pPr>
              <w:spacing w:after="0"/>
              <w:rPr>
                <w:sz w:val="1"/>
                <w:szCs w:val="1"/>
                <w:color w:val="auto"/>
              </w:rPr>
            </w:pPr>
          </w:p>
        </w:tc>
      </w:tr>
      <w:tr>
        <w:trPr>
          <w:trHeight w:val="108"/>
        </w:trPr>
        <w:tc>
          <w:tcPr>
            <w:tcW w:w="1420" w:type="dxa"/>
            <w:vAlign w:val="bottom"/>
            <w:tcBorders>
              <w:right w:val="single" w:sz="8" w:color="auto"/>
            </w:tcBorders>
            <w:gridSpan w:val="2"/>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7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20" w:type="dxa"/>
            <w:vAlign w:val="bottom"/>
            <w:tcBorders>
              <w:right w:val="single" w:sz="8" w:color="auto"/>
            </w:tcBorders>
            <w:gridSpan w:val="2"/>
            <w:vMerge w:val="continue"/>
          </w:tcPr>
          <w:p>
            <w:pPr>
              <w:spacing w:after="0"/>
              <w:rPr>
                <w:sz w:val="8"/>
                <w:szCs w:val="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70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0 (see Item 5)</w:t>
            </w:r>
          </w:p>
        </w:tc>
        <w:tc>
          <w:tcPr>
            <w:tcW w:w="0" w:type="dxa"/>
            <w:vAlign w:val="bottom"/>
          </w:tcPr>
          <w:p>
            <w:pPr>
              <w:spacing w:after="0"/>
              <w:rPr>
                <w:sz w:val="1"/>
                <w:szCs w:val="1"/>
                <w:color w:val="auto"/>
              </w:rPr>
            </w:pPr>
          </w:p>
        </w:tc>
      </w:tr>
      <w:tr>
        <w:trPr>
          <w:trHeight w:val="135"/>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Borders>
              <w:right w:val="single" w:sz="8" w:color="auto"/>
            </w:tcBorders>
            <w:vMerge w:val="continue"/>
          </w:tcPr>
          <w:p>
            <w:pPr>
              <w:spacing w:after="0"/>
              <w:rPr>
                <w:sz w:val="11"/>
                <w:szCs w:val="11"/>
                <w:color w:val="auto"/>
              </w:rPr>
            </w:pPr>
          </w:p>
        </w:tc>
        <w:tc>
          <w:tcPr>
            <w:tcW w:w="2320" w:type="dxa"/>
            <w:vAlign w:val="bottom"/>
            <w:vMerge w:val="continue"/>
          </w:tcPr>
          <w:p>
            <w:pPr>
              <w:spacing w:after="0"/>
              <w:rPr>
                <w:sz w:val="11"/>
                <w:szCs w:val="11"/>
                <w:color w:val="auto"/>
              </w:rPr>
            </w:pPr>
          </w:p>
        </w:tc>
        <w:tc>
          <w:tcPr>
            <w:tcW w:w="7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7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9</w:t>
            </w:r>
          </w:p>
        </w:tc>
        <w:tc>
          <w:tcPr>
            <w:tcW w:w="232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SOLE DISPOSITIVE</w:t>
            </w:r>
          </w:p>
        </w:tc>
        <w:tc>
          <w:tcPr>
            <w:tcW w:w="7020" w:type="dxa"/>
            <w:vAlign w:val="bottom"/>
            <w:vMerge w:val="restart"/>
          </w:tcPr>
          <w:p>
            <w:pPr>
              <w:ind w:left="400"/>
              <w:spacing w:after="0" w:line="198" w:lineRule="exact"/>
              <w:rPr>
                <w:sz w:val="20"/>
                <w:szCs w:val="20"/>
                <w:color w:val="auto"/>
              </w:rPr>
            </w:pPr>
            <w:r>
              <w:rPr>
                <w:rFonts w:ascii="Times New Roman" w:cs="Times New Roman" w:eastAsia="Times New Roman" w:hAnsi="Times New Roman"/>
                <w:sz w:val="18"/>
                <w:szCs w:val="18"/>
                <w:color w:val="auto"/>
              </w:rPr>
              <w:t>7,156,593 (see Item 5)</w:t>
            </w:r>
          </w:p>
        </w:tc>
        <w:tc>
          <w:tcPr>
            <w:tcW w:w="0" w:type="dxa"/>
            <w:vAlign w:val="bottom"/>
          </w:tcPr>
          <w:p>
            <w:pPr>
              <w:spacing w:after="0"/>
              <w:rPr>
                <w:sz w:val="1"/>
                <w:szCs w:val="1"/>
                <w:color w:val="auto"/>
              </w:rPr>
            </w:pPr>
          </w:p>
        </w:tc>
      </w:tr>
      <w:tr>
        <w:trPr>
          <w:trHeight w:val="122"/>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Borders>
              <w:right w:val="single" w:sz="8" w:color="auto"/>
            </w:tcBorders>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7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20" w:type="dxa"/>
            <w:vAlign w:val="bottom"/>
            <w:tcBorders>
              <w:right w:val="single" w:sz="8" w:color="auto"/>
            </w:tcBorders>
            <w:gridSpan w:val="2"/>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POWER:</w:t>
            </w: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66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tcBorders>
            <w:vMerge w:val="continue"/>
          </w:tcPr>
          <w:p>
            <w:pPr>
              <w:spacing w:after="0"/>
              <w:rPr>
                <w:sz w:val="12"/>
                <w:szCs w:val="12"/>
                <w:color w:val="auto"/>
              </w:rPr>
            </w:pPr>
          </w:p>
        </w:tc>
        <w:tc>
          <w:tcPr>
            <w:tcW w:w="7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232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SHARED DISPOSITIVE</w:t>
            </w:r>
          </w:p>
        </w:tc>
        <w:tc>
          <w:tcPr>
            <w:tcW w:w="7020" w:type="dxa"/>
            <w:vAlign w:val="bottom"/>
            <w:vMerge w:val="restart"/>
          </w:tcPr>
          <w:p>
            <w:pPr>
              <w:ind w:left="400"/>
              <w:spacing w:after="0" w:line="198" w:lineRule="exact"/>
              <w:rPr>
                <w:sz w:val="20"/>
                <w:szCs w:val="20"/>
                <w:color w:val="auto"/>
              </w:rPr>
            </w:pPr>
            <w:r>
              <w:rPr>
                <w:rFonts w:ascii="Times New Roman" w:cs="Times New Roman" w:eastAsia="Times New Roman" w:hAnsi="Times New Roman"/>
                <w:sz w:val="18"/>
                <w:szCs w:val="18"/>
                <w:color w:val="auto"/>
              </w:rPr>
              <w:t>0 (see Item 5)</w:t>
            </w: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right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7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POWER:</w:t>
            </w:r>
          </w:p>
        </w:tc>
        <w:tc>
          <w:tcPr>
            <w:tcW w:w="7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2320" w:type="dxa"/>
            <w:vAlign w:val="bottom"/>
            <w:tcBorders>
              <w:bottom w:val="single" w:sz="8" w:color="auto"/>
            </w:tcBorders>
            <w:vMerge w:val="continue"/>
          </w:tcPr>
          <w:p>
            <w:pPr>
              <w:spacing w:after="0"/>
              <w:rPr>
                <w:sz w:val="13"/>
                <w:szCs w:val="13"/>
                <w:color w:val="auto"/>
              </w:rPr>
            </w:pPr>
          </w:p>
        </w:tc>
        <w:tc>
          <w:tcPr>
            <w:tcW w:w="7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REPORTING PERSON: 7,156,593 (see Item 5)</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1050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12</w:t>
            </w:r>
          </w:p>
        </w:tc>
        <w:tc>
          <w:tcPr>
            <w:tcW w:w="105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ind w:left="68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 15.1% (see Item 5)</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gridSpan w:val="3"/>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92047K-10-7</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13D</w:t>
            </w:r>
          </w:p>
        </w:tc>
        <w:tc>
          <w:tcPr>
            <w:tcW w:w="4420" w:type="dxa"/>
            <w:vAlign w:val="bottom"/>
            <w:tcBorders>
              <w:top w:val="single" w:sz="8" w:color="auto"/>
              <w:bottom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Page 3</w:t>
            </w:r>
          </w:p>
        </w:tc>
      </w:tr>
      <w:tr>
        <w:trPr>
          <w:trHeight w:val="270"/>
        </w:trPr>
        <w:tc>
          <w:tcPr>
            <w:tcW w:w="90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2"/>
          </w:tcPr>
          <w:p>
            <w:pPr>
              <w:spacing w:after="0"/>
              <w:rPr>
                <w:sz w:val="23"/>
                <w:szCs w:val="23"/>
                <w:color w:val="auto"/>
              </w:rPr>
            </w:pPr>
          </w:p>
        </w:tc>
        <w:tc>
          <w:tcPr>
            <w:tcW w:w="4420" w:type="dxa"/>
            <w:vAlign w:val="bottom"/>
            <w:tcBorders>
              <w:bottom w:val="single" w:sz="8" w:color="auto"/>
            </w:tcBorders>
          </w:tcPr>
          <w:p>
            <w:pPr>
              <w:spacing w:after="0"/>
              <w:rPr>
                <w:sz w:val="23"/>
                <w:szCs w:val="23"/>
                <w:color w:val="auto"/>
              </w:rPr>
            </w:pPr>
          </w:p>
        </w:tc>
      </w:tr>
      <w:tr>
        <w:trPr>
          <w:trHeight w:val="218"/>
        </w:trPr>
        <w:tc>
          <w:tcPr>
            <w:tcW w:w="900" w:type="dxa"/>
            <w:vAlign w:val="bottom"/>
            <w:tcBorders>
              <w:left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NBCUniversal, LLC</w:t>
            </w:r>
          </w:p>
        </w:tc>
        <w:tc>
          <w:tcPr>
            <w:tcW w:w="4420" w:type="dxa"/>
            <w:vAlign w:val="bottom"/>
          </w:tcPr>
          <w:p>
            <w:pPr>
              <w:spacing w:after="0"/>
              <w:rPr>
                <w:sz w:val="18"/>
                <w:szCs w:val="18"/>
                <w:color w:val="auto"/>
              </w:rPr>
            </w:pPr>
          </w:p>
        </w:tc>
      </w:tr>
      <w:tr>
        <w:trPr>
          <w:trHeight w:val="204"/>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-16510</wp:posOffset>
            </wp:positionV>
            <wp:extent cx="17145" cy="1475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147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7145" cy="3790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379031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-307975</wp:posOffset>
            </wp:positionV>
            <wp:extent cx="17145" cy="409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4098925"/>
                    </a:xfrm>
                    <a:prstGeom prst="rect">
                      <a:avLst/>
                    </a:prstGeom>
                    <a:noFill/>
                  </pic:spPr>
                </pic:pic>
              </a:graphicData>
            </a:graphic>
          </wp:anchor>
        </w:drawing>
      </w:r>
    </w:p>
    <w:p>
      <w:pPr>
        <w:ind w:left="920" w:hanging="498"/>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MEMBER(a)  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 A GROUP:</w:t>
            </w:r>
          </w:p>
        </w:tc>
        <w:tc>
          <w:tcPr>
            <w:tcW w:w="2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  x</w:t>
            </w: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40" w:type="dxa"/>
            <w:vAlign w:val="bottom"/>
          </w:tcPr>
          <w:p>
            <w:pPr>
              <w:spacing w:after="0"/>
              <w:rPr>
                <w:sz w:val="20"/>
                <w:szCs w:val="20"/>
                <w:color w:val="auto"/>
              </w:rPr>
            </w:pPr>
          </w:p>
        </w:tc>
        <w:tc>
          <w:tcPr>
            <w:tcW w:w="6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34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5</w:t>
            </w:r>
          </w:p>
        </w:tc>
        <w:tc>
          <w:tcPr>
            <w:tcW w:w="105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54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7,156,593 (see Item 5)</w:t>
            </w:r>
          </w:p>
        </w:tc>
        <w:tc>
          <w:tcPr>
            <w:tcW w:w="0" w:type="dxa"/>
            <w:vAlign w:val="bottom"/>
          </w:tcPr>
          <w:p>
            <w:pPr>
              <w:spacing w:after="0"/>
              <w:rPr>
                <w:sz w:val="1"/>
                <w:szCs w:val="1"/>
                <w:color w:val="auto"/>
              </w:rPr>
            </w:pPr>
          </w:p>
        </w:tc>
      </w:tr>
      <w:tr>
        <w:trPr>
          <w:trHeight w:val="108"/>
        </w:trPr>
        <w:tc>
          <w:tcPr>
            <w:tcW w:w="1420" w:type="dxa"/>
            <w:vAlign w:val="bottom"/>
            <w:tcBorders>
              <w:right w:val="single" w:sz="8" w:color="auto"/>
            </w:tcBorders>
            <w:gridSpan w:val="2"/>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auto"/>
              <w:right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20" w:type="dxa"/>
            <w:vAlign w:val="bottom"/>
            <w:tcBorders>
              <w:right w:val="single" w:sz="8" w:color="auto"/>
            </w:tcBorders>
            <w:gridSpan w:val="2"/>
            <w:vMerge w:val="continue"/>
          </w:tcPr>
          <w:p>
            <w:pPr>
              <w:spacing w:after="0"/>
              <w:rPr>
                <w:sz w:val="8"/>
                <w:szCs w:val="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40" w:type="dxa"/>
            <w:vAlign w:val="bottom"/>
          </w:tcPr>
          <w:p>
            <w:pPr>
              <w:spacing w:after="0"/>
              <w:rPr>
                <w:sz w:val="8"/>
                <w:szCs w:val="8"/>
                <w:color w:val="auto"/>
              </w:rPr>
            </w:pPr>
          </w:p>
        </w:tc>
        <w:tc>
          <w:tcPr>
            <w:tcW w:w="6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 (see Item 5)</w:t>
            </w:r>
          </w:p>
        </w:tc>
        <w:tc>
          <w:tcPr>
            <w:tcW w:w="0" w:type="dxa"/>
            <w:vAlign w:val="bottom"/>
          </w:tcPr>
          <w:p>
            <w:pPr>
              <w:spacing w:after="0"/>
              <w:rPr>
                <w:sz w:val="1"/>
                <w:szCs w:val="1"/>
                <w:color w:val="auto"/>
              </w:rPr>
            </w:pPr>
          </w:p>
        </w:tc>
      </w:tr>
      <w:tr>
        <w:trPr>
          <w:trHeight w:val="135"/>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Borders>
              <w:right w:val="single" w:sz="8" w:color="auto"/>
            </w:tcBorders>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40" w:type="dxa"/>
            <w:vAlign w:val="bottom"/>
          </w:tcPr>
          <w:p>
            <w:pPr>
              <w:spacing w:after="0"/>
              <w:rPr>
                <w:sz w:val="6"/>
                <w:szCs w:val="6"/>
                <w:color w:val="auto"/>
              </w:rPr>
            </w:pPr>
          </w:p>
        </w:tc>
        <w:tc>
          <w:tcPr>
            <w:tcW w:w="6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7,156,593 (see Item 5)</w:t>
            </w:r>
          </w:p>
        </w:tc>
        <w:tc>
          <w:tcPr>
            <w:tcW w:w="0" w:type="dxa"/>
            <w:vAlign w:val="bottom"/>
          </w:tcPr>
          <w:p>
            <w:pPr>
              <w:spacing w:after="0"/>
              <w:rPr>
                <w:sz w:val="1"/>
                <w:szCs w:val="1"/>
                <w:color w:val="auto"/>
              </w:rPr>
            </w:pPr>
          </w:p>
        </w:tc>
      </w:tr>
      <w:tr>
        <w:trPr>
          <w:trHeight w:val="162"/>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Borders>
              <w:right w:val="single" w:sz="8" w:color="auto"/>
            </w:tcBorders>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66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6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 (see Item 5)</w:t>
            </w:r>
          </w:p>
        </w:tc>
        <w:tc>
          <w:tcPr>
            <w:tcW w:w="0" w:type="dxa"/>
            <w:vAlign w:val="bottom"/>
          </w:tcPr>
          <w:p>
            <w:pPr>
              <w:spacing w:after="0"/>
              <w:rPr>
                <w:sz w:val="1"/>
                <w:szCs w:val="1"/>
                <w:color w:val="auto"/>
              </w:rPr>
            </w:pPr>
          </w:p>
        </w:tc>
      </w:tr>
      <w:tr>
        <w:trPr>
          <w:trHeight w:val="180"/>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right w:val="single" w:sz="8" w:color="auto"/>
            </w:tcBorders>
            <w:vMerge w:val="continue"/>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93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REPORTING PERSON: 7,156,593 (see Item 5)</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1050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12</w:t>
            </w:r>
          </w:p>
        </w:tc>
        <w:tc>
          <w:tcPr>
            <w:tcW w:w="105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54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 15.1% (see Item 5)</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3560" w:type="dxa"/>
            <w:vAlign w:val="bottom"/>
            <w:tcBorders>
              <w:bottom w:val="single" w:sz="8" w:color="auto"/>
            </w:tcBorders>
            <w:gridSpan w:val="3"/>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92047K-10-7</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13D</w:t>
            </w:r>
          </w:p>
        </w:tc>
        <w:tc>
          <w:tcPr>
            <w:tcW w:w="102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Page 4</w:t>
            </w:r>
          </w:p>
        </w:tc>
      </w:tr>
      <w:tr>
        <w:trPr>
          <w:trHeight w:val="270"/>
        </w:trPr>
        <w:tc>
          <w:tcPr>
            <w:tcW w:w="90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gridSpan w:val="3"/>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r>
        <w:trPr>
          <w:trHeight w:val="218"/>
        </w:trPr>
        <w:tc>
          <w:tcPr>
            <w:tcW w:w="900" w:type="dxa"/>
            <w:vAlign w:val="bottom"/>
            <w:tcBorders>
              <w:left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NBCUniversal Media, LLC</w:t>
            </w:r>
          </w:p>
        </w:tc>
        <w:tc>
          <w:tcPr>
            <w:tcW w:w="3400" w:type="dxa"/>
            <w:vAlign w:val="bottom"/>
          </w:tcPr>
          <w:p>
            <w:pPr>
              <w:spacing w:after="0"/>
              <w:rPr>
                <w:sz w:val="18"/>
                <w:szCs w:val="18"/>
                <w:color w:val="auto"/>
              </w:rPr>
            </w:pPr>
          </w:p>
        </w:tc>
      </w:tr>
      <w:tr>
        <w:trPr>
          <w:trHeight w:val="204"/>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-16510</wp:posOffset>
            </wp:positionV>
            <wp:extent cx="17145" cy="1475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147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7145" cy="3790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379031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-307975</wp:posOffset>
            </wp:positionV>
            <wp:extent cx="17145" cy="4098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4098925"/>
                    </a:xfrm>
                    <a:prstGeom prst="rect">
                      <a:avLst/>
                    </a:prstGeom>
                    <a:noFill/>
                  </pic:spPr>
                </pic:pic>
              </a:graphicData>
            </a:graphic>
          </wp:anchor>
        </w:drawing>
      </w:r>
    </w:p>
    <w:p>
      <w:pPr>
        <w:ind w:left="920" w:hanging="498"/>
        <w:spacing w:after="0"/>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MEMBER(a)  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 A GROUP:</w:t>
            </w:r>
          </w:p>
        </w:tc>
        <w:tc>
          <w:tcPr>
            <w:tcW w:w="2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  x</w:t>
            </w: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40" w:type="dxa"/>
            <w:vAlign w:val="bottom"/>
          </w:tcPr>
          <w:p>
            <w:pPr>
              <w:spacing w:after="0"/>
              <w:rPr>
                <w:sz w:val="20"/>
                <w:szCs w:val="20"/>
                <w:color w:val="auto"/>
              </w:rPr>
            </w:pPr>
          </w:p>
        </w:tc>
        <w:tc>
          <w:tcPr>
            <w:tcW w:w="6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34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5</w:t>
            </w:r>
          </w:p>
        </w:tc>
        <w:tc>
          <w:tcPr>
            <w:tcW w:w="105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54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7,156,593 (see Item 5)</w:t>
            </w:r>
          </w:p>
        </w:tc>
        <w:tc>
          <w:tcPr>
            <w:tcW w:w="0" w:type="dxa"/>
            <w:vAlign w:val="bottom"/>
          </w:tcPr>
          <w:p>
            <w:pPr>
              <w:spacing w:after="0"/>
              <w:rPr>
                <w:sz w:val="1"/>
                <w:szCs w:val="1"/>
                <w:color w:val="auto"/>
              </w:rPr>
            </w:pPr>
          </w:p>
        </w:tc>
      </w:tr>
      <w:tr>
        <w:trPr>
          <w:trHeight w:val="108"/>
        </w:trPr>
        <w:tc>
          <w:tcPr>
            <w:tcW w:w="1420" w:type="dxa"/>
            <w:vAlign w:val="bottom"/>
            <w:tcBorders>
              <w:right w:val="single" w:sz="8" w:color="auto"/>
            </w:tcBorders>
            <w:gridSpan w:val="2"/>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auto"/>
              <w:right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20" w:type="dxa"/>
            <w:vAlign w:val="bottom"/>
            <w:tcBorders>
              <w:right w:val="single" w:sz="8" w:color="auto"/>
            </w:tcBorders>
            <w:gridSpan w:val="2"/>
            <w:vMerge w:val="continue"/>
          </w:tcPr>
          <w:p>
            <w:pPr>
              <w:spacing w:after="0"/>
              <w:rPr>
                <w:sz w:val="8"/>
                <w:szCs w:val="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40" w:type="dxa"/>
            <w:vAlign w:val="bottom"/>
          </w:tcPr>
          <w:p>
            <w:pPr>
              <w:spacing w:after="0"/>
              <w:rPr>
                <w:sz w:val="8"/>
                <w:szCs w:val="8"/>
                <w:color w:val="auto"/>
              </w:rPr>
            </w:pPr>
          </w:p>
        </w:tc>
        <w:tc>
          <w:tcPr>
            <w:tcW w:w="6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 (see Item 5)</w:t>
            </w:r>
          </w:p>
        </w:tc>
        <w:tc>
          <w:tcPr>
            <w:tcW w:w="0" w:type="dxa"/>
            <w:vAlign w:val="bottom"/>
          </w:tcPr>
          <w:p>
            <w:pPr>
              <w:spacing w:after="0"/>
              <w:rPr>
                <w:sz w:val="1"/>
                <w:szCs w:val="1"/>
                <w:color w:val="auto"/>
              </w:rPr>
            </w:pPr>
          </w:p>
        </w:tc>
      </w:tr>
      <w:tr>
        <w:trPr>
          <w:trHeight w:val="135"/>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Borders>
              <w:right w:val="single" w:sz="8" w:color="auto"/>
            </w:tcBorders>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40" w:type="dxa"/>
            <w:vAlign w:val="bottom"/>
          </w:tcPr>
          <w:p>
            <w:pPr>
              <w:spacing w:after="0"/>
              <w:rPr>
                <w:sz w:val="6"/>
                <w:szCs w:val="6"/>
                <w:color w:val="auto"/>
              </w:rPr>
            </w:pPr>
          </w:p>
        </w:tc>
        <w:tc>
          <w:tcPr>
            <w:tcW w:w="6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7,156,593 (see Item 5)</w:t>
            </w:r>
          </w:p>
        </w:tc>
        <w:tc>
          <w:tcPr>
            <w:tcW w:w="0" w:type="dxa"/>
            <w:vAlign w:val="bottom"/>
          </w:tcPr>
          <w:p>
            <w:pPr>
              <w:spacing w:after="0"/>
              <w:rPr>
                <w:sz w:val="1"/>
                <w:szCs w:val="1"/>
                <w:color w:val="auto"/>
              </w:rPr>
            </w:pPr>
          </w:p>
        </w:tc>
      </w:tr>
      <w:tr>
        <w:trPr>
          <w:trHeight w:val="162"/>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Borders>
              <w:right w:val="single" w:sz="8" w:color="auto"/>
            </w:tcBorders>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66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6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 (see Item 5)</w:t>
            </w:r>
          </w:p>
        </w:tc>
        <w:tc>
          <w:tcPr>
            <w:tcW w:w="0" w:type="dxa"/>
            <w:vAlign w:val="bottom"/>
          </w:tcPr>
          <w:p>
            <w:pPr>
              <w:spacing w:after="0"/>
              <w:rPr>
                <w:sz w:val="1"/>
                <w:szCs w:val="1"/>
                <w:color w:val="auto"/>
              </w:rPr>
            </w:pPr>
          </w:p>
        </w:tc>
      </w:tr>
      <w:tr>
        <w:trPr>
          <w:trHeight w:val="180"/>
        </w:trPr>
        <w:tc>
          <w:tcPr>
            <w:tcW w:w="14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right w:val="single" w:sz="8" w:color="auto"/>
            </w:tcBorders>
            <w:vMerge w:val="continue"/>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93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REPORTING PERSON: 7,156,593 (see Item 5)</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1050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12</w:t>
            </w:r>
          </w:p>
        </w:tc>
        <w:tc>
          <w:tcPr>
            <w:tcW w:w="105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4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 15.1% (see Item 5)</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3560" w:type="dxa"/>
            <w:vAlign w:val="bottom"/>
            <w:tcBorders>
              <w:bottom w:val="single" w:sz="8" w:color="auto"/>
            </w:tcBorders>
            <w:gridSpan w:val="3"/>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 w:name="page5"/>
    <w:bookmarkEnd w:id="4"/>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This Amendment No. 2 amends the Schedule 13D filed January 28, 2011, as amended (this “Schedule 13D”), and is filed by Comcast Corporation (“Comcast”), for and on behalf of itself, NBCUniversal, LLC (“NBCUniversal Holdings”) and NBCUniversal Media, LLC (“NBCUniversal” and together with Comcast and NBCUniversal Holdings, the “Reporting Persons”). NBCUniversal is a wholly owned subsidiary of NBCUniversal Holdings, which is owned 51% by Comcast (through wholly owned subsidiaries) and 49% by General Electric Company (together with its subsidiaries, “GE”).</w:t>
      </w:r>
    </w:p>
    <w:p>
      <w:pPr>
        <w:spacing w:after="0" w:line="20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This Amendment No. 2 is being filed while the Reporting Persons (as defined below) are in the process of verifying information required herein from their respective directors and executive officers. If the Reporting Persons obtain information concerning such individuals that would cause a material change in the disclosure contained herein, an amendment to this statement will be filed that will disclose such change.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3 is supplemented as follows:</w:t>
      </w:r>
    </w:p>
    <w:p>
      <w:pPr>
        <w:spacing w:after="0" w:line="25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previously disclosed publicly by ValueVision Media, Inc., a Minnesota corporation (the “Issuer”), on November 17, 2010, NBCUniversal entered into Amendment No. 2 to Trademark License Agreement with the Issuer, which among other things, extended the term of a certain license agreement through May 15, 2012. As consideration for this amendment, the Issuer agreed to issue to NBCUniversal shares of Common Stock, $0.01 par value per share, of the Issuer (the “Shares”) in an amount equal to the quotient obtained by dividing $4 million by the per share price of the Shares equal to the average closing price of the Shares as quoted on the Nasdaq Stock Market during the six months immediately preceding the date of issuance of such Shares. The Issuer also agreed to provide NBCUniversal with one additional “demand” registration right pursuant to an amendment of that certain Amended and Restated Registration Rights Agreement, dated February 25, 2009, among the Issuer, NBCUniversal and GE Capital Equity Investments, Inc. (“GECEI”), to register the Shares issued in connection with the amendment to the Trademark License Agreement. Also, in the amendment to the Trademark License Agreement, the Issuer represented that its Board of Directors had taken all necessary actions to permit the transactions contemplated by the amendment, including compliance with the provisions of Section 4.01 of the Amended and Restated Shareholder Agreement, dated as of February 25, 2009, among the Issuer, GECEI and NBCUniversal, to allow NBCUniversal to acquire the Shares.</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16, 2011, NBCUniversal acquired 689,655 Shares pursuant to Amendment No. 2 to Trademark License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56" w:lineRule="exact"/>
        <w:rPr>
          <w:sz w:val="20"/>
          <w:szCs w:val="20"/>
          <w:color w:val="auto"/>
        </w:rPr>
      </w:pPr>
    </w:p>
    <w:p>
      <w:pPr>
        <w:ind w:right="180" w:firstLine="332"/>
        <w:spacing w:after="0" w:line="261" w:lineRule="auto"/>
        <w:tabs>
          <w:tab w:leader="none" w:pos="7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Rows (11) through (13) of the cover pages of this Schedule 13D are incorporated herein by reference. As of May 16, 2011, NBCUniversal had sole beneficial ownership of an aggregate of 7,156,593 Shares composed of (i) 7,141,849 Shares and (ii) 14,744 Shares issuable upon exercise of warrants issued on November 11, 2002 pursuant to a Distribution and Marketing Agreement dated March 8, 1999 (“New Performance Warrants”).</w:t>
      </w:r>
    </w:p>
    <w:p>
      <w:pPr>
        <w:spacing w:after="0" w:line="20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Accordingly, as of May 16, 2011, NBCUniversal beneficially owned in the aggregate 7,156,593 Shares, representing approximately 15.1% of the Shares outstanding determined in accordance with Rule 13d-3(d)(1)(i) under the Exchange Act (based on the number of Shares outstanding as of April 30, 2011, as reported in the Issuer’s Form 8-K filed on May 11, 2011 (47,359,188 Shares), plus the Shares issuable to the relevant Reporting Person upon exercise of the New Performance Warrants).</w:t>
      </w:r>
    </w:p>
    <w:p>
      <w:pPr>
        <w:spacing w:after="0" w:line="20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in this Item 5(a), none of the Reporting Persons, nor, to the best of their knowledge, any of their directors or executive officers, beneficially owns any Shares.</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p>
      <w:pPr>
        <w:ind w:right="540" w:firstLine="332"/>
        <w:spacing w:after="0" w:line="282" w:lineRule="auto"/>
        <w:tabs>
          <w:tab w:leader="none" w:pos="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(i) Rows (7) through (10) of the cover pages of this Schedule 13D and (ii) Item 5(a) hereof are incorporated herein by reference.</w:t>
      </w:r>
    </w:p>
    <w:p>
      <w:pPr>
        <w:spacing w:after="0" w:line="189"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which they may be deemed to beneficially own.</w:t>
      </w:r>
    </w:p>
    <w:p>
      <w:pPr>
        <w:spacing w:after="0" w:line="189" w:lineRule="exact"/>
        <w:rPr>
          <w:sz w:val="20"/>
          <w:szCs w:val="20"/>
          <w:color w:val="auto"/>
        </w:rPr>
      </w:pPr>
    </w:p>
    <w:p>
      <w:pPr>
        <w:ind w:firstLine="332"/>
        <w:spacing w:after="0" w:line="282" w:lineRule="auto"/>
        <w:tabs>
          <w:tab w:leader="none" w:pos="7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nor, to the best of their knowledge, any of their directors or executive officers, has effected any transaction in the Shares during the past 60 days.</w:t>
      </w:r>
    </w:p>
    <w:p>
      <w:pPr>
        <w:spacing w:after="0" w:line="18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3" w:right="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17, 2011</w:t>
      </w:r>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0"/>
                <w:szCs w:val="20"/>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Arthur R. Block</w:t>
            </w:r>
          </w:p>
        </w:tc>
        <w:tc>
          <w:tcPr>
            <w:tcW w:w="560" w:type="dxa"/>
            <w:vAlign w:val="bottom"/>
          </w:tcPr>
          <w:p>
            <w:pPr>
              <w:spacing w:after="0"/>
              <w:rPr>
                <w:sz w:val="20"/>
                <w:szCs w:val="20"/>
                <w:color w:val="auto"/>
              </w:rPr>
            </w:pPr>
          </w:p>
        </w:tc>
      </w:tr>
      <w:tr>
        <w:trPr>
          <w:trHeight w:val="198"/>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Arthur R. Block</w:t>
            </w:r>
          </w:p>
        </w:tc>
        <w:tc>
          <w:tcPr>
            <w:tcW w:w="560" w:type="dxa"/>
            <w:vAlign w:val="bottom"/>
          </w:tcPr>
          <w:p>
            <w:pPr>
              <w:spacing w:after="0"/>
              <w:rPr>
                <w:sz w:val="17"/>
                <w:szCs w:val="17"/>
                <w:color w:val="auto"/>
              </w:rPr>
            </w:pPr>
          </w:p>
        </w:tc>
      </w:tr>
      <w:tr>
        <w:trPr>
          <w:trHeight w:val="234"/>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560" w:type="dxa"/>
            <w:vAlign w:val="bottom"/>
          </w:tcPr>
          <w:p>
            <w:pPr>
              <w:spacing w:after="0"/>
              <w:rPr>
                <w:sz w:val="20"/>
                <w:szCs w:val="20"/>
                <w:color w:val="auto"/>
              </w:rPr>
            </w:pPr>
          </w:p>
        </w:tc>
      </w:tr>
      <w:tr>
        <w:trPr>
          <w:trHeight w:val="648"/>
        </w:trPr>
        <w:tc>
          <w:tcPr>
            <w:tcW w:w="10860" w:type="dxa"/>
            <w:vAlign w:val="bottom"/>
            <w:gridSpan w:val="4"/>
          </w:tcPr>
          <w:p>
            <w:pPr>
              <w:ind w:left="5260"/>
              <w:spacing w:after="0"/>
              <w:rPr>
                <w:sz w:val="20"/>
                <w:szCs w:val="20"/>
                <w:color w:val="auto"/>
              </w:rPr>
            </w:pPr>
            <w:r>
              <w:rPr>
                <w:rFonts w:ascii="Times New Roman" w:cs="Times New Roman" w:eastAsia="Times New Roman" w:hAnsi="Times New Roman"/>
                <w:sz w:val="18"/>
                <w:szCs w:val="18"/>
                <w:b w:val="1"/>
                <w:bCs w:val="1"/>
                <w:color w:val="auto"/>
              </w:rPr>
              <w:t>NBCUNIVERSAL, LLC</w:t>
            </w:r>
          </w:p>
        </w:tc>
        <w:tc>
          <w:tcPr>
            <w:tcW w:w="560" w:type="dxa"/>
            <w:vAlign w:val="bottom"/>
          </w:tcPr>
          <w:p>
            <w:pPr>
              <w:spacing w:after="0"/>
              <w:rPr>
                <w:sz w:val="24"/>
                <w:szCs w:val="24"/>
                <w:color w:val="auto"/>
              </w:rPr>
            </w:pPr>
          </w:p>
        </w:tc>
      </w:tr>
      <w:tr>
        <w:trPr>
          <w:trHeight w:val="439"/>
        </w:trPr>
        <w:tc>
          <w:tcPr>
            <w:tcW w:w="560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Arthur R. Block</w:t>
            </w:r>
          </w:p>
        </w:tc>
        <w:tc>
          <w:tcPr>
            <w:tcW w:w="560" w:type="dxa"/>
            <w:vAlign w:val="bottom"/>
          </w:tcPr>
          <w:p>
            <w:pPr>
              <w:spacing w:after="0"/>
              <w:rPr>
                <w:sz w:val="24"/>
                <w:szCs w:val="24"/>
                <w:color w:val="auto"/>
              </w:rPr>
            </w:pPr>
          </w:p>
        </w:tc>
      </w:tr>
      <w:tr>
        <w:trPr>
          <w:trHeight w:val="198"/>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Arthur R. Block</w:t>
            </w:r>
          </w:p>
        </w:tc>
        <w:tc>
          <w:tcPr>
            <w:tcW w:w="560" w:type="dxa"/>
            <w:vAlign w:val="bottom"/>
          </w:tcPr>
          <w:p>
            <w:pPr>
              <w:spacing w:after="0"/>
              <w:rPr>
                <w:sz w:val="17"/>
                <w:szCs w:val="17"/>
                <w:color w:val="auto"/>
              </w:rPr>
            </w:pPr>
          </w:p>
        </w:tc>
      </w:tr>
      <w:tr>
        <w:trPr>
          <w:trHeight w:val="234"/>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c>
          <w:tcPr>
            <w:tcW w:w="560" w:type="dxa"/>
            <w:vAlign w:val="bottom"/>
          </w:tcPr>
          <w:p>
            <w:pPr>
              <w:spacing w:after="0"/>
              <w:rPr>
                <w:sz w:val="20"/>
                <w:szCs w:val="20"/>
                <w:color w:val="auto"/>
              </w:rPr>
            </w:pPr>
          </w:p>
        </w:tc>
      </w:tr>
      <w:tr>
        <w:trPr>
          <w:trHeight w:val="648"/>
        </w:trPr>
        <w:tc>
          <w:tcPr>
            <w:tcW w:w="10860" w:type="dxa"/>
            <w:vAlign w:val="bottom"/>
            <w:gridSpan w:val="4"/>
          </w:tcPr>
          <w:p>
            <w:pPr>
              <w:ind w:left="5260"/>
              <w:spacing w:after="0"/>
              <w:rPr>
                <w:sz w:val="20"/>
                <w:szCs w:val="20"/>
                <w:color w:val="auto"/>
              </w:rPr>
            </w:pPr>
            <w:r>
              <w:rPr>
                <w:rFonts w:ascii="Times New Roman" w:cs="Times New Roman" w:eastAsia="Times New Roman" w:hAnsi="Times New Roman"/>
                <w:sz w:val="18"/>
                <w:szCs w:val="18"/>
                <w:b w:val="1"/>
                <w:bCs w:val="1"/>
                <w:color w:val="auto"/>
              </w:rPr>
              <w:t>NBCUNIVERSAL MEDIA, LLC</w:t>
            </w:r>
          </w:p>
        </w:tc>
        <w:tc>
          <w:tcPr>
            <w:tcW w:w="560" w:type="dxa"/>
            <w:vAlign w:val="bottom"/>
          </w:tcPr>
          <w:p>
            <w:pPr>
              <w:spacing w:after="0"/>
              <w:rPr>
                <w:sz w:val="24"/>
                <w:szCs w:val="24"/>
                <w:color w:val="auto"/>
              </w:rPr>
            </w:pPr>
          </w:p>
        </w:tc>
      </w:tr>
      <w:tr>
        <w:trPr>
          <w:trHeight w:val="439"/>
        </w:trPr>
        <w:tc>
          <w:tcPr>
            <w:tcW w:w="560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Arthur R. Block</w:t>
            </w:r>
          </w:p>
        </w:tc>
        <w:tc>
          <w:tcPr>
            <w:tcW w:w="560" w:type="dxa"/>
            <w:vAlign w:val="bottom"/>
          </w:tcPr>
          <w:p>
            <w:pPr>
              <w:spacing w:after="0"/>
              <w:rPr>
                <w:sz w:val="24"/>
                <w:szCs w:val="24"/>
                <w:color w:val="auto"/>
              </w:rPr>
            </w:pPr>
          </w:p>
        </w:tc>
      </w:tr>
      <w:tr>
        <w:trPr>
          <w:trHeight w:val="198"/>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Arthur R. Block</w:t>
            </w:r>
          </w:p>
        </w:tc>
        <w:tc>
          <w:tcPr>
            <w:tcW w:w="560" w:type="dxa"/>
            <w:vAlign w:val="bottom"/>
          </w:tcPr>
          <w:p>
            <w:pPr>
              <w:spacing w:after="0"/>
              <w:rPr>
                <w:sz w:val="17"/>
                <w:szCs w:val="17"/>
                <w:color w:val="auto"/>
              </w:rPr>
            </w:pPr>
          </w:p>
        </w:tc>
      </w:tr>
      <w:tr>
        <w:trPr>
          <w:trHeight w:val="234"/>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c>
          <w:tcPr>
            <w:tcW w:w="560" w:type="dxa"/>
            <w:vAlign w:val="bottom"/>
          </w:tcPr>
          <w:p>
            <w:pPr>
              <w:spacing w:after="0"/>
              <w:rPr>
                <w:sz w:val="20"/>
                <w:szCs w:val="20"/>
                <w:color w:val="auto"/>
              </w:rPr>
            </w:pPr>
          </w:p>
        </w:tc>
      </w:tr>
      <w:tr>
        <w:trPr>
          <w:trHeight w:val="675"/>
        </w:trPr>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ind w:left="10100"/>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COMCAST CORPORATION</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name, business address, title, present principal occupation or employment of each of the directors and executive officers of Comcast Corporation (“Comcast”) are set forth below. If no business address is given, the director’s or officer’s business address is One Comcast Center, Philadelphia, Pennsylvania 19103-2838. Unless otherwise indicated, each occupation set forth opposite an individual’s name refers to Comcast. All of the persons listed below are citizens of the United States of America.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Present Principal Occupation Including Name and</w:t>
            </w:r>
          </w:p>
        </w:tc>
      </w:tr>
      <w:tr>
        <w:trPr>
          <w:trHeight w:val="245"/>
        </w:trPr>
        <w:tc>
          <w:tcPr>
            <w:tcW w:w="20" w:type="dxa"/>
            <w:vAlign w:val="bottom"/>
          </w:tcPr>
          <w:p>
            <w:pPr>
              <w:spacing w:after="0"/>
              <w:rPr>
                <w:sz w:val="21"/>
                <w:szCs w:val="21"/>
                <w:color w:val="auto"/>
              </w:rPr>
            </w:pPr>
          </w:p>
        </w:tc>
        <w:tc>
          <w:tcPr>
            <w:tcW w:w="4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120" w:type="dxa"/>
            <w:vAlign w:val="bottom"/>
          </w:tcPr>
          <w:p>
            <w:pPr>
              <w:spacing w:after="0"/>
              <w:rPr>
                <w:sz w:val="21"/>
                <w:szCs w:val="21"/>
                <w:color w:val="auto"/>
              </w:rPr>
            </w:pPr>
          </w:p>
        </w:tc>
        <w:tc>
          <w:tcPr>
            <w:tcW w:w="706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Address of Employer</w:t>
            </w:r>
          </w:p>
        </w:tc>
      </w:tr>
      <w:tr>
        <w:trPr>
          <w:trHeight w:val="225"/>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12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Decker Anstrom</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Former Director and President and Chief Operating Officer of Landmark Communications, Inc.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J. Bacon</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Housing and Community Development and Senior Vice President of</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Multifamily Investment at Fannie Mae</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Sheldon M. Bonovitz</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Chairman Emeritus of Duane Morris LLP</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D. Breen</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 of Tyco International Ltd.</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 Collins</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Aegis, LLC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Michael Cook</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Director of International Flavors &amp; Fragrances, Inc. and Trustee of the Scripps Research Institute</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The Bank of New York Mellon</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A. Honickman</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of Pepsi-Cola &amp; National Brand Beverages, Ltd.</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Eduardo G. Mestre</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Evercore Partners Inc.</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 of Comcast Corporation</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Ralph J. Roberts</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Founder of Comcast Corporation and Chairman Emeritus</w:t>
            </w: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Judith Rodin</w:t>
            </w:r>
          </w:p>
        </w:tc>
        <w:tc>
          <w:tcPr>
            <w:tcW w:w="1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the Rockefeller Foundation</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Present Principal Occupation Including Name and</w:t>
            </w:r>
          </w:p>
        </w:tc>
        <w:tc>
          <w:tcPr>
            <w:tcW w:w="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4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120" w:type="dxa"/>
            <w:vAlign w:val="bottom"/>
          </w:tcPr>
          <w:p>
            <w:pPr>
              <w:spacing w:after="0"/>
              <w:rPr>
                <w:sz w:val="21"/>
                <w:szCs w:val="21"/>
                <w:color w:val="auto"/>
              </w:rPr>
            </w:pPr>
          </w:p>
        </w:tc>
        <w:tc>
          <w:tcPr>
            <w:tcW w:w="706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Address of Employer</w:t>
            </w:r>
          </w:p>
        </w:tc>
        <w:tc>
          <w:tcPr>
            <w:tcW w:w="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c>
          <w:tcPr>
            <w:tcW w:w="2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Angelakis</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B. Burke</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NBCUniversal and NBC Universal Holdings Executive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 Rockefeller Plaza, New York, New York 10112</w:t>
            </w:r>
          </w:p>
        </w:tc>
        <w:tc>
          <w:tcPr>
            <w:tcW w:w="1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Comcast Corporation</w:t>
            </w:r>
          </w:p>
        </w:tc>
        <w:tc>
          <w:tcPr>
            <w:tcW w:w="2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R. Block, Esq.</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2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Cohen</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2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Smit</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Comcast Cable Communications and Executive Vice President, Comcast Corporation</w:t>
            </w:r>
          </w:p>
        </w:tc>
        <w:tc>
          <w:tcPr>
            <w:tcW w:w="20" w:type="dxa"/>
            <w:vAlign w:val="bottom"/>
          </w:tcPr>
          <w:p>
            <w:pPr>
              <w:spacing w:after="0"/>
              <w:rPr>
                <w:sz w:val="18"/>
                <w:szCs w:val="18"/>
                <w:color w:val="auto"/>
              </w:rPr>
            </w:pP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J. Salva</w:t>
            </w:r>
          </w:p>
        </w:tc>
        <w:tc>
          <w:tcPr>
            <w:tcW w:w="1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tc>
        <w:tc>
          <w:tcPr>
            <w:tcW w:w="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180" w:type="dxa"/>
            <w:vAlign w:val="bottom"/>
            <w:gridSpan w:val="2"/>
          </w:tcPr>
          <w:p>
            <w:pPr>
              <w:jc w:val="right"/>
              <w:ind w:right="557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7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2019-12-16T12:29:15Z</dcterms:created>
  <dcterms:modified xsi:type="dcterms:W3CDTF">2019-12-16T12:29:15Z</dcterms:modified>
</cp:coreProperties>
</file>