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9,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16"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73"/>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00" w:type="dxa"/>
            <w:vAlign w:val="bottom"/>
          </w:tcPr>
          <w:p>
            <w:pPr>
              <w:spacing w:after="0"/>
              <w:rPr>
                <w:sz w:val="24"/>
                <w:szCs w:val="24"/>
                <w:color w:val="auto"/>
              </w:rPr>
            </w:pPr>
          </w:p>
        </w:tc>
      </w:tr>
      <w:tr>
        <w:trPr>
          <w:trHeight w:val="238"/>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6"/>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CMCSA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CMCS26</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CMCS27</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CMCS29</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CMCS29A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CMCS32</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7"/>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CMCS32A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CMCS36</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CMCS36A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7"/>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CMCS40</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CMCS40A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CCGBP29</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 Exchangeable Subordinated Debentures due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Pr>
          <w:p>
            <w:pPr>
              <w:spacing w:after="0"/>
              <w:rPr>
                <w:sz w:val="20"/>
                <w:szCs w:val="20"/>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CCZ</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50" w:orient="portrait"/>
          <w:cols w:equalWidth="0" w:num="1">
            <w:col w:w="11240"/>
          </w:cols>
          <w:pgMar w:left="320" w:top="1110"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2.03 relating to the New Notes, the Base Indenture, the First Supplemental Indenture and the Second Supplemental Indenture (each as defined below) is set forth under Item 8.01 of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On October 9, 2025, Comcast Corporation (“Comcast” or the “Company”) completed (i) the previously announced private offers (the “Exchange Offers”) to exchange its 4.150% Notes due 2028 and 4.550% Notes due 2029 (collectively, the “Pool 2 Notes”) for up to $1,000,000,000 in aggregate principal amount of the Company’s new Notes due 2037 (the “New Notes”) and (ii) the previously announced offers to purchase for cash all validly tendered and not validly withdrawn Pool 2 Notes (the “Cash Offers”).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October 9, 2025, Comcast completed the Exchange Offers and the Cash Offers. Pursuant to the Exchange Offers, the Company issued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$480,046,000 in aggregate principal amount of the New Notes. The New Notes will bear interest at a rate of 5.168% per year and will mature on January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2037. We will pay interest on the New Notes on January 15 and July 15 of each year, beginning on January 15, 2026.</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New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w:t>
      </w:r>
    </w:p>
    <w:p>
      <w:pPr>
        <w:spacing w:after="0" w:line="1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Indenture”) among Comcast, the guarantors named therein and the Trustee and as further supplemented by the Second Supplemental Indenture dated as of July 29, 2022 (the “Second Supplemental Indenture”) among Comcast, the guarantors named therein and the Trustee, and an officers’ certificate issued pursuant thereto. The New Notes are guaranteed on an unsecured and unsubordinated basis by Comcast Cable Communications, LLC and NBCUniversal (the “Guarantors”).</w:t>
      </w:r>
    </w:p>
    <w:p>
      <w:pPr>
        <w:spacing w:after="0" w:line="1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material terms and conditions of the New Notes are set forth (i) in the Form of Officers’ Certificate filed herewith as Exhibit 4.1, (ii) in the Base Indenture, filed as Exhibit 4.3 to Comcast’s Registration Statement on Form S-3, as amended, filed on September 18, 2013 (Reg. No 333-191239), (iii) in the First Supplemental Indenture, filed as Exhibit 4.4 to Comcast’s Post Effective Amendment No. 2 to Registration Statement on Form S-3, filed on November 23, 2015 (Reg. No 333-191239) and (iv) in the Second Supplemental Indenture, filed as Exhibit 4.4 to Comcast’s Registration Statement on Form S-3, filed on July 29, 2022 (Reg. No. 333-266390), each of which are incorporated by reference herein.</w:t>
      </w:r>
    </w:p>
    <w:p>
      <w:pPr>
        <w:spacing w:after="0" w:line="18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Comcast’s issuance of the New Notes, Comcast and the Guarantors entered into a registration rights agreement (the “Registration Rights Agreement”) with the joint lead dealer managers for the Exchange Offers, on behalf of themselves and each co-dealer manager for the Exchange Offers. Under the Registration Rights Agreement, the Company and the Guarantors agreed, among other things, to use commercially reasonable efforts to file a registration statement with the Securities and Exchange Commission with respect to a registered offer to exchange the New Notes for a series of exchange notes with terms substantially identical in all material respects to the New Notes, except that the exchange notes will not contain transfer restrictions and will not provide for any increase in annual interest rate.</w:t>
      </w:r>
    </w:p>
    <w:p>
      <w:pPr>
        <w:spacing w:after="0" w:line="187"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New Notes have not been registered under the U.S. Securities Act of 1933, as amended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1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Form of Officers’ Certificate setting forth the terms of the New Notes.</w:t>
            </w:r>
          </w:p>
        </w:tc>
      </w:tr>
      <w:tr>
        <w:trPr>
          <w:trHeight w:val="223"/>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p>
        </w:tc>
        <w:tc>
          <w:tcPr>
            <w:tcW w:w="20" w:type="dxa"/>
            <w:vAlign w:val="bottom"/>
            <w:tcBorders>
              <w:top w:val="single" w:sz="8" w:color="0000EE"/>
            </w:tcBorders>
          </w:tcPr>
          <w:p>
            <w:pPr>
              <w:spacing w:after="0"/>
              <w:rPr>
                <w:sz w:val="19"/>
                <w:szCs w:val="19"/>
                <w:color w:val="auto"/>
              </w:rPr>
            </w:pPr>
          </w:p>
        </w:tc>
        <w:tc>
          <w:tcPr>
            <w:tcW w:w="880" w:type="dxa"/>
            <w:vAlign w:val="bottom"/>
          </w:tcPr>
          <w:p>
            <w:pPr>
              <w:spacing w:after="0"/>
              <w:rPr>
                <w:sz w:val="19"/>
                <w:szCs w:val="19"/>
                <w:color w:val="auto"/>
              </w:rPr>
            </w:pPr>
          </w:p>
        </w:tc>
        <w:tc>
          <w:tcPr>
            <w:tcW w:w="50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EE"/>
              </w:rPr>
              <w:t xml:space="preserve">Registration Rights Agreement, dated as of October </w:t>
            </w:r>
            <w:r>
              <w:rPr>
                <w:rFonts w:ascii="Times New Roman" w:cs="Times New Roman" w:eastAsia="Times New Roman" w:hAnsi="Times New Roman"/>
                <w:sz w:val="18"/>
                <w:szCs w:val="18"/>
                <w:color w:val="0000FF"/>
              </w:rPr>
              <w:t>9, 2025.</w:t>
            </w:r>
          </w:p>
        </w:tc>
        <w:tc>
          <w:tcPr>
            <w:tcW w:w="5040" w:type="dxa"/>
            <w:vAlign w:val="bottom"/>
          </w:tcPr>
          <w:p>
            <w:pPr>
              <w:spacing w:after="0"/>
              <w:rPr>
                <w:sz w:val="19"/>
                <w:szCs w:val="19"/>
                <w:color w:val="auto"/>
              </w:rPr>
            </w:pPr>
          </w:p>
        </w:tc>
      </w:tr>
      <w:tr>
        <w:trPr>
          <w:trHeight w:val="20"/>
        </w:trPr>
        <w:tc>
          <w:tcPr>
            <w:tcW w:w="1140" w:type="dxa"/>
            <w:vAlign w:val="bottom"/>
            <w:gridSpan w:val="3"/>
            <w:shd w:val="clear" w:color="auto" w:fill="0000FF"/>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r>
      <w:tr>
        <w:trPr>
          <w:trHeight w:val="26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94"/>
        </w:trPr>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5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9, 2025</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Senior Deputy General Counsel and Assistant</w:t>
            </w:r>
          </w:p>
        </w:tc>
      </w:tr>
      <w:tr>
        <w:trPr>
          <w:trHeight w:val="234"/>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553"/>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9, 2025</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Pursuant to Section 2.03 of the Indenture dated as of September 18, 2013, by and among Comcast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guarantors 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First Supplemental Indenture dated as of November 17, 2015 by and among the Company, the guarantors named therein and the Trustee and as further supplemented by the second Supplemental Indenture dated as of July 29, 2022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the Company, the guarantors named therein and the Trustee, and guaranteed on an unsecured and unsubordinated basis by Comcast Cable Communications, LLC and NBCUniversal Media, LLC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the undersigned officers of the Company do hereby certify, in connection with the issuance of the Company’s $480,046,000 aggregate principal amount of 5.168% Notes due 2037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that the terms of the Notes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168%</w:t>
            </w:r>
            <w:r>
              <w:rPr>
                <w:rFonts w:ascii="Times New Roman" w:cs="Times New Roman" w:eastAsia="Times New Roman" w:hAnsi="Times New Roman"/>
                <w:sz w:val="18"/>
                <w:szCs w:val="18"/>
                <w:color w:val="auto"/>
              </w:rPr>
              <w:t xml:space="preserve"> Notes due 2037</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10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00" w:type="dxa"/>
            <w:vAlign w:val="bottom"/>
            <w:vMerge w:val="continue"/>
          </w:tcPr>
          <w:p>
            <w:pPr>
              <w:spacing w:after="0"/>
              <w:rPr>
                <w:sz w:val="24"/>
                <w:szCs w:val="24"/>
                <w:color w:val="auto"/>
              </w:rPr>
            </w:pP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5.168% Notes due 2037</w:t>
            </w: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tc>
        <w:tc>
          <w:tcPr>
            <w:tcW w:w="27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$480,046,000</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January 15, 2037</w:t>
            </w: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27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5.168%</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Prior to October 15, 2036 (three months prior to the maturity date of the Notes) (the “</w:t>
            </w:r>
            <w:r>
              <w:rPr>
                <w:rFonts w:ascii="Times New Roman" w:cs="Times New Roman" w:eastAsia="Times New Roman" w:hAnsi="Times New Roman"/>
                <w:sz w:val="18"/>
                <w:szCs w:val="18"/>
                <w:b w:val="1"/>
                <w:bCs w:val="1"/>
                <w:color w:val="auto"/>
              </w:rPr>
              <w:t>Par Call</w:t>
            </w: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Company may redeem the Notes at its option, in whole or in part, at any time and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from time to time, at a redemption price (expressed as a percentage of the principal amount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and rounded to three decimal places) equal to the greater of: (1) (a) the sum of the present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 the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redemption date (assuming, for this purpose, that the Notes matured on the Par Call Date) on a</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semi-annual basis (assuming a 360-day year consisting of twelve 30-day months) at the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Treasury Rate (as defined in the Notes) plus 15 basis points, less (b) interest accrued to the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date of redemption, and (2) 100% of the principal amount of the Notes to be redeemed, plus,</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7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in either case, accrued and unpaid interest thereon to the redemption date.</w:t>
            </w:r>
          </w:p>
        </w:tc>
        <w:tc>
          <w:tcPr>
            <w:tcW w:w="0" w:type="dxa"/>
            <w:vAlign w:val="bottom"/>
          </w:tcPr>
          <w:p>
            <w:pPr>
              <w:spacing w:after="0"/>
              <w:rPr>
                <w:sz w:val="1"/>
                <w:szCs w:val="1"/>
                <w:color w:val="auto"/>
              </w:rPr>
            </w:pPr>
          </w:p>
        </w:tc>
      </w:tr>
      <w:tr>
        <w:trPr>
          <w:trHeight w:val="540"/>
        </w:trPr>
        <w:tc>
          <w:tcPr>
            <w:tcW w:w="3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ind w:left="1880"/>
              <w:spacing w:after="0"/>
              <w:rPr>
                <w:sz w:val="20"/>
                <w:szCs w:val="20"/>
                <w:color w:val="auto"/>
              </w:rPr>
            </w:pPr>
            <w:r>
              <w:rPr>
                <w:rFonts w:ascii="Times New Roman" w:cs="Times New Roman" w:eastAsia="Times New Roman" w:hAnsi="Times New Roman"/>
                <w:sz w:val="18"/>
                <w:szCs w:val="18"/>
                <w:color w:val="auto"/>
              </w:rPr>
              <w:t>1</w:t>
            </w:r>
          </w:p>
        </w:tc>
        <w:tc>
          <w:tcPr>
            <w:tcW w:w="4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1"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time and from time to time, at a redemption price equal to 100% of the principal amount of the</w:t>
            </w:r>
          </w:p>
        </w:tc>
      </w:tr>
      <w:tr>
        <w:trPr>
          <w:trHeight w:val="234"/>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Notes being redeemed, plus accrued and unpaid interest thereon to the redemption date.</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Holders of the Notes shall have the rights set forth in the registration rights agreement, dated</w:t>
            </w:r>
          </w:p>
        </w:tc>
      </w:tr>
      <w:tr>
        <w:trPr>
          <w:trHeight w:val="212"/>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October 9, 2025, among the Company, the Guarantors and the joint-lead dealer managers (the</w:t>
            </w:r>
          </w:p>
        </w:tc>
      </w:tr>
      <w:tr>
        <w:trPr>
          <w:trHeight w:val="220"/>
        </w:trPr>
        <w:tc>
          <w:tcPr>
            <w:tcW w:w="2980" w:type="dxa"/>
            <w:vAlign w:val="bottom"/>
          </w:tcPr>
          <w:p>
            <w:pPr>
              <w:spacing w:after="0"/>
              <w:rPr>
                <w:sz w:val="19"/>
                <w:szCs w:val="19"/>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including the right to receive additional interest as a</w:t>
            </w:r>
          </w:p>
        </w:tc>
      </w:tr>
      <w:tr>
        <w:trPr>
          <w:trHeight w:val="234"/>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result of a registration default as provided therein.</w:t>
            </w:r>
          </w:p>
        </w:tc>
      </w:tr>
      <w:tr>
        <w:trPr>
          <w:trHeight w:val="414"/>
        </w:trPr>
        <w:tc>
          <w:tcPr>
            <w:tcW w:w="2980" w:type="dxa"/>
            <w:vAlign w:val="bottom"/>
          </w:tcPr>
          <w:p>
            <w:pPr>
              <w:spacing w:after="0"/>
              <w:rPr>
                <w:sz w:val="24"/>
                <w:szCs w:val="24"/>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Upon the close of a Registered Exchange Offer (as defined in the Registration Rights</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Agreement), the Company shall (i) accept for exchange all the Notes validly tendered and not</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withdrawn pursuant to the Registered Exchange Offer; (ii) deliver to the Trustee for</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cancellation all the Notes so accepted for exchange; and (iii) cause the Trustee to authenticate</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and deliver to each holder of Notes Exchange Securities (as defined in the Registration Rights</w:t>
            </w:r>
          </w:p>
        </w:tc>
      </w:tr>
      <w:tr>
        <w:trPr>
          <w:trHeight w:val="234"/>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Agreement) equal in principal amount to the Notes of such holder so accepted for exchange.</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Notes need not be issued at the same time and the series may be reopened for issuance of</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an unlimited principal amount of additional Notes under this series. Additional Notes of this</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series may be consolidated with, and form a single series with, the Notes then outstanding,</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including for purposes of determining whether the required percentage of the holders of record</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has given approval or consent to an amendment or waiver or joined in directing the Trustee to</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take certain actions on behalf of all holders; provided that if such additional Notes are not</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fungible with the Notes then outstanding for U.S. federal income tax purposes, such additional</w:t>
            </w:r>
          </w:p>
        </w:tc>
      </w:tr>
      <w:tr>
        <w:trPr>
          <w:trHeight w:val="234"/>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Notes will have one or more separate CUSIP numbers.</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None</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Sinking Fund:</w:t>
            </w:r>
          </w:p>
        </w:tc>
        <w:tc>
          <w:tcPr>
            <w:tcW w:w="8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None</w:t>
            </w:r>
          </w:p>
        </w:tc>
      </w:tr>
      <w:tr>
        <w:trPr>
          <w:trHeight w:val="540"/>
        </w:trPr>
        <w:tc>
          <w:tcPr>
            <w:tcW w:w="29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54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836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w w:val="99"/>
              </w:rPr>
              <w:t>The terms of the Notes shall include such other terms as are set forth in the Form of Note due</w:t>
            </w:r>
          </w:p>
        </w:tc>
      </w:tr>
      <w:tr>
        <w:trPr>
          <w:trHeight w:val="198"/>
        </w:trPr>
        <w:tc>
          <w:tcPr>
            <w:tcW w:w="2760" w:type="dxa"/>
            <w:vAlign w:val="bottom"/>
          </w:tcPr>
          <w:p>
            <w:pPr>
              <w:spacing w:after="0"/>
              <w:rPr>
                <w:sz w:val="17"/>
                <w:szCs w:val="17"/>
                <w:color w:val="auto"/>
              </w:rPr>
            </w:pPr>
          </w:p>
        </w:tc>
        <w:tc>
          <w:tcPr>
            <w:tcW w:w="8360" w:type="dxa"/>
            <w:vAlign w:val="bottom"/>
            <w:gridSpan w:val="3"/>
          </w:tcPr>
          <w:p>
            <w:pPr>
              <w:ind w:left="1640"/>
              <w:spacing w:after="0" w:line="198" w:lineRule="exact"/>
              <w:rPr>
                <w:sz w:val="20"/>
                <w:szCs w:val="20"/>
                <w:color w:val="auto"/>
              </w:rPr>
            </w:pPr>
            <w:r>
              <w:rPr>
                <w:rFonts w:ascii="Times New Roman" w:cs="Times New Roman" w:eastAsia="Times New Roman" w:hAnsi="Times New Roman"/>
                <w:sz w:val="18"/>
                <w:szCs w:val="18"/>
                <w:color w:val="auto"/>
              </w:rPr>
              <w:t xml:space="preserve">2037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tc>
      </w:tr>
      <w:tr>
        <w:trPr>
          <w:trHeight w:val="20"/>
        </w:trPr>
        <w:tc>
          <w:tcPr>
            <w:tcW w:w="2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such officer has made such examination or investigation as is necessary to enable such officer to express an informed opinion as to whether or not the covenants and conditions of such Indenture relating to the issuance, authentication and delivery of the Notes have been complied with. In such officer’s opinion, such covenants and conditions have been complied with.</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IN WITNESS WHEREOF, the undersigned officers of the Company have duly executed this certificate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4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17145</wp:posOffset>
            </wp:positionV>
            <wp:extent cx="3231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Name:James P. McCue</w:t>
      </w:r>
    </w:p>
    <w:p>
      <w:pPr>
        <w:spacing w:after="0" w:line="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Title: Vice President and Assistant Treasurer</w:t>
      </w:r>
    </w:p>
    <w:p>
      <w:pPr>
        <w:spacing w:after="0" w:line="234" w:lineRule="exact"/>
        <w:rPr>
          <w:sz w:val="20"/>
          <w:szCs w:val="20"/>
          <w:color w:val="auto"/>
        </w:rPr>
      </w:pPr>
    </w:p>
    <w:p>
      <w:pPr>
        <w:ind w:left="494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17145</wp:posOffset>
            </wp:positionV>
            <wp:extent cx="3231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Name:Elizabeth Wideman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Senior Vice President, Senior Deputy General Counsel and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0" w:lineRule="exact"/>
        <w:rPr>
          <w:sz w:val="20"/>
          <w:szCs w:val="20"/>
          <w:color w:val="auto"/>
        </w:rPr>
      </w:pPr>
    </w:p>
    <w:p>
      <w:pPr>
        <w:spacing w:after="0" w:line="24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Officers’ Certificate Pursuant to the Indenture for Pool 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353060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20"/>
          </w:cols>
          <w:pgMar w:left="980" w:top="540" w:right="6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 DUE 2037]</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THIS SECURITY (OR ITS PREDECESSOR) WAS ORIGINALLY ISSUED IN A TRANSACTION EXEMPT FROM REGISTRATION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THIS SECURITY MAY NOT BE OFFERED, SOLD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 THE HOLDER OF THIS SECURITY BY ITS ACCEPTANCE HEREOF REPRESENTS THAT IT IS (1) A “QUALIFIED INSTITUTIONAL BUYER” (AS DEFINED IN RULE 144A UNDER THE SECURITIES ACT) OR (2) NOT A U.S. PERSON AND IS ACQUIRING ITS NOTE IN AN “OFFSHORE TRANSACTION” PURSUANT TO RULE 904 OF REGULATION S UNDER THE SECURITIES 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OF THIS SECURITY AGREES FOR THE BENEFIT OF COMCAST CORPORATION THAT (A) PRIOR TO THE DATE (THE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WHICH IS ONE YEAR AFTER THE LATER OF THE ORIGINAL ISSUE DATE HEREOF AND THE LAST DATE ON WHICH THE ISSUER OR ANY AFFILIATE OF THE ISSUER WAS THE OWNER OF THIS SECURITY (OR ANY PREDECESSOR OF SUCH SECURITY), THIS SECURITY MAY BE OFFERED, RESOLD, PLEDGED OR OTHERWISE TRANSFERRED ONLY (I) TO A PERSON WHOM THE SELLER REASONABLY BELIEVES IS A “QUALIFIED INSTITUTIONAL BUYER” (AS DEFINED IN RULE 144A UNDER THE SECURITIES ACT) IN A TRANSACTION MEETING THE REQUIREMENTS OF RULE 144A, (II) PURSUANT TO AN EXEMPTION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 w:name="page11"/>
    <w:bookmarkEnd w:id="10"/>
    <w:p>
      <w:pPr>
        <w:ind w:right="160"/>
        <w:spacing w:after="0" w:line="272" w:lineRule="auto"/>
        <w:rPr>
          <w:sz w:val="20"/>
          <w:szCs w:val="20"/>
          <w:color w:val="auto"/>
        </w:rPr>
      </w:pPr>
      <w:r>
        <w:rPr>
          <w:rFonts w:ascii="Times New Roman" w:cs="Times New Roman" w:eastAsia="Times New Roman" w:hAnsi="Times New Roman"/>
          <w:sz w:val="17"/>
          <w:szCs w:val="17"/>
          <w:color w:val="auto"/>
        </w:rPr>
        <w:t>REGISTRATION UNDER THE SECURITIES ACT PROVIDED BY RULE 144 THEREUNDER (IF AVAILABLE), (III) PURSUANT TO OFFERS AND SALES TO NON-U.S. PERSONS THAT OCCUR OUTSIDE THE UNITED STATES WITHIN THE MEANING OF REGULATION S UNDER THE SECURITIES ACT, (IV) TO AN INSTITUTIONAL “ACCREDITED INVESTOR” WITHIN THE MEANING OF SUBPARAGRAPH (a)(1), (2),</w:t>
      </w:r>
    </w:p>
    <w:p>
      <w:pPr>
        <w:spacing w:after="0" w:line="2" w:lineRule="exact"/>
        <w:rPr>
          <w:sz w:val="20"/>
          <w:szCs w:val="20"/>
          <w:color w:val="auto"/>
        </w:rPr>
      </w:pPr>
    </w:p>
    <w:p>
      <w:pPr>
        <w:ind w:firstLine="8"/>
        <w:spacing w:after="0" w:line="251"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(7) OF RULE 501 UNDER THE SECURITIES ACT THAT IS ACQUIRING THIS SECURITY FOR ITS OWN ACCOUNT, OR FOR THE ACCOUNT OF SUCH AN INSTITUTIONAL “ACCREDITED INVESTOR,” FOR INVESTMENT PURPOSES AND NOT WITH A VIEW TO, OR FOR OFFER OR SALE IN CONNECTION WITH, ANY DISTRIBUTION IN VIOLATION OF THE SECURITIES ACT, (V) PURSUANT TO ANY OTHER AVAILABLE EXEMPTION FROM THE REGISTRATION REQUIREMENTS OF THE SECURITIES ACT OR (VI) PURSUANT TO A REGISTRATION STATEMENT WHICH HAS BEEN DECLARED EFFECTIVE UNDER THE SECURITIES ACT, IN EACH CASE IN ACCORDANCE WITH ANY APPLICABLE SECURITIES LAWS OF ANY STATE OF THE UNITED STATES, AND (B) THE HOLDER WILL, AND EACH SUBSEQUENT HOLDER IS REQUIRED TO, NOTIFY ANY PURCHASER OF THIS SECURITY OF THE RESALE RESTRICTIONS REFERRED TO IN CLAUSE (A) ABOVE. THIS LEGEND WILL BE REMOVED UPON THE EARLIER OF THE TRANSFER OF THIS SECURITY PURSUANT TO CLAUSE (A)(VI) ABOVE OR REQUEST OF THE HOLDER AFTER THE RESALE RESTRICTION TERMINATION DATE. THE INDENTURE CONTAINS A PROVISION REQUIRING THE TRUSTEE TO REFUSE TO REGISTER THE TRANSFER OF THIS SECURITY IN VIOLATION OF THE FOREGOING RESTRICTION.</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CASE OF REGULATION S NOTES: UNTIL 40 DAYS AFTER THE LATER OF COMMENCEMENT OR COMPLETION OF THE OFFERING, AN OFFER OR SALE OF NOTES WITHIN THE UNITED STATES BY A DEALER (AS DEFINED IN THE SECURITIES ACT) MAY VIOLATE THE REGISTRATION REQUIREMENTS OF THE SECURITIES ACT IF SUCH OFFER OR SALE IS MADE OTHERWISE THAN IN ACCORDANCE WITH RULE 144A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COMCAST CORPORATION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5.168% Note due 2037</w:t>
      </w:r>
    </w:p>
    <w:p>
      <w:pPr>
        <w:sectPr>
          <w:pgSz w:w="11900" w:h="16838" w:orient="portrait"/>
          <w:cols w:equalWidth="0" w:num="1">
            <w:col w:w="11240"/>
          </w:cols>
          <w:pgMar w:left="320" w:top="536"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[A][R]-[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9400" w:space="720"/>
            <w:col w:w="1120"/>
          </w:cols>
          <w:pgMar w:left="320" w:top="536" w:right="339" w:bottom="1440" w:gutter="0" w:footer="0" w:header="0"/>
          <w:type w:val="continuous"/>
        </w:sectPr>
      </w:pPr>
    </w:p>
    <w:p>
      <w:pPr>
        <w:spacing w:after="0" w:line="30"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which term includes any successor corporation), for value received promises to pay to CEDE &amp; CO. or registered assigns, the principal sum of $[ ] ([ ] Dollars) on January 15, 2037.</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Payment Dates: January 15 and July 15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January 15,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Record Dates: January 1 and July 1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Reference is made to the further provisions of this Security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12" w:name="page13"/>
    <w:bookmarkEnd w:id="12"/>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Issuer has caused this Security to be signed manually or by facsimile by its duly authorized officer under its corporate seal.</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231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Name:James P. McCue</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 and Assistant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0" w:type="dxa"/>
            <w:vAlign w:val="bottom"/>
          </w:tcPr>
          <w:p>
            <w:pPr>
              <w:spacing w:after="0"/>
              <w:rPr>
                <w:sz w:val="16"/>
                <w:szCs w:val="16"/>
                <w:color w:val="auto"/>
              </w:rPr>
            </w:pPr>
          </w:p>
        </w:tc>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2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c>
          <w:tcPr>
            <w:tcW w:w="676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Senior Deputy</w:t>
            </w:r>
          </w:p>
        </w:tc>
        <w:tc>
          <w:tcPr>
            <w:tcW w:w="676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Counsel and Assistant Secretary</w:t>
            </w:r>
          </w:p>
        </w:tc>
        <w:tc>
          <w:tcPr>
            <w:tcW w:w="6760" w:type="dxa"/>
            <w:vAlign w:val="bottom"/>
          </w:tcPr>
          <w:p>
            <w:pPr>
              <w:spacing w:after="0"/>
              <w:rPr>
                <w:sz w:val="20"/>
                <w:szCs w:val="20"/>
                <w:color w:val="auto"/>
              </w:rPr>
            </w:pPr>
          </w:p>
        </w:tc>
      </w:tr>
      <w:tr>
        <w:trPr>
          <w:trHeight w:val="553"/>
        </w:trPr>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5.168% Note due 2037</w:t>
      </w:r>
    </w:p>
    <w:p>
      <w:pPr>
        <w:spacing w:after="0" w:line="22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Interest.</w:t>
      </w:r>
    </w:p>
    <w:p>
      <w:pPr>
        <w:spacing w:after="0" w:line="248"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2, 2025. The Issuer will pay interest semi-annually in arrears on each Interest Payment Date, commencing January 15, 2026. Interest will be computed on the basis of a 360-day year of twelve 30-day months.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 The Issuer shall pay such additional interest as may be payable pursuant to the Registration Rights Agreement, dated October 9, 2025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among the Issuer, the Guarantors and the joint-lead dealer managers party thereto. The Holders of this Security are entitled to the benefits of the Registration Rights Agreement.</w:t>
      </w:r>
    </w:p>
    <w:p>
      <w:pPr>
        <w:spacing w:after="0" w:line="180"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Method of Payment.</w:t>
      </w:r>
    </w:p>
    <w:p>
      <w:pPr>
        <w:spacing w:after="0" w:line="25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8"/>
          <w:szCs w:val="18"/>
          <w:b w:val="1"/>
          <w:bCs w:val="1"/>
          <w:color w:val="auto"/>
        </w:rPr>
        <w:t>U.S. Legal Tender</w:t>
      </w:r>
      <w:r>
        <w:rPr>
          <w:rFonts w:ascii="Times New Roman" w:cs="Times New Roman" w:eastAsia="Times New Roman" w:hAnsi="Times New Roman"/>
          <w:sz w:val="18"/>
          <w:szCs w:val="18"/>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Paying Agent.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Initially, the Trustee will act as Paying Agent. The Issuer may change any Paying Agent without notice to the Holders.</w:t>
      </w:r>
    </w:p>
    <w:p>
      <w:pPr>
        <w:spacing w:after="0" w:line="22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Indenture.</w:t>
      </w:r>
    </w:p>
    <w:p>
      <w:pPr>
        <w:spacing w:after="0" w:line="2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and as further amended by the Second Supplemental Indenture dated as of July 29, 2022, by and among the Issuer, the Guarantors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194"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Guarantees.</w:t>
      </w:r>
    </w:p>
    <w:p>
      <w:pPr>
        <w:spacing w:after="0" w:line="25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6"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Denominations; Transfer; Exchange.</w:t>
      </w:r>
    </w:p>
    <w:p>
      <w:pPr>
        <w:spacing w:after="0" w:line="252"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87"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Persons Deemed Owners.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Unclaimed Funds.</w:t>
      </w:r>
    </w:p>
    <w:p>
      <w:pPr>
        <w:spacing w:after="0" w:line="25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62"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Legal Defeasance and Covenant Defeasance.</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Amendment; Supplement; Waiver.</w:t>
      </w:r>
    </w:p>
    <w:p>
      <w:pPr>
        <w:spacing w:after="0" w:line="25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Restrictive Covenants.</w:t>
      </w:r>
    </w:p>
    <w:p>
      <w:pPr>
        <w:spacing w:after="0" w:line="25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Redemption.</w:t>
      </w:r>
    </w:p>
    <w:p>
      <w:pPr>
        <w:spacing w:after="0" w:line="248"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Prior to October 15, 2036 (three months prior to the maturity date of the Securities)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Issuer may redeem the Securities at its option, in whole or in part, at any time and from time to time, at a redemption price (expressed as a percentage of the principal amount and rounded to three decimal places) equal to the greater of:</w:t>
      </w:r>
    </w:p>
    <w:p>
      <w:pPr>
        <w:spacing w:after="0" w:line="175" w:lineRule="exact"/>
        <w:rPr>
          <w:sz w:val="20"/>
          <w:szCs w:val="20"/>
          <w:color w:val="auto"/>
        </w:rPr>
      </w:pPr>
    </w:p>
    <w:p>
      <w:pPr>
        <w:ind w:right="420" w:firstLine="656"/>
        <w:spacing w:after="0" w:line="282" w:lineRule="auto"/>
        <w:tabs>
          <w:tab w:leader="none" w:pos="9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for this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7" w:name="page18"/>
    <w:bookmarkEnd w:id="17"/>
    <w:p>
      <w:pPr>
        <w:ind w:right="400"/>
        <w:spacing w:after="0" w:line="282" w:lineRule="auto"/>
        <w:rPr>
          <w:sz w:val="20"/>
          <w:szCs w:val="20"/>
          <w:color w:val="auto"/>
        </w:rPr>
      </w:pPr>
      <w:r>
        <w:rPr>
          <w:rFonts w:ascii="Times New Roman" w:cs="Times New Roman" w:eastAsia="Times New Roman" w:hAnsi="Times New Roman"/>
          <w:sz w:val="18"/>
          <w:szCs w:val="18"/>
          <w:color w:val="auto"/>
        </w:rPr>
        <w:t>purpose, that the Securities matured on the Par Call Date) on a semi-annual basis (assuming a 360-day year consisting of twelve 30-day months) at the Treasury Rate plus 15 basis points, less (b) interest accrued to the date of redemption,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100% of the principal amount of the Securities to be redeemed,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Issuer in accordance with the following two paragraphs.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 w:name="page19"/>
    <w:bookmarkEnd w:id="18"/>
    <w:p>
      <w:pPr>
        <w:ind w:right="280"/>
        <w:spacing w:after="0" w:line="277" w:lineRule="auto"/>
        <w:rPr>
          <w:sz w:val="20"/>
          <w:szCs w:val="20"/>
          <w:color w:val="auto"/>
        </w:rPr>
      </w:pPr>
      <w:r>
        <w:rPr>
          <w:rFonts w:ascii="Times New Roman" w:cs="Times New Roman" w:eastAsia="Times New Roman" w:hAnsi="Times New Roman"/>
          <w:sz w:val="17"/>
          <w:szCs w:val="17"/>
          <w:color w:val="auto"/>
        </w:rPr>
        <w:t>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6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 error. The Trustee shall not be responsible for determining or calculating the redemption price or any component thereof.</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spacing w:after="0" w:line="162" w:lineRule="exact"/>
        <w:rPr>
          <w:sz w:val="20"/>
          <w:szCs w:val="20"/>
          <w:color w:val="auto"/>
        </w:rPr>
      </w:pPr>
    </w:p>
    <w:p>
      <w:pPr>
        <w:ind w:right="160" w:firstLine="648"/>
        <w:spacing w:after="0" w:line="277" w:lineRule="auto"/>
        <w:rPr>
          <w:sz w:val="20"/>
          <w:szCs w:val="20"/>
          <w:color w:val="auto"/>
        </w:rPr>
      </w:pPr>
      <w:r>
        <w:rPr>
          <w:rFonts w:ascii="Times New Roman" w:cs="Times New Roman" w:eastAsia="Times New Roman" w:hAnsi="Times New Roman"/>
          <w:sz w:val="17"/>
          <w:szCs w:val="17"/>
          <w:color w:val="auto"/>
        </w:rPr>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spacing w:after="0" w:line="16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13.</w:t>
        <w:tab/>
        <w:t>Defaults and Remedies.</w:t>
      </w:r>
    </w:p>
    <w:p>
      <w:pPr>
        <w:spacing w:after="0" w:line="2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Securities notice of certain continuing Defaults or Events of Default if it determines that withholding notice is in their interest.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Trustee Dealings with Issuer.</w:t>
      </w:r>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16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No Recourse Against Others.</w:t>
      </w:r>
    </w:p>
    <w:p>
      <w:pPr>
        <w:spacing w:after="0" w:line="2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16.</w:t>
        <w:tab/>
        <w:t>Authentication.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electronically or manually signs the certificate of authentication on this Security.</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Abbreviations and Defined Terms.</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CUSIP Numbers.</w:t>
      </w:r>
    </w:p>
    <w:p>
      <w:pPr>
        <w:spacing w:after="0" w:line="25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Governing Law.</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(Insert Social Security or other identifying number of assignee or transferee)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appoint_________________________________________ agent to transfer this Security on the books of the Issuer. The agent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another to act for him.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_____________________________________ Signed: _____________________________________</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60" w:type="dxa"/>
            <w:vAlign w:val="bottom"/>
          </w:tcPr>
          <w:p>
            <w:pPr>
              <w:spacing w:after="0"/>
              <w:rPr>
                <w:sz w:val="19"/>
                <w:szCs w:val="19"/>
                <w:color w:val="auto"/>
              </w:rPr>
            </w:pPr>
          </w:p>
        </w:tc>
        <w:tc>
          <w:tcPr>
            <w:tcW w:w="92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(Signed exactly as name appears</w:t>
            </w:r>
          </w:p>
        </w:tc>
      </w:tr>
      <w:tr>
        <w:trPr>
          <w:trHeight w:val="234"/>
        </w:trPr>
        <w:tc>
          <w:tcPr>
            <w:tcW w:w="1960" w:type="dxa"/>
            <w:vAlign w:val="bottom"/>
          </w:tcPr>
          <w:p>
            <w:pPr>
              <w:spacing w:after="0"/>
              <w:rPr>
                <w:sz w:val="20"/>
                <w:szCs w:val="20"/>
                <w:color w:val="auto"/>
              </w:rPr>
            </w:pPr>
          </w:p>
        </w:tc>
        <w:tc>
          <w:tcPr>
            <w:tcW w:w="92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on the other side of this Security)</w:t>
            </w:r>
          </w:p>
        </w:tc>
      </w:tr>
      <w:tr>
        <w:trPr>
          <w:trHeight w:val="657"/>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9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w:t>
            </w:r>
          </w:p>
        </w:tc>
      </w:tr>
      <w:tr>
        <w:trPr>
          <w:trHeight w:val="230"/>
        </w:trPr>
        <w:tc>
          <w:tcPr>
            <w:tcW w:w="1960" w:type="dxa"/>
            <w:vAlign w:val="bottom"/>
          </w:tcPr>
          <w:p>
            <w:pPr>
              <w:spacing w:after="0"/>
              <w:rPr>
                <w:sz w:val="19"/>
                <w:szCs w:val="19"/>
                <w:color w:val="auto"/>
              </w:rPr>
            </w:pPr>
          </w:p>
        </w:tc>
        <w:tc>
          <w:tcPr>
            <w:tcW w:w="9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Participant in a recognized Signature Guarantee</w:t>
            </w:r>
          </w:p>
        </w:tc>
      </w:tr>
      <w:tr>
        <w:trPr>
          <w:trHeight w:val="229"/>
        </w:trPr>
        <w:tc>
          <w:tcPr>
            <w:tcW w:w="1960" w:type="dxa"/>
            <w:vAlign w:val="bottom"/>
          </w:tcPr>
          <w:p>
            <w:pPr>
              <w:spacing w:after="0"/>
              <w:rPr>
                <w:sz w:val="19"/>
                <w:szCs w:val="19"/>
                <w:color w:val="auto"/>
              </w:rPr>
            </w:pPr>
          </w:p>
        </w:tc>
        <w:tc>
          <w:tcPr>
            <w:tcW w:w="9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Medallion Program (or other signature guarantor</w:t>
            </w:r>
          </w:p>
        </w:tc>
      </w:tr>
      <w:tr>
        <w:trPr>
          <w:trHeight w:val="234"/>
        </w:trPr>
        <w:tc>
          <w:tcPr>
            <w:tcW w:w="1960" w:type="dxa"/>
            <w:vAlign w:val="bottom"/>
          </w:tcPr>
          <w:p>
            <w:pPr>
              <w:spacing w:after="0"/>
              <w:rPr>
                <w:sz w:val="20"/>
                <w:szCs w:val="20"/>
                <w:color w:val="auto"/>
              </w:rPr>
            </w:pPr>
          </w:p>
        </w:tc>
        <w:tc>
          <w:tcPr>
            <w:tcW w:w="9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program reasonably acceptable to the Trustee)</w:t>
            </w:r>
          </w:p>
        </w:tc>
      </w:tr>
      <w:tr>
        <w:trPr>
          <w:trHeight w:val="560"/>
        </w:trPr>
        <w:tc>
          <w:tcPr>
            <w:tcW w:w="19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ind w:left="362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540" w:right="339" w:bottom="1440" w:gutter="0" w:footer="0" w:header="0"/>
        </w:sectPr>
      </w:pPr>
    </w:p>
    <w:bookmarkStart w:id="21" w:name="page22"/>
    <w:bookmarkEnd w:id="21"/>
    <w:p>
      <w:pPr>
        <w:jc w:val="center"/>
        <w:ind w:right="-79"/>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as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Bank of New York Mellon Trust Company, N.A.</w:t>
      </w:r>
    </w:p>
    <w:p>
      <w:pPr>
        <w:spacing w:after="0" w:line="192" w:lineRule="auto"/>
        <w:rPr>
          <w:sz w:val="20"/>
          <w:szCs w:val="20"/>
          <w:color w:val="auto"/>
        </w:rPr>
      </w:pPr>
      <w:r>
        <w:rPr>
          <w:rFonts w:ascii="Times New Roman" w:cs="Times New Roman" w:eastAsia="Times New Roman" w:hAnsi="Times New Roman"/>
          <w:sz w:val="18"/>
          <w:szCs w:val="18"/>
          <w:color w:val="auto"/>
        </w:rPr>
        <w:t>500 Ross Street,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Pittsburgh, Pennsylvania 15262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5.168% Notes due 2037</w:t>
      </w:r>
    </w:p>
    <w:p>
      <w:pPr>
        <w:spacing w:after="0" w:line="225"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Reference is hereby made to the indenture dated as of September 18, 2013, by and among Comcast Corporation, the guarantors named therein and The Bank of New York Mellon, as trustee, as supplemented by the First Supplemental Indenture dated as of November 17, 2015 and as further supplemented by the Second Supplemental Indenture dated as of July 29, 2022, each by and among Comcast Corporation, the guarantors named therein and The Bank of New York Mellon, as trustee (as amended,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Capitalized terms used but not defined herein shall have the meanings given to them in the Indenture.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 (the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principal amount of $___________ in such Note[s] or interests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to _______________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further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A hereto. In connection with the Transfer, the Transferor hereby certifies that:</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225" w:lineRule="exact"/>
        <w:rPr>
          <w:sz w:val="20"/>
          <w:szCs w:val="20"/>
          <w:color w:val="auto"/>
        </w:rPr>
      </w:pPr>
    </w:p>
    <w:p>
      <w:pPr>
        <w:ind w:firstLine="1304"/>
        <w:spacing w:after="0" w:line="255" w:lineRule="auto"/>
        <w:tabs>
          <w:tab w:leader="none" w:pos="152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144A GLOBAL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the Transferor hereby further certifies that the beneficial interest is being transferred to a Person that the Transferor reasonably believes is purchasing the beneficial interest for its own account, or for one or more accounts with respect to which such Person exercises sole investment discretion, and the Transferor reasonably believes such Person and each such account is a “qualified institutional buyer” within the meaning of Rule 144A in a transaction meeting the requirements of Rule 144A and such Transfer is in compliance with all applicable securities laws of the United States and other jurisdictions.</w:t>
      </w:r>
    </w:p>
    <w:p>
      <w:pPr>
        <w:spacing w:after="0" w:line="188" w:lineRule="exact"/>
        <w:rPr>
          <w:rFonts w:ascii="Times New Roman" w:cs="Times New Roman" w:eastAsia="Times New Roman" w:hAnsi="Times New Roman"/>
          <w:sz w:val="18"/>
          <w:szCs w:val="18"/>
          <w:color w:val="auto"/>
        </w:rPr>
      </w:pPr>
    </w:p>
    <w:p>
      <w:pPr>
        <w:ind w:right="220" w:firstLine="1304"/>
        <w:spacing w:after="0" w:line="282" w:lineRule="auto"/>
        <w:tabs>
          <w:tab w:leader="none" w:pos="15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REGULATION S GLOBAL NOTE PURSUANT TO REGULATION S. The Transfer is being effected pursuant to and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22" w:name="page23"/>
    <w:bookmarkEnd w:id="22"/>
    <w:p>
      <w:pPr>
        <w:spacing w:after="0" w:line="253" w:lineRule="auto"/>
        <w:rPr>
          <w:sz w:val="20"/>
          <w:szCs w:val="20"/>
          <w:color w:val="auto"/>
        </w:rPr>
      </w:pPr>
      <w:r>
        <w:rPr>
          <w:rFonts w:ascii="Times New Roman" w:cs="Times New Roman" w:eastAsia="Times New Roman" w:hAnsi="Times New Roman"/>
          <w:sz w:val="18"/>
          <w:szCs w:val="18"/>
          <w:color w:val="auto"/>
        </w:rPr>
        <w:t>Rule 903 or Rule 904 of Regulation S under the Securities Act or Rule 144 (if available)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and the interest transferred will be held immediately thereafter through Euroclear or Clearstream. Upon consummation of the proposed transfer in accordance with the terms of the Indenture, the transferred beneficial interest will be subject to the restrictions on transfer enumerated in the Indenture and the Securities Act.</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Dated: _________________________</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0712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580" w:right="1059" w:hanging="5572"/>
        <w:spacing w:after="0" w:line="657" w:lineRule="auto"/>
        <w:tabs>
          <w:tab w:leader="none" w:pos="1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7"/>
          <w:szCs w:val="17"/>
          <w:color w:val="auto"/>
        </w:rPr>
        <w:t>ANNEX A TO CERTIFICATE OF TRANSFER</w:t>
      </w:r>
    </w:p>
    <w:p>
      <w:pPr>
        <w:spacing w:after="0" w:line="237" w:lineRule="exact"/>
        <w:rPr>
          <w:sz w:val="20"/>
          <w:szCs w:val="20"/>
          <w:color w:val="auto"/>
        </w:rPr>
      </w:pPr>
    </w:p>
    <w:p>
      <w:pPr>
        <w:ind w:left="3940" w:right="3939" w:hanging="3756"/>
        <w:spacing w:after="0" w:line="530" w:lineRule="auto"/>
        <w:tabs>
          <w:tab w:leader="none" w:pos="63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Transferor owns and proposes to transfer the following: [CHECK ONE]</w:t>
      </w:r>
    </w:p>
    <w:p>
      <w:pPr>
        <w:spacing w:after="0" w:line="1" w:lineRule="exact"/>
        <w:rPr>
          <w:sz w:val="20"/>
          <w:szCs w:val="20"/>
          <w:color w:val="auto"/>
        </w:rPr>
      </w:pPr>
    </w:p>
    <w:p>
      <w:pPr>
        <w:ind w:left="840" w:hanging="656"/>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pacing w:after="0" w:line="22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144A Global Note (CUSIP [ ]), or</w:t>
      </w:r>
    </w:p>
    <w:p>
      <w:pPr>
        <w:spacing w:after="0" w:line="22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Note (CUSIP [ ]), or</w:t>
      </w:r>
    </w:p>
    <w:p>
      <w:pPr>
        <w:spacing w:after="0" w:line="225" w:lineRule="exact"/>
        <w:rPr>
          <w:sz w:val="20"/>
          <w:szCs w:val="20"/>
          <w:color w:val="auto"/>
        </w:rPr>
      </w:pPr>
    </w:p>
    <w:p>
      <w:pPr>
        <w:ind w:left="620" w:hanging="436"/>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[CHECK ONE]</w:t>
      </w:r>
    </w:p>
    <w:p>
      <w:pPr>
        <w:spacing w:after="0" w:line="225" w:lineRule="exact"/>
        <w:rPr>
          <w:sz w:val="20"/>
          <w:szCs w:val="20"/>
          <w:color w:val="auto"/>
        </w:rPr>
      </w:pPr>
    </w:p>
    <w:p>
      <w:pPr>
        <w:ind w:left="840" w:hanging="656"/>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pacing w:after="0" w:line="22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144A Global Note (CUSIP [ ]), or</w:t>
      </w:r>
    </w:p>
    <w:p>
      <w:pPr>
        <w:spacing w:after="0" w:line="22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Note (CUSIP [ ])</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4640"/>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exchanges of a part of this Global Security for certificated Notes or a part of another Global Security have been made: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decrease</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increase</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this Global</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Principal</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Principal</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following such</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authorized</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Date of</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Global</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Global</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decrease or</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signatory of</w:t>
            </w:r>
          </w:p>
        </w:tc>
      </w:tr>
      <w:tr>
        <w:trPr>
          <w:trHeight w:val="234"/>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Exchange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increase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26" w:name="page27"/>
    <w:bookmarkEnd w:id="26"/>
    <w:p>
      <w:pPr>
        <w:ind w:left="10240"/>
        <w:spacing w:after="0"/>
        <w:rPr>
          <w:sz w:val="20"/>
          <w:szCs w:val="20"/>
          <w:color w:val="auto"/>
        </w:rPr>
      </w:pPr>
      <w:r>
        <w:rPr>
          <w:rFonts w:ascii="Times New Roman" w:cs="Times New Roman" w:eastAsia="Times New Roman" w:hAnsi="Times New Roman"/>
          <w:sz w:val="21"/>
          <w:szCs w:val="21"/>
          <w:b w:val="1"/>
          <w:bCs w:val="1"/>
          <w:color w:val="auto"/>
        </w:rPr>
        <w:t>Exhibit 4.2</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$480,046,000 5.168% Notes due 2037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October 9,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Parties Listed on 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made offers to exchange the two series of notes described in the table set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on Schedule II hereto issued by the Company (the “</w:t>
      </w:r>
      <w:r>
        <w:rPr>
          <w:rFonts w:ascii="Times New Roman" w:cs="Times New Roman" w:eastAsia="Times New Roman" w:hAnsi="Times New Roman"/>
          <w:sz w:val="18"/>
          <w:szCs w:val="18"/>
          <w:b w:val="1"/>
          <w:bCs w:val="1"/>
          <w:color w:val="auto"/>
        </w:rPr>
        <w:t>Pool 2 Notes</w:t>
      </w:r>
      <w:r>
        <w:rPr>
          <w:rFonts w:ascii="Times New Roman" w:cs="Times New Roman" w:eastAsia="Times New Roman" w:hAnsi="Times New Roman"/>
          <w:sz w:val="18"/>
          <w:szCs w:val="18"/>
          <w:color w:val="auto"/>
        </w:rPr>
        <w:t>”), for a new series of the Company’s senior notes due January 15, 2037 (the “</w:t>
      </w:r>
      <w:r>
        <w:rPr>
          <w:rFonts w:ascii="Times New Roman" w:cs="Times New Roman" w:eastAsia="Times New Roman" w:hAnsi="Times New Roman"/>
          <w:sz w:val="18"/>
          <w:szCs w:val="18"/>
          <w:b w:val="1"/>
          <w:bCs w:val="1"/>
          <w:color w:val="auto"/>
        </w:rPr>
        <w:t>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and cash, each guaranteed on an unsecured, unsubordinated basis by NBCUniversal,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NBCUniversal</w:t>
      </w:r>
      <w:r>
        <w:rPr>
          <w:rFonts w:ascii="Times New Roman" w:cs="Times New Roman" w:eastAsia="Times New Roman" w:hAnsi="Times New Roman"/>
          <w:sz w:val="18"/>
          <w:szCs w:val="18"/>
          <w:color w:val="auto"/>
        </w:rPr>
        <w:t>”), and Comcast Cable Communications, LLC, a Delaware limited liability company (“</w:t>
      </w:r>
      <w:r>
        <w:rPr>
          <w:rFonts w:ascii="Times New Roman" w:cs="Times New Roman" w:eastAsia="Times New Roman" w:hAnsi="Times New Roman"/>
          <w:sz w:val="18"/>
          <w:szCs w:val="18"/>
          <w:b w:val="1"/>
          <w:bCs w:val="1"/>
          <w:color w:val="auto"/>
        </w:rPr>
        <w:t>Comcast Cable</w:t>
      </w:r>
      <w:r>
        <w:rPr>
          <w:rFonts w:ascii="Times New Roman" w:cs="Times New Roman" w:eastAsia="Times New Roman" w:hAnsi="Times New Roman"/>
          <w:sz w:val="18"/>
          <w:szCs w:val="18"/>
          <w:color w:val="auto"/>
        </w:rPr>
        <w:t>”)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as set forth in the Offering Memorandum, dated September 22, 2025, as supplemented by the Supplement to the Offering Memorandum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29, 2025 (as supplemented, the “</w:t>
      </w:r>
      <w:r>
        <w:rPr>
          <w:rFonts w:ascii="Times New Roman" w:cs="Times New Roman" w:eastAsia="Times New Roman" w:hAnsi="Times New Roman"/>
          <w:sz w:val="18"/>
          <w:szCs w:val="18"/>
          <w:b w:val="1"/>
          <w:bCs w:val="1"/>
          <w:color w:val="auto"/>
        </w:rPr>
        <w:t>Amended Offering Memorandum</w:t>
      </w:r>
      <w:r>
        <w:rPr>
          <w:rFonts w:ascii="Times New Roman" w:cs="Times New Roman" w:eastAsia="Times New Roman" w:hAnsi="Times New Roman"/>
          <w:sz w:val="18"/>
          <w:szCs w:val="18"/>
          <w:color w:val="auto"/>
        </w:rPr>
        <w:t>”), related thereto. The Initial Securities will be issued upon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in the Amended Offering Memorandum, for which the parties listed on Schedule I (the “</w:t>
      </w:r>
      <w:r>
        <w:rPr>
          <w:rFonts w:ascii="Times New Roman" w:cs="Times New Roman" w:eastAsia="Times New Roman" w:hAnsi="Times New Roman"/>
          <w:sz w:val="18"/>
          <w:szCs w:val="18"/>
          <w:b w:val="1"/>
          <w:bCs w:val="1"/>
          <w:color w:val="auto"/>
        </w:rPr>
        <w:t>Joint Lead Dealer Managers</w:t>
      </w:r>
      <w:r>
        <w:rPr>
          <w:rFonts w:ascii="Times New Roman" w:cs="Times New Roman" w:eastAsia="Times New Roman" w:hAnsi="Times New Roman"/>
          <w:sz w:val="18"/>
          <w:szCs w:val="18"/>
          <w:color w:val="auto"/>
        </w:rPr>
        <w:t>”), and the entities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the Joinder Agreement (as defined below) (the “</w:t>
      </w:r>
      <w:r>
        <w:rPr>
          <w:rFonts w:ascii="Times New Roman" w:cs="Times New Roman" w:eastAsia="Times New Roman" w:hAnsi="Times New Roman"/>
          <w:sz w:val="18"/>
          <w:szCs w:val="18"/>
          <w:b w:val="1"/>
          <w:bCs w:val="1"/>
          <w:color w:val="auto"/>
        </w:rPr>
        <w:t>Co-Dealer Managers</w:t>
      </w:r>
      <w:r>
        <w:rPr>
          <w:rFonts w:ascii="Times New Roman" w:cs="Times New Roman" w:eastAsia="Times New Roman" w:hAnsi="Times New Roman"/>
          <w:sz w:val="18"/>
          <w:szCs w:val="18"/>
          <w:color w:val="auto"/>
        </w:rPr>
        <w:t>” and, together with the Joint Lead Dealer Managers, the “</w:t>
      </w:r>
      <w:r>
        <w:rPr>
          <w:rFonts w:ascii="Times New Roman" w:cs="Times New Roman" w:eastAsia="Times New Roman" w:hAnsi="Times New Roman"/>
          <w:sz w:val="18"/>
          <w:szCs w:val="18"/>
          <w:b w:val="1"/>
          <w:bCs w:val="1"/>
          <w:color w:val="auto"/>
        </w:rPr>
        <w:t>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hereto have severally agreed to act as dealer managers, pursuant to a dealer manager agreement, dated as of September 22, 2025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by that certain joinder agreement, dated September 24, 2025 (the “</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Manager Agreement</w:t>
      </w:r>
      <w:r>
        <w:rPr>
          <w:rFonts w:ascii="Times New Roman" w:cs="Times New Roman" w:eastAsia="Times New Roman" w:hAnsi="Times New Roman"/>
          <w:sz w:val="18"/>
          <w:szCs w:val="18"/>
          <w:color w:val="auto"/>
        </w:rPr>
        <w:t>”), among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Guarantors and the several Dealer Managers. The Initial Securities will be issued pursuant to an indenture dated as of September 18,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among the Company, the guarantors 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dated as of November 17, 2015, entered into among the Company, the guarantors named therein, and the Trustee, and as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by the second supplemental indenture dated as of July 29, 2022, entered into among the Company, the guarantors named therein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As an inducement to the Dealer Managers, the Company and the Guarantors agree with the Dealer Managers,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the holders of the Initial Securities and the Exchange Securities (as defined below)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as follows:</w:t>
      </w:r>
    </w:p>
    <w:p>
      <w:pPr>
        <w:spacing w:after="0" w:line="203" w:lineRule="exact"/>
        <w:rPr>
          <w:sz w:val="20"/>
          <w:szCs w:val="20"/>
          <w:color w:val="auto"/>
        </w:rPr>
      </w:pPr>
    </w:p>
    <w:p>
      <w:pPr>
        <w:ind w:left="180"/>
        <w:spacing w:after="0"/>
        <w:tabs>
          <w:tab w:leader="none" w:pos="420" w:val="left"/>
        </w:tabs>
        <w:rPr>
          <w:sz w:val="20"/>
          <w:szCs w:val="20"/>
          <w:color w:val="auto"/>
        </w:rPr>
      </w:pPr>
      <w:r>
        <w:rPr>
          <w:rFonts w:ascii="Times New Roman" w:cs="Times New Roman" w:eastAsia="Times New Roman" w:hAnsi="Times New Roman"/>
          <w:sz w:val="18"/>
          <w:szCs w:val="18"/>
          <w:b w:val="1"/>
          <w:bCs w:val="1"/>
          <w:i w:val="1"/>
          <w:iCs w:val="1"/>
          <w:color w:val="auto"/>
        </w:rPr>
        <w:t>1.</w:t>
      </w:r>
      <w:r>
        <w:rPr>
          <w:sz w:val="20"/>
          <w:szCs w:val="20"/>
          <w:color w:val="auto"/>
        </w:rPr>
        <w:tab/>
      </w:r>
      <w:r>
        <w:rPr>
          <w:rFonts w:ascii="Times New Roman" w:cs="Times New Roman" w:eastAsia="Times New Roman" w:hAnsi="Times New Roman"/>
          <w:sz w:val="17"/>
          <w:szCs w:val="17"/>
          <w:b w:val="1"/>
          <w:bCs w:val="1"/>
          <w:i w:val="1"/>
          <w:iCs w:val="1"/>
          <w:color w:val="auto"/>
        </w:rPr>
        <w:t>Registered Exchange Offer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and the Guarantors shall use their commercially reasonable efforts to, at their own cost, prepare and file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b w:val="1"/>
          <w:bCs w:val="1"/>
          <w:color w:val="auto"/>
        </w:rPr>
        <w:t>Exchange Offer Registration Statement</w:t>
      </w:r>
      <w:r>
        <w:rPr>
          <w:rFonts w:ascii="Times New Roman" w:cs="Times New Roman" w:eastAsia="Times New Roman" w:hAnsi="Times New Roman"/>
          <w:sz w:val="18"/>
          <w:szCs w:val="18"/>
          <w:color w:val="auto"/>
        </w:rPr>
        <w:t>”) on an appropriate form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with respect to a proposed offer (the “</w:t>
      </w:r>
      <w:r>
        <w:rPr>
          <w:rFonts w:ascii="Times New Roman" w:cs="Times New Roman" w:eastAsia="Times New Roman" w:hAnsi="Times New Roman"/>
          <w:sz w:val="18"/>
          <w:szCs w:val="18"/>
          <w:b w:val="1"/>
          <w:bCs w:val="1"/>
          <w:color w:val="auto"/>
        </w:rPr>
        <w:t>Registered Exchange Offer</w:t>
      </w:r>
      <w:r>
        <w:rPr>
          <w:rFonts w:ascii="Times New Roman" w:cs="Times New Roman" w:eastAsia="Times New Roman" w:hAnsi="Times New Roman"/>
          <w:sz w:val="18"/>
          <w:szCs w:val="18"/>
          <w:color w:val="auto"/>
        </w:rPr>
        <w:t>”) to the Holders of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Securities (as defined in Section 6 hereof), who are not prohibited by any law or policy of the Commission from participating in the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Offer, to issue and deliver to such Holders, in exchange for the Initial Securities, a like aggregate principal amount of debt securities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Securities</w:t>
      </w:r>
      <w:r>
        <w:rPr>
          <w:rFonts w:ascii="Times New Roman" w:cs="Times New Roman" w:eastAsia="Times New Roman" w:hAnsi="Times New Roman"/>
          <w:sz w:val="18"/>
          <w:szCs w:val="18"/>
          <w:color w:val="auto"/>
        </w:rPr>
        <w:t>,” and together with the Initial Securities,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the Company issued under the Indenture and identical in all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to the Initial Securities (except for the transfer restrictions relating to the Initial Securities and the provisions relating to the matters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 hereof) that would be registered under the Securities Act. The Company and the Guarantors shall use their commercially reasonable efforts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such Exchange Offer Registration Statement to become effective under the Securities Act within 330 days (or if the 330th day is not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business day thereafter) after the date of original issue of the Initial Securities (the “</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and shall keep the Exchange Offer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effective for not less than 30 business days (or longer, if required by applicable law) after commencement of the Registered Exchange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period being called the “</w:t>
      </w:r>
      <w:r>
        <w:rPr>
          <w:rFonts w:ascii="Times New Roman" w:cs="Times New Roman" w:eastAsia="Times New Roman" w:hAnsi="Times New Roman"/>
          <w:sz w:val="18"/>
          <w:szCs w:val="18"/>
          <w:b w:val="1"/>
          <w:bCs w:val="1"/>
          <w:color w:val="auto"/>
        </w:rPr>
        <w:t>Exchange Offer Registration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 w:name="page28"/>
    <w:bookmarkEnd w:id="27"/>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Company and the Guarantors will use their commercially reasonable efforts to complete the Registered Exchange Offer not later than 360 days after the Issue Date.</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If the Company and the Guarantors effect the Registered Exchange Offer, the Company and the Guarantors will be entitled to close the Registered Exchange Offer 20 business days after the commencement thereof provided that the Company and the Guarantors have accepted all the Initial Securities theretofore validly tendered and not properly withdrawn in accordance with the terms of the Registered Exchange Offer.</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Following the declaration of the effectiveness of the Exchange Offer Registration Statement, the Company and the Guarantors shall promptly commence the Registered Exchange Offer (but in any event not later than 30 days after such effectiveness), it being the objective of such Registered Exchange Offer to enable each Holder of Transfer Restricted Securities electing to exchange the Initial Securities for Exchange Securities (assuming that such Holder is not an affiliate of the Company or any Guarantor within the meaning of the Securities Act, acquires the Exchange Securities in the ordinary course of such Holder’s business and has no arrangements with any person to participate in the distribution of the Exchange Securities and is not prohibited by any law or policy of the Commission from participating in the Registered Exchange Offer) to trade such Exchange Securities from and after their receipt without any limitations or restrictions under the Securities Act.</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and the Guarantors acknowledge that, pursuant to current interpretations by the Commission’s staff of Section 5 of the Securities Act, in the absence of an applicable exemption therefrom, each Holder which is a broker-dealer electing to exchange Initial Securities, acquired for its own account as a result of market making activities or other trading activities, for Exchange Securities (an “</w:t>
      </w:r>
      <w:r>
        <w:rPr>
          <w:rFonts w:ascii="Times New Roman" w:cs="Times New Roman" w:eastAsia="Times New Roman" w:hAnsi="Times New Roman"/>
          <w:sz w:val="18"/>
          <w:szCs w:val="18"/>
          <w:b w:val="1"/>
          <w:bCs w:val="1"/>
          <w:color w:val="auto"/>
        </w:rPr>
        <w:t>Exchanging Dealer</w:t>
      </w:r>
      <w:r>
        <w:rPr>
          <w:rFonts w:ascii="Times New Roman" w:cs="Times New Roman" w:eastAsia="Times New Roman" w:hAnsi="Times New Roman"/>
          <w:sz w:val="18"/>
          <w:szCs w:val="18"/>
          <w:color w:val="auto"/>
        </w:rPr>
        <w:t>”), is required to deliver a prospectus containing the information set forth in (a) Annex A hereto on the cover, (b) Annex B hereto in the “</w:t>
      </w:r>
      <w:r>
        <w:rPr>
          <w:rFonts w:ascii="Times New Roman" w:cs="Times New Roman" w:eastAsia="Times New Roman" w:hAnsi="Times New Roman"/>
          <w:sz w:val="18"/>
          <w:szCs w:val="18"/>
          <w:b w:val="1"/>
          <w:bCs w:val="1"/>
          <w:color w:val="auto"/>
        </w:rPr>
        <w:t>Description of the Exchange Offer</w:t>
      </w:r>
      <w:r>
        <w:rPr>
          <w:rFonts w:ascii="Times New Roman" w:cs="Times New Roman" w:eastAsia="Times New Roman" w:hAnsi="Times New Roman"/>
          <w:sz w:val="18"/>
          <w:szCs w:val="18"/>
          <w:color w:val="auto"/>
        </w:rPr>
        <w:t>” or similar section, and (c) Annex C hereto in the “</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 section of such prospectus in connection with a sale of any such Exchange Securities received by such Exchanging Dealer pursuant to the Registered Exchange Offer.</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and the Guarantors shall use their commercially reasonable efforts to keep the Exchange Offer Registration Statement effective and to amend and supplement the prospectus contained therein, in order to permit such prospectus to be lawfully delivered by all persons subject to the prospectus delivery requirements of the Securities Act for such period of time as such persons must comply with such requirements in order to resell the Exchange Securities; provided, however, that in the case where such prospectus and any amendment or supplement thereto must be delivered by an Exchanging Dealer or a Dealer Manager, such period shall be the lesser of 90 days and the date on which all Exchanging Dealers and the Dealer Managers have sold all Exchange Securities held by them (unless such period is extended pursuant to Section 3(f) below).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Registered Exchange Offer, the Company and the Guarantors shall:</w:t>
      </w:r>
    </w:p>
    <w:p>
      <w:pPr>
        <w:spacing w:after="0" w:line="225" w:lineRule="exact"/>
        <w:rPr>
          <w:sz w:val="20"/>
          <w:szCs w:val="20"/>
          <w:color w:val="auto"/>
        </w:rPr>
      </w:pPr>
    </w:p>
    <w:p>
      <w:pPr>
        <w:ind w:right="260" w:firstLine="332"/>
        <w:spacing w:after="0" w:line="282" w:lineRule="auto"/>
        <w:tabs>
          <w:tab w:leader="none" w:pos="6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to each Holder an electronic copy of the prospectus forming part of the Exchange Offer Registration Statement, together with any letter of transmittal used in connection with the Registered Exchange Offer and related documents;</w:t>
      </w:r>
    </w:p>
    <w:p>
      <w:pPr>
        <w:spacing w:after="0" w:line="161" w:lineRule="exact"/>
        <w:rPr>
          <w:rFonts w:ascii="Times New Roman" w:cs="Times New Roman" w:eastAsia="Times New Roman" w:hAnsi="Times New Roman"/>
          <w:sz w:val="18"/>
          <w:szCs w:val="18"/>
          <w:color w:val="auto"/>
        </w:rPr>
      </w:pPr>
    </w:p>
    <w:p>
      <w:pPr>
        <w:ind w:right="60" w:firstLine="332"/>
        <w:spacing w:after="0" w:line="282" w:lineRule="auto"/>
        <w:tabs>
          <w:tab w:leader="none" w:pos="6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the services of a depositary for the Registered Exchange Offer with an address in the Borough of Manhattan, The City of New York, which may be the Trustee or an affiliate of the Trustee;</w:t>
      </w:r>
    </w:p>
    <w:p>
      <w:pPr>
        <w:spacing w:after="0" w:line="161" w:lineRule="exact"/>
        <w:rPr>
          <w:rFonts w:ascii="Times New Roman" w:cs="Times New Roman" w:eastAsia="Times New Roman" w:hAnsi="Times New Roman"/>
          <w:sz w:val="18"/>
          <w:szCs w:val="18"/>
          <w:color w:val="auto"/>
        </w:rPr>
      </w:pPr>
    </w:p>
    <w:p>
      <w:pPr>
        <w:ind w:right="440" w:firstLine="332"/>
        <w:spacing w:after="0" w:line="282" w:lineRule="auto"/>
        <w:tabs>
          <w:tab w:leader="none" w:pos="6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Holders to withdraw tendered Securities at any time prior to the close of business, Eastern time, on the last business day on which the Registered Exchange Offer shall remain open; and</w:t>
      </w:r>
    </w:p>
    <w:p>
      <w:pPr>
        <w:spacing w:after="0" w:line="161"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applicable laws.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soon as practicable after the close of the Registered Exchange Offer, the Company and the Guarantors shall:</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exchange all the Initial Securities validly tendered and not withdrawn pursuant to the Registered Exchange Offer;</w:t>
      </w:r>
    </w:p>
    <w:p>
      <w:pPr>
        <w:spacing w:after="0" w:line="225"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for cancellation all the Initial Securities so accepted for exchange; and</w:t>
      </w:r>
    </w:p>
    <w:p>
      <w:pPr>
        <w:spacing w:after="0" w:line="225" w:lineRule="exact"/>
        <w:rPr>
          <w:rFonts w:ascii="Times New Roman" w:cs="Times New Roman" w:eastAsia="Times New Roman" w:hAnsi="Times New Roman"/>
          <w:sz w:val="18"/>
          <w:szCs w:val="18"/>
          <w:color w:val="auto"/>
        </w:rPr>
      </w:pPr>
    </w:p>
    <w:p>
      <w:pPr>
        <w:ind w:right="40" w:firstLine="332"/>
        <w:spacing w:after="0" w:line="282" w:lineRule="auto"/>
        <w:tabs>
          <w:tab w:leader="none" w:pos="6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Trustee to authenticate and deliver promptly to each Holder of the Initial Securities Exchange Securities equal in principal amount to the Initial Securities of such Holder so accepted for exchange.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 w:name="page29"/>
    <w:bookmarkEnd w:id="28"/>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Each Holder participating in the Registered Exchange Offer shall be required to represent to the Company and the Guarantors that at the time of the consummation of the Registered Exchange Offer (i) any Initial Securities being exchanged by such Holder, and any Exchange Securities received by such Holder, have been or will be acquired in the ordinary course of business, (ii) such Holder is not engaged and does not intend to engage in and will have no arrangements or understanding with any person to participate in the distribution, within the meaning of the Securities Act, of the Initial Securities or the Exchange Securities, (iii) such Holder is not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as defined in Rule 405 of the Securities Act, of the Company or any Guarantor or if it is an affiliate, such Holder will comply with the registration and prospectus delivery requirements of the Securities Act to the extent applicable, (iv) if such Holder is not a broker-dealer, that it is not engaged in, and does not intend to engage in, the distribution, within the meaning of the Securities Act, of the Exchange Securities and (v) if such Holder is a broker-dealer, that it will receive Exchange Securities for its own account in exchange for Initial Securities that were acquired as a result of market-making activities or other trading activities and that it will be required to acknowledge that it will deliver a prospectus in connection with any resale of such Exchange Securities.</w:t>
      </w:r>
    </w:p>
    <w:p>
      <w:pPr>
        <w:spacing w:after="0" w:line="190" w:lineRule="exact"/>
        <w:rPr>
          <w:sz w:val="20"/>
          <w:szCs w:val="20"/>
          <w:color w:val="auto"/>
        </w:rPr>
      </w:pPr>
    </w:p>
    <w:p>
      <w:pPr>
        <w:ind w:left="180"/>
        <w:spacing w:after="0"/>
        <w:tabs>
          <w:tab w:leader="none" w:pos="420" w:val="left"/>
        </w:tabs>
        <w:rPr>
          <w:sz w:val="20"/>
          <w:szCs w:val="20"/>
          <w:color w:val="auto"/>
        </w:rPr>
      </w:pPr>
      <w:r>
        <w:rPr>
          <w:rFonts w:ascii="Times New Roman" w:cs="Times New Roman" w:eastAsia="Times New Roman" w:hAnsi="Times New Roman"/>
          <w:sz w:val="18"/>
          <w:szCs w:val="18"/>
          <w:b w:val="1"/>
          <w:bCs w:val="1"/>
          <w:i w:val="1"/>
          <w:iCs w:val="1"/>
          <w:color w:val="auto"/>
        </w:rPr>
        <w:t>2.</w:t>
        <w:tab/>
        <w:t>Shelf Registration</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(i) because of any change in law or in applicable interpretations thereof by the staff of the Commission, the Company and the Guarantors determine that they are not permitted to effect a Registered Exchange Offer, as contemplated by Section 1 hereof, (ii) the Registered Exchange Offer is not consummated within 360 days of the Issue Date, (iii) any Holder (other than as a result of the status of any such Holder as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the Company or any Guarantor or as a broker-dealer) notifies the Company and the Guarantors prior to the 20th day following completion of the Registered Exchange Offer that it is not eligible to participate in the Registered Exchange Offer or, in the case of any Holder that participates in the Registered Exchange Offer, such Holder does not receive freely tradeable Exchange Securities on the date of the exchange (it being understood that the requirement that an Exchanging Dealer deliver a prospectus containing the information set forth in (a) Annex A hereto on the cover, (b) Annex B hereto in the “</w:t>
      </w:r>
      <w:r>
        <w:rPr>
          <w:rFonts w:ascii="Times New Roman" w:cs="Times New Roman" w:eastAsia="Times New Roman" w:hAnsi="Times New Roman"/>
          <w:sz w:val="18"/>
          <w:szCs w:val="18"/>
          <w:b w:val="1"/>
          <w:bCs w:val="1"/>
          <w:color w:val="auto"/>
        </w:rPr>
        <w:t>Description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 Offer</w:t>
      </w:r>
      <w:r>
        <w:rPr>
          <w:rFonts w:ascii="Times New Roman" w:cs="Times New Roman" w:eastAsia="Times New Roman" w:hAnsi="Times New Roman"/>
          <w:sz w:val="18"/>
          <w:szCs w:val="18"/>
          <w:color w:val="auto"/>
        </w:rPr>
        <w:t>” or similar section, and (c) Annex C hereto in the “</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 in connection with a sale of any such Exchange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by such Exchanging Dealer pursuant to the Registered Exchange Offer shall not result in such Exchange Securities being not “</w:t>
      </w:r>
      <w:r>
        <w:rPr>
          <w:rFonts w:ascii="Times New Roman" w:cs="Times New Roman" w:eastAsia="Times New Roman" w:hAnsi="Times New Roman"/>
          <w:sz w:val="18"/>
          <w:szCs w:val="18"/>
          <w:b w:val="1"/>
          <w:bCs w:val="1"/>
          <w:color w:val="auto"/>
        </w:rPr>
        <w:t>freely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transferable</w:t>
      </w:r>
      <w:r>
        <w:rPr>
          <w:rFonts w:ascii="Times New Roman" w:cs="Times New Roman" w:eastAsia="Times New Roman" w:hAnsi="Times New Roman"/>
          <w:sz w:val="18"/>
          <w:szCs w:val="18"/>
          <w:color w:val="auto"/>
        </w:rPr>
        <w:t>”), or (iv) the Company and the Guarantors so elect, the Company and the Guarantors shall, at their reasonable costs, take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w:t>
      </w:r>
    </w:p>
    <w:p>
      <w:pPr>
        <w:spacing w:after="0" w:line="192" w:lineRule="exact"/>
        <w:rPr>
          <w:sz w:val="20"/>
          <w:szCs w:val="20"/>
          <w:color w:val="auto"/>
        </w:rPr>
      </w:pPr>
    </w:p>
    <w:p>
      <w:pPr>
        <w:ind w:right="20" w:firstLine="332"/>
        <w:spacing w:after="0" w:line="253"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as promptly as practicable (but in no event more than 180 days after so required or requested pursuant to this Section 2) file with the Commission and thereafter shall use their commercially reasonable efforts to cause to be declared effective (unless it becomes effective automatically upon filing), within 270 days after the Company and the Guarantors are so required or requested pursuant to this Section 2, a shelf registration statement (the “</w:t>
      </w:r>
      <w:r>
        <w:rPr>
          <w:rFonts w:ascii="Times New Roman" w:cs="Times New Roman" w:eastAsia="Times New Roman" w:hAnsi="Times New Roman"/>
          <w:sz w:val="18"/>
          <w:szCs w:val="18"/>
          <w:b w:val="1"/>
          <w:bCs w:val="1"/>
          <w:color w:val="auto"/>
        </w:rPr>
        <w:t>Shelf Registration Statement</w:t>
      </w:r>
      <w:r>
        <w:rPr>
          <w:rFonts w:ascii="Times New Roman" w:cs="Times New Roman" w:eastAsia="Times New Roman" w:hAnsi="Times New Roman"/>
          <w:sz w:val="18"/>
          <w:szCs w:val="18"/>
          <w:color w:val="auto"/>
        </w:rPr>
        <w:t>” and, together with the Exchange Offer Registration Statement, a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on an appropriate form under the Securities Act relating to the offer and sale of the Transfer Restricted Securities (as defined in Section 6 hereof) by the Holders thereof from time to time in accordance with the methods of distribution set forth in the Shelf Registration Statement and Rule 415 under the Securities Act (hereinafter, the “</w:t>
      </w:r>
      <w:r>
        <w:rPr>
          <w:rFonts w:ascii="Times New Roman" w:cs="Times New Roman" w:eastAsia="Times New Roman" w:hAnsi="Times New Roman"/>
          <w:sz w:val="18"/>
          <w:szCs w:val="18"/>
          <w:b w:val="1"/>
          <w:bCs w:val="1"/>
          <w:color w:val="auto"/>
        </w:rPr>
        <w:t>Shelf Registration</w:t>
      </w:r>
      <w:r>
        <w:rPr>
          <w:rFonts w:ascii="Times New Roman" w:cs="Times New Roman" w:eastAsia="Times New Roman" w:hAnsi="Times New Roman"/>
          <w:sz w:val="18"/>
          <w:szCs w:val="18"/>
          <w:color w:val="auto"/>
        </w:rPr>
        <w:t>”) or, if permitted by 430B under the Securities Act, otherwise designate an existing effective Shelf Registration Statement for use by the Holders as a Shelf Registration Statement relating to the resales of the Transfer Restricted Securities; provided, however, that no Holder (other than a Dealer Manager) shall be entitled to have the Securities held by it covered by such Shelf Registration Statement unless such Holder agrees in writing to be bound by all the provisions of this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applicable to such Holder.</w:t>
      </w:r>
    </w:p>
    <w:p>
      <w:pPr>
        <w:spacing w:after="0" w:line="194" w:lineRule="exact"/>
        <w:rPr>
          <w:rFonts w:ascii="Times New Roman" w:cs="Times New Roman" w:eastAsia="Times New Roman" w:hAnsi="Times New Roman"/>
          <w:sz w:val="18"/>
          <w:szCs w:val="18"/>
          <w:color w:val="auto"/>
        </w:rPr>
      </w:pPr>
    </w:p>
    <w:p>
      <w:pPr>
        <w:ind w:right="140" w:firstLine="332"/>
        <w:spacing w:after="0" w:line="261" w:lineRule="auto"/>
        <w:tabs>
          <w:tab w:leader="none" w:pos="66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use their commercially reasonable efforts to keep the Shelf Registration Statement continuously effective in order to permit the prospectus included therein to be lawfully delivered by the Holders of the relevant Securities, for a period of one year (or for such longer period if extended pursuant to Section 3(f) below) from effectiveness of the Shelf Registration Statement or such shorter period that will terminate when all the Securities covered by the Shelf Registration Statement have been sold pursuant thereto.</w:t>
      </w:r>
    </w:p>
    <w:p>
      <w:pPr>
        <w:spacing w:after="0" w:line="175" w:lineRule="exact"/>
        <w:rPr>
          <w:rFonts w:ascii="Times New Roman" w:cs="Times New Roman" w:eastAsia="Times New Roman" w:hAnsi="Times New Roman"/>
          <w:sz w:val="18"/>
          <w:szCs w:val="18"/>
          <w:color w:val="auto"/>
        </w:rPr>
      </w:pPr>
    </w:p>
    <w:p>
      <w:pPr>
        <w:ind w:left="440" w:hanging="264"/>
        <w:spacing w:after="0"/>
        <w:tabs>
          <w:tab w:leader="none" w:pos="44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Registration Procedures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any Shelf Registration contemplated by Section 2 hereof and, to the extent applicable, any Registered Exchange Offer contemplated by Section 1 hereof, the following provisions shall apply: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(a)  The Company and the Guarantors shall (i) include the information set forth in Annex A hereto on the cover, in Annex B hereto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Description of the Exchange Offer</w:t>
      </w:r>
      <w:r>
        <w:rPr>
          <w:rFonts w:ascii="Times New Roman" w:cs="Times New Roman" w:eastAsia="Times New Roman" w:hAnsi="Times New Roman"/>
          <w:sz w:val="18"/>
          <w:szCs w:val="18"/>
          <w:color w:val="auto"/>
        </w:rPr>
        <w:t>” or similar section and in Annex C hereto in the “</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 section of the prospectus forming a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Offer Registration Statement and include the information set forth in Annex D hereto in any Letter of Transmittal delivered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Exchange Offer; (ii) include within the prospectus contained in the Exchange Offer Registration Statement a section entitled “</w:t>
      </w:r>
      <w:r>
        <w:rPr>
          <w:rFonts w:ascii="Times New Roman" w:cs="Times New Roman" w:eastAsia="Times New Roman" w:hAnsi="Times New Roman"/>
          <w:sz w:val="18"/>
          <w:szCs w:val="18"/>
          <w:b w:val="1"/>
          <w:bCs w:val="1"/>
          <w:color w:val="auto"/>
        </w:rPr>
        <w:t>Plan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w:t>
      </w:r>
      <w:r>
        <w:rPr>
          <w:rFonts w:ascii="Times New Roman" w:cs="Times New Roman" w:eastAsia="Times New Roman" w:hAnsi="Times New Roman"/>
          <w:sz w:val="17"/>
          <w:szCs w:val="17"/>
          <w:color w:val="auto"/>
        </w:rPr>
        <w:t>,” which shall contain a summary statement of the positions taken or policies made by the staff of the Commission with respect to the potential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status of any broker-dealer that is the beneficial owner (as defined in Rule 13d-3 under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Exchange Securities received by such broker-dealer in the Registered Exchange Offer (a “</w:t>
      </w:r>
      <w:r>
        <w:rPr>
          <w:rFonts w:ascii="Times New Roman" w:cs="Times New Roman" w:eastAsia="Times New Roman" w:hAnsi="Times New Roman"/>
          <w:sz w:val="18"/>
          <w:szCs w:val="18"/>
          <w:b w:val="1"/>
          <w:bCs w:val="1"/>
          <w:color w:val="auto"/>
        </w:rPr>
        <w:t>Participating Broker-Dealer</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jc w:val="both"/>
        <w:ind w:right="240" w:firstLine="8"/>
        <w:spacing w:after="0" w:line="277" w:lineRule="auto"/>
        <w:tabs>
          <w:tab w:leader="none" w:pos="30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Shelf Registration Statement, include in the prospectus included in the Shelf Registration Statement (or, if permitted by Commission Rule 430B(b), in a prospectus supplement that becomes a part thereof pursuant to Commission Rule 430B(f)) that is delivered to any Holder pursuant to Section 3(d), the names of the Holders, who propose to sell Securities pursuant to the Shelf Registration Statement, as selling security holders.</w:t>
      </w:r>
    </w:p>
    <w:p>
      <w:pPr>
        <w:spacing w:after="0" w:line="168" w:lineRule="exact"/>
        <w:rPr>
          <w:rFonts w:ascii="Times New Roman" w:cs="Times New Roman" w:eastAsia="Times New Roman" w:hAnsi="Times New Roman"/>
          <w:sz w:val="17"/>
          <w:szCs w:val="17"/>
          <w:color w:val="auto"/>
        </w:rPr>
      </w:pPr>
    </w:p>
    <w:p>
      <w:pPr>
        <w:ind w:right="240" w:firstLine="332"/>
        <w:spacing w:after="0" w:line="261" w:lineRule="auto"/>
        <w:tabs>
          <w:tab w:leader="none" w:pos="6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give notice to the Dealer Managers, the Holders of the Securities (in case of any Shelf Registration Statement) and any Participating Broker-Dealer from whom the Company and the Guarantors have received prior written notice that it will be a Participating Broker-Dealer in the Registered Exchange Offer (which notice pursuant to clauses (i)-(iv) hereof shall be accompanied by an instruction to suspend the use of the prospectus until the requisite changes have been made):</w:t>
      </w:r>
    </w:p>
    <w:p>
      <w:pPr>
        <w:spacing w:after="0" w:line="180" w:lineRule="exact"/>
        <w:rPr>
          <w:sz w:val="20"/>
          <w:szCs w:val="20"/>
          <w:color w:val="auto"/>
        </w:rPr>
      </w:pPr>
    </w:p>
    <w:p>
      <w:pPr>
        <w:ind w:right="80" w:firstLine="332"/>
        <w:spacing w:after="0" w:line="282" w:lineRule="auto"/>
        <w:tabs>
          <w:tab w:leader="none" w:pos="6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or any amendment thereto has been filed with the Commission and when the Registration Statement or any post-effective amendment thereto has become effective;</w:t>
      </w:r>
    </w:p>
    <w:p>
      <w:pPr>
        <w:spacing w:after="0" w:line="161"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request by the Commission for amendments or supplements to the Registration Statement or the prospectus included therein;</w:t>
      </w:r>
    </w:p>
    <w:p>
      <w:pPr>
        <w:spacing w:after="0" w:line="225" w:lineRule="exact"/>
        <w:rPr>
          <w:rFonts w:ascii="Times New Roman" w:cs="Times New Roman" w:eastAsia="Times New Roman" w:hAnsi="Times New Roman"/>
          <w:sz w:val="18"/>
          <w:szCs w:val="18"/>
          <w:color w:val="auto"/>
        </w:rPr>
      </w:pPr>
    </w:p>
    <w:p>
      <w:pPr>
        <w:ind w:right="140" w:firstLine="332"/>
        <w:spacing w:after="0" w:line="266" w:lineRule="auto"/>
        <w:tabs>
          <w:tab w:leader="none" w:pos="7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or the initiation of any proceedings for that purpose and of the happening of any event that causes the Company or any Guarantor to become an “</w:t>
      </w:r>
      <w:r>
        <w:rPr>
          <w:rFonts w:ascii="Times New Roman" w:cs="Times New Roman" w:eastAsia="Times New Roman" w:hAnsi="Times New Roman"/>
          <w:sz w:val="18"/>
          <w:szCs w:val="18"/>
          <w:b w:val="1"/>
          <w:bCs w:val="1"/>
          <w:color w:val="auto"/>
        </w:rPr>
        <w:t>ineligible issuer</w:t>
      </w:r>
      <w:r>
        <w:rPr>
          <w:rFonts w:ascii="Times New Roman" w:cs="Times New Roman" w:eastAsia="Times New Roman" w:hAnsi="Times New Roman"/>
          <w:sz w:val="18"/>
          <w:szCs w:val="18"/>
          <w:color w:val="auto"/>
        </w:rPr>
        <w:t>,” as defined in Commission Rule 405; and</w:t>
      </w:r>
    </w:p>
    <w:p>
      <w:pPr>
        <w:spacing w:after="0" w:line="175" w:lineRule="exact"/>
        <w:rPr>
          <w:rFonts w:ascii="Times New Roman" w:cs="Times New Roman" w:eastAsia="Times New Roman" w:hAnsi="Times New Roman"/>
          <w:sz w:val="18"/>
          <w:szCs w:val="18"/>
          <w:color w:val="auto"/>
        </w:rPr>
      </w:pPr>
    </w:p>
    <w:p>
      <w:pPr>
        <w:ind w:right="160" w:firstLine="332"/>
        <w:spacing w:after="0" w:line="282" w:lineRule="auto"/>
        <w:tabs>
          <w:tab w:leader="none" w:pos="7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and the Guarantors or their legal counsel of any notification with respect to the suspension of the qualification of the Securities for sale in any jurisdiction or the initiation or overtly threatening of any proceeding for such purpose.</w:t>
      </w:r>
    </w:p>
    <w:p>
      <w:pPr>
        <w:spacing w:after="0" w:line="162" w:lineRule="exact"/>
        <w:rPr>
          <w:sz w:val="20"/>
          <w:szCs w:val="20"/>
          <w:color w:val="auto"/>
        </w:rPr>
      </w:pPr>
    </w:p>
    <w:p>
      <w:pPr>
        <w:ind w:right="380" w:firstLine="332"/>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use commercially reasonable effort to obtain the withdrawal at the earliest possible time, of any order suspending the effectiveness of the Registration Statement.</w:t>
      </w:r>
    </w:p>
    <w:p>
      <w:pPr>
        <w:spacing w:after="0" w:line="161" w:lineRule="exact"/>
        <w:rPr>
          <w:rFonts w:ascii="Times New Roman" w:cs="Times New Roman" w:eastAsia="Times New Roman" w:hAnsi="Times New Roman"/>
          <w:sz w:val="18"/>
          <w:szCs w:val="18"/>
          <w:color w:val="auto"/>
        </w:rPr>
      </w:pPr>
    </w:p>
    <w:p>
      <w:pPr>
        <w:ind w:right="100" w:firstLine="332"/>
        <w:spacing w:after="0" w:line="256" w:lineRule="auto"/>
        <w:tabs>
          <w:tab w:leader="none" w:pos="6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during the period for which the Company and the Guarantors are required to maintain an effective Registration Statement, deliver to each Holder of Securities included within the coverage of the Shelf Registration, without charge, as many copies of the prospectus (including each preliminary prospectus) included in the Shelf Registration Statement and any amendment or supplement thereto as such person may reasonably request. The Company and the Guarantors consent, subject to the provisions of this Agreement, to the use of the prospectus or any amendment or supplement thereto by each of the selling Holders of the Securities in connection with the offering and sale of the Securities covered by the prospectus, or any amendment or supplement thereto, included in the Shelf Registration Statement.</w:t>
      </w:r>
    </w:p>
    <w:p>
      <w:pPr>
        <w:spacing w:after="0" w:line="187" w:lineRule="exact"/>
        <w:rPr>
          <w:rFonts w:ascii="Times New Roman" w:cs="Times New Roman" w:eastAsia="Times New Roman" w:hAnsi="Times New Roman"/>
          <w:sz w:val="18"/>
          <w:szCs w:val="18"/>
          <w:color w:val="auto"/>
        </w:rPr>
      </w:pPr>
    </w:p>
    <w:p>
      <w:pPr>
        <w:ind w:right="100" w:firstLine="332"/>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deliver to each Dealer Manager, any Exchanging Dealer, any Participating Broker-Dealer and such other persons required to deliver a prospectus following the Registered Exchange Offer, without charge, as many electronic copies of the final prospectus included in the Exchange Offer Registration Statement and any amendment or supplement thereto as such persons may reasonably request. The Company and the Guarantors consent, subject to the provisions of this Agreement, to the use of the prospectus or any amendment or supplement thereto by any Dealer Manager, if necessary, any Participating Broker-Dealer and such other persons required to deliver a prospectus following the Registered Exchange Offer in connection with the offering and sale of the Exchange Securities covered by the prospectus, or any amendment or supplement thereto, included in such Exchange Offer Registration Statement.</w:t>
      </w:r>
    </w:p>
    <w:p>
      <w:pPr>
        <w:spacing w:after="0" w:line="188" w:lineRule="exact"/>
        <w:rPr>
          <w:rFonts w:ascii="Times New Roman" w:cs="Times New Roman" w:eastAsia="Times New Roman" w:hAnsi="Times New Roman"/>
          <w:sz w:val="18"/>
          <w:szCs w:val="18"/>
          <w:color w:val="auto"/>
        </w:rPr>
      </w:pPr>
    </w:p>
    <w:p>
      <w:pPr>
        <w:ind w:firstLine="332"/>
        <w:spacing w:after="0" w:line="282" w:lineRule="auto"/>
        <w:tabs>
          <w:tab w:leader="none" w:pos="6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paragraphs (i) through (iv) of Section 3(b) above during the period for which the Company and the Guarantors are required to maintain an effective Registration Statement,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t>the Company and the Guarantors shall promptly prepare and file a post-effective amendment to the Registration Statement or a supplement to the related prospectus and any other required document so that, as thereafter delivered to Holders of the Securities or purchasers of Securities, the prospectus will not contain an untrue statement of a material fact or omit to state any material fact required to be stated therein or necessary to make the statements therein, in light of the circumstances under which they were made, not misleading. The Company and the Guarantors shall also promptly provide notice to the Dealer Managers, the Holders of the Securities (in case of any Shelf Registration Statement) and any known Participating Broker-Dealer of their determination to suspend the availability of a Registration Statement and the related prospectus because the continued effectiveness and use of such Registration Statement and prospectus included therein would require the disclosure of confidential information or interfere with any acquisition, corporate reorganization or other material transaction involving the Company and the Guarantors or any of their respective consolidated subsidiaries (it being understood that such notice may disclose only the existence of such determination and need not disclose the nature of the basis therefor, which may be kept confidential for such period as may reasonably be required for bona fide business reasons). If the Company and the Guarantors notify the Dealer Managers, the Holders of the Securities and any known Participating Broker-Dealer in accordance with paragraphs (i) through (iv) of Section 3(b) above to suspend the use of the prospectus until the requisite changes to the prospectus have been made, then the Dealer Managers, the Holders of the Securities and any such Participating Broker-Dealers shall suspend use of such prospectus, and the period of effectiveness of the Shelf Registration Statement provided for in Section 2(b) above and the Exchange Offer Registration Statement provided for in Section 1 above, as applicable, shall each be extended by the number of days from and including the date of the giving of such notice to and including the date when the Dealer Managers, the Holders of the Securities and any known Participating Broker-Dealer shall have received such amended or supplemented prospectus pursuant to this Section 3(f). During the period during which the Company and the Guarantors are required to maintain an effective Shelf Registration Statement pursuant to this Agreement, the Company and the Guarantors will prior to the three-year expiration of that Shelf Registration Statement file, and use their commercially reasonable efforts to cause to be declared effective (unless it becomes effective automatically upon filing) within a period that avoids any interruption in the ability of Holders of Securities covered by the expiring Shelf Registration Statement to make registered dispositions, a new registration statement relating to the Securities, which shall be deemed the “</w:t>
      </w:r>
      <w:r>
        <w:rPr>
          <w:rFonts w:ascii="Times New Roman" w:cs="Times New Roman" w:eastAsia="Times New Roman" w:hAnsi="Times New Roman"/>
          <w:sz w:val="18"/>
          <w:szCs w:val="18"/>
          <w:b w:val="1"/>
          <w:bCs w:val="1"/>
          <w:color w:val="auto"/>
        </w:rPr>
        <w:t>Shelf Registration Statement</w:t>
      </w:r>
      <w:r>
        <w:rPr>
          <w:rFonts w:ascii="Times New Roman" w:cs="Times New Roman" w:eastAsia="Times New Roman" w:hAnsi="Times New Roman"/>
          <w:sz w:val="18"/>
          <w:szCs w:val="18"/>
          <w:color w:val="auto"/>
        </w:rPr>
        <w:t>” for purposes of this Agreement.</w:t>
      </w:r>
    </w:p>
    <w:p>
      <w:pPr>
        <w:spacing w:after="0" w:line="188" w:lineRule="exact"/>
        <w:rPr>
          <w:sz w:val="20"/>
          <w:szCs w:val="20"/>
          <w:color w:val="auto"/>
        </w:rPr>
      </w:pPr>
    </w:p>
    <w:p>
      <w:pPr>
        <w:jc w:val="both"/>
        <w:ind w:right="160" w:firstLine="332"/>
        <w:spacing w:after="0" w:line="266" w:lineRule="auto"/>
        <w:tabs>
          <w:tab w:leader="none" w:pos="6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effective date of the applicable Registration Statement, the Company and the Guarantors will provide a CUSIP number for the Initial Securities or the Exchange Securities, as the case may be, and provide the applicable trustee with printed certificates for the Initial Securities or the Exchange Securities, as the case may be, in a form eligible for deposit with The Depository Trust Company.</w:t>
      </w:r>
    </w:p>
    <w:p>
      <w:pPr>
        <w:spacing w:after="0" w:line="175" w:lineRule="exact"/>
        <w:rPr>
          <w:rFonts w:ascii="Times New Roman" w:cs="Times New Roman" w:eastAsia="Times New Roman" w:hAnsi="Times New Roman"/>
          <w:sz w:val="18"/>
          <w:szCs w:val="18"/>
          <w:color w:val="auto"/>
        </w:rPr>
      </w:pPr>
    </w:p>
    <w:p>
      <w:pPr>
        <w:ind w:right="180" w:firstLine="332"/>
        <w:spacing w:after="0" w:line="282" w:lineRule="auto"/>
        <w:tabs>
          <w:tab w:leader="none" w:pos="66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will comply in all material respects with all rules and regulations of the Commission to the extent and so long as they are applicable to the Registered Exchange Offer or the Shelf Registration.</w:t>
      </w:r>
    </w:p>
    <w:p>
      <w:pPr>
        <w:spacing w:after="0" w:line="157" w:lineRule="exact"/>
        <w:rPr>
          <w:rFonts w:ascii="Times New Roman" w:cs="Times New Roman" w:eastAsia="Times New Roman" w:hAnsi="Times New Roman"/>
          <w:sz w:val="18"/>
          <w:szCs w:val="18"/>
          <w:color w:val="auto"/>
        </w:rPr>
      </w:pPr>
    </w:p>
    <w:p>
      <w:pPr>
        <w:ind w:right="100" w:firstLine="332"/>
        <w:spacing w:after="0" w:line="262" w:lineRule="auto"/>
        <w:tabs>
          <w:tab w:leader="none" w:pos="62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cause the Indenture to be qualified under the Trust Indenture Act of 1939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as amended, in a timely manner and containing such changes, if any, as shall be necessary for such qualification. In the event that such qualification would require the appointment of a new trustee under the Indenture, the Company and the Guarantors shall appoint a new trustee thereunder pursuant to the applicable provisions of the Indenture.</w:t>
      </w:r>
    </w:p>
    <w:p>
      <w:pPr>
        <w:spacing w:after="0" w:line="180" w:lineRule="exact"/>
        <w:rPr>
          <w:rFonts w:ascii="Times New Roman" w:cs="Times New Roman" w:eastAsia="Times New Roman" w:hAnsi="Times New Roman"/>
          <w:sz w:val="18"/>
          <w:szCs w:val="18"/>
          <w:color w:val="auto"/>
        </w:rPr>
      </w:pPr>
    </w:p>
    <w:p>
      <w:pPr>
        <w:jc w:val="both"/>
        <w:ind w:right="80" w:firstLine="332"/>
        <w:spacing w:after="0" w:line="261" w:lineRule="auto"/>
        <w:tabs>
          <w:tab w:leader="none" w:pos="62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may require each Holder of Securities to be sold pursuant to the Shelf Registration Statement to furnish to the Company and the Guarantors such information regarding the Holder and the distribution of the Securities as the Company and the Guarantors may from time to time reasonably require for inclusion in the Shelf Registration Statement, and the Company and the Guarantors may exclude from such registration the Securities of any Holder that fails to furnish such information within a reasonable time after receiving such request.</w:t>
      </w:r>
    </w:p>
    <w:p>
      <w:pPr>
        <w:spacing w:after="0" w:line="179" w:lineRule="exact"/>
        <w:rPr>
          <w:rFonts w:ascii="Times New Roman" w:cs="Times New Roman" w:eastAsia="Times New Roman" w:hAnsi="Times New Roman"/>
          <w:sz w:val="18"/>
          <w:szCs w:val="18"/>
          <w:color w:val="auto"/>
        </w:rPr>
      </w:pPr>
    </w:p>
    <w:p>
      <w:pPr>
        <w:ind w:right="160" w:firstLine="332"/>
        <w:spacing w:after="0" w:line="282" w:lineRule="auto"/>
        <w:tabs>
          <w:tab w:leader="none" w:pos="66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shall use their commercially reasonable efforts to take all other steps necessary to effect the registration of the Securities covered by a Registration Statement contemplated hereby.</w:t>
      </w:r>
    </w:p>
    <w:p>
      <w:pPr>
        <w:spacing w:after="0" w:line="157" w:lineRule="exact"/>
        <w:rPr>
          <w:rFonts w:ascii="Times New Roman" w:cs="Times New Roman" w:eastAsia="Times New Roman" w:hAnsi="Times New Roman"/>
          <w:sz w:val="18"/>
          <w:szCs w:val="18"/>
          <w:color w:val="auto"/>
        </w:rPr>
      </w:pPr>
    </w:p>
    <w:p>
      <w:pPr>
        <w:ind w:left="440" w:hanging="264"/>
        <w:spacing w:after="0"/>
        <w:tabs>
          <w:tab w:leader="none" w:pos="44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Registration Expenses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and the Guarantors shall bear all fees and expenses incurred in connection with the performance of their obligations under Sections 1 through 3 hereof.</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1" w:name="page32"/>
    <w:bookmarkEnd w:id="31"/>
    <w:p>
      <w:pPr>
        <w:ind w:left="420" w:hanging="264"/>
        <w:spacing w:after="0"/>
        <w:tabs>
          <w:tab w:leader="none" w:pos="42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rFonts w:ascii="Times New Roman" w:cs="Times New Roman" w:eastAsia="Times New Roman" w:hAnsi="Times New Roman"/>
          <w:sz w:val="18"/>
          <w:szCs w:val="18"/>
          <w:b w:val="1"/>
          <w:bCs w:val="1"/>
          <w:i w:val="1"/>
          <w:iCs w:val="1"/>
          <w:color w:val="auto"/>
        </w:rPr>
      </w:pPr>
    </w:p>
    <w:p>
      <w:pPr>
        <w:ind w:left="-20" w:firstLine="332"/>
        <w:spacing w:after="0" w:line="251" w:lineRule="auto"/>
        <w:tabs>
          <w:tab w:leader="none" w:pos="63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agree to indemnify and hold harmless each Holder of the Securities, any Participating Broker-Dealer and each person, if any, who controls such Holder or such Participating Broker-Dealer within the meaning of the Securities Act (each Holder, any Participating Broker-Dealer and such controlling persons are referred to collectively as the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from and against any loss, claim, damage or liability, joint or several, and any action in respect thereof, to which that Indemnified Party may become subject, under the Securities Act or otherwise, insofar as such loss, claim, damage, liability or action arises out of, or is based upon, any untrue statement or alleged untrue statement of a material fact contained in a Registration Statement at any time or prospectus or in any amendment or supplement thereto or in any preliminary prospectus or “</w:t>
      </w:r>
      <w:r>
        <w:rPr>
          <w:rFonts w:ascii="Times New Roman" w:cs="Times New Roman" w:eastAsia="Times New Roman" w:hAnsi="Times New Roman"/>
          <w:sz w:val="18"/>
          <w:szCs w:val="18"/>
          <w:b w:val="1"/>
          <w:bCs w:val="1"/>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as defined in Commission Rule 433 (“</w:t>
      </w:r>
      <w:r>
        <w:rPr>
          <w:rFonts w:ascii="Times New Roman" w:cs="Times New Roman" w:eastAsia="Times New Roman" w:hAnsi="Times New Roman"/>
          <w:sz w:val="18"/>
          <w:szCs w:val="18"/>
          <w:b w:val="1"/>
          <w:bCs w:val="1"/>
          <w:color w:val="auto"/>
        </w:rPr>
        <w:t>Issuer FWP</w:t>
      </w:r>
      <w:r>
        <w:rPr>
          <w:rFonts w:ascii="Times New Roman" w:cs="Times New Roman" w:eastAsia="Times New Roman" w:hAnsi="Times New Roman"/>
          <w:sz w:val="18"/>
          <w:szCs w:val="18"/>
          <w:color w:val="auto"/>
        </w:rPr>
        <w:t>”), or arises out of, or is based upon, the omission or alleged omission to state therein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fact required to be stated therein or necessary to make the statements therein not misleading, and shall reimburse each Indemnified Party for any legal and other expenses reasonably incurred by that Holder, Participating Broker-Dealer or controlling person in investigating or defending or preparing to defend against any such loss, claim, damage, liability or action as such expenses are incurred (but no more frequently than annually); provided, however, that (i) the Company and the Guarantors shall not be liable in any such case to the extent that such loss, claim, damage or liability arises out of or is based upon any untrue statement or alleged untrue statement or omission or alleged omission made in a Registration Statement or prospectus or in any amendment or supplement thereto or in any preliminary prospectus or Issuer FWP in reliance upon and in conformity with written information furnished to the Company and the Guarantors by or on behalf of such Holder or Participating Broker-Dealer specifically for inclusion therein and (ii) with respect to any untrue statement or omission or alleged untrue statement or omission made in any preliminary prospectus relating to a Shelf Registration Statement, the indemnity agreement contained in this subsection (a) shall not inure to the benefit of any Holder or Participating Broker-Dealer from whom the person asserting any such losses, claims, damages or liabilities purchased the Securities concerned, to the extent that a prospectus relating to such Securities was required to be delivered (including through satisfaction of the conditions of Commission Rule 172) by such Holder or Participating Broker-Dealer under the Securities Act in connection with such purchase and any such loss, claim, damage or liability of such Holder or Participating Broker-Dealer results from the fact that there was not conveyed to such person, at or prior to the time of the sale of such Securities to such person, an amended or supplemented prospectus or, if permitted by Section 3(d), an Issuer FWP correcting such untrue statement or omission or alleged untrue statement or omission if the Company and the Guarantors had previously furnished copies thereof to such Holder or Participating Broker-Dealer; provided further, however, that this indemnity agreement will be in addition to any liability which the Company and the Guarantors may otherwise have to such Indemnified Party.</w:t>
      </w:r>
    </w:p>
    <w:p>
      <w:pPr>
        <w:spacing w:after="0" w:line="205" w:lineRule="exact"/>
        <w:rPr>
          <w:rFonts w:ascii="Times New Roman" w:cs="Times New Roman" w:eastAsia="Times New Roman" w:hAnsi="Times New Roman"/>
          <w:sz w:val="18"/>
          <w:szCs w:val="18"/>
          <w:color w:val="auto"/>
        </w:rPr>
      </w:pPr>
    </w:p>
    <w:p>
      <w:pPr>
        <w:ind w:left="-20" w:right="40" w:firstLine="332"/>
        <w:spacing w:after="0" w:line="252" w:lineRule="auto"/>
        <w:tabs>
          <w:tab w:leader="none" w:pos="64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the Securities and each Participating Broker-Dealer, severally and not jointly, will indemnify and hold harmless the Company and the Guarantors, their respective directors, each of their respective officers who signed the applicable Registration Statement and any person who controls the Company or any Guarantor within the meaning of the Securities Act or the Exchange Act from and against any loss, claim, damage or liability, joint or several, and any action in respect thereof, to which the Company and the Guarantors, or any such director, officer or controlling person may become subject, under the Securities Act or otherwise, insofar as such loss, claim, damage, liability or action arises out of, or is based upon, any untrue statement or alleged untrue statement of a material fact contained in a Registration Statement at any time or prospectus or in any amendment or supplement thereto or in any Issuer FWP, or arises out of, or is based upon, the omission or alleged omission to state therein a material fact required to be stated therein or necessary to make the statements therein not misleading, and shall reimburse the Company and the Guarantors for any legal and other expenses reasonably incurred by the Company and the Guarantors, or any such director, officer or controlling person in investigating or defending or preparing to defend against any such loss, claim, damage, liability or action as such expenses are incurred (but no more frequently than annually), but in each case only to the extent that the untrue statement or alleged untrue statement or omission or alleged omission was made in reliance upon and in conformity with information furnished in writing to the Company and the Guarantors by such Holder or Participating Broker-Dealer specifically for inclusion therein. This indemnity agreement will be in addition to any liability which such Holder may otherwise have to the Company and the Guarantors or any of their respective directors, officers or controlling persons.</w:t>
      </w:r>
    </w:p>
    <w:p>
      <w:pPr>
        <w:spacing w:after="0" w:line="197" w:lineRule="exact"/>
        <w:rPr>
          <w:rFonts w:ascii="Times New Roman" w:cs="Times New Roman" w:eastAsia="Times New Roman" w:hAnsi="Times New Roman"/>
          <w:sz w:val="18"/>
          <w:szCs w:val="18"/>
          <w:color w:val="auto"/>
        </w:rPr>
      </w:pPr>
    </w:p>
    <w:p>
      <w:pPr>
        <w:ind w:left="-20" w:firstLine="332"/>
        <w:spacing w:after="0" w:line="261" w:lineRule="auto"/>
        <w:tabs>
          <w:tab w:leader="none" w:pos="63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5 of notice of any claim or the commencement of any action, the indemnified party shall, if a claim in respect thereof is to be made against the indemnifying party under this Paragraph 5, notify the indemnifying party in writing of the claim or the commencement of that action, provided that the failure to notify the indemnifying party shall not relieve it from any liability which it may have to an indemnified party under Section 5(a) or 5(b) except to the extent that it has been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36" w:right="339" w:bottom="1440" w:gutter="0" w:footer="0" w:header="0"/>
        </w:sectPr>
      </w:pPr>
    </w:p>
    <w:bookmarkStart w:id="32" w:name="page33"/>
    <w:bookmarkEnd w:id="32"/>
    <w:p>
      <w:pPr>
        <w:ind w:right="20"/>
        <w:spacing w:after="0" w:line="252" w:lineRule="auto"/>
        <w:rPr>
          <w:sz w:val="20"/>
          <w:szCs w:val="20"/>
          <w:color w:val="auto"/>
        </w:rPr>
      </w:pPr>
      <w:r>
        <w:rPr>
          <w:rFonts w:ascii="Times New Roman" w:cs="Times New Roman" w:eastAsia="Times New Roman" w:hAnsi="Times New Roman"/>
          <w:sz w:val="18"/>
          <w:szCs w:val="18"/>
          <w:color w:val="auto"/>
        </w:rPr>
        <w:t>materially prejudiced (through the forfeiture of substantive rights or defenses) by such failure; and provided, further, that the failure to notify the indemnifying party shall not relieve it from any liability which it may have to an indemnified party otherwise than under Section 5(a) or 5(b).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satisfactory to the indemnified party. After notice from the indemnifying party to the indemnified party of its election to assume the defense of such claim or action, the indemnifying party shall not be liable to the indemnified party under this Section 5 for any legal or other expenses subsequently incurred by the indemnified party in connection with the defense thereof other than reasonable costs of investigation. If the indemnifying party shall not elect to assume the defense of such action, such indemnifying party will reimburse such indemnified party for the reasonable fees and expenses of any counsel retained by them. In the event that the parties to any such action (including impleaded parties) include both the Company and the Guarantors and one or more Holders or Participating Broker-Dealers and either (i) the indemnifying party or parties and indemnified party or parties mutually agree or (ii) representation of both the indemnifying party or parties and the indemnified party or parties by the same counsel is inappropriate under applicable standards of professional conduct or in the opinion of such counsel due to actual or potential differing interests between them, then the indemnifying party shall not have the right to assume the defense of such action on behalf of such indemnified party and will reimburse such indemnified party for the reasonable fees and expenses of any counsel retained by them and satisfactory to the indemnifying party, it being understood that the indemnifying party shall not, in connection with any one action or separate but similar or related actions in the same jurisdiction arising out of the same general allegations or circumstances, be liable for the reasonable fees and expenses of more than one separate firm of attorneys for all such indemnified parties, which firm shall be designated in writing by the Joint-Lead Dealer Managers (as defined in the Amended Offering Memorandum) in the case of an action in which one or more Holders, Participating Broker-Dealers or controlling persons are indemnified parties and by the Company and the Guarantors in the case of an action in which the Company and the Guarantors or any of their respective directors, officers or controlling persons are indemnified parties. The indemnifying party or parties shall not be liable under this Agreement with respect to any settlement made by any indemnified party or parties without prior written consent by the indemnifying party or parties to such settlement.</w:t>
      </w:r>
    </w:p>
    <w:p>
      <w:pPr>
        <w:spacing w:after="0" w:line="188" w:lineRule="exact"/>
        <w:rPr>
          <w:sz w:val="20"/>
          <w:szCs w:val="20"/>
          <w:color w:val="auto"/>
        </w:rPr>
      </w:pPr>
    </w:p>
    <w:p>
      <w:pPr>
        <w:ind w:firstLine="332"/>
        <w:spacing w:after="0" w:line="252" w:lineRule="auto"/>
        <w:tabs>
          <w:tab w:leader="none" w:pos="6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5 shall for any reason be unavailable to an indemnified party under Section 5(a) or 5(b) hereof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in such proportion as is appropriate to reflect the relative benefits received by the Company and the Guarantors on the one hand and the Holders or Participating Broker-Dealers on the other hand from the exchange of the Securities, pursuant to the Registered Exchange Offer. If, however, this allocation is not permitted by applicable law, then each indemnifying party shall contribute to the amount paid or payable by such indemnified party as a result of such loss, claim, damage or liability, or action in respect thereof, in such proportion as shall be appropriate to reflect the relative benefits received by the Company and the Guarantors on the one hand and the Holders or Participating Broker-Dealers on the other hand from the exchange of the Securities, pursuant to the Registered Exchange Offer, and the relative fault of the Company and the Guarantors on the one hand and the Holders or Participating Broker-Dealers on the other hand with respect to the statements or omissions which resulted in such loss, claim, damage or liability, or action in respect thereof, as well as any other relevant equitable considerations. The relative fault shall be determined by reference to whether the untrue or alleged untrue statement of a material fact or omission or alleged omission to state a material fact relates to information supplied by the Company and the Guarantors or the Holders or Participating Broker-Dealers, the intent of the parties and their relative knowledge, access to information and opportunity to correct or prevent such statement or omission. The amount paid or payable by an indemnified party as a result of the loss, claim, damage or liability, or action in respect thereof, referred to above in this Section 5(d) shall be deemed to include, for purposes of this Section 5(d), any legal or other expenses reasonably incurred by such indemnified party in connection with investigating or defending any such action or claim. Notwithstanding the provisions of this Paragraph 9(d), no Holder of Securities or Participating Broker-Dealer shall be required to contribute any amount in excess of the amount by which the net proceeds received by such Holders or Participating Broker-Dealer from the sale of the Securities pursuant to a Registration Statement exceeds the amount of damages which such Holders or Participating Broker-Dealer have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 w:name="page34"/>
    <w:bookmarkEnd w:id="33"/>
    <w:p>
      <w:pPr>
        <w:ind w:right="320" w:firstLine="332"/>
        <w:spacing w:after="0" w:line="282"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contained in this Section 5 shall survive the sale of the Securities pursuant to a Registration Statement and shall remain in full force and effect, regardless of any termination or cancellation of this Agreement or any investigation made by or on behalf of any indemnified party.</w:t>
      </w:r>
    </w:p>
    <w:p>
      <w:pPr>
        <w:spacing w:after="0" w:line="157" w:lineRule="exact"/>
        <w:rPr>
          <w:rFonts w:ascii="Times New Roman" w:cs="Times New Roman" w:eastAsia="Times New Roman" w:hAnsi="Times New Roman"/>
          <w:sz w:val="18"/>
          <w:szCs w:val="18"/>
          <w:color w:val="auto"/>
        </w:rPr>
      </w:pPr>
    </w:p>
    <w:p>
      <w:pPr>
        <w:ind w:left="440" w:hanging="264"/>
        <w:spacing w:after="0"/>
        <w:tabs>
          <w:tab w:leader="none" w:pos="4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Additional Interest Under Certain Circumstances</w:t>
      </w:r>
    </w:p>
    <w:p>
      <w:pPr>
        <w:spacing w:after="0" w:line="225" w:lineRule="exact"/>
        <w:rPr>
          <w:rFonts w:ascii="Times New Roman" w:cs="Times New Roman" w:eastAsia="Times New Roman" w:hAnsi="Times New Roman"/>
          <w:sz w:val="18"/>
          <w:szCs w:val="18"/>
          <w:b w:val="1"/>
          <w:bCs w:val="1"/>
          <w:i w:val="1"/>
          <w:iCs w:val="1"/>
          <w:color w:val="auto"/>
        </w:rPr>
      </w:pPr>
    </w:p>
    <w:p>
      <w:pPr>
        <w:ind w:right="360" w:firstLine="332"/>
        <w:spacing w:after="0" w:line="286" w:lineRule="auto"/>
        <w:tabs>
          <w:tab w:leader="none" w:pos="64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(the “</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with respect to the Initial Securities shall be assessed as follows if any of the following events occur (each such event in clauses (i) through (iv) below a “</w:t>
      </w:r>
      <w:r>
        <w:rPr>
          <w:rFonts w:ascii="Times New Roman" w:cs="Times New Roman" w:eastAsia="Times New Roman" w:hAnsi="Times New Roman"/>
          <w:sz w:val="18"/>
          <w:szCs w:val="18"/>
          <w:b w:val="1"/>
          <w:bCs w:val="1"/>
          <w:color w:val="auto"/>
        </w:rPr>
        <w:t>Registration Default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Exchange Offer Registration Statement is not declared effective by the Commission on or prior to the 330th day after the Issue Date;</w:t>
      </w:r>
    </w:p>
    <w:p>
      <w:pPr>
        <w:spacing w:after="0" w:line="225" w:lineRule="exact"/>
        <w:rPr>
          <w:rFonts w:ascii="Times New Roman" w:cs="Times New Roman" w:eastAsia="Times New Roman" w:hAnsi="Times New Roman"/>
          <w:sz w:val="18"/>
          <w:szCs w:val="18"/>
          <w:color w:val="auto"/>
        </w:rPr>
      </w:pPr>
    </w:p>
    <w:p>
      <w:pPr>
        <w:ind w:right="120" w:firstLine="332"/>
        <w:spacing w:after="0" w:line="266" w:lineRule="auto"/>
        <w:tabs>
          <w:tab w:leader="none" w:pos="6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neither the Registered Exchange Offer is consummated within 360 days after the Issue Date nor, if required in lieu thereof, the Shelf Registration Statement has become effective within 270 days after the date, if any, on which the Company and the Guarantors became obligated to file the Shelf Registration Statement;</w:t>
      </w:r>
    </w:p>
    <w:p>
      <w:pPr>
        <w:spacing w:after="0" w:line="175" w:lineRule="exact"/>
        <w:rPr>
          <w:rFonts w:ascii="Times New Roman" w:cs="Times New Roman" w:eastAsia="Times New Roman" w:hAnsi="Times New Roman"/>
          <w:sz w:val="18"/>
          <w:szCs w:val="18"/>
          <w:color w:val="auto"/>
        </w:rPr>
      </w:pPr>
    </w:p>
    <w:p>
      <w:pPr>
        <w:ind w:right="220" w:firstLine="332"/>
        <w:spacing w:after="0" w:line="266" w:lineRule="auto"/>
        <w:tabs>
          <w:tab w:leader="none" w:pos="7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Exchange Offer Registration Statement is declared effective such Registration Statement thereafter ceases to be effective or usable (except as permitted in paragraph (b) in connection with resales of Transfer Restricted Securities) prior to the consummation of the Registered Exchange Offer (unless such ineffectiveness is cured within the 330-day period described in Section 6(a)(i) above); or</w:t>
      </w:r>
    </w:p>
    <w:p>
      <w:pPr>
        <w:spacing w:after="0" w:line="175" w:lineRule="exact"/>
        <w:rPr>
          <w:rFonts w:ascii="Times New Roman" w:cs="Times New Roman" w:eastAsia="Times New Roman" w:hAnsi="Times New Roman"/>
          <w:sz w:val="18"/>
          <w:szCs w:val="18"/>
          <w:color w:val="auto"/>
        </w:rPr>
      </w:pPr>
    </w:p>
    <w:p>
      <w:pPr>
        <w:ind w:right="20" w:firstLine="332"/>
        <w:spacing w:after="0" w:line="254" w:lineRule="auto"/>
        <w:tabs>
          <w:tab w:leader="none" w:pos="7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Shelf Registration Statement, if applicable, is declared (or becomes automatically) effective, and for a period time that exceeds 180 days in the aggregate in any 12-month period in which the Registration Statement is required to be effective (A) such Registration Statement thereafter ceases to be effective during the period required herein; or (B) such Registration Statement or the related prospectus ceases to be usable (except as permitted in paragraph (b)) in connection with resales of Transfer Restricted Securities during the periods specified herein because either (1) any event occurs as a result of which the related prospectus forming part of such Registration Statement would include any untrue statement of a material fact or omit to state any material fact necessary to make the statements therein in the light of the circumstances under which they were made not misleading, (2) it shall be necessary to amend such Registration Statement or supplement the related prospectus, to comply with the Securities Act or the Exchange Act or the respective rules thereunder, or (3) the Registration Statement has expired before a replacement Shelf Registration Statement has become effective.</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 Interest shall accrue on the Initial Securities over and above the interest set forth in the title of the Securities from and including the date on which any such Registration Default shall occur to but excluding the date on which all such Registration Defaults have been cured. Additional Interest shall accrue at a rate of 0.25% per annum while any Registration Default is continuing, until all Registration Defaults have been cured.</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Following the cure of all Registration Defaults, the accrual of Additional Interest on the Initial Securities will cease, and the interest rate will revert to the applicable original rate set forth in the title of the Securities. In no event shall the Company and the Guarantors be obligated to pay Additional Interest</w:t>
      </w:r>
    </w:p>
    <w:p>
      <w:pPr>
        <w:ind w:right="460" w:firstLine="8"/>
        <w:spacing w:after="0" w:line="255"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than one Registration Default under this Section 6(a) at any one time, (ii) for a period of more than one year (or for such longer period as extended pursuant to Section 3(f)) from the Issue Date for any Registration Default referred to in Section 6(a)(iv)(B) with respect to a Registration Statement or (iii) on any Securities that, at the time of such Registration Default, are not Transfer Restricted Securities.</w:t>
      </w:r>
    </w:p>
    <w:p>
      <w:pPr>
        <w:spacing w:after="0" w:line="185" w:lineRule="exact"/>
        <w:rPr>
          <w:rFonts w:ascii="Times New Roman" w:cs="Times New Roman" w:eastAsia="Times New Roman" w:hAnsi="Times New Roman"/>
          <w:sz w:val="18"/>
          <w:szCs w:val="18"/>
          <w:color w:val="auto"/>
        </w:rPr>
      </w:pPr>
    </w:p>
    <w:p>
      <w:pPr>
        <w:ind w:right="40" w:firstLine="332"/>
        <w:spacing w:after="0" w:line="254" w:lineRule="auto"/>
        <w:tabs>
          <w:tab w:leader="none" w:pos="6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Default referred to in Section 6(a)(iii) or Section 6(a)(iv)(B) hereof shall be deemed not to have occurred and be continuing in relation to a Registration Statement or the related prospectus if (i) such Registration Default has occurred solely as a result of (x) the filing of a post-effective amendment to such Registration Statement to incorporate annual audited financial information with respect to the Company and the Guarantors where such post-effective amendment is not yet effective and needs to be declared effective to permit Holders to use the related prospectus or (y) other material events with respect to the Company and the Guarantors that would need to be described in such Registration Statement or the related prospectus and (ii) in the case of clause (y), the Company and the Guarantors are proceeding promptly and in good faith to amend or supplement such Registration Statement and related prospectus to describe such events; provided, however, that in any case if such Registration Default occurs for a continuous period in excess of 30 days, Additional Interest shall be payable in accordance with the above paragraph from the day such Registration Default occurs until such Registration Default is cured.</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4" w:name="page35"/>
    <w:bookmarkEnd w:id="34"/>
    <w:p>
      <w:pPr>
        <w:ind w:right="100" w:firstLine="332"/>
        <w:spacing w:after="0" w:line="281" w:lineRule="auto"/>
        <w:tabs>
          <w:tab w:leader="none" w:pos="64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amounts of Additional Interest due pursuant to clause (i), (ii), (iii) or (iv) of Section 6(a) above will be payable in cash on the regular interest payment dates with respect to the Initial Securities. The amount of Additional Interest will be determined by multiplying the applicable Additional Interest rate by the principal amount of the Initial Securities, multiplied by a fraction, the numerator of which is the number of days such Additional Interest rate was applicable during such period (determined on the basis of a 360-day year comprised of twelve 30-day months), and the denominator of which is 360.</w:t>
      </w:r>
    </w:p>
    <w:p>
      <w:pPr>
        <w:spacing w:after="0" w:line="164"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Any amounts of Additional Interest due pursuant to clause (i), (ii), (iii) or (iv) of section 6(a) above will constitute liquated damages and will be the exclusive remedy, monetary or otherwise, available to any Holder with respect to any Registration Default.</w:t>
      </w:r>
    </w:p>
    <w:p>
      <w:pPr>
        <w:spacing w:after="0" w:line="158" w:lineRule="exact"/>
        <w:rPr>
          <w:sz w:val="20"/>
          <w:szCs w:val="20"/>
          <w:color w:val="auto"/>
        </w:rPr>
      </w:pPr>
    </w:p>
    <w:p>
      <w:pPr>
        <w:ind w:right="100" w:firstLine="332"/>
        <w:spacing w:after="0" w:line="272" w:lineRule="auto"/>
        <w:tabs>
          <w:tab w:leader="none" w:pos="669"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 Restricted Securities</w:t>
      </w:r>
      <w:r>
        <w:rPr>
          <w:rFonts w:ascii="Times New Roman" w:cs="Times New Roman" w:eastAsia="Times New Roman" w:hAnsi="Times New Roman"/>
          <w:sz w:val="17"/>
          <w:szCs w:val="17"/>
          <w:color w:val="auto"/>
        </w:rPr>
        <w:t>” means each Security until (i) the date on which such Transfer Restricted Security has been exchanged by a person other than a broker-dealer for a freely transferable Exchange Security in the Registered Exchange Offer, (ii) following the exchange by a broker-dealer in the Registered Exchange Offer of an Initial Security for an Exchange Security, the date on which such Exchange Security is sold to a purchaser who receives from such broker-dealer on or prior to the date of such sale a copy of the prospectus contained in the Exchange Offer Registration Statement,</w:t>
      </w:r>
    </w:p>
    <w:p>
      <w:pPr>
        <w:ind w:right="400" w:firstLine="8"/>
        <w:spacing w:after="0" w:line="253"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Initial Security has been effectively registered under the Securities Act and disposed of in accordance with the Shelf Registration Statement, (iv) the date on which such Initial Security is distributed to the public pursuant to Rule 144 under the Securities Act or (v) the earliest date that is no less than two years after the Issue Date on which such Security (except for Securities held by an affiliate of the Company or any Guarantor) may be resold in reliance on paragraph (b)(1) of Rule 144 under the Securities Act.</w:t>
      </w:r>
    </w:p>
    <w:p>
      <w:pPr>
        <w:spacing w:after="0" w:line="184" w:lineRule="exact"/>
        <w:rPr>
          <w:rFonts w:ascii="Times New Roman" w:cs="Times New Roman" w:eastAsia="Times New Roman" w:hAnsi="Times New Roman"/>
          <w:sz w:val="18"/>
          <w:szCs w:val="18"/>
          <w:color w:val="auto"/>
        </w:rPr>
      </w:pPr>
    </w:p>
    <w:p>
      <w:pPr>
        <w:ind w:left="440" w:hanging="264"/>
        <w:spacing w:after="0"/>
        <w:tabs>
          <w:tab w:leader="none" w:pos="440" w:val="left"/>
        </w:tabs>
        <w:numPr>
          <w:ilvl w:val="1"/>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Rules 144 and 144A</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and the Guarantors shall, to the extent they are required to do so under the Exchange Act, use their commercially reasonable efforts to file the reports required to be filed by them under the Exchange Act in a timely manner and, if at any time the Company and the Guarantors are not required to file such reports, they will, upon the request of any Holder of Initial Securities, use their commercially reasonable efforts to make publicly available other information so long as necessary to permit sales of their securities pursuant to Rules 144 and 144A. The Company and the Guarantors covenant that they will take such further action as any Holder of Initial Securities may reasonably request, all to the extent required from time to time to enable such Holder to sell Initial Securities without registration under the Securities Act within the limitation of the exemptions provided by Rules 144 and 144A (including the requirements of Rule 144A(d)(4)). Upon the request of any Holder of Initial Securities, the Company and the Guarantors shall deliver to such Holder a written statement as to whether they have complied with such requirements. Notwithstanding the foregoing, nothing in this Section 7 shall be deemed to require the Company and the Guarantors to register any of their respective securities pursuant to the Exchange Act.</w:t>
      </w:r>
    </w:p>
    <w:p>
      <w:pPr>
        <w:spacing w:after="0" w:line="184" w:lineRule="exact"/>
        <w:rPr>
          <w:sz w:val="20"/>
          <w:szCs w:val="20"/>
          <w:color w:val="auto"/>
        </w:rPr>
      </w:pPr>
    </w:p>
    <w:p>
      <w:pPr>
        <w:ind w:left="440" w:hanging="264"/>
        <w:spacing w:after="0"/>
        <w:tabs>
          <w:tab w:leader="none" w:pos="44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Miscellaneous</w:t>
      </w:r>
    </w:p>
    <w:p>
      <w:pPr>
        <w:spacing w:after="0" w:line="227" w:lineRule="exact"/>
        <w:rPr>
          <w:rFonts w:ascii="Times New Roman" w:cs="Times New Roman" w:eastAsia="Times New Roman" w:hAnsi="Times New Roman"/>
          <w:sz w:val="18"/>
          <w:szCs w:val="18"/>
          <w:b w:val="1"/>
          <w:bCs w:val="1"/>
          <w:i w:val="1"/>
          <w:iCs w:val="1"/>
          <w:color w:val="auto"/>
        </w:rPr>
      </w:pPr>
    </w:p>
    <w:p>
      <w:pPr>
        <w:ind w:right="40" w:firstLine="332"/>
        <w:spacing w:after="0" w:line="258" w:lineRule="auto"/>
        <w:tabs>
          <w:tab w:leader="none" w:pos="6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The provisions of this Agreement may not be amended, modified or supplemented, and waivers or consents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departures from the provisions hereof may not be given, except by the Company and the Guarantors and the written consent of the Majority Holders of the Securities affected by such amendment, modification, supplement, waiver or consents. As used herein, “</w:t>
      </w:r>
      <w:r>
        <w:rPr>
          <w:rFonts w:ascii="Times New Roman" w:cs="Times New Roman" w:eastAsia="Times New Roman" w:hAnsi="Times New Roman"/>
          <w:sz w:val="18"/>
          <w:szCs w:val="18"/>
          <w:b w:val="1"/>
          <w:bCs w:val="1"/>
          <w:color w:val="auto"/>
        </w:rPr>
        <w:t>Majority Holders</w:t>
      </w:r>
      <w:r>
        <w:rPr>
          <w:rFonts w:ascii="Times New Roman" w:cs="Times New Roman" w:eastAsia="Times New Roman" w:hAnsi="Times New Roman"/>
          <w:sz w:val="18"/>
          <w:szCs w:val="18"/>
          <w:color w:val="auto"/>
        </w:rPr>
        <w:t>” means, as of any date, Holders of a majority of the aggregate principal amount of such Securities; provided that any Securities owned directly or indirectly by the Company and the Guarantors or any of their respective affiliates shall not be counted in determining whether the consent by the Holders was given.</w:t>
      </w:r>
    </w:p>
    <w:p>
      <w:pPr>
        <w:spacing w:after="0" w:line="183" w:lineRule="exact"/>
        <w:rPr>
          <w:rFonts w:ascii="Times New Roman" w:cs="Times New Roman" w:eastAsia="Times New Roman" w:hAnsi="Times New Roman"/>
          <w:sz w:val="18"/>
          <w:szCs w:val="18"/>
          <w:color w:val="auto"/>
        </w:rPr>
      </w:pPr>
    </w:p>
    <w:p>
      <w:pPr>
        <w:ind w:right="340" w:firstLine="332"/>
        <w:spacing w:after="0" w:line="284" w:lineRule="auto"/>
        <w:tabs>
          <w:tab w:leader="none" w:pos="66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provided for or permitted hereunder shall be made in writing by hand delivery, first-class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facsimile transmission, email, or air courier which guarantees overnight delivery:</w:t>
      </w:r>
    </w:p>
    <w:p>
      <w:pPr>
        <w:spacing w:after="0" w:line="160" w:lineRule="exact"/>
        <w:rPr>
          <w:sz w:val="20"/>
          <w:szCs w:val="20"/>
          <w:color w:val="auto"/>
        </w:rPr>
      </w:pPr>
    </w:p>
    <w:p>
      <w:pPr>
        <w:ind w:left="5580" w:right="2120" w:hanging="5248"/>
        <w:spacing w:after="0" w:line="657"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Holder of the Securities, at the most current address given by such Holder to the Company and the Guarantors.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left="340" w:right="5940" w:hanging="8"/>
        <w:spacing w:after="0" w:line="500"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Dealer Managers: to the addresses listed on Schedule I with a copy to:</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Cahill Gordon &amp; Reindel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 Old Slip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number: (212) 269-5420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Michael Reddy, Esq.</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if to the Company and the Guarantors, at the following address: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Philadelphia, Pennsylvania 19103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number: (215) 286-7744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Elizabeth Wideman and James McCue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number: (212) 701-5077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John B. Meade, Esq.</w:t>
      </w:r>
    </w:p>
    <w:p>
      <w:pPr>
        <w:spacing w:after="0" w:line="20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at the time delivered by hand, if personally delivered; three business days after being deposited in the mail, postage prepaid, if mailed; when receipt is acknowledged by recipient’s facsimile machine operator, if sent by facsimile transmission; and on the day delivered, if sent by overnight air courier guaranteeing next day delivery.</w:t>
      </w:r>
    </w:p>
    <w:p>
      <w:pPr>
        <w:spacing w:after="0" w:line="174" w:lineRule="exact"/>
        <w:rPr>
          <w:sz w:val="20"/>
          <w:szCs w:val="20"/>
          <w:color w:val="auto"/>
        </w:rPr>
      </w:pPr>
    </w:p>
    <w:p>
      <w:pPr>
        <w:ind w:right="140" w:firstLine="332"/>
        <w:spacing w:after="0" w:line="267" w:lineRule="auto"/>
        <w:tabs>
          <w:tab w:leader="none" w:pos="6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Inconsistent Agreements</w:t>
      </w:r>
      <w:r>
        <w:rPr>
          <w:rFonts w:ascii="Times New Roman" w:cs="Times New Roman" w:eastAsia="Times New Roman" w:hAnsi="Times New Roman"/>
          <w:sz w:val="18"/>
          <w:szCs w:val="18"/>
          <w:color w:val="auto"/>
        </w:rPr>
        <w:t>. The Company and the Guarantors have not, as of the date hereof, entered into, nor shall they, on or after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enter into, any agreement with respect to its securities that is inconsistent with the rights granted to the Holders herein or otherwise conflicts with the provisions hereof.</w:t>
      </w:r>
    </w:p>
    <w:p>
      <w:pPr>
        <w:spacing w:after="0" w:line="173" w:lineRule="exact"/>
        <w:rPr>
          <w:rFonts w:ascii="Times New Roman" w:cs="Times New Roman" w:eastAsia="Times New Roman" w:hAnsi="Times New Roman"/>
          <w:sz w:val="18"/>
          <w:szCs w:val="18"/>
          <w:color w:val="auto"/>
        </w:rPr>
      </w:pPr>
    </w:p>
    <w:p>
      <w:pPr>
        <w:ind w:firstLine="332"/>
        <w:spacing w:after="0" w:line="258" w:lineRule="auto"/>
        <w:tabs>
          <w:tab w:leader="none" w:pos="6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Agreement shall be binding upon the successors, assigns and transferees of each of the parties,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and without need for an express assignment, subsequent Holders. If any transferee of any Holder shall acquire Securities in any manner, whether by operation of law or otherwise, such Holder shall be deemed to have agreed to be bound by and subject to all the terms of this Agreement, and by taking and holding such Securities such transferee shall be conclusively deemed to have agreed to be bound by and to perform all of the terms and provisions of this Agreement.</w:t>
      </w:r>
    </w:p>
    <w:p>
      <w:pPr>
        <w:spacing w:after="0" w:line="183" w:lineRule="exact"/>
        <w:rPr>
          <w:rFonts w:ascii="Times New Roman" w:cs="Times New Roman" w:eastAsia="Times New Roman" w:hAnsi="Times New Roman"/>
          <w:sz w:val="18"/>
          <w:szCs w:val="18"/>
          <w:color w:val="auto"/>
        </w:rPr>
      </w:pPr>
    </w:p>
    <w:p>
      <w:pPr>
        <w:ind w:right="140" w:firstLine="332"/>
        <w:spacing w:after="0" w:line="258" w:lineRule="auto"/>
        <w:tabs>
          <w:tab w:leader="none" w:pos="6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and by the parties hereto in separate counterparts, each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so executed shall be deemed to be an original and all of which taken together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in this Agreement are for convenience of reference only and shall not limit or otherwise affect the meaning hereof.</w:t>
      </w:r>
    </w:p>
    <w:p>
      <w:pPr>
        <w:spacing w:after="0" w:line="225" w:lineRule="exact"/>
        <w:rPr>
          <w:rFonts w:ascii="Times New Roman" w:cs="Times New Roman" w:eastAsia="Times New Roman" w:hAnsi="Times New Roman"/>
          <w:sz w:val="18"/>
          <w:szCs w:val="18"/>
          <w:color w:val="auto"/>
        </w:rPr>
      </w:pPr>
    </w:p>
    <w:p>
      <w:pPr>
        <w:ind w:right="220" w:firstLine="332"/>
        <w:spacing w:after="0" w:line="284" w:lineRule="auto"/>
        <w:tabs>
          <w:tab w:leader="none" w:pos="6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 WITHOUT REGARD TO PRINCIPLES OF CONFLICTS OF LAWS.</w:t>
      </w:r>
    </w:p>
    <w:p>
      <w:pPr>
        <w:spacing w:after="0" w:line="158" w:lineRule="exact"/>
        <w:rPr>
          <w:rFonts w:ascii="Times New Roman" w:cs="Times New Roman" w:eastAsia="Times New Roman" w:hAnsi="Times New Roman"/>
          <w:sz w:val="18"/>
          <w:szCs w:val="18"/>
          <w:color w:val="auto"/>
        </w:rPr>
      </w:pPr>
    </w:p>
    <w:p>
      <w:pPr>
        <w:ind w:right="100" w:firstLine="332"/>
        <w:spacing w:after="0" w:line="267" w:lineRule="auto"/>
        <w:tabs>
          <w:tab w:leader="none" w:pos="6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one or more of the provisions contained herein, or the application thereof in any circumstance, is held invalid, illegal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unenforceable, the validity, legality and enforceability of any such provision in every other respect and of the remaining provisions contained herein shall not be affected or impaired thereby.</w:t>
      </w:r>
    </w:p>
    <w:p>
      <w:pPr>
        <w:spacing w:after="0" w:line="173" w:lineRule="exact"/>
        <w:rPr>
          <w:rFonts w:ascii="Times New Roman" w:cs="Times New Roman" w:eastAsia="Times New Roman" w:hAnsi="Times New Roman"/>
          <w:sz w:val="18"/>
          <w:szCs w:val="18"/>
          <w:color w:val="auto"/>
        </w:rPr>
      </w:pPr>
    </w:p>
    <w:p>
      <w:pPr>
        <w:ind w:right="80" w:firstLine="332"/>
        <w:spacing w:after="0" w:line="261" w:lineRule="auto"/>
        <w:tabs>
          <w:tab w:leader="none" w:pos="6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Held by the Company and the Guarantors</w:t>
      </w:r>
      <w:r>
        <w:rPr>
          <w:rFonts w:ascii="Times New Roman" w:cs="Times New Roman" w:eastAsia="Times New Roman" w:hAnsi="Times New Roman"/>
          <w:sz w:val="18"/>
          <w:szCs w:val="18"/>
          <w:color w:val="auto"/>
        </w:rPr>
        <w:t>. Whenever the consent or approval of Holders of a specified percentage of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Securities is required hereunder, Securities held by the Company and the Guarantors or their respective affiliates (other than subsequent Holders of Securities if such subsequent Holders are deemed to be affiliates solely by reason of their holdings of such Securities) shall not be counted in determining whether such consent or approval was given by the Holders of such required percentage.</w:t>
      </w:r>
    </w:p>
    <w:p>
      <w:pPr>
        <w:spacing w:after="0" w:line="18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36" w:name="page37"/>
    <w:bookmarkEnd w:id="36"/>
    <w:p>
      <w:pPr>
        <w:ind w:firstLine="324"/>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and the Guarantors a counterpart hereof, whereupon this instrument, along with all counterparts, will become a binding agreement among the several Dealer Managers and the Company and the Guarantors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P. McCue</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P. McCue</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 and Assistant Treasurer</w:t>
            </w:r>
          </w:p>
        </w:tc>
      </w:tr>
      <w:tr>
        <w:trPr>
          <w:trHeight w:val="70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CABLE COMMUNICATIONS, LLC</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P. McCue</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P. McCue</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 and Assistant Treasurer</w:t>
            </w:r>
          </w:p>
        </w:tc>
      </w:tr>
      <w:tr>
        <w:trPr>
          <w:trHeight w:val="70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NBCUNIVERSAL MEDIA, LLC</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P. McCue</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P. McCue</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 and Assistant Treasurer</w:t>
            </w: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Pool 2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foregoing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 is hereby confirmed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accepted as of the date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written by the undersigned Joint Lead 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Managers, on behalf of themselves and each Co-Dealer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pursuant to the Joinder Agreement.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DEUTSCHE BANK SECURITIES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E. Montgomery</w:t>
            </w:r>
          </w:p>
        </w:tc>
      </w:tr>
      <w:tr>
        <w:trPr>
          <w:trHeight w:val="191"/>
        </w:trPr>
        <w:tc>
          <w:tcPr>
            <w:tcW w:w="60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Ryan E. Montgomery</w:t>
            </w:r>
          </w:p>
        </w:tc>
      </w:tr>
      <w:tr>
        <w:trPr>
          <w:trHeight w:val="234"/>
        </w:trPr>
        <w:tc>
          <w:tcPr>
            <w:tcW w:w="6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675"/>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Rita Ketkar</w:t>
            </w:r>
          </w:p>
        </w:tc>
      </w:tr>
      <w:tr>
        <w:trPr>
          <w:trHeight w:val="191"/>
        </w:trPr>
        <w:tc>
          <w:tcPr>
            <w:tcW w:w="60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Rita Ketkar</w:t>
            </w:r>
          </w:p>
        </w:tc>
      </w:tr>
      <w:tr>
        <w:trPr>
          <w:trHeight w:val="234"/>
        </w:trPr>
        <w:tc>
          <w:tcPr>
            <w:tcW w:w="6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200" w:lineRule="exact"/>
        <w:rPr>
          <w:sz w:val="20"/>
          <w:szCs w:val="20"/>
          <w:color w:val="auto"/>
        </w:rPr>
      </w:pPr>
    </w:p>
    <w:p>
      <w:pPr>
        <w:spacing w:after="0" w:line="266"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Pool 2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Rost</w:t>
            </w:r>
          </w:p>
        </w:tc>
      </w:tr>
      <w:tr>
        <w:trPr>
          <w:trHeight w:val="191"/>
        </w:trPr>
        <w:tc>
          <w:tcPr>
            <w:tcW w:w="60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Rost</w:t>
            </w:r>
          </w:p>
        </w:tc>
      </w:tr>
      <w:tr>
        <w:trPr>
          <w:trHeight w:val="234"/>
        </w:trPr>
        <w:tc>
          <w:tcPr>
            <w:tcW w:w="6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200" w:lineRule="exact"/>
        <w:rPr>
          <w:sz w:val="20"/>
          <w:szCs w:val="20"/>
          <w:color w:val="auto"/>
        </w:rPr>
      </w:pPr>
    </w:p>
    <w:p>
      <w:pPr>
        <w:spacing w:after="0" w:line="266"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Pool 2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Dealer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Co-Dealer Manager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r>
      <w:tr>
        <w:trPr>
          <w:trHeight w:val="432"/>
        </w:trPr>
        <w:tc>
          <w:tcPr>
            <w:tcW w:w="3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Pool 2 Notes</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00" w:type="dxa"/>
            <w:vAlign w:val="bottom"/>
          </w:tcPr>
          <w:p>
            <w:pPr>
              <w:spacing w:after="0"/>
              <w:rPr>
                <w:sz w:val="24"/>
                <w:szCs w:val="24"/>
                <w:color w:val="auto"/>
              </w:rPr>
            </w:pPr>
          </w:p>
        </w:tc>
        <w:tc>
          <w:tcPr>
            <w:tcW w:w="32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Notes Exchanged For</w:t>
            </w:r>
          </w:p>
        </w:tc>
      </w:tr>
      <w:tr>
        <w:trPr>
          <w:trHeight w:val="238"/>
        </w:trPr>
        <w:tc>
          <w:tcPr>
            <w:tcW w:w="66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Security</w:t>
            </w:r>
          </w:p>
        </w:tc>
        <w:tc>
          <w:tcPr>
            <w:tcW w:w="10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Number</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32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Initial Securities</w:t>
            </w:r>
          </w:p>
        </w:tc>
      </w:tr>
      <w:tr>
        <w:trPr>
          <w:trHeight w:val="218"/>
        </w:trPr>
        <w:tc>
          <w:tcPr>
            <w:tcW w:w="660" w:type="dxa"/>
            <w:vAlign w:val="bottom"/>
          </w:tcPr>
          <w:p>
            <w:pPr>
              <w:spacing w:after="0"/>
              <w:rPr>
                <w:sz w:val="18"/>
                <w:szCs w:val="18"/>
                <w:color w:val="auto"/>
              </w:rPr>
            </w:pPr>
          </w:p>
        </w:tc>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4.150% Notes due 2028</w:t>
            </w:r>
          </w:p>
        </w:tc>
        <w:tc>
          <w:tcPr>
            <w:tcW w:w="10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20030N CT6</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$3,975,000,000</w:t>
            </w:r>
          </w:p>
        </w:tc>
        <w:tc>
          <w:tcPr>
            <w:tcW w:w="100" w:type="dxa"/>
            <w:vAlign w:val="bottom"/>
          </w:tcPr>
          <w:p>
            <w:pPr>
              <w:spacing w:after="0"/>
              <w:rPr>
                <w:sz w:val="18"/>
                <w:szCs w:val="18"/>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$375,527,000</w:t>
            </w:r>
          </w:p>
        </w:tc>
        <w:tc>
          <w:tcPr>
            <w:tcW w:w="600" w:type="dxa"/>
            <w:vAlign w:val="bottom"/>
          </w:tcPr>
          <w:p>
            <w:pPr>
              <w:spacing w:after="0"/>
              <w:rPr>
                <w:sz w:val="18"/>
                <w:szCs w:val="18"/>
                <w:color w:val="auto"/>
              </w:rPr>
            </w:pPr>
          </w:p>
        </w:tc>
      </w:tr>
      <w:tr>
        <w:trPr>
          <w:trHeight w:val="226"/>
        </w:trPr>
        <w:tc>
          <w:tcPr>
            <w:tcW w:w="66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4.550% Notes due 2029</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20030N ED9</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$1,000,000,000</w:t>
            </w:r>
          </w:p>
        </w:tc>
        <w:tc>
          <w:tcPr>
            <w:tcW w:w="2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$99,744,000</w:t>
            </w:r>
          </w:p>
        </w:tc>
        <w:tc>
          <w:tcPr>
            <w:tcW w:w="600" w:type="dxa"/>
            <w:vAlign w:val="bottom"/>
          </w:tcPr>
          <w:p>
            <w:pPr>
              <w:spacing w:after="0"/>
              <w:rPr>
                <w:sz w:val="19"/>
                <w:szCs w:val="19"/>
                <w:color w:val="auto"/>
              </w:rPr>
            </w:pPr>
          </w:p>
        </w:tc>
      </w:tr>
      <w:tr>
        <w:trPr>
          <w:trHeight w:val="238"/>
        </w:trPr>
        <w:tc>
          <w:tcPr>
            <w:tcW w:w="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$4,975,000,000</w:t>
            </w:r>
          </w:p>
        </w:tc>
        <w:tc>
          <w:tcPr>
            <w:tcW w:w="2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$475,271,000</w:t>
            </w:r>
          </w:p>
        </w:tc>
        <w:tc>
          <w:tcPr>
            <w:tcW w:w="600" w:type="dxa"/>
            <w:vAlign w:val="bottom"/>
          </w:tcPr>
          <w:p>
            <w:pPr>
              <w:spacing w:after="0"/>
              <w:rPr>
                <w:sz w:val="20"/>
                <w:szCs w:val="20"/>
                <w:color w:val="auto"/>
              </w:rPr>
            </w:pPr>
          </w:p>
        </w:tc>
      </w:tr>
      <w:tr>
        <w:trPr>
          <w:trHeight w:val="567"/>
        </w:trPr>
        <w:tc>
          <w:tcPr>
            <w:tcW w:w="6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41" w:name="page42"/>
    <w:bookmarkEnd w:id="41"/>
    <w:p>
      <w:pPr>
        <w:ind w:left="104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Each broker-dealer that receives Exchange Securities for its own account pursuant to the Exchange Offer hereby acknowledges that it will deliver a prospectus in connection with any resale of such Exchange Securities. This Prospectus, as it may be amended or supplemented from time to time, may be used by a broker-dealer in connection with resales of Exchange Securities received in exchange for Initial Securities where such Initial Securities were acquired by such broker-dealer as a result of market-making activities or other trading activities. The Company and the Guarantors have agreed that, for a period of 90 days after the Expiration Date (as defined herein), they will make this Prospectus available to any broker-dealer for use in connection with any such resale. See “</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2" w:name="page43"/>
    <w:bookmarkEnd w:id="42"/>
    <w:p>
      <w:pPr>
        <w:ind w:left="10440"/>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41"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Each broker-dealer that receives Exchange Securities for its own account in exchange for Securities, where such Initial Securities were acquired by such broker-dealer as a result of market-making activities or other trading activities, hereby acknowledges that it will deliver a prospectus in connection with any resale of such Exchange Securities. See “</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Each broker-dealer that receives Exchange Securities for its own account pursuant to the Exchange Offer hereby acknowledges that it will deliver a prospectus in connection with any resale of such Exchange Securities. This Prospectus, as it may be amended or supplemented from time to time, may be used by a broker-dealer in connection with resales of Exchange Securities received in exchange for Initial Securities where such Initial Securities were acquired as a result of market-making activities or other trading activities. The Company and the Guarantors have agreed that, for a period of 90 days after the Expiration Date, they will make this prospectus, as amended or supplemented, available to any broker-dealer for use in connection with any such resale. In addition, until , 20[ ], all dealers effecting transactions in the Exchange Securities may be required to deliver a prospectus.</w:t>
      </w:r>
      <w:r>
        <w:rPr>
          <w:rFonts w:ascii="Times New Roman" w:cs="Times New Roman" w:eastAsia="Times New Roman" w:hAnsi="Times New Roman"/>
          <w:sz w:val="29"/>
          <w:szCs w:val="29"/>
          <w:color w:val="auto"/>
          <w:vertAlign w:val="superscript"/>
        </w:rPr>
        <w:t>1</w:t>
      </w:r>
    </w:p>
    <w:p>
      <w:pPr>
        <w:spacing w:after="0" w:line="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Company and the Guarantors will not receive any proceeds from any sale of Exchange Securities by broker-dealers. Exchange Securities received by broker-dealers for their own account pursuant to the Exchange Offer may be sold from time to time in one or more transactions in the over-the-counter market, in negotiated transactions, through the writing of options on the Exchange Securities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Securities. Any broker-dealer that resells Exchange Securities that were received by it for its own account pursuant to the Exchange Offer and any broker or dealer that participates in a distribution of such Exchange Securities may be deemed to be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within the meaning of the Securities Act and any profit on any such resale of Exchange Securities and any commission or concessions received by any such persons may be deemed to be underwriting compensation under the Securities Act.</w:t>
      </w:r>
    </w:p>
    <w:p>
      <w:pPr>
        <w:spacing w:after="0" w:line="18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a period of 90 days after the Expiration Date the Company and the Guarantors will promptly send additional electronic copies of this Prospectus and any amendment or supplement to this Prospectus to any broker-dealer that requests such documents. The Company and the Guarantors have agreed to pay all expenses incident to the Exchange Offer other than commissions or concessions of any brokers or dealers and will indemnify the Holders of the Securities (including any broker-dealers) against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0712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24" w:lineRule="exact"/>
        <w:rPr>
          <w:sz w:val="20"/>
          <w:szCs w:val="20"/>
          <w:color w:val="auto"/>
        </w:rPr>
      </w:pPr>
    </w:p>
    <w:p>
      <w:pPr>
        <w:ind w:left="780" w:hanging="124"/>
        <w:spacing w:after="0"/>
        <w:tabs>
          <w:tab w:leader="none" w:pos="78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addition, the legend required by Item 502(e) of Regulation S-K will appear on the back cover page of the Exchange Offer prospectus, if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9" w:lineRule="exact"/>
        <w:rPr>
          <w:sz w:val="20"/>
          <w:szCs w:val="20"/>
          <w:color w:val="auto"/>
        </w:rPr>
      </w:pPr>
    </w:p>
    <w:p>
      <w:pPr>
        <w:ind w:right="140" w:firstLine="332"/>
        <w:spacing w:after="0" w:line="282" w:lineRule="auto"/>
        <w:tabs>
          <w:tab w:leader="none" w:pos="619" w:val="left"/>
        </w:tabs>
        <w:numPr>
          <w:ilvl w:val="0"/>
          <w:numId w:val="3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CHECK HERE IF YOU ARE A BROKER-DEALER AND WISH TO RECEIVE 10 ADDITIONAL COPIES OF THE PROSPECTUS AND 10 COPIES OF ANY AMENDMENTS OR SUPPLEMENTS THERETO.</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_____________________________________________________________________________________</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Address: ___________________________________________________________________________________</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the undersigned is not a broker-dealer, the undersigned represents that it is not engaged in, and does not intend to engage in, a distribution of Exchange Securities. If the undersigned is a broker-dealer that will receive Exchange Securities for its own account in exchange for Initial Securities that were acquired as a result of market-making activities or other trading activities, it acknowledges that it will deliver a prospectus in connection with any resale of such Exchange Securities; however, by so acknowledging and by delivering a prospectus, the undersigned will not be deemed to admit that it is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within the meaning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3"/>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lowerLetter"/>
      <w:start w:val="1"/>
    </w:lvl>
    <w:lvl w:ilvl="1">
      <w:lvlJc w:val="left"/>
      <w:lvlText w:val="(%2)"/>
      <w:numFmt w:val="lowerRoman"/>
      <w:start w:val="1"/>
    </w:lvl>
  </w:abstractNum>
  <w:abstractNum w:abstractNumId="7">
    <w:nsid w:val="436C6125"/>
    <w:multiLevelType w:val="hybridMultilevel"/>
    <w:lvl w:ilvl="0">
      <w:lvlJc w:val="left"/>
      <w:lvlText w:val="%1."/>
      <w:numFmt w:val="decimal"/>
      <w:start w:val="2"/>
    </w:lvl>
  </w:abstractNum>
  <w:abstractNum w:abstractNumId="8">
    <w:nsid w:val="628C895D"/>
    <w:multiLevelType w:val="hybridMultilevel"/>
    <w:lvl w:ilvl="0">
      <w:lvlJc w:val="left"/>
      <w:lvlText w:val="(%1)"/>
      <w:numFmt w:val="lowerLetter"/>
      <w:start w:val="1"/>
    </w:lvl>
    <w:lvl w:ilvl="1">
      <w:lvlJc w:val="left"/>
      <w:lvlText w:val="(%2)"/>
      <w:numFmt w:val="lowerRoman"/>
      <w:start w:val="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decimal"/>
      <w:start w:val="1"/>
    </w:lvl>
    <w:lvl w:ilvl="1">
      <w:lvlJc w:val="left"/>
      <w:lvlText w:val="(%2)"/>
      <w:numFmt w:val="lowerLetter"/>
      <w:start w:val="1"/>
    </w:lvl>
  </w:abstractNum>
  <w:abstractNum w:abstractNumId="12">
    <w:nsid w:val="2D1D5AE9"/>
    <w:multiLevelType w:val="hybridMultilevel"/>
    <w:lvl w:ilvl="0">
      <w:lvlJc w:val="left"/>
      <w:lvlText w:val="%1."/>
      <w:numFmt w:val="decimal"/>
      <w:start w:val="3"/>
    </w:lvl>
    <w:lvl w:ilvl="1">
      <w:lvlJc w:val="left"/>
      <w:lvlText w:val="%2"/>
      <w:numFmt w:val="lowerLetter"/>
      <w:start w:val="1"/>
    </w:lvl>
  </w:abstractNum>
  <w:abstractNum w:abstractNumId="13">
    <w:nsid w:val="6763845E"/>
    <w:multiLevelType w:val="hybridMultilevel"/>
    <w:lvl w:ilvl="0">
      <w:lvlJc w:val="left"/>
      <w:lvlText w:val="(%1)"/>
      <w:numFmt w:val="lowerRoman"/>
      <w:start w:val="4"/>
    </w:lvl>
    <w:lvl w:ilvl="1">
      <w:lvlJc w:val="left"/>
      <w:lvlText w:val="(%2)"/>
      <w:numFmt w:val="lowerLetter"/>
      <w:start w:val="2"/>
    </w:lvl>
  </w:abstractNum>
  <w:abstractNum w:abstractNumId="14">
    <w:nsid w:val="75A2A8D4"/>
    <w:multiLevelType w:val="hybridMultilevel"/>
    <w:lvl w:ilvl="0">
      <w:lvlJc w:val="left"/>
      <w:lvlText w:val="(%1)"/>
      <w:numFmt w:val="lowerRoman"/>
      <w:start w:val="1"/>
    </w:lvl>
  </w:abstractNum>
  <w:abstractNum w:abstractNumId="15">
    <w:nsid w:val="8EDBDAB"/>
    <w:multiLevelType w:val="hybridMultilevel"/>
    <w:lvl w:ilvl="0">
      <w:lvlJc w:val="left"/>
      <w:lvlText w:val="(%1)"/>
      <w:numFmt w:val="lowerLetter"/>
      <w:start w:val="3"/>
    </w:lvl>
  </w:abstractNum>
  <w:abstractNum w:abstractNumId="16">
    <w:nsid w:val="79838CB2"/>
    <w:multiLevelType w:val="hybridMultilevel"/>
    <w:lvl w:ilvl="0">
      <w:lvlJc w:val="left"/>
      <w:lvlText w:val="%1"/>
      <w:numFmt w:val="decimal"/>
      <w:start w:val="1"/>
    </w:lvl>
    <w:lvl w:ilvl="1">
      <w:lvlJc w:val="left"/>
      <w:lvlText w:val="(%2)"/>
      <w:numFmt w:val="lowerLetter"/>
      <w:start w:val="7"/>
    </w:lvl>
  </w:abstractNum>
  <w:abstractNum w:abstractNumId="17">
    <w:nsid w:val="4353D0CD"/>
    <w:multiLevelType w:val="hybridMultilevel"/>
    <w:lvl w:ilvl="0">
      <w:lvlJc w:val="left"/>
      <w:lvlText w:val="%1."/>
      <w:numFmt w:val="decimal"/>
      <w:start w:val="4"/>
    </w:lvl>
    <w:lvl w:ilvl="1">
      <w:lvlJc w:val="left"/>
      <w:lvlText w:val="%2"/>
      <w:numFmt w:val="lowerLetter"/>
      <w:start w:val="1"/>
    </w:lvl>
  </w:abstractNum>
  <w:abstractNum w:abstractNumId="18">
    <w:nsid w:val="B03E0C6"/>
    <w:multiLevelType w:val="hybridMultilevel"/>
    <w:lvl w:ilvl="0">
      <w:lvlJc w:val="left"/>
      <w:lvlText w:val="%1."/>
      <w:numFmt w:val="decimal"/>
      <w:start w:val="5"/>
    </w:lvl>
    <w:lvl w:ilvl="1">
      <w:lvlJc w:val="left"/>
      <w:lvlText w:val="(%2)"/>
      <w:numFmt w:val="lowerLetter"/>
      <w:start w:val="1"/>
    </w:lvl>
  </w:abstractNum>
  <w:abstractNum w:abstractNumId="19">
    <w:nsid w:val="189A769B"/>
    <w:multiLevelType w:val="hybridMultilevel"/>
    <w:lvl w:ilvl="0">
      <w:lvlJc w:val="left"/>
      <w:lvlText w:val="(%1)"/>
      <w:numFmt w:val="lowerLetter"/>
      <w:start w:val="4"/>
    </w:lvl>
  </w:abstractNum>
  <w:abstractNum w:abstractNumId="20">
    <w:nsid w:val="54E49EB4"/>
    <w:multiLevelType w:val="hybridMultilevel"/>
    <w:lvl w:ilvl="0">
      <w:lvlJc w:val="left"/>
      <w:lvlText w:val="%1"/>
      <w:numFmt w:val="decimal"/>
      <w:start w:val="1"/>
    </w:lvl>
    <w:lvl w:ilvl="1">
      <w:lvlJc w:val="left"/>
      <w:lvlText w:val="(%2)"/>
      <w:numFmt w:val="lowerLetter"/>
      <w:start w:val="5"/>
    </w:lvl>
  </w:abstractNum>
  <w:abstractNum w:abstractNumId="21">
    <w:nsid w:val="71F32454"/>
    <w:multiLevelType w:val="hybridMultilevel"/>
    <w:lvl w:ilvl="0">
      <w:lvlJc w:val="left"/>
      <w:lvlText w:val="%1."/>
      <w:numFmt w:val="decimal"/>
      <w:start w:val="6"/>
    </w:lvl>
    <w:lvl w:ilvl="1">
      <w:lvlJc w:val="left"/>
      <w:lvlText w:val="(%2)"/>
      <w:numFmt w:val="lowerLetter"/>
      <w:start w:val="1"/>
    </w:lvl>
  </w:abstractNum>
  <w:abstractNum w:abstractNumId="22">
    <w:nsid w:val="2CA88611"/>
    <w:multiLevelType w:val="hybridMultilevel"/>
    <w:lvl w:ilvl="0">
      <w:lvlJc w:val="left"/>
      <w:lvlText w:val="(%1)"/>
      <w:numFmt w:val="lowerRoman"/>
      <w:start w:val="1"/>
    </w:lvl>
  </w:abstractNum>
  <w:abstractNum w:abstractNumId="23">
    <w:nsid w:val="836C40E"/>
    <w:multiLevelType w:val="hybridMultilevel"/>
    <w:lvl w:ilvl="0">
      <w:lvlJc w:val="left"/>
      <w:lvlText w:val="(%1)"/>
      <w:numFmt w:val="lowerLetter"/>
      <w:start w:val="9"/>
    </w:lvl>
    <w:lvl w:ilvl="1">
      <w:lvlJc w:val="left"/>
      <w:lvlText w:val="(%2)"/>
      <w:numFmt w:val="lowerLetter"/>
      <w:start w:val="2"/>
    </w:lvl>
  </w:abstractNum>
  <w:abstractNum w:abstractNumId="24">
    <w:nsid w:val="2901D82"/>
    <w:multiLevelType w:val="hybridMultilevel"/>
    <w:lvl w:ilvl="0">
      <w:lvlJc w:val="left"/>
      <w:lvlText w:val="(%1)"/>
      <w:numFmt w:val="lowerLetter"/>
      <w:start w:val="3"/>
    </w:lvl>
  </w:abstractNum>
  <w:abstractNum w:abstractNumId="25">
    <w:nsid w:val="3A95F87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6">
    <w:nsid w:val="8138641"/>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27">
    <w:nsid w:val="1E7FF521"/>
    <w:multiLevelType w:val="hybridMultilevel"/>
    <w:lvl w:ilvl="0">
      <w:lvlJc w:val="left"/>
      <w:lvlText w:val="%1."/>
      <w:numFmt w:val="decimal"/>
      <w:start w:val="8"/>
    </w:lvl>
    <w:lvl w:ilvl="1">
      <w:lvlJc w:val="left"/>
      <w:lvlText w:val="(%2)"/>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2"/>
    </w:lvl>
  </w:abstractNum>
  <w:abstractNum w:abstractNumId="30">
    <w:nsid w:val="6CEAF087"/>
    <w:multiLevelType w:val="hybridMultilevel"/>
    <w:lvl w:ilvl="0">
      <w:lvlJc w:val="left"/>
      <w:lvlText w:val="(%1)"/>
      <w:numFmt w:val="lowerLetter"/>
      <w:start w:val="3"/>
    </w:lvl>
  </w:abstractNum>
  <w:abstractNum w:abstractNumId="31">
    <w:nsid w:val="22221A70"/>
    <w:multiLevelType w:val="hybridMultilevel"/>
    <w:lvl w:ilvl="0">
      <w:lvlJc w:val="left"/>
      <w:lvlText w:val="1"/>
      <w:numFmt w:val="bullet"/>
      <w:start w:val="1"/>
    </w:lvl>
  </w:abstractNum>
  <w:abstractNum w:abstractNumId="32">
    <w:nsid w:val="4516DDE9"/>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2025-10-09T16:05:05Z</dcterms:created>
  <dcterms:modified xsi:type="dcterms:W3CDTF">2025-10-09T16:05:05Z</dcterms:modified>
</cp:coreProperties>
</file>