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8440"/>
        <w:spacing w:after="0"/>
        <w:rPr>
          <w:sz w:val="20"/>
          <w:szCs w:val="20"/>
          <w:color w:val="auto"/>
        </w:rPr>
      </w:pPr>
      <w:r>
        <w:rPr>
          <w:rFonts w:ascii="Arial" w:cs="Arial" w:eastAsia="Arial" w:hAnsi="Arial"/>
          <w:sz w:val="17"/>
          <w:szCs w:val="17"/>
          <w:color w:val="auto"/>
        </w:rPr>
        <w:t>Filed by Comcast Corporation</w:t>
      </w:r>
    </w:p>
    <w:p>
      <w:pPr>
        <w:spacing w:after="0" w:line="21" w:lineRule="exact"/>
        <w:rPr>
          <w:sz w:val="24"/>
          <w:szCs w:val="24"/>
          <w:color w:val="auto"/>
        </w:rPr>
      </w:pPr>
    </w:p>
    <w:p>
      <w:pPr>
        <w:ind w:left="8080"/>
        <w:spacing w:after="0"/>
        <w:rPr>
          <w:sz w:val="20"/>
          <w:szCs w:val="20"/>
          <w:color w:val="auto"/>
        </w:rPr>
      </w:pPr>
      <w:r>
        <w:rPr>
          <w:rFonts w:ascii="Arial" w:cs="Arial" w:eastAsia="Arial" w:hAnsi="Arial"/>
          <w:sz w:val="17"/>
          <w:szCs w:val="17"/>
          <w:color w:val="auto"/>
        </w:rPr>
        <w:t>(Commission File No.: 001-32871)</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and deemed filed pursuant to Rule 14a-12</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225"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79" w:lineRule="exact"/>
        <w:rPr>
          <w:sz w:val="24"/>
          <w:szCs w:val="24"/>
          <w:color w:val="auto"/>
        </w:rPr>
      </w:pPr>
    </w:p>
    <w:p>
      <w:pPr>
        <w:ind w:left="7020"/>
        <w:spacing w:after="0"/>
        <w:rPr>
          <w:sz w:val="20"/>
          <w:szCs w:val="20"/>
          <w:color w:val="auto"/>
        </w:rPr>
      </w:pPr>
      <w:r>
        <w:rPr>
          <w:rFonts w:ascii="Arial" w:cs="Arial" w:eastAsia="Arial" w:hAnsi="Arial"/>
          <w:sz w:val="17"/>
          <w:szCs w:val="17"/>
          <w:color w:val="auto"/>
        </w:rPr>
        <w:t>Commission File No. for Registration Statement</w:t>
      </w:r>
    </w:p>
    <w:p>
      <w:pPr>
        <w:spacing w:after="0" w:line="21" w:lineRule="exact"/>
        <w:rPr>
          <w:sz w:val="24"/>
          <w:szCs w:val="24"/>
          <w:color w:val="auto"/>
        </w:rPr>
      </w:pPr>
    </w:p>
    <w:p>
      <w:pPr>
        <w:ind w:left="6380"/>
        <w:spacing w:after="0"/>
        <w:rPr>
          <w:sz w:val="20"/>
          <w:szCs w:val="20"/>
          <w:color w:val="auto"/>
        </w:rPr>
      </w:pPr>
      <w:r>
        <w:rPr>
          <w:rFonts w:ascii="Arial" w:cs="Arial" w:eastAsia="Arial" w:hAnsi="Arial"/>
          <w:sz w:val="18"/>
          <w:szCs w:val="18"/>
          <w:color w:val="auto"/>
        </w:rPr>
        <w:t>on Form S-4 filed by Comcast Corporation: 333-194698</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The following FCC Public Notice for Comcast-TWC-Charter Transactions was made available by Comcast through a link on its website: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-377190</wp:posOffset>
            </wp:positionH>
            <wp:positionV relativeFrom="paragraph">
              <wp:posOffset>664845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20"/>
          </w:cols>
          <w:pgMar w:left="840" w:top="733" w:right="239" w:bottom="1440" w:gutter="0" w:footer="0" w:header="0"/>
        </w:sectPr>
      </w:pPr>
    </w:p>
    <w:bookmarkStart w:id="1" w:name="page2"/>
    <w:bookmarkEnd w:id="1"/>
    <w:p>
      <w:pPr>
        <w:spacing w:after="0"/>
        <w:rPr>
          <w:sz w:val="20"/>
          <w:szCs w:val="20"/>
          <w:color w:val="auto"/>
        </w:rPr>
      </w:pPr>
      <w:r>
        <w:rPr>
          <w:sz w:val="1"/>
          <w:szCs w:val="1"/>
          <w:color w:val="auto"/>
        </w:rPr>
        <w:drawing>
          <wp:inline distT="0" distB="0" distL="0" distR="0">
            <wp:extent cx="488950" cy="5143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88950" cy="514350"/>
                    </a:xfrm>
                    <a:prstGeom prst="rect">
                      <a:avLst/>
                    </a:prstGeom>
                    <a:noFill/>
                    <a:ln>
                      <a:noFill/>
                    </a:ln>
                  </pic:spPr>
                </pic:pic>
              </a:graphicData>
            </a:graphic>
          </wp:inline>
        </w:drawing>
      </w:r>
      <w:r>
        <w:rPr>
          <w:rFonts w:ascii="Arial" w:cs="Arial" w:eastAsia="Arial" w:hAnsi="Arial"/>
          <w:sz w:val="86"/>
          <w:szCs w:val="86"/>
          <w:b w:val="1"/>
          <w:bCs w:val="1"/>
          <w:color w:val="auto"/>
        </w:rPr>
        <w:t>PUBLIC NOTICE</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20" w:type="dxa"/>
            <w:vAlign w:val="bottom"/>
          </w:tcPr>
          <w:p>
            <w:pPr>
              <w:ind w:left="820"/>
              <w:spacing w:after="0"/>
              <w:rPr>
                <w:sz w:val="20"/>
                <w:szCs w:val="20"/>
                <w:color w:val="auto"/>
              </w:rPr>
            </w:pPr>
            <w:r>
              <w:rPr>
                <w:rFonts w:ascii="Arial" w:cs="Arial" w:eastAsia="Arial" w:hAnsi="Arial"/>
                <w:sz w:val="18"/>
                <w:szCs w:val="18"/>
                <w:b w:val="1"/>
                <w:bCs w:val="1"/>
                <w:color w:val="auto"/>
              </w:rPr>
              <w:t>Federal Communications Commission</w:t>
            </w:r>
          </w:p>
        </w:tc>
        <w:tc>
          <w:tcPr>
            <w:tcW w:w="5000" w:type="dxa"/>
            <w:vAlign w:val="bottom"/>
          </w:tcPr>
          <w:p>
            <w:pPr>
              <w:jc w:val="right"/>
              <w:spacing w:after="0"/>
              <w:rPr>
                <w:sz w:val="20"/>
                <w:szCs w:val="20"/>
                <w:color w:val="auto"/>
              </w:rPr>
            </w:pPr>
            <w:r>
              <w:rPr>
                <w:rFonts w:ascii="Arial" w:cs="Arial" w:eastAsia="Arial" w:hAnsi="Arial"/>
                <w:sz w:val="14"/>
                <w:szCs w:val="14"/>
                <w:b w:val="1"/>
                <w:bCs w:val="1"/>
                <w:color w:val="auto"/>
              </w:rPr>
              <w:t>News Media Information 202 / 418-0500</w:t>
            </w:r>
          </w:p>
        </w:tc>
        <w:tc>
          <w:tcPr>
            <w:tcW w:w="0" w:type="dxa"/>
            <w:vAlign w:val="bottom"/>
          </w:tcPr>
          <w:p>
            <w:pPr>
              <w:spacing w:after="0"/>
              <w:rPr>
                <w:sz w:val="1"/>
                <w:szCs w:val="1"/>
                <w:color w:val="auto"/>
              </w:rPr>
            </w:pPr>
          </w:p>
        </w:tc>
      </w:tr>
      <w:tr>
        <w:trPr>
          <w:trHeight w:val="194"/>
        </w:trPr>
        <w:tc>
          <w:tcPr>
            <w:tcW w:w="6420" w:type="dxa"/>
            <w:vAlign w:val="bottom"/>
          </w:tcPr>
          <w:p>
            <w:pPr>
              <w:ind w:left="820"/>
              <w:spacing w:after="0" w:line="193" w:lineRule="exact"/>
              <w:rPr>
                <w:sz w:val="20"/>
                <w:szCs w:val="20"/>
                <w:color w:val="auto"/>
              </w:rPr>
            </w:pPr>
            <w:r>
              <w:rPr>
                <w:rFonts w:ascii="Arial" w:cs="Arial" w:eastAsia="Arial" w:hAnsi="Arial"/>
                <w:sz w:val="16"/>
                <w:szCs w:val="16"/>
                <w:b w:val="1"/>
                <w:bCs w:val="1"/>
                <w:color w:val="auto"/>
              </w:rPr>
              <w:t>445 12</w:t>
            </w:r>
            <w:r>
              <w:rPr>
                <w:rFonts w:ascii="Arial" w:cs="Arial" w:eastAsia="Arial" w:hAnsi="Arial"/>
                <w:sz w:val="22"/>
                <w:szCs w:val="22"/>
                <w:b w:val="1"/>
                <w:bCs w:val="1"/>
                <w:color w:val="auto"/>
                <w:vertAlign w:val="superscript"/>
              </w:rPr>
              <w:t>th</w:t>
            </w:r>
            <w:r>
              <w:rPr>
                <w:rFonts w:ascii="Arial" w:cs="Arial" w:eastAsia="Arial" w:hAnsi="Arial"/>
                <w:sz w:val="16"/>
                <w:szCs w:val="16"/>
                <w:b w:val="1"/>
                <w:bCs w:val="1"/>
                <w:color w:val="auto"/>
              </w:rPr>
              <w:t xml:space="preserve"> St., S.W.</w:t>
            </w:r>
          </w:p>
        </w:tc>
        <w:tc>
          <w:tcPr>
            <w:tcW w:w="5000" w:type="dxa"/>
            <w:vAlign w:val="bottom"/>
          </w:tcPr>
          <w:p>
            <w:pPr>
              <w:jc w:val="right"/>
              <w:spacing w:after="0"/>
              <w:rPr>
                <w:sz w:val="20"/>
                <w:szCs w:val="20"/>
                <w:color w:val="auto"/>
              </w:rPr>
            </w:pPr>
            <w:r>
              <w:rPr>
                <w:rFonts w:ascii="Arial" w:cs="Arial" w:eastAsia="Arial" w:hAnsi="Arial"/>
                <w:sz w:val="14"/>
                <w:szCs w:val="14"/>
                <w:b w:val="1"/>
                <w:bCs w:val="1"/>
                <w:color w:val="auto"/>
              </w:rPr>
              <w:t>Internet: http://www.fcc.gov</w:t>
            </w:r>
          </w:p>
        </w:tc>
        <w:tc>
          <w:tcPr>
            <w:tcW w:w="0" w:type="dxa"/>
            <w:vAlign w:val="bottom"/>
          </w:tcPr>
          <w:p>
            <w:pPr>
              <w:spacing w:after="0"/>
              <w:rPr>
                <w:sz w:val="1"/>
                <w:szCs w:val="1"/>
                <w:color w:val="auto"/>
              </w:rPr>
            </w:pPr>
          </w:p>
        </w:tc>
      </w:tr>
      <w:tr>
        <w:trPr>
          <w:trHeight w:val="190"/>
        </w:trPr>
        <w:tc>
          <w:tcPr>
            <w:tcW w:w="6420" w:type="dxa"/>
            <w:vAlign w:val="bottom"/>
            <w:vMerge w:val="restart"/>
          </w:tcPr>
          <w:p>
            <w:pPr>
              <w:ind w:left="820"/>
              <w:spacing w:after="0"/>
              <w:rPr>
                <w:sz w:val="20"/>
                <w:szCs w:val="20"/>
                <w:color w:val="auto"/>
              </w:rPr>
            </w:pPr>
            <w:r>
              <w:rPr>
                <w:rFonts w:ascii="Arial" w:cs="Arial" w:eastAsia="Arial" w:hAnsi="Arial"/>
                <w:sz w:val="18"/>
                <w:szCs w:val="18"/>
                <w:b w:val="1"/>
                <w:bCs w:val="1"/>
                <w:color w:val="auto"/>
              </w:rPr>
              <w:t>Washington, D.C. 20554</w:t>
            </w:r>
          </w:p>
        </w:tc>
        <w:tc>
          <w:tcPr>
            <w:tcW w:w="5000" w:type="dxa"/>
            <w:vAlign w:val="bottom"/>
          </w:tcPr>
          <w:p>
            <w:pPr>
              <w:jc w:val="right"/>
              <w:spacing w:after="0"/>
              <w:rPr>
                <w:sz w:val="20"/>
                <w:szCs w:val="20"/>
                <w:color w:val="auto"/>
              </w:rPr>
            </w:pPr>
            <w:r>
              <w:rPr>
                <w:rFonts w:ascii="Arial" w:cs="Arial" w:eastAsia="Arial" w:hAnsi="Arial"/>
                <w:sz w:val="14"/>
                <w:szCs w:val="14"/>
                <w:b w:val="1"/>
                <w:bCs w:val="1"/>
                <w:color w:val="auto"/>
              </w:rPr>
              <w:t>TTY: 1-888-835-5322</w:t>
            </w:r>
          </w:p>
        </w:tc>
        <w:tc>
          <w:tcPr>
            <w:tcW w:w="0" w:type="dxa"/>
            <w:vAlign w:val="bottom"/>
          </w:tcPr>
          <w:p>
            <w:pPr>
              <w:spacing w:after="0"/>
              <w:rPr>
                <w:sz w:val="1"/>
                <w:szCs w:val="1"/>
                <w:color w:val="auto"/>
              </w:rPr>
            </w:pPr>
          </w:p>
        </w:tc>
      </w:tr>
      <w:tr>
        <w:trPr>
          <w:trHeight w:val="102"/>
        </w:trPr>
        <w:tc>
          <w:tcPr>
            <w:tcW w:w="6420" w:type="dxa"/>
            <w:vAlign w:val="bottom"/>
            <w:vMerge w:val="continue"/>
          </w:tcPr>
          <w:p>
            <w:pPr>
              <w:spacing w:after="0"/>
              <w:rPr>
                <w:sz w:val="8"/>
                <w:szCs w:val="8"/>
                <w:color w:val="auto"/>
              </w:rPr>
            </w:pPr>
          </w:p>
        </w:tc>
        <w:tc>
          <w:tcPr>
            <w:tcW w:w="50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420" w:type="dxa"/>
            <w:vAlign w:val="bottom"/>
            <w:tcBorders>
              <w:bottom w:val="single" w:sz="8" w:color="auto"/>
            </w:tcBorders>
          </w:tcPr>
          <w:p>
            <w:pPr>
              <w:spacing w:after="0"/>
              <w:rPr>
                <w:sz w:val="8"/>
                <w:szCs w:val="8"/>
                <w:color w:val="auto"/>
              </w:rPr>
            </w:pPr>
          </w:p>
        </w:tc>
        <w:tc>
          <w:tcPr>
            <w:tcW w:w="50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 14-986</w:t>
      </w:r>
    </w:p>
    <w:p>
      <w:pPr>
        <w:spacing w:after="0" w:line="279" w:lineRule="exact"/>
        <w:rPr>
          <w:sz w:val="20"/>
          <w:szCs w:val="20"/>
          <w:color w:val="auto"/>
        </w:rPr>
      </w:pPr>
    </w:p>
    <w:p>
      <w:pPr>
        <w:ind w:left="9640"/>
        <w:spacing w:after="0"/>
        <w:rPr>
          <w:sz w:val="20"/>
          <w:szCs w:val="20"/>
          <w:color w:val="auto"/>
        </w:rPr>
      </w:pPr>
      <w:r>
        <w:rPr>
          <w:rFonts w:ascii="Arial" w:cs="Arial" w:eastAsia="Arial" w:hAnsi="Arial"/>
          <w:sz w:val="15"/>
          <w:szCs w:val="15"/>
          <w:b w:val="1"/>
          <w:bCs w:val="1"/>
          <w:color w:val="auto"/>
        </w:rPr>
        <w:t>Released: July 10,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left="260" w:right="40"/>
        <w:spacing w:after="0" w:line="282" w:lineRule="auto"/>
        <w:rPr>
          <w:sz w:val="20"/>
          <w:szCs w:val="20"/>
          <w:color w:val="auto"/>
        </w:rPr>
      </w:pPr>
      <w:r>
        <w:rPr>
          <w:rFonts w:ascii="Arial" w:cs="Arial" w:eastAsia="Arial" w:hAnsi="Arial"/>
          <w:sz w:val="18"/>
          <w:szCs w:val="18"/>
          <w:b w:val="1"/>
          <w:bCs w:val="1"/>
          <w:color w:val="auto"/>
        </w:rPr>
        <w:t>COMMISSION SEEKS COMMENT ON APPLICATIONS OF COMCAST CORPORATION, TIME WARNER CABLE INC., CHARTER COMMUNICATIONS, INC., AND SPINCO TO ASSIGN AND TRANSFER CONTROL OF FCC LICENSES AND OTHER AUTHORIZATIONS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MB Docket No. 14-57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Comments/Petitions Due: August 25,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Responses to Comments/Oppositions to Petitions Due: September 23, 2014</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Replies to Responses/Oppositions Due: October 8, 2014</w:t>
      </w:r>
    </w:p>
    <w:p>
      <w:pPr>
        <w:spacing w:after="0" w:line="200" w:lineRule="exact"/>
        <w:rPr>
          <w:sz w:val="20"/>
          <w:szCs w:val="20"/>
          <w:color w:val="auto"/>
        </w:rPr>
      </w:pPr>
    </w:p>
    <w:p>
      <w:pPr>
        <w:spacing w:after="0" w:line="353" w:lineRule="exact"/>
        <w:rPr>
          <w:sz w:val="20"/>
          <w:szCs w:val="20"/>
          <w:color w:val="auto"/>
        </w:rPr>
      </w:pPr>
    </w:p>
    <w:p>
      <w:pPr>
        <w:ind w:right="20"/>
        <w:spacing w:after="0" w:line="255" w:lineRule="auto"/>
        <w:rPr>
          <w:sz w:val="20"/>
          <w:szCs w:val="20"/>
          <w:color w:val="auto"/>
        </w:rPr>
      </w:pPr>
      <w:r>
        <w:rPr>
          <w:rFonts w:ascii="Arial" w:cs="Arial" w:eastAsia="Arial" w:hAnsi="Arial"/>
          <w:sz w:val="17"/>
          <w:szCs w:val="17"/>
          <w:color w:val="auto"/>
        </w:rPr>
        <w:t>On April 8, 2014, Comcast Corporation (“Comcast”) and Time Warner Cable Inc. (“TWC”) submitted joint applications to the Commission seeking consent to transfer control of various Commission licenses and other authorizations pursuant to Sections 214 and 310(d) of the Communications Act of 1934, as amended (“Act”).</w:t>
      </w:r>
      <w:r>
        <w:rPr>
          <w:rFonts w:ascii="Arial" w:cs="Arial" w:eastAsia="Arial" w:hAnsi="Arial"/>
          <w:sz w:val="24"/>
          <w:szCs w:val="24"/>
          <w:color w:val="auto"/>
          <w:vertAlign w:val="superscript"/>
        </w:rPr>
        <w:t>1</w:t>
      </w:r>
      <w:r>
        <w:rPr>
          <w:rFonts w:ascii="Arial" w:cs="Arial" w:eastAsia="Arial" w:hAnsi="Arial"/>
          <w:sz w:val="17"/>
          <w:szCs w:val="17"/>
          <w:color w:val="auto"/>
        </w:rPr>
        <w:t xml:space="preserve"> The proposed Comcast-TWC transfers, if completed, would effectuate the sale of certain cable systems and assets of TWC and its affiliates and related entities to subsidiaries or affiliates of Comcast. Additionally, in connection with the proposed Comcast-TWC transaction, Time Warner Entertainment–Advance/Newhouse Partnership (“TWE-A/N”) and Comcast have submitted applications for the transfer to Comcast of TWE-A/N’s interest in licenses and other authorizations held by Bright House Networks, LLC (“Bright House”).</w:t>
      </w:r>
      <w:r>
        <w:rPr>
          <w:rFonts w:ascii="Arial" w:cs="Arial" w:eastAsia="Arial" w:hAnsi="Arial"/>
          <w:sz w:val="24"/>
          <w:szCs w:val="24"/>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160020</wp:posOffset>
            </wp:positionV>
            <wp:extent cx="75882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359" w:lineRule="exact"/>
        <w:rPr>
          <w:sz w:val="20"/>
          <w:szCs w:val="20"/>
          <w:color w:val="auto"/>
        </w:rPr>
      </w:pPr>
    </w:p>
    <w:p>
      <w:pPr>
        <w:ind w:firstLine="8"/>
        <w:spacing w:after="0" w:line="216" w:lineRule="auto"/>
        <w:tabs>
          <w:tab w:leader="none" w:pos="108"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47 U.S.C. §§ 214, 310(d);</w:t>
      </w:r>
      <w:r>
        <w:rPr>
          <w:rFonts w:ascii="Arial" w:cs="Arial" w:eastAsia="Arial" w:hAnsi="Arial"/>
          <w:sz w:val="18"/>
          <w:szCs w:val="18"/>
          <w:i w:val="1"/>
          <w:iCs w:val="1"/>
          <w:color w:val="auto"/>
        </w:rPr>
        <w:t xml:space="preserve"> Applications of Comcast Corp. and Time Warner Cable Inc. for Consent to Transfer Control of Licenses and Authorizations, Applications and Public Interest Statement </w:t>
      </w:r>
      <w:r>
        <w:rPr>
          <w:rFonts w:ascii="Arial" w:cs="Arial" w:eastAsia="Arial" w:hAnsi="Arial"/>
          <w:sz w:val="18"/>
          <w:szCs w:val="18"/>
          <w:color w:val="auto"/>
        </w:rPr>
        <w:t>(filed Apr. 8, 2014) (“Comcast-TWC Application”).</w:t>
      </w:r>
    </w:p>
    <w:p>
      <w:pPr>
        <w:spacing w:after="0" w:line="257" w:lineRule="exact"/>
        <w:rPr>
          <w:sz w:val="20"/>
          <w:szCs w:val="20"/>
          <w:color w:val="auto"/>
        </w:rPr>
      </w:pPr>
    </w:p>
    <w:p>
      <w:pPr>
        <w:ind w:right="240" w:firstLine="8"/>
        <w:spacing w:after="0" w:line="271" w:lineRule="auto"/>
        <w:tabs>
          <w:tab w:leader="none" w:pos="108"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Id. </w:t>
      </w:r>
      <w:r>
        <w:rPr>
          <w:rFonts w:ascii="Arial" w:cs="Arial" w:eastAsia="Arial" w:hAnsi="Arial"/>
          <w:sz w:val="16"/>
          <w:szCs w:val="16"/>
          <w:color w:val="auto"/>
        </w:rPr>
        <w:t>at 173 n.468. According to the Comcast-TWC Application, TWC holds 66.67 percent of TWE-A/N, which in turn is the sole LLC member of Bright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House. </w:t>
      </w:r>
      <w:r>
        <w:rPr>
          <w:rFonts w:ascii="Arial" w:cs="Arial" w:eastAsia="Arial" w:hAnsi="Arial"/>
          <w:sz w:val="16"/>
          <w:szCs w:val="16"/>
          <w:i w:val="1"/>
          <w:iCs w:val="1"/>
          <w:color w:val="auto"/>
        </w:rPr>
        <w:t>Id.</w:t>
      </w:r>
      <w:r>
        <w:rPr>
          <w:rFonts w:ascii="Arial" w:cs="Arial" w:eastAsia="Arial" w:hAnsi="Arial"/>
          <w:sz w:val="16"/>
          <w:szCs w:val="16"/>
          <w:color w:val="auto"/>
        </w:rPr>
        <w:t xml:space="preserve"> Advance/Newhouse Partnership — an entity in which TWC holds no legal or economic interest — holds the remaining 33.33 percent of TWE-A/N. </w:t>
      </w:r>
      <w:r>
        <w:rPr>
          <w:rFonts w:ascii="Arial" w:cs="Arial" w:eastAsia="Arial" w:hAnsi="Arial"/>
          <w:sz w:val="16"/>
          <w:szCs w:val="16"/>
          <w:i w:val="1"/>
          <w:iCs w:val="1"/>
          <w:color w:val="auto"/>
        </w:rPr>
        <w:t>Id.</w:t>
      </w:r>
      <w:r>
        <w:rPr>
          <w:rFonts w:ascii="Arial" w:cs="Arial" w:eastAsia="Arial" w:hAnsi="Arial"/>
          <w:sz w:val="16"/>
          <w:szCs w:val="16"/>
          <w:color w:val="auto"/>
        </w:rPr>
        <w:t xml:space="preserve"> According to the Comcast-TWC Application, TWC provides to Bright House certain services, such as programming and technology support, in exchange for an annual fee but does not share in its profits and losses. </w:t>
      </w:r>
      <w:r>
        <w:rPr>
          <w:rFonts w:ascii="Arial" w:cs="Arial" w:eastAsia="Arial" w:hAnsi="Arial"/>
          <w:sz w:val="16"/>
          <w:szCs w:val="16"/>
          <w:i w:val="1"/>
          <w:iCs w:val="1"/>
          <w:color w:val="auto"/>
        </w:rPr>
        <w:t>Id.</w:t>
      </w:r>
      <w:r>
        <w:rPr>
          <w:rFonts w:ascii="Arial" w:cs="Arial" w:eastAsia="Arial" w:hAnsi="Arial"/>
          <w:sz w:val="16"/>
          <w:szCs w:val="16"/>
          <w:color w:val="auto"/>
        </w:rPr>
        <w:t xml:space="preserve"> By contrast, according to Comcast and TWC, Advance/Newhouse Partnership exercises exclusive day-to-day management responsibility for, and </w:t>
      </w:r>
      <w:r>
        <w:rPr>
          <w:rFonts w:ascii="Arial" w:cs="Arial" w:eastAsia="Arial" w:hAnsi="Arial"/>
          <w:sz w:val="16"/>
          <w:szCs w:val="16"/>
          <w:i w:val="1"/>
          <w:iCs w:val="1"/>
          <w:color w:val="auto"/>
        </w:rPr>
        <w:t>de facto</w:t>
      </w:r>
      <w:r>
        <w:rPr>
          <w:rFonts w:ascii="Arial" w:cs="Arial" w:eastAsia="Arial" w:hAnsi="Arial"/>
          <w:sz w:val="16"/>
          <w:szCs w:val="16"/>
          <w:color w:val="auto"/>
        </w:rPr>
        <w:t xml:space="preserve"> control over, the operation of the Bright House systems. </w:t>
      </w:r>
      <w:r>
        <w:rPr>
          <w:rFonts w:ascii="Arial" w:cs="Arial" w:eastAsia="Arial" w:hAnsi="Arial"/>
          <w:sz w:val="16"/>
          <w:szCs w:val="16"/>
          <w:i w:val="1"/>
          <w:iCs w:val="1"/>
          <w:color w:val="auto"/>
        </w:rPr>
        <w:t>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678815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773" w:right="239" w:bottom="1440" w:gutter="0" w:footer="0" w:header="0"/>
        </w:sectPr>
      </w:pPr>
    </w:p>
    <w:bookmarkStart w:id="2" w:name="page3"/>
    <w:bookmarkEnd w:id="2"/>
    <w:p>
      <w:pPr>
        <w:ind w:right="100" w:firstLine="648"/>
        <w:spacing w:after="0" w:line="242" w:lineRule="auto"/>
        <w:rPr>
          <w:sz w:val="20"/>
          <w:szCs w:val="20"/>
          <w:color w:val="auto"/>
        </w:rPr>
      </w:pPr>
      <w:r>
        <w:rPr>
          <w:rFonts w:ascii="Arial" w:cs="Arial" w:eastAsia="Arial" w:hAnsi="Arial"/>
          <w:sz w:val="16"/>
          <w:szCs w:val="16"/>
          <w:color w:val="auto"/>
        </w:rPr>
        <w:t>Subsequent to the filing of the Comcast-TWC Application, on June 4, 2014, Comcast, Charter Communications, Inc. (“Charter”), and SpinCo</w:t>
      </w:r>
      <w:r>
        <w:rPr>
          <w:rFonts w:ascii="Arial" w:cs="Arial" w:eastAsia="Arial" w:hAnsi="Arial"/>
          <w:sz w:val="22"/>
          <w:szCs w:val="22"/>
          <w:color w:val="auto"/>
          <w:vertAlign w:val="superscript"/>
        </w:rPr>
        <w:t>3</w:t>
      </w:r>
      <w:r>
        <w:rPr>
          <w:rFonts w:ascii="Arial" w:cs="Arial" w:eastAsia="Arial" w:hAnsi="Arial"/>
          <w:sz w:val="16"/>
          <w:szCs w:val="16"/>
          <w:color w:val="auto"/>
        </w:rPr>
        <w:t xml:space="preserve"> (collectively, the “Divestiture Applicants”) filed transfer applications pursuant to Sections 214 and 310(d) of the Act to effectuate a series of transactions between Comcast and Charter (collectively, the “Divestiture Transactions”).</w:t>
      </w:r>
      <w:r>
        <w:rPr>
          <w:rFonts w:ascii="Arial" w:cs="Arial" w:eastAsia="Arial" w:hAnsi="Arial"/>
          <w:sz w:val="22"/>
          <w:szCs w:val="22"/>
          <w:color w:val="auto"/>
          <w:vertAlign w:val="superscript"/>
        </w:rPr>
        <w:t>4</w:t>
      </w:r>
      <w:r>
        <w:rPr>
          <w:rFonts w:ascii="Arial" w:cs="Arial" w:eastAsia="Arial" w:hAnsi="Arial"/>
          <w:sz w:val="16"/>
          <w:szCs w:val="16"/>
          <w:color w:val="auto"/>
        </w:rPr>
        <w:t xml:space="preserve"> The Divestiture Transactions consist of the following three transactions: (i) a sale to Charter of cable systems serving approximately 1.5 million former TWC video customers; (ii) an exchange between Comcast and Charter of cable systems serving approximately 1.5 million former TWC video customers, as well as seven cable networks affiliated with those systems, and approximately 1.6 million Charter video customers and three cable networks affiliated with those systems; and (iii) a spinoff of cable systems serving approximately 2.5 million legacy Comcast video customers into SpinCo, which will operate as a new, publicly traded cable company.</w:t>
      </w:r>
      <w:r>
        <w:rPr>
          <w:rFonts w:ascii="Arial" w:cs="Arial" w:eastAsia="Arial" w:hAnsi="Arial"/>
          <w:sz w:val="22"/>
          <w:szCs w:val="22"/>
          <w:color w:val="auto"/>
          <w:vertAlign w:val="superscript"/>
        </w:rPr>
        <w:t>5</w:t>
      </w:r>
      <w:r>
        <w:rPr>
          <w:rFonts w:ascii="Arial" w:cs="Arial" w:eastAsia="Arial" w:hAnsi="Arial"/>
          <w:sz w:val="16"/>
          <w:szCs w:val="16"/>
          <w:color w:val="auto"/>
        </w:rPr>
        <w:t xml:space="preserve"> According to the parties, the Divestiture Transactions would result in a net reduction of approximately 3.9 million residential video customers for the combined Comcast and TWC.</w:t>
      </w:r>
      <w:r>
        <w:rPr>
          <w:rFonts w:ascii="Arial" w:cs="Arial" w:eastAsia="Arial" w:hAnsi="Arial"/>
          <w:sz w:val="22"/>
          <w:szCs w:val="22"/>
          <w:color w:val="auto"/>
          <w:vertAlign w:val="superscript"/>
        </w:rPr>
        <w:t>6</w:t>
      </w:r>
      <w:r>
        <w:rPr>
          <w:rFonts w:ascii="Arial" w:cs="Arial" w:eastAsia="Arial" w:hAnsi="Arial"/>
          <w:sz w:val="16"/>
          <w:szCs w:val="16"/>
          <w:color w:val="auto"/>
        </w:rPr>
        <w:t xml:space="preserve"> In addition, on June 5, 2014, Comcast and TWC submitted a joint letter updating figures, maps, tables, and statements in the Comcast-TWC Application in light of the proposed Divestiture Transactions.</w:t>
      </w:r>
      <w:r>
        <w:rPr>
          <w:rFonts w:ascii="Arial" w:cs="Arial" w:eastAsia="Arial" w:hAnsi="Arial"/>
          <w:sz w:val="22"/>
          <w:szCs w:val="22"/>
          <w:color w:val="auto"/>
          <w:vertAlign w:val="superscript"/>
        </w:rPr>
        <w:t>7</w:t>
      </w:r>
      <w:r>
        <w:rPr>
          <w:rFonts w:ascii="Arial" w:cs="Arial" w:eastAsia="Arial" w:hAnsi="Arial"/>
          <w:sz w:val="16"/>
          <w:szCs w:val="16"/>
          <w:color w:val="auto"/>
        </w:rPr>
        <w:t xml:space="preserve"> In the letter, the parties formally request that the Commission consider and process the applications for the proposed Divestiture Transactions contemporaneously with the Comcast-TWC Application in a single pleading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5882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both"/>
        <w:ind w:firstLine="8"/>
        <w:spacing w:after="0" w:line="262" w:lineRule="auto"/>
        <w:tabs>
          <w:tab w:leader="none" w:pos="108" w:val="left"/>
        </w:tabs>
        <w:numPr>
          <w:ilvl w:val="0"/>
          <w:numId w:val="3"/>
        </w:numPr>
        <w:rPr>
          <w:rFonts w:ascii="Arial" w:cs="Arial" w:eastAsia="Arial" w:hAnsi="Arial"/>
          <w:sz w:val="22"/>
          <w:szCs w:val="22"/>
          <w:color w:val="auto"/>
          <w:vertAlign w:val="superscript"/>
        </w:rPr>
      </w:pPr>
      <w:r>
        <w:rPr>
          <w:rFonts w:ascii="Arial" w:cs="Arial" w:eastAsia="Arial" w:hAnsi="Arial"/>
          <w:sz w:val="16"/>
          <w:szCs w:val="16"/>
          <w:color w:val="auto"/>
        </w:rPr>
        <w:t xml:space="preserve">According to Divestiture Applicants, after the close of the Comcast-TWC transaction, Comcast intends to form SpinCo, transfer to it certain cable assets and liabilities, and then spin it off to Comcast shareholders, thereby establishing a new, publicly traded cable company. </w:t>
      </w:r>
      <w:r>
        <w:rPr>
          <w:rFonts w:ascii="Arial" w:cs="Arial" w:eastAsia="Arial" w:hAnsi="Arial"/>
          <w:sz w:val="16"/>
          <w:szCs w:val="16"/>
          <w:i w:val="1"/>
          <w:iCs w:val="1"/>
          <w:color w:val="auto"/>
        </w:rPr>
        <w:t>Public Interest Statement of SpinCo,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Charter Communications, Inc., and Comcast Corporation, Spin Transaction, </w:t>
      </w:r>
      <w:r>
        <w:rPr>
          <w:rFonts w:ascii="Arial" w:cs="Arial" w:eastAsia="Arial" w:hAnsi="Arial"/>
          <w:sz w:val="16"/>
          <w:szCs w:val="16"/>
          <w:color w:val="auto"/>
        </w:rPr>
        <w:t>MB Docket No. 14-57 (June 4, 2014) (“SpinCo Public Interest Statement”) at 5.</w:t>
      </w:r>
    </w:p>
    <w:p>
      <w:pPr>
        <w:spacing w:after="0" w:line="240" w:lineRule="exact"/>
        <w:rPr>
          <w:sz w:val="20"/>
          <w:szCs w:val="20"/>
          <w:color w:val="auto"/>
        </w:rPr>
      </w:pPr>
    </w:p>
    <w:p>
      <w:pPr>
        <w:ind w:right="60" w:firstLine="8"/>
        <w:spacing w:after="0" w:line="232" w:lineRule="auto"/>
        <w:tabs>
          <w:tab w:leader="none" w:pos="108"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47 U.S.C. §§ 214, 310(d);</w:t>
      </w:r>
      <w:r>
        <w:rPr>
          <w:rFonts w:ascii="Arial" w:cs="Arial" w:eastAsia="Arial" w:hAnsi="Arial"/>
          <w:sz w:val="18"/>
          <w:szCs w:val="18"/>
          <w:i w:val="1"/>
          <w:iCs w:val="1"/>
          <w:color w:val="auto"/>
        </w:rPr>
        <w:t xml:space="preserve"> Public Interest Statement of Comcast Corporation and Charter Communications, Inc., Charter-to-Comcast Exchange Transaction</w:t>
      </w:r>
      <w:r>
        <w:rPr>
          <w:rFonts w:ascii="Arial" w:cs="Arial" w:eastAsia="Arial" w:hAnsi="Arial"/>
          <w:sz w:val="18"/>
          <w:szCs w:val="18"/>
          <w:color w:val="auto"/>
        </w:rPr>
        <w:t>, MB Docket No. 14-57 (June 4, 2014) (“Charter-to-Comcast Exchange Public Interest Statement”);</w:t>
      </w:r>
      <w:r>
        <w:rPr>
          <w:rFonts w:ascii="Arial" w:cs="Arial" w:eastAsia="Arial" w:hAnsi="Arial"/>
          <w:sz w:val="18"/>
          <w:szCs w:val="18"/>
          <w:i w:val="1"/>
          <w:iCs w:val="1"/>
          <w:color w:val="auto"/>
        </w:rPr>
        <w:t xml:space="preserve"> Public Interest Statement of Charter Communications, Inc. and Comcast Corporation, Comcast-to-Charter Exchange and Sale Transactions</w:t>
      </w:r>
      <w:r>
        <w:rPr>
          <w:rFonts w:ascii="Arial" w:cs="Arial" w:eastAsia="Arial" w:hAnsi="Arial"/>
          <w:sz w:val="18"/>
          <w:szCs w:val="18"/>
          <w:color w:val="auto"/>
        </w:rPr>
        <w:t>, MB Docket No. 14-57 (June 4, 2014) (“Comcast-to-Charter Sale/Exchange Public Interest Statement”); SpinCo Public Interest Statement.</w:t>
      </w:r>
    </w:p>
    <w:p>
      <w:pPr>
        <w:spacing w:after="0" w:line="256" w:lineRule="exact"/>
        <w:rPr>
          <w:sz w:val="20"/>
          <w:szCs w:val="20"/>
          <w:color w:val="auto"/>
        </w:rPr>
      </w:pPr>
    </w:p>
    <w:p>
      <w:pPr>
        <w:ind w:right="300" w:firstLine="8"/>
        <w:spacing w:after="0" w:line="226" w:lineRule="auto"/>
        <w:tabs>
          <w:tab w:leader="none" w:pos="108"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Letter from Kathryn A. Zachem, Senior Vice President, Regulatory and State Legislative Affairs, Comcast Corp. and Steven Teplitz, Senior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Government Relations, Time Warner Cable Inc., to Marlene H. Dortch, Secretary, FCC, MB Docket No. 14-57 (June 5, 2014) (“Comcast-TWC Supplement Letter”) at 2.</w:t>
      </w:r>
    </w:p>
    <w:p>
      <w:pPr>
        <w:spacing w:after="0" w:line="258" w:lineRule="exact"/>
        <w:rPr>
          <w:sz w:val="20"/>
          <w:szCs w:val="20"/>
          <w:color w:val="auto"/>
        </w:rPr>
      </w:pPr>
    </w:p>
    <w:p>
      <w:pPr>
        <w:ind w:right="60" w:firstLine="8"/>
        <w:spacing w:after="0" w:line="261" w:lineRule="auto"/>
        <w:tabs>
          <w:tab w:leader="none" w:pos="108" w:val="left"/>
        </w:tabs>
        <w:numPr>
          <w:ilvl w:val="0"/>
          <w:numId w:val="6"/>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Id. </w:t>
      </w:r>
      <w:r>
        <w:rPr>
          <w:rFonts w:ascii="Arial" w:cs="Arial" w:eastAsia="Arial" w:hAnsi="Arial"/>
          <w:sz w:val="16"/>
          <w:szCs w:val="16"/>
          <w:color w:val="auto"/>
        </w:rPr>
        <w:t xml:space="preserve">at 2-3. According to Comcast and TWC, the proposed Divestiture Transactions, if completed, would achieve Comcast’s stated intention in the Comcast-TWC Application to reduce its post-transaction national share of managed residential video subscribers below 30 percent. </w:t>
      </w:r>
      <w:r>
        <w:rPr>
          <w:rFonts w:ascii="Arial" w:cs="Arial" w:eastAsia="Arial" w:hAnsi="Arial"/>
          <w:sz w:val="16"/>
          <w:szCs w:val="16"/>
          <w:i w:val="1"/>
          <w:iCs w:val="1"/>
          <w:color w:val="auto"/>
        </w:rPr>
        <w:t>See id.</w:t>
      </w:r>
      <w:r>
        <w:rPr>
          <w:rFonts w:ascii="Arial" w:cs="Arial" w:eastAsia="Arial" w:hAnsi="Arial"/>
          <w:sz w:val="16"/>
          <w:szCs w:val="16"/>
          <w:color w:val="auto"/>
        </w:rPr>
        <w:t xml:space="preserve"> at 1; Comcast-TWC Application at 7. Comcast’s calculation of its post-transaction share of managed residential video subscribers does not include its acquisition of TWC’s attributable interest in cable systems managed by Bright House or any other attributable ownership interests where Comcast does not manage the</w:t>
      </w:r>
    </w:p>
    <w:p>
      <w:pPr>
        <w:spacing w:after="0" w:line="3" w:lineRule="exact"/>
        <w:rPr>
          <w:rFonts w:ascii="Arial" w:cs="Arial" w:eastAsia="Arial" w:hAnsi="Arial"/>
          <w:sz w:val="22"/>
          <w:szCs w:val="22"/>
          <w:color w:val="auto"/>
          <w:vertAlign w:val="superscript"/>
        </w:rPr>
      </w:pPr>
    </w:p>
    <w:p>
      <w:pPr>
        <w:ind w:right="40"/>
        <w:spacing w:after="0" w:line="252" w:lineRule="auto"/>
        <w:rPr>
          <w:rFonts w:ascii="Arial" w:cs="Arial" w:eastAsia="Arial" w:hAnsi="Arial"/>
          <w:sz w:val="22"/>
          <w:szCs w:val="22"/>
          <w:color w:val="auto"/>
          <w:vertAlign w:val="superscript"/>
        </w:rPr>
      </w:pPr>
      <w:r>
        <w:rPr>
          <w:rFonts w:ascii="Arial" w:cs="Arial" w:eastAsia="Arial" w:hAnsi="Arial"/>
          <w:sz w:val="18"/>
          <w:szCs w:val="18"/>
          <w:color w:val="auto"/>
        </w:rPr>
        <w:t xml:space="preserve">systems. </w:t>
      </w:r>
      <w:r>
        <w:rPr>
          <w:rFonts w:ascii="Arial" w:cs="Arial" w:eastAsia="Arial" w:hAnsi="Arial"/>
          <w:sz w:val="18"/>
          <w:szCs w:val="18"/>
          <w:i w:val="1"/>
          <w:iCs w:val="1"/>
          <w:color w:val="auto"/>
        </w:rPr>
        <w:t>See</w:t>
      </w:r>
      <w:r>
        <w:rPr>
          <w:rFonts w:ascii="Arial" w:cs="Arial" w:eastAsia="Arial" w:hAnsi="Arial"/>
          <w:sz w:val="18"/>
          <w:szCs w:val="18"/>
          <w:color w:val="auto"/>
        </w:rPr>
        <w:t xml:space="preserve"> Letter from Kathryn A. Zachem, Senior Vice President, Regulatory and State Legislative Affairs, Comcast Corp., Catherine Bohigian, Executive Vice President, Government Affairs, Charter Communications, Inc., and Steven Teplitz, Senior Vice President, Government Relations, Time Warner Cable Inc., to Marlene H. Dortch, Secretary, FCC, MB Docket No. 14-57 (June 24, 2014) (“June 24, 2014 Supplement Letter”) at 9-12. In addition, Charter currently serves approximately 4.2 million residential video customers; however, following the Divestiture Transactions, it will own, or provide services under contract to, cable systems serving approximately 8.3 million video customers. Comcast-to-Charter Sale/Exchange Public Interest Statement at 1-2; June 24, 2014 Supplement Letter at 3.</w:t>
      </w:r>
    </w:p>
    <w:p>
      <w:pPr>
        <w:spacing w:after="0" w:line="248" w:lineRule="exact"/>
        <w:rPr>
          <w:sz w:val="20"/>
          <w:szCs w:val="20"/>
          <w:color w:val="auto"/>
        </w:rPr>
      </w:pPr>
    </w:p>
    <w:p>
      <w:pPr>
        <w:ind w:right="660" w:firstLine="8"/>
        <w:spacing w:after="0" w:line="216" w:lineRule="auto"/>
        <w:tabs>
          <w:tab w:leader="none" w:pos="108"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Comcast-TWC Supplement Letter at 3-8. According to Comcast and TWC, the Divestiture transactions “do not alter any material aspect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Comcast-TWC transaction or the applications related to that transaction.” </w:t>
      </w:r>
      <w:r>
        <w:rPr>
          <w:rFonts w:ascii="Arial" w:cs="Arial" w:eastAsia="Arial" w:hAnsi="Arial"/>
          <w:sz w:val="18"/>
          <w:szCs w:val="18"/>
          <w:i w:val="1"/>
          <w:iCs w:val="1"/>
          <w:color w:val="auto"/>
        </w:rPr>
        <w:t>Id.</w:t>
      </w:r>
      <w:r>
        <w:rPr>
          <w:rFonts w:ascii="Arial" w:cs="Arial" w:eastAsia="Arial" w:hAnsi="Arial"/>
          <w:sz w:val="18"/>
          <w:szCs w:val="18"/>
          <w:color w:val="auto"/>
        </w:rPr>
        <w:t xml:space="preserve"> at 1.</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41" w:right="259" w:bottom="1440" w:gutter="0" w:footer="0" w:header="0"/>
        </w:sectPr>
      </w:pPr>
    </w:p>
    <w:bookmarkStart w:id="3" w:name="page4"/>
    <w:bookmarkEnd w:id="3"/>
    <w:p>
      <w:pPr>
        <w:ind w:right="120"/>
        <w:spacing w:after="0" w:line="227" w:lineRule="auto"/>
        <w:rPr>
          <w:sz w:val="20"/>
          <w:szCs w:val="20"/>
          <w:color w:val="auto"/>
        </w:rPr>
      </w:pPr>
      <w:r>
        <w:rPr>
          <w:rFonts w:ascii="Arial" w:cs="Arial" w:eastAsia="Arial" w:hAnsi="Arial"/>
          <w:sz w:val="18"/>
          <w:szCs w:val="18"/>
          <w:color w:val="auto"/>
        </w:rPr>
        <w:t>cycle.</w:t>
      </w:r>
      <w:r>
        <w:rPr>
          <w:rFonts w:ascii="Arial" w:cs="Arial" w:eastAsia="Arial" w:hAnsi="Arial"/>
          <w:sz w:val="25"/>
          <w:szCs w:val="25"/>
          <w:color w:val="auto"/>
          <w:vertAlign w:val="superscript"/>
        </w:rPr>
        <w:t>8</w:t>
      </w:r>
      <w:r>
        <w:rPr>
          <w:rFonts w:ascii="Arial" w:cs="Arial" w:eastAsia="Arial" w:hAnsi="Arial"/>
          <w:sz w:val="18"/>
          <w:szCs w:val="18"/>
          <w:color w:val="auto"/>
        </w:rPr>
        <w:t xml:space="preserve"> On June 24, 2014, Comcast, Charter, and TWC submitted a letter to provide additional data and information about Comcast, Charter, and SpinCo, as well as Bright House, following the Comcast-TWC transaction and the Divestiture Transactions.</w:t>
      </w:r>
      <w:r>
        <w:rPr>
          <w:rFonts w:ascii="Arial" w:cs="Arial" w:eastAsia="Arial" w:hAnsi="Arial"/>
          <w:sz w:val="25"/>
          <w:szCs w:val="25"/>
          <w:color w:val="auto"/>
          <w:vertAlign w:val="superscript"/>
        </w:rPr>
        <w:t>9</w:t>
      </w:r>
    </w:p>
    <w:p>
      <w:pPr>
        <w:spacing w:after="0" w:line="158" w:lineRule="exact"/>
        <w:rPr>
          <w:sz w:val="20"/>
          <w:szCs w:val="20"/>
          <w:color w:val="auto"/>
        </w:rPr>
      </w:pPr>
    </w:p>
    <w:p>
      <w:pPr>
        <w:ind w:right="140" w:firstLine="648"/>
        <w:spacing w:after="0" w:line="226" w:lineRule="auto"/>
        <w:rPr>
          <w:sz w:val="20"/>
          <w:szCs w:val="20"/>
          <w:color w:val="auto"/>
        </w:rPr>
      </w:pPr>
      <w:r>
        <w:rPr>
          <w:rFonts w:ascii="Arial" w:cs="Arial" w:eastAsia="Arial" w:hAnsi="Arial"/>
          <w:sz w:val="18"/>
          <w:szCs w:val="18"/>
          <w:color w:val="auto"/>
        </w:rPr>
        <w:t>We seek comment from interested persons to assist the Commission in its independent review of all proposed transfers of licenses and other authorizations referred to in this Public Notice.</w:t>
      </w:r>
      <w:r>
        <w:rPr>
          <w:rFonts w:ascii="Arial" w:cs="Arial" w:eastAsia="Arial" w:hAnsi="Arial"/>
          <w:sz w:val="25"/>
          <w:szCs w:val="25"/>
          <w:color w:val="auto"/>
          <w:vertAlign w:val="superscript"/>
        </w:rPr>
        <w:t>10</w:t>
      </w:r>
      <w:r>
        <w:rPr>
          <w:rFonts w:ascii="Arial" w:cs="Arial" w:eastAsia="Arial" w:hAnsi="Arial"/>
          <w:sz w:val="18"/>
          <w:szCs w:val="18"/>
          <w:color w:val="auto"/>
        </w:rPr>
        <w:t xml:space="preserve"> The details of the proposed transfers and the procedures on how to file petitions to deny and comments are set forth below.</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PROPOSED TRANSACTIONS</w:t>
      </w:r>
    </w:p>
    <w:p>
      <w:pPr>
        <w:spacing w:after="0" w:line="283" w:lineRule="exact"/>
        <w:rPr>
          <w:sz w:val="20"/>
          <w:szCs w:val="20"/>
          <w:color w:val="auto"/>
        </w:rPr>
      </w:pPr>
    </w:p>
    <w:p>
      <w:pPr>
        <w:ind w:right="60"/>
        <w:spacing w:after="0" w:line="236" w:lineRule="auto"/>
        <w:rPr>
          <w:sz w:val="20"/>
          <w:szCs w:val="20"/>
          <w:color w:val="auto"/>
        </w:rPr>
      </w:pPr>
      <w:r>
        <w:rPr>
          <w:rFonts w:ascii="Arial" w:cs="Arial" w:eastAsia="Arial" w:hAnsi="Arial"/>
          <w:sz w:val="17"/>
          <w:szCs w:val="17"/>
          <w:color w:val="auto"/>
        </w:rPr>
        <w:t>According to the Comcast-TWC Application, Comcast has entered into an agreement with TWC whereby Comcast will acquire 100 percent of TWC’s equity in exchange for shares of Comcast Class A stock.</w:t>
      </w:r>
      <w:r>
        <w:rPr>
          <w:rFonts w:ascii="Arial" w:cs="Arial" w:eastAsia="Arial" w:hAnsi="Arial"/>
          <w:sz w:val="24"/>
          <w:szCs w:val="24"/>
          <w:color w:val="auto"/>
          <w:vertAlign w:val="superscript"/>
        </w:rPr>
        <w:t>11</w:t>
      </w:r>
      <w:r>
        <w:rPr>
          <w:rFonts w:ascii="Arial" w:cs="Arial" w:eastAsia="Arial" w:hAnsi="Arial"/>
          <w:sz w:val="17"/>
          <w:szCs w:val="17"/>
          <w:color w:val="auto"/>
        </w:rPr>
        <w:t xml:space="preserve"> Comcast and TWC state that the proposed transaction is a straightforward acquisition of TWC, and that Comcast plans to retain all of TWC’s existing assets, subject to divestitures of cable systems totaling approximately 3.9 million video</w:t>
      </w:r>
    </w:p>
    <w:p>
      <w:pPr>
        <w:spacing w:after="0" w:line="3" w:lineRule="exact"/>
        <w:rPr>
          <w:sz w:val="20"/>
          <w:szCs w:val="20"/>
          <w:color w:val="auto"/>
        </w:rPr>
      </w:pPr>
    </w:p>
    <w:p>
      <w:pPr>
        <w:ind w:right="180"/>
        <w:spacing w:after="0" w:line="208" w:lineRule="auto"/>
        <w:rPr>
          <w:sz w:val="20"/>
          <w:szCs w:val="20"/>
          <w:color w:val="auto"/>
        </w:rPr>
      </w:pPr>
      <w:r>
        <w:rPr>
          <w:rFonts w:ascii="Arial" w:cs="Arial" w:eastAsia="Arial" w:hAnsi="Arial"/>
          <w:sz w:val="18"/>
          <w:szCs w:val="18"/>
          <w:color w:val="auto"/>
        </w:rPr>
        <w:t>subscribers.</w:t>
      </w:r>
      <w:r>
        <w:rPr>
          <w:rFonts w:ascii="Arial" w:cs="Arial" w:eastAsia="Arial" w:hAnsi="Arial"/>
          <w:sz w:val="25"/>
          <w:szCs w:val="25"/>
          <w:color w:val="auto"/>
          <w:vertAlign w:val="superscript"/>
        </w:rPr>
        <w:t>12</w:t>
      </w:r>
      <w:r>
        <w:rPr>
          <w:rFonts w:ascii="Arial" w:cs="Arial" w:eastAsia="Arial" w:hAnsi="Arial"/>
          <w:sz w:val="18"/>
          <w:szCs w:val="18"/>
          <w:color w:val="auto"/>
        </w:rPr>
        <w:t xml:space="preserve"> According to the Comcast-TWC Application, at the closing of the transaction, Tango Acquisition Sub, Inc. (“TAS”), a new direct wholly owned subsidiary of Comcast, will merge with TWC under Delaware law.</w:t>
      </w:r>
      <w:r>
        <w:rPr>
          <w:rFonts w:ascii="Arial" w:cs="Arial" w:eastAsia="Arial" w:hAnsi="Arial"/>
          <w:sz w:val="25"/>
          <w:szCs w:val="25"/>
          <w:color w:val="auto"/>
          <w:vertAlign w:val="superscript"/>
        </w:rPr>
        <w:t>13</w:t>
      </w:r>
      <w:r>
        <w:rPr>
          <w:rFonts w:ascii="Arial" w:cs="Arial" w:eastAsia="Arial" w:hAnsi="Arial"/>
          <w:sz w:val="18"/>
          <w:szCs w:val="18"/>
          <w:color w:val="auto"/>
        </w:rPr>
        <w:t xml:space="preserve"> At that time, the separate corporate existence of TAS will cease and, thereafter, TWC will be a wholly owned subsidiary of Comcast.</w:t>
      </w:r>
      <w:r>
        <w:rPr>
          <w:rFonts w:ascii="Arial" w:cs="Arial" w:eastAsia="Arial" w:hAnsi="Arial"/>
          <w:sz w:val="25"/>
          <w:szCs w:val="25"/>
          <w:color w:val="auto"/>
          <w:vertAlign w:val="superscript"/>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5882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370" w:lineRule="exact"/>
        <w:rPr>
          <w:sz w:val="20"/>
          <w:szCs w:val="20"/>
          <w:color w:val="auto"/>
        </w:rPr>
      </w:pPr>
    </w:p>
    <w:p>
      <w:pPr>
        <w:jc w:val="both"/>
        <w:ind w:firstLine="8"/>
        <w:spacing w:after="0" w:line="268" w:lineRule="auto"/>
        <w:tabs>
          <w:tab w:leader="none" w:pos="108"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i w:val="1"/>
          <w:iCs w:val="1"/>
          <w:color w:val="auto"/>
        </w:rPr>
        <w:t xml:space="preserve">Id. </w:t>
      </w:r>
      <w:r>
        <w:rPr>
          <w:rFonts w:ascii="Arial" w:cs="Arial" w:eastAsia="Arial" w:hAnsi="Arial"/>
          <w:sz w:val="16"/>
          <w:szCs w:val="16"/>
          <w:color w:val="auto"/>
        </w:rPr>
        <w:t>at 2. Comcast and TWC note that the closing of the Comcast-TWC transaction is a pre-condition to the Divestiture Transactions and therefore request</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that the Commission grant approvals for the Comcast-TWC transaction and the Divestiture Transactions at the same time. </w:t>
      </w:r>
      <w:r>
        <w:rPr>
          <w:rFonts w:ascii="Arial" w:cs="Arial" w:eastAsia="Arial" w:hAnsi="Arial"/>
          <w:sz w:val="16"/>
          <w:szCs w:val="16"/>
          <w:i w:val="1"/>
          <w:iCs w:val="1"/>
          <w:color w:val="auto"/>
        </w:rPr>
        <w:t>Id.</w:t>
      </w:r>
      <w:r>
        <w:rPr>
          <w:rFonts w:ascii="Arial" w:cs="Arial" w:eastAsia="Arial" w:hAnsi="Arial"/>
          <w:sz w:val="16"/>
          <w:szCs w:val="16"/>
          <w:color w:val="auto"/>
        </w:rPr>
        <w:t xml:space="preserve"> at 2 n.4. They also state that, should the closing of the Divestiture Transactions be delayed, or should it fail to occur, Comcast may need the ability to own all of the TWC systems for a period of 12 to 18 months following the closing of the Comcast-TWC transaction in order to complete divestiture in the least disruptive manner. </w:t>
      </w:r>
      <w:r>
        <w:rPr>
          <w:rFonts w:ascii="Arial" w:cs="Arial" w:eastAsia="Arial" w:hAnsi="Arial"/>
          <w:sz w:val="16"/>
          <w:szCs w:val="16"/>
          <w:i w:val="1"/>
          <w:iCs w:val="1"/>
          <w:color w:val="auto"/>
        </w:rPr>
        <w:t>Id.</w:t>
      </w:r>
    </w:p>
    <w:p>
      <w:pPr>
        <w:spacing w:after="0" w:line="179" w:lineRule="exact"/>
        <w:rPr>
          <w:sz w:val="20"/>
          <w:szCs w:val="20"/>
          <w:color w:val="auto"/>
        </w:rPr>
      </w:pPr>
    </w:p>
    <w:p>
      <w:pPr>
        <w:ind w:left="120" w:hanging="112"/>
        <w:spacing w:after="0"/>
        <w:tabs>
          <w:tab w:leader="none" w:pos="120"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i w:val="1"/>
          <w:iCs w:val="1"/>
          <w:color w:val="auto"/>
        </w:rPr>
        <w:t xml:space="preserve">See </w:t>
      </w:r>
      <w:r>
        <w:rPr>
          <w:rFonts w:ascii="Arial" w:cs="Arial" w:eastAsia="Arial" w:hAnsi="Arial"/>
          <w:sz w:val="18"/>
          <w:szCs w:val="18"/>
          <w:color w:val="auto"/>
        </w:rPr>
        <w:t>June 24, 2014 Supplement Letter.</w:t>
      </w:r>
    </w:p>
    <w:p>
      <w:pPr>
        <w:spacing w:after="0" w:line="222" w:lineRule="exact"/>
        <w:rPr>
          <w:sz w:val="20"/>
          <w:szCs w:val="20"/>
          <w:color w:val="auto"/>
        </w:rPr>
      </w:pPr>
    </w:p>
    <w:p>
      <w:pPr>
        <w:ind w:left="180" w:hanging="172"/>
        <w:spacing w:after="0"/>
        <w:tabs>
          <w:tab w:leader="none" w:pos="18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A list of the licenses and authorizations subject to the filed applications is included in the Attachment to this Public Notice.</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0"/>
        </w:numPr>
        <w:rPr>
          <w:rFonts w:ascii="Arial" w:cs="Arial" w:eastAsia="Arial" w:hAnsi="Arial"/>
          <w:sz w:val="23"/>
          <w:szCs w:val="23"/>
          <w:color w:val="auto"/>
          <w:vertAlign w:val="superscript"/>
        </w:rPr>
      </w:pPr>
      <w:r>
        <w:rPr>
          <w:rFonts w:ascii="Arial" w:cs="Arial" w:eastAsia="Arial" w:hAnsi="Arial"/>
          <w:sz w:val="17"/>
          <w:szCs w:val="17"/>
          <w:color w:val="auto"/>
        </w:rPr>
        <w:t>Comcast-TWC Application at 7.</w:t>
      </w:r>
    </w:p>
    <w:p>
      <w:pPr>
        <w:spacing w:after="0" w:line="255" w:lineRule="exact"/>
        <w:rPr>
          <w:rFonts w:ascii="Arial" w:cs="Arial" w:eastAsia="Arial" w:hAnsi="Arial"/>
          <w:sz w:val="23"/>
          <w:szCs w:val="23"/>
          <w:color w:val="auto"/>
          <w:vertAlign w:val="superscript"/>
        </w:rPr>
      </w:pPr>
    </w:p>
    <w:p>
      <w:pPr>
        <w:jc w:val="both"/>
        <w:ind w:right="200" w:firstLine="8"/>
        <w:spacing w:after="0" w:line="271" w:lineRule="auto"/>
        <w:tabs>
          <w:tab w:leader="none" w:pos="171" w:val="left"/>
        </w:tabs>
        <w:numPr>
          <w:ilvl w:val="0"/>
          <w:numId w:val="10"/>
        </w:numPr>
        <w:rPr>
          <w:rFonts w:ascii="Arial" w:cs="Arial" w:eastAsia="Arial" w:hAnsi="Arial"/>
          <w:sz w:val="21"/>
          <w:szCs w:val="21"/>
          <w:color w:val="auto"/>
          <w:vertAlign w:val="superscript"/>
        </w:rPr>
      </w:pPr>
      <w:r>
        <w:rPr>
          <w:rFonts w:ascii="Arial" w:cs="Arial" w:eastAsia="Arial" w:hAnsi="Arial"/>
          <w:sz w:val="15"/>
          <w:szCs w:val="15"/>
          <w:i w:val="1"/>
          <w:iCs w:val="1"/>
          <w:color w:val="auto"/>
        </w:rPr>
        <w:t>Id.</w:t>
      </w:r>
      <w:r>
        <w:rPr>
          <w:rFonts w:ascii="Arial" w:cs="Arial" w:eastAsia="Arial" w:hAnsi="Arial"/>
          <w:sz w:val="15"/>
          <w:szCs w:val="15"/>
          <w:color w:val="auto"/>
        </w:rPr>
        <w:t>; Comcast-TWC Supplement Letter at 3. Comcast is currently the largest multichannel video programming distributor (“MVPD”) in the United States</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and owns and operates cable systems serving approximately 22.6 million video customers. </w:t>
      </w:r>
      <w:r>
        <w:rPr>
          <w:rFonts w:ascii="Arial" w:cs="Arial" w:eastAsia="Arial" w:hAnsi="Arial"/>
          <w:sz w:val="15"/>
          <w:szCs w:val="15"/>
          <w:i w:val="1"/>
          <w:iCs w:val="1"/>
          <w:color w:val="auto"/>
        </w:rPr>
        <w:t>See</w:t>
      </w:r>
      <w:r>
        <w:rPr>
          <w:rFonts w:ascii="Arial" w:cs="Arial" w:eastAsia="Arial" w:hAnsi="Arial"/>
          <w:sz w:val="15"/>
          <w:szCs w:val="15"/>
          <w:color w:val="auto"/>
        </w:rPr>
        <w:t xml:space="preserve"> Comcast-TWC Application at 8; June 24, 2014 Supplement Letter at 2. TWC is the fourth-largest MVPD in the United States, serving approximately 11.4 million video customers. Comcast-TWC Application at</w:t>
      </w:r>
    </w:p>
    <w:p>
      <w:pPr>
        <w:ind w:firstLine="8"/>
        <w:spacing w:after="0" w:line="281" w:lineRule="auto"/>
        <w:tabs>
          <w:tab w:leader="none" w:pos="31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Following all of the proposed transactions, including divestitures, Comcast would serve approximately 29.8 million managed video subscribers (or less than 30 percent of MVPD subscribers nationwide). June 24, 2014 Supplement Letter at 2. Moreover, following the Divestiture Transactions, Comcast would operate in 16 of the top 20 Designated Market Areas, the same number as it does today. Comcast-TWC Supplement Letter at 3</w:t>
      </w:r>
      <w:r>
        <w:rPr>
          <w:rFonts w:ascii="Arial" w:cs="Arial" w:eastAsia="Arial" w:hAnsi="Arial"/>
          <w:sz w:val="16"/>
          <w:szCs w:val="16"/>
          <w:i w:val="1"/>
          <w:iCs w:val="1"/>
          <w:color w:val="auto"/>
        </w:rPr>
        <w:t>.</w:t>
      </w:r>
      <w:r>
        <w:rPr>
          <w:rFonts w:ascii="Arial" w:cs="Arial" w:eastAsia="Arial" w:hAnsi="Arial"/>
          <w:sz w:val="16"/>
          <w:szCs w:val="16"/>
          <w:color w:val="auto"/>
        </w:rPr>
        <w:t xml:space="preserve"> In addition to its 29.8 million managed video subscribers post-transaction, as noted above, Comcast will acquire TWC’s attributable interest in cable systems managed by Bright</w:t>
      </w:r>
    </w:p>
    <w:p>
      <w:pPr>
        <w:spacing w:after="0" w:line="2" w:lineRule="exact"/>
        <w:rPr>
          <w:rFonts w:ascii="Arial" w:cs="Arial" w:eastAsia="Arial" w:hAnsi="Arial"/>
          <w:sz w:val="16"/>
          <w:szCs w:val="16"/>
          <w:color w:val="auto"/>
        </w:rPr>
      </w:pPr>
    </w:p>
    <w:p>
      <w:pPr>
        <w:ind w:right="20"/>
        <w:spacing w:after="0" w:line="261" w:lineRule="auto"/>
        <w:rPr>
          <w:rFonts w:ascii="Arial" w:cs="Arial" w:eastAsia="Arial" w:hAnsi="Arial"/>
          <w:sz w:val="16"/>
          <w:szCs w:val="16"/>
          <w:color w:val="auto"/>
        </w:rPr>
      </w:pPr>
      <w:r>
        <w:rPr>
          <w:rFonts w:ascii="Arial" w:cs="Arial" w:eastAsia="Arial" w:hAnsi="Arial"/>
          <w:sz w:val="18"/>
          <w:szCs w:val="18"/>
          <w:color w:val="auto"/>
        </w:rPr>
        <w:t>House. According to the applicants, following the proposed transactions, Bright House will serve approximately 2.1 million video subscribers. June 24, 2014 Supplement Letter at 12.</w:t>
      </w:r>
    </w:p>
    <w:p>
      <w:pPr>
        <w:spacing w:after="0" w:line="203" w:lineRule="exact"/>
        <w:rPr>
          <w:rFonts w:ascii="Arial" w:cs="Arial" w:eastAsia="Arial" w:hAnsi="Arial"/>
          <w:sz w:val="16"/>
          <w:szCs w:val="16"/>
          <w:color w:val="auto"/>
        </w:rPr>
      </w:pPr>
    </w:p>
    <w:p>
      <w:pPr>
        <w:ind w:left="180" w:hanging="172"/>
        <w:spacing w:after="0"/>
        <w:tabs>
          <w:tab w:leader="none" w:pos="18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color w:val="auto"/>
        </w:rPr>
        <w:t>Comcast-TWC Application at 7.</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2"/>
        </w:numPr>
        <w:rPr>
          <w:rFonts w:ascii="Arial" w:cs="Arial" w:eastAsia="Arial" w:hAnsi="Arial"/>
          <w:sz w:val="23"/>
          <w:szCs w:val="23"/>
          <w:color w:val="auto"/>
          <w:vertAlign w:val="superscript"/>
        </w:rPr>
      </w:pPr>
      <w:r>
        <w:rPr>
          <w:rFonts w:ascii="Arial" w:cs="Arial" w:eastAsia="Arial" w:hAnsi="Arial"/>
          <w:sz w:val="17"/>
          <w:szCs w:val="17"/>
          <w:i w:val="1"/>
          <w:iCs w:val="1"/>
          <w:color w:val="auto"/>
        </w:rPr>
        <w:t>Id.</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4" w:name="page5"/>
    <w:bookmarkEnd w:id="4"/>
    <w:p>
      <w:pPr>
        <w:ind w:right="380"/>
        <w:spacing w:after="0" w:line="282" w:lineRule="auto"/>
        <w:rPr>
          <w:sz w:val="20"/>
          <w:szCs w:val="20"/>
          <w:color w:val="auto"/>
        </w:rPr>
      </w:pPr>
      <w:r>
        <w:rPr>
          <w:rFonts w:ascii="Arial" w:cs="Arial" w:eastAsia="Arial" w:hAnsi="Arial"/>
          <w:sz w:val="18"/>
          <w:szCs w:val="18"/>
          <w:color w:val="auto"/>
        </w:rPr>
        <w:t>Contemporaneously with the merger, each TWC share will be converted into the right for TWC stockholders to receive 2.875 shares of Comcast Class A stock.</w:t>
      </w:r>
      <w:r>
        <w:rPr>
          <w:rFonts w:ascii="Arial" w:cs="Arial" w:eastAsia="Arial" w:hAnsi="Arial"/>
          <w:sz w:val="25"/>
          <w:szCs w:val="25"/>
          <w:color w:val="auto"/>
          <w:vertAlign w:val="superscript"/>
        </w:rPr>
        <w:t>15</w:t>
      </w:r>
    </w:p>
    <w:p>
      <w:pPr>
        <w:spacing w:after="0" w:line="121" w:lineRule="exact"/>
        <w:rPr>
          <w:sz w:val="20"/>
          <w:szCs w:val="20"/>
          <w:color w:val="auto"/>
        </w:rPr>
      </w:pPr>
    </w:p>
    <w:p>
      <w:pPr>
        <w:ind w:right="20" w:firstLine="648"/>
        <w:spacing w:after="0" w:line="258" w:lineRule="auto"/>
        <w:rPr>
          <w:sz w:val="20"/>
          <w:szCs w:val="20"/>
          <w:color w:val="auto"/>
        </w:rPr>
      </w:pPr>
      <w:r>
        <w:rPr>
          <w:rFonts w:ascii="Arial" w:cs="Arial" w:eastAsia="Arial" w:hAnsi="Arial"/>
          <w:sz w:val="16"/>
          <w:szCs w:val="16"/>
          <w:color w:val="auto"/>
        </w:rPr>
        <w:t>In addition, TWE-A/N and Comcast have submitted applications in connection with the proposed Comcast-TWC transaction to transfer control from TWC to Comcast of certain licenses and other authorizations held by Bright House. According to Comcast and TWC, the Comcast-TWC transaction will technically effect a transfer of TWC’s indirect legal interest in Bright House to Comcast.</w:t>
      </w:r>
      <w:r>
        <w:rPr>
          <w:rFonts w:ascii="Arial" w:cs="Arial" w:eastAsia="Arial" w:hAnsi="Arial"/>
          <w:sz w:val="22"/>
          <w:szCs w:val="22"/>
          <w:color w:val="auto"/>
          <w:vertAlign w:val="superscript"/>
        </w:rPr>
        <w:t>16</w:t>
      </w:r>
      <w:r>
        <w:rPr>
          <w:rFonts w:ascii="Arial" w:cs="Arial" w:eastAsia="Arial" w:hAnsi="Arial"/>
          <w:sz w:val="16"/>
          <w:szCs w:val="16"/>
          <w:color w:val="auto"/>
        </w:rPr>
        <w:t xml:space="preserve"> Comcast states that it has yet to determine the exact parameters of its post-transaction relationship with Bright House;</w:t>
      </w:r>
      <w:r>
        <w:rPr>
          <w:rFonts w:ascii="Arial" w:cs="Arial" w:eastAsia="Arial" w:hAnsi="Arial"/>
          <w:sz w:val="22"/>
          <w:szCs w:val="22"/>
          <w:color w:val="auto"/>
          <w:vertAlign w:val="superscript"/>
        </w:rPr>
        <w:t>17</w:t>
      </w:r>
      <w:r>
        <w:rPr>
          <w:rFonts w:ascii="Arial" w:cs="Arial" w:eastAsia="Arial" w:hAnsi="Arial"/>
          <w:sz w:val="16"/>
          <w:szCs w:val="16"/>
          <w:color w:val="auto"/>
        </w:rPr>
        <w:t xml:space="preserve"> however, according to Comcast and TWC, Advance/Newhouse Partnership, and not TWC, currently has, and will retain, all day-to-day managerial control over, and all economic interest in, the licenses and other authorizations held by Bright House.</w:t>
      </w:r>
      <w:r>
        <w:rPr>
          <w:rFonts w:ascii="Arial" w:cs="Arial" w:eastAsia="Arial" w:hAnsi="Arial"/>
          <w:sz w:val="22"/>
          <w:szCs w:val="22"/>
          <w:color w:val="auto"/>
          <w:vertAlign w:val="superscript"/>
        </w:rPr>
        <w:t>18</w:t>
      </w:r>
    </w:p>
    <w:p>
      <w:pPr>
        <w:spacing w:after="0" w:line="139" w:lineRule="exact"/>
        <w:rPr>
          <w:sz w:val="20"/>
          <w:szCs w:val="20"/>
          <w:color w:val="auto"/>
        </w:rPr>
      </w:pPr>
    </w:p>
    <w:p>
      <w:pPr>
        <w:ind w:firstLine="648"/>
        <w:spacing w:after="0" w:line="224" w:lineRule="auto"/>
        <w:rPr>
          <w:sz w:val="20"/>
          <w:szCs w:val="20"/>
          <w:color w:val="auto"/>
        </w:rPr>
      </w:pPr>
      <w:r>
        <w:rPr>
          <w:rFonts w:ascii="Arial" w:cs="Arial" w:eastAsia="Arial" w:hAnsi="Arial"/>
          <w:sz w:val="17"/>
          <w:szCs w:val="17"/>
          <w:color w:val="auto"/>
        </w:rPr>
        <w:t>As noted above, Comcast, Charter, and SpinCo have submitted the Divestiture Transactions, pursuant to which Comcast will sell, exchange, and spin off cable systems resulting in a net reduction of approximately 3.9 million residential video customers and the establishment of SpinCo as a new, publicly traded cable company.</w:t>
      </w:r>
      <w:r>
        <w:rPr>
          <w:rFonts w:ascii="Arial" w:cs="Arial" w:eastAsia="Arial" w:hAnsi="Arial"/>
          <w:sz w:val="24"/>
          <w:szCs w:val="24"/>
          <w:color w:val="auto"/>
          <w:vertAlign w:val="superscript"/>
        </w:rPr>
        <w:t>19</w:t>
      </w:r>
      <w:r>
        <w:rPr>
          <w:rFonts w:ascii="Arial" w:cs="Arial" w:eastAsia="Arial" w:hAnsi="Arial"/>
          <w:sz w:val="17"/>
          <w:szCs w:val="17"/>
          <w:color w:val="auto"/>
        </w:rPr>
        <w:t xml:space="preserve"> According to the SpinCo Public Interest Statement, SpinCo will operate as an independent cable company serving customers in eleven states.</w:t>
      </w:r>
      <w:r>
        <w:rPr>
          <w:rFonts w:ascii="Arial" w:cs="Arial" w:eastAsia="Arial" w:hAnsi="Arial"/>
          <w:sz w:val="24"/>
          <w:szCs w:val="24"/>
          <w:color w:val="auto"/>
          <w:vertAlign w:val="superscript"/>
        </w:rPr>
        <w:t>20</w:t>
      </w:r>
      <w:r>
        <w:rPr>
          <w:rFonts w:ascii="Arial" w:cs="Arial" w:eastAsia="Arial" w:hAnsi="Arial"/>
          <w:sz w:val="17"/>
          <w:szCs w:val="17"/>
          <w:color w:val="auto"/>
        </w:rPr>
        <w:t xml:space="preserve"> As part of the SpinCo transaction, Charter will form a holding company (“New Charter”) and, at the closing of the transaction, a direct, wholly owned subsidiary of New Charter (“Merger Sub 2”) will merge with SpinCo and then cease to exist as a separate corporate entity.</w:t>
      </w:r>
      <w:r>
        <w:rPr>
          <w:rFonts w:ascii="Arial" w:cs="Arial" w:eastAsia="Arial" w:hAnsi="Arial"/>
          <w:sz w:val="24"/>
          <w:szCs w:val="24"/>
          <w:color w:val="auto"/>
          <w:vertAlign w:val="superscript"/>
        </w:rPr>
        <w:t>21</w:t>
      </w:r>
      <w:r>
        <w:rPr>
          <w:rFonts w:ascii="Arial" w:cs="Arial" w:eastAsia="Arial" w:hAnsi="Arial"/>
          <w:sz w:val="17"/>
          <w:szCs w:val="17"/>
          <w:color w:val="auto"/>
        </w:rPr>
        <w:t xml:space="preserve"> As a result, Charter will acquire an approximate 33 percent interest in SpinCo, which it will obtain from Comcast shareholders (including former TWC shareholders) in exchange for Charter stock representing an approximate 13 percent stake in Charter (as of the time the SpinCo transaction was announced).</w:t>
      </w:r>
      <w:r>
        <w:rPr>
          <w:rFonts w:ascii="Arial" w:cs="Arial" w:eastAsia="Arial" w:hAnsi="Arial"/>
          <w:sz w:val="24"/>
          <w:szCs w:val="24"/>
          <w:color w:val="auto"/>
          <w:vertAlign w:val="superscript"/>
        </w:rPr>
        <w:t>22</w:t>
      </w:r>
      <w:r>
        <w:rPr>
          <w:rFonts w:ascii="Arial" w:cs="Arial" w:eastAsia="Arial" w:hAnsi="Arial"/>
          <w:sz w:val="17"/>
          <w:szCs w:val="17"/>
          <w:color w:val="auto"/>
        </w:rPr>
        <w:t xml:space="preserve"> Comcast shareholders (including former TWC shareholders) will hold the remaining 67 percent interest in SpinCo.</w:t>
      </w:r>
      <w:r>
        <w:rPr>
          <w:rFonts w:ascii="Arial" w:cs="Arial" w:eastAsia="Arial" w:hAnsi="Arial"/>
          <w:sz w:val="24"/>
          <w:szCs w:val="24"/>
          <w:color w:val="auto"/>
          <w:vertAlign w:val="superscript"/>
        </w:rPr>
        <w:t>23</w:t>
      </w:r>
      <w:r>
        <w:rPr>
          <w:rFonts w:ascii="Arial" w:cs="Arial" w:eastAsia="Arial" w:hAnsi="Arial"/>
          <w:sz w:val="17"/>
          <w:szCs w:val="17"/>
          <w:color w:val="auto"/>
        </w:rPr>
        <w:t xml:space="preserve"> According to the SpinCo Public Interest Statement, SpinCo will have a nine-person board of directors, with six independent directors and three directors designated by Charter.</w:t>
      </w:r>
      <w:r>
        <w:rPr>
          <w:rFonts w:ascii="Arial" w:cs="Arial" w:eastAsia="Arial" w:hAnsi="Arial"/>
          <w:sz w:val="24"/>
          <w:szCs w:val="24"/>
          <w:color w:val="auto"/>
          <w:vertAlign w:val="superscript"/>
        </w:rPr>
        <w:t>24</w:t>
      </w:r>
      <w:r>
        <w:rPr>
          <w:rFonts w:ascii="Arial" w:cs="Arial" w:eastAsia="Arial" w:hAnsi="Arial"/>
          <w:sz w:val="17"/>
          <w:szCs w:val="17"/>
          <w:color w:val="auto"/>
        </w:rPr>
        <w:t xml:space="preserve"> Comcast states that it will have no ownership interest in, or management or control of, SpinCo after the spinoff is complete.</w:t>
      </w:r>
      <w:r>
        <w:rPr>
          <w:rFonts w:ascii="Arial" w:cs="Arial" w:eastAsia="Arial" w:hAnsi="Arial"/>
          <w:sz w:val="24"/>
          <w:szCs w:val="24"/>
          <w:color w:val="auto"/>
          <w:vertAlign w:val="superscript"/>
        </w:rPr>
        <w:t>25</w:t>
      </w:r>
      <w:r>
        <w:rPr>
          <w:rFonts w:ascii="Arial" w:cs="Arial" w:eastAsia="Arial" w:hAnsi="Arial"/>
          <w:sz w:val="17"/>
          <w:szCs w:val="17"/>
          <w:color w:val="auto"/>
        </w:rPr>
        <w:t xml:space="preserve"> In addition, for the first eight years thereafter, Comcast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233045</wp:posOffset>
            </wp:positionV>
            <wp:extent cx="75882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180" w:hanging="172"/>
        <w:spacing w:after="0"/>
        <w:tabs>
          <w:tab w:leader="none" w:pos="18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i w:val="1"/>
          <w:iCs w:val="1"/>
          <w:color w:val="auto"/>
        </w:rPr>
        <w:t>Id.</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See supra </w:t>
      </w:r>
      <w:r>
        <w:rPr>
          <w:rFonts w:ascii="Arial" w:cs="Arial" w:eastAsia="Arial" w:hAnsi="Arial"/>
          <w:sz w:val="17"/>
          <w:szCs w:val="17"/>
          <w:color w:val="auto"/>
        </w:rPr>
        <w:t>note 2 (discussing the nature of TWC’s ownership interest in Bright House).</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June 24, 2014 Supplement Letter at 11.</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 xml:space="preserve">Comcast-TWC Application at 173 n.468. Comcast and TWC have therefore sought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treatment for the Bright House transfer applications.</w:t>
      </w:r>
    </w:p>
    <w:p>
      <w:pPr>
        <w:spacing w:after="0" w:line="255" w:lineRule="exact"/>
        <w:rPr>
          <w:rFonts w:ascii="Arial" w:cs="Arial" w:eastAsia="Arial" w:hAnsi="Arial"/>
          <w:sz w:val="23"/>
          <w:szCs w:val="23"/>
          <w:color w:val="auto"/>
          <w:vertAlign w:val="superscript"/>
        </w:rPr>
      </w:pPr>
    </w:p>
    <w:p>
      <w:pPr>
        <w:ind w:right="100" w:firstLine="8"/>
        <w:spacing w:after="0"/>
        <w:tabs>
          <w:tab w:leader="none" w:pos="171" w:val="left"/>
        </w:tabs>
        <w:numPr>
          <w:ilvl w:val="0"/>
          <w:numId w:val="13"/>
        </w:numPr>
        <w:rPr>
          <w:rFonts w:ascii="Arial" w:cs="Arial" w:eastAsia="Arial" w:hAnsi="Arial"/>
          <w:sz w:val="21"/>
          <w:szCs w:val="21"/>
          <w:color w:val="auto"/>
          <w:vertAlign w:val="superscript"/>
        </w:rPr>
      </w:pPr>
      <w:r>
        <w:rPr>
          <w:rFonts w:ascii="Arial" w:cs="Arial" w:eastAsia="Arial" w:hAnsi="Arial"/>
          <w:sz w:val="15"/>
          <w:szCs w:val="15"/>
          <w:color w:val="auto"/>
        </w:rPr>
        <w:t>Comcast-to-Charter Sale/Exchange Public Interest Statement at 5. At least initially, SpinCo will be named “Midwest Cable LLC.” SpinCo Public Interest Statement at 1.</w:t>
      </w:r>
    </w:p>
    <w:p>
      <w:pPr>
        <w:spacing w:after="0" w:line="200" w:lineRule="exact"/>
        <w:rPr>
          <w:rFonts w:ascii="Arial" w:cs="Arial" w:eastAsia="Arial" w:hAnsi="Arial"/>
          <w:sz w:val="21"/>
          <w:szCs w:val="21"/>
          <w:color w:val="auto"/>
          <w:vertAlign w:val="superscript"/>
        </w:rPr>
      </w:pPr>
    </w:p>
    <w:p>
      <w:pPr>
        <w:spacing w:after="0" w:line="22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5.</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6.</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3.</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3.</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3-4.</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3"/>
        </w:numPr>
        <w:rPr>
          <w:rFonts w:ascii="Arial" w:cs="Arial" w:eastAsia="Arial" w:hAnsi="Arial"/>
          <w:sz w:val="23"/>
          <w:szCs w:val="23"/>
          <w:color w:val="auto"/>
          <w:vertAlign w:val="superscript"/>
        </w:rPr>
      </w:pPr>
      <w:r>
        <w:rPr>
          <w:rFonts w:ascii="Arial" w:cs="Arial" w:eastAsia="Arial" w:hAnsi="Arial"/>
          <w:sz w:val="17"/>
          <w:szCs w:val="17"/>
          <w:color w:val="auto"/>
        </w:rPr>
        <w:t>SpinCo Public Interest Statement at 1.</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841" w:right="259" w:bottom="1440" w:gutter="0" w:footer="0" w:header="0"/>
        </w:sectPr>
      </w:pPr>
    </w:p>
    <w:bookmarkStart w:id="5" w:name="page6"/>
    <w:bookmarkEnd w:id="5"/>
    <w:p>
      <w:pPr>
        <w:ind w:right="60"/>
        <w:spacing w:after="0" w:line="256" w:lineRule="auto"/>
        <w:rPr>
          <w:sz w:val="20"/>
          <w:szCs w:val="20"/>
          <w:color w:val="auto"/>
        </w:rPr>
      </w:pPr>
      <w:r>
        <w:rPr>
          <w:rFonts w:ascii="Arial" w:cs="Arial" w:eastAsia="Arial" w:hAnsi="Arial"/>
          <w:sz w:val="16"/>
          <w:szCs w:val="16"/>
          <w:color w:val="auto"/>
        </w:rPr>
        <w:t>will be prohibited from owning more than one percent of SpinCo’s shares.</w:t>
      </w:r>
      <w:r>
        <w:rPr>
          <w:rFonts w:ascii="Arial" w:cs="Arial" w:eastAsia="Arial" w:hAnsi="Arial"/>
          <w:sz w:val="22"/>
          <w:szCs w:val="22"/>
          <w:color w:val="auto"/>
          <w:vertAlign w:val="superscript"/>
        </w:rPr>
        <w:t>26</w:t>
      </w:r>
      <w:r>
        <w:rPr>
          <w:rFonts w:ascii="Arial" w:cs="Arial" w:eastAsia="Arial" w:hAnsi="Arial"/>
          <w:sz w:val="16"/>
          <w:szCs w:val="16"/>
          <w:color w:val="auto"/>
        </w:rPr>
        <w:t xml:space="preserve"> The SpinCo Public Interest Statement states that Charter will be prohibited from increasing its stake in SpinCo for the first two years post-closing and, absent approval from SpinCo’s non-Charter directors or its non-Charter shareholders, Charter will be prohibited from owning more than 49 percent of the company for the first four years.</w:t>
      </w:r>
      <w:r>
        <w:rPr>
          <w:rFonts w:ascii="Arial" w:cs="Arial" w:eastAsia="Arial" w:hAnsi="Arial"/>
          <w:sz w:val="22"/>
          <w:szCs w:val="22"/>
          <w:color w:val="auto"/>
          <w:vertAlign w:val="superscript"/>
        </w:rPr>
        <w:t>27</w:t>
      </w:r>
      <w:r>
        <w:rPr>
          <w:rFonts w:ascii="Arial" w:cs="Arial" w:eastAsia="Arial" w:hAnsi="Arial"/>
          <w:sz w:val="16"/>
          <w:szCs w:val="16"/>
          <w:color w:val="auto"/>
        </w:rPr>
        <w:t xml:space="preserve"> Finally, Charter will make an array of services available to SpinCo pursuant to a three-year services agreement (with automatic one-year renewals unless terminated by either party), in exchange for which, SpinCo will make quarterly payments to Charter equal to 4.25 percent of SpinCo’s quarterly gross revenues, plus the cost of the services rendered.</w:t>
      </w:r>
      <w:r>
        <w:rPr>
          <w:rFonts w:ascii="Arial" w:cs="Arial" w:eastAsia="Arial" w:hAnsi="Arial"/>
          <w:sz w:val="22"/>
          <w:szCs w:val="22"/>
          <w:color w:val="auto"/>
          <w:vertAlign w:val="superscript"/>
        </w:rPr>
        <w:t>28</w:t>
      </w:r>
    </w:p>
    <w:p>
      <w:pPr>
        <w:spacing w:after="0" w:line="149" w:lineRule="exact"/>
        <w:rPr>
          <w:sz w:val="20"/>
          <w:szCs w:val="20"/>
          <w:color w:val="auto"/>
        </w:rPr>
      </w:pPr>
    </w:p>
    <w:p>
      <w:pPr>
        <w:ind w:right="80"/>
        <w:spacing w:after="0" w:line="213" w:lineRule="auto"/>
        <w:rPr>
          <w:sz w:val="20"/>
          <w:szCs w:val="20"/>
          <w:color w:val="auto"/>
        </w:rPr>
      </w:pPr>
      <w:r>
        <w:rPr>
          <w:rFonts w:ascii="Arial" w:cs="Arial" w:eastAsia="Arial" w:hAnsi="Arial"/>
          <w:sz w:val="18"/>
          <w:szCs w:val="18"/>
          <w:color w:val="auto"/>
        </w:rPr>
        <w:t>In their application, Comcast and TWC assert that the proposed Comcast-TWC transaction will generate substantial public interest benefits that would not occur as broadly or as rapidly absent the transaction.</w:t>
      </w:r>
      <w:r>
        <w:rPr>
          <w:rFonts w:ascii="Arial" w:cs="Arial" w:eastAsia="Arial" w:hAnsi="Arial"/>
          <w:sz w:val="25"/>
          <w:szCs w:val="25"/>
          <w:color w:val="auto"/>
          <w:vertAlign w:val="superscript"/>
        </w:rPr>
        <w:t>29</w:t>
      </w:r>
      <w:r>
        <w:rPr>
          <w:rFonts w:ascii="Arial" w:cs="Arial" w:eastAsia="Arial" w:hAnsi="Arial"/>
          <w:sz w:val="18"/>
          <w:szCs w:val="18"/>
          <w:color w:val="auto"/>
        </w:rPr>
        <w:t xml:space="preserve"> In particular, Comcast and TWC assert that efficiencies and synergies flowing from the transaction will allow the combined company to “forge a faster path to all-digital systems, higher broadband speeds, more advanced video and voice services, a more secure network, better system reliability, and other benefits to consumers, businesses, and the public interest generally.”</w:t>
      </w:r>
      <w:r>
        <w:rPr>
          <w:rFonts w:ascii="Arial" w:cs="Arial" w:eastAsia="Arial" w:hAnsi="Arial"/>
          <w:sz w:val="25"/>
          <w:szCs w:val="25"/>
          <w:color w:val="auto"/>
          <w:vertAlign w:val="superscript"/>
        </w:rPr>
        <w:t>30</w:t>
      </w:r>
      <w:r>
        <w:rPr>
          <w:rFonts w:ascii="Arial" w:cs="Arial" w:eastAsia="Arial" w:hAnsi="Arial"/>
          <w:sz w:val="18"/>
          <w:szCs w:val="18"/>
          <w:color w:val="auto"/>
        </w:rPr>
        <w:t xml:space="preserve"> According to Comcast and TWC, following completion of the several proposed transactions, Comcast will expand its video subscriber base by approximately seven million customers and will reach additional markets in which it previously had limited or no presence (e.g., New York City, Los Angeles, and Dallas-Fort Worth).</w:t>
      </w:r>
      <w:r>
        <w:rPr>
          <w:rFonts w:ascii="Arial" w:cs="Arial" w:eastAsia="Arial" w:hAnsi="Arial"/>
          <w:sz w:val="25"/>
          <w:szCs w:val="25"/>
          <w:color w:val="auto"/>
          <w:vertAlign w:val="superscript"/>
        </w:rPr>
        <w:t>31</w:t>
      </w:r>
      <w:r>
        <w:rPr>
          <w:rFonts w:ascii="Arial" w:cs="Arial" w:eastAsia="Arial" w:hAnsi="Arial"/>
          <w:sz w:val="18"/>
          <w:szCs w:val="18"/>
          <w:color w:val="auto"/>
        </w:rPr>
        <w:t xml:space="preserve"> Comcast and TWC assert that TWC customers, in particular, will benefit from the substantial upgrades that Comcast intends to make to the TWC network.</w:t>
      </w:r>
      <w:r>
        <w:rPr>
          <w:rFonts w:ascii="Arial" w:cs="Arial" w:eastAsia="Arial" w:hAnsi="Arial"/>
          <w:sz w:val="25"/>
          <w:szCs w:val="25"/>
          <w:color w:val="auto"/>
          <w:vertAlign w:val="superscript"/>
        </w:rPr>
        <w:t>32</w:t>
      </w:r>
      <w:r>
        <w:rPr>
          <w:rFonts w:ascii="Arial" w:cs="Arial" w:eastAsia="Arial" w:hAnsi="Arial"/>
          <w:sz w:val="18"/>
          <w:szCs w:val="18"/>
          <w:color w:val="auto"/>
        </w:rPr>
        <w:t xml:space="preserve"> In addition, Comcast commits to extending its low-income broadband adoption program — known as “Internet Essentials” — throughout the territories that it is acquiring.</w:t>
      </w:r>
      <w:r>
        <w:rPr>
          <w:rFonts w:ascii="Arial" w:cs="Arial" w:eastAsia="Arial" w:hAnsi="Arial"/>
          <w:sz w:val="25"/>
          <w:szCs w:val="25"/>
          <w:color w:val="auto"/>
          <w:vertAlign w:val="superscript"/>
        </w:rPr>
        <w:t>33</w:t>
      </w:r>
      <w:r>
        <w:rPr>
          <w:rFonts w:ascii="Arial" w:cs="Arial" w:eastAsia="Arial" w:hAnsi="Arial"/>
          <w:sz w:val="18"/>
          <w:szCs w:val="18"/>
          <w:color w:val="auto"/>
        </w:rPr>
        <w:t xml:space="preserve"> Moreover, Comcast also commits to extending to those territories many of the commitments and conditions that it is bound by under the </w:t>
      </w:r>
      <w:r>
        <w:rPr>
          <w:rFonts w:ascii="Arial" w:cs="Arial" w:eastAsia="Arial" w:hAnsi="Arial"/>
          <w:sz w:val="18"/>
          <w:szCs w:val="18"/>
          <w:i w:val="1"/>
          <w:iCs w:val="1"/>
          <w:color w:val="auto"/>
        </w:rPr>
        <w:t>Comcast-NBCU Order</w:t>
      </w:r>
      <w:r>
        <w:rPr>
          <w:rFonts w:ascii="Arial" w:cs="Arial" w:eastAsia="Arial" w:hAnsi="Arial"/>
          <w:sz w:val="18"/>
          <w:szCs w:val="18"/>
          <w:color w:val="auto"/>
        </w:rPr>
        <w:t>,</w:t>
      </w:r>
      <w:r>
        <w:rPr>
          <w:rFonts w:ascii="Arial" w:cs="Arial" w:eastAsia="Arial" w:hAnsi="Arial"/>
          <w:sz w:val="25"/>
          <w:szCs w:val="25"/>
          <w:color w:val="auto"/>
          <w:vertAlign w:val="superscript"/>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170180</wp:posOffset>
            </wp:positionV>
            <wp:extent cx="758825"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341"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i w:val="1"/>
          <w:iCs w:val="1"/>
          <w:color w:val="auto"/>
        </w:rPr>
        <w:t>Id.</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4.</w:t>
      </w:r>
    </w:p>
    <w:p>
      <w:pPr>
        <w:spacing w:after="0" w:line="255" w:lineRule="exact"/>
        <w:rPr>
          <w:rFonts w:ascii="Arial" w:cs="Arial" w:eastAsia="Arial" w:hAnsi="Arial"/>
          <w:sz w:val="23"/>
          <w:szCs w:val="23"/>
          <w:color w:val="auto"/>
          <w:vertAlign w:val="superscript"/>
        </w:rPr>
      </w:pPr>
    </w:p>
    <w:p>
      <w:pPr>
        <w:ind w:right="560" w:firstLine="8"/>
        <w:spacing w:after="0" w:line="285" w:lineRule="auto"/>
        <w:tabs>
          <w:tab w:leader="none" w:pos="171"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Id. </w:t>
      </w:r>
      <w:r>
        <w:rPr>
          <w:rFonts w:ascii="Arial" w:cs="Arial" w:eastAsia="Arial" w:hAnsi="Arial"/>
          <w:sz w:val="15"/>
          <w:szCs w:val="15"/>
          <w:color w:val="auto"/>
        </w:rPr>
        <w:t>at 3-4. In conjunction with the services agreement between SpinCo and Charter, there will be a temporary transition services agreement between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SpinCo and Comcast to ensure that customers moving from Comcast to SpinCo experience minimal service disruption. </w:t>
      </w:r>
      <w:r>
        <w:rPr>
          <w:rFonts w:ascii="Arial" w:cs="Arial" w:eastAsia="Arial" w:hAnsi="Arial"/>
          <w:sz w:val="15"/>
          <w:szCs w:val="15"/>
          <w:i w:val="1"/>
          <w:iCs w:val="1"/>
          <w:color w:val="auto"/>
        </w:rPr>
        <w:t>Id.</w:t>
      </w:r>
      <w:r>
        <w:rPr>
          <w:rFonts w:ascii="Arial" w:cs="Arial" w:eastAsia="Arial" w:hAnsi="Arial"/>
          <w:sz w:val="15"/>
          <w:szCs w:val="15"/>
          <w:color w:val="auto"/>
        </w:rPr>
        <w:t xml:space="preserve"> at 3.</w:t>
      </w:r>
    </w:p>
    <w:p>
      <w:pPr>
        <w:spacing w:after="0" w:line="17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color w:val="auto"/>
        </w:rPr>
        <w:t>Comcast-TWC Application at 23-28.</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28.</w:t>
      </w:r>
    </w:p>
    <w:p>
      <w:pPr>
        <w:spacing w:after="0" w:line="255" w:lineRule="exact"/>
        <w:rPr>
          <w:rFonts w:ascii="Arial" w:cs="Arial" w:eastAsia="Arial" w:hAnsi="Arial"/>
          <w:sz w:val="23"/>
          <w:szCs w:val="23"/>
          <w:color w:val="auto"/>
          <w:vertAlign w:val="superscript"/>
        </w:rPr>
      </w:pPr>
    </w:p>
    <w:p>
      <w:pPr>
        <w:jc w:val="both"/>
        <w:ind w:firstLine="8"/>
        <w:spacing w:after="0" w:line="285" w:lineRule="auto"/>
        <w:tabs>
          <w:tab w:leader="none" w:pos="171"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Id. </w:t>
      </w:r>
      <w:r>
        <w:rPr>
          <w:rFonts w:ascii="Arial" w:cs="Arial" w:eastAsia="Arial" w:hAnsi="Arial"/>
          <w:sz w:val="15"/>
          <w:szCs w:val="15"/>
          <w:color w:val="auto"/>
        </w:rPr>
        <w:t>at 25-26; Comcast-TWC Supplement Letter at 3. Comcast and TWC also note that the acquisition of TWC systems will provide Comcast with access to</w:t>
      </w:r>
      <w:r>
        <w:rPr>
          <w:rFonts w:ascii="Arial" w:cs="Arial" w:eastAsia="Arial" w:hAnsi="Arial"/>
          <w:sz w:val="15"/>
          <w:szCs w:val="15"/>
          <w:i w:val="1"/>
          <w:iCs w:val="1"/>
          <w:color w:val="auto"/>
        </w:rPr>
        <w:t xml:space="preserve"> </w:t>
      </w:r>
      <w:r>
        <w:rPr>
          <w:rFonts w:ascii="Arial" w:cs="Arial" w:eastAsia="Arial" w:hAnsi="Arial"/>
          <w:sz w:val="15"/>
          <w:szCs w:val="15"/>
          <w:color w:val="auto"/>
        </w:rPr>
        <w:t>several markets that are clustered near its existing markets (e.g., in Georgia, South Carolina, North Carolina, and Virginia). Comcast-TWC Application at 26.</w:t>
      </w:r>
    </w:p>
    <w:p>
      <w:pPr>
        <w:spacing w:after="0" w:line="210" w:lineRule="exact"/>
        <w:rPr>
          <w:rFonts w:ascii="Arial" w:cs="Arial" w:eastAsia="Arial" w:hAnsi="Arial"/>
          <w:sz w:val="21"/>
          <w:szCs w:val="21"/>
          <w:color w:val="auto"/>
          <w:vertAlign w:val="superscript"/>
        </w:rPr>
      </w:pPr>
    </w:p>
    <w:p>
      <w:pPr>
        <w:ind w:right="240" w:firstLine="8"/>
        <w:spacing w:after="0" w:line="285" w:lineRule="auto"/>
        <w:tabs>
          <w:tab w:leader="none" w:pos="171"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color w:val="auto"/>
        </w:rPr>
        <w:t xml:space="preserve">Specifically, Comcast commits to “adding substantial incremental investment to what TWC had planned for broadband upgrades and enhancements over the next three years.” </w:t>
      </w:r>
      <w:r>
        <w:rPr>
          <w:rFonts w:ascii="Arial" w:cs="Arial" w:eastAsia="Arial" w:hAnsi="Arial"/>
          <w:sz w:val="15"/>
          <w:szCs w:val="15"/>
          <w:i w:val="1"/>
          <w:iCs w:val="1"/>
          <w:color w:val="auto"/>
        </w:rPr>
        <w:t>Id.</w:t>
      </w:r>
      <w:r>
        <w:rPr>
          <w:rFonts w:ascii="Arial" w:cs="Arial" w:eastAsia="Arial" w:hAnsi="Arial"/>
          <w:sz w:val="15"/>
          <w:szCs w:val="15"/>
          <w:color w:val="auto"/>
        </w:rPr>
        <w:t xml:space="preserve"> at 28.</w:t>
      </w:r>
    </w:p>
    <w:p>
      <w:pPr>
        <w:spacing w:after="0" w:line="17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4"/>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59-66; Comcast-TWC Supplement Letter at 6.</w:t>
      </w:r>
    </w:p>
    <w:p>
      <w:pPr>
        <w:spacing w:after="0" w:line="255" w:lineRule="exact"/>
        <w:rPr>
          <w:rFonts w:ascii="Arial" w:cs="Arial" w:eastAsia="Arial" w:hAnsi="Arial"/>
          <w:sz w:val="23"/>
          <w:szCs w:val="23"/>
          <w:color w:val="auto"/>
          <w:vertAlign w:val="superscript"/>
        </w:rPr>
      </w:pPr>
    </w:p>
    <w:p>
      <w:pPr>
        <w:ind w:right="360" w:firstLine="8"/>
        <w:spacing w:after="0" w:line="285" w:lineRule="auto"/>
        <w:tabs>
          <w:tab w:leader="none" w:pos="171" w:val="left"/>
        </w:tabs>
        <w:numPr>
          <w:ilvl w:val="0"/>
          <w:numId w:val="14"/>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Applications of Comcast Corporation, General Electric Company and NBC Universal, Inc. for Consent to Assign Licenses and Transfer Control of Licensees, </w:t>
      </w:r>
      <w:r>
        <w:rPr>
          <w:rFonts w:ascii="Arial" w:cs="Arial" w:eastAsia="Arial" w:hAnsi="Arial"/>
          <w:sz w:val="15"/>
          <w:szCs w:val="15"/>
          <w:color w:val="auto"/>
        </w:rPr>
        <w:t>Memorandum Opinion and Order, 26 FCC Rcd 4238 (2011) (“</w:t>
      </w:r>
      <w:r>
        <w:rPr>
          <w:rFonts w:ascii="Arial" w:cs="Arial" w:eastAsia="Arial" w:hAnsi="Arial"/>
          <w:sz w:val="15"/>
          <w:szCs w:val="15"/>
          <w:i w:val="1"/>
          <w:iCs w:val="1"/>
          <w:color w:val="auto"/>
        </w:rPr>
        <w:t>Comcast-NBCU Order</w:t>
      </w:r>
      <w:r>
        <w:rPr>
          <w:rFonts w:ascii="Arial" w:cs="Arial" w:eastAsia="Arial" w:hAnsi="Arial"/>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6" w:name="page7"/>
    <w:bookmarkEnd w:id="6"/>
    <w:p>
      <w:pPr>
        <w:ind w:right="780"/>
        <w:spacing w:after="0" w:line="282" w:lineRule="auto"/>
        <w:rPr>
          <w:sz w:val="20"/>
          <w:szCs w:val="20"/>
          <w:color w:val="auto"/>
        </w:rPr>
      </w:pPr>
      <w:r>
        <w:rPr>
          <w:rFonts w:ascii="Arial" w:cs="Arial" w:eastAsia="Arial" w:hAnsi="Arial"/>
          <w:sz w:val="18"/>
          <w:szCs w:val="18"/>
          <w:color w:val="auto"/>
        </w:rPr>
        <w:t>including, among others, its commitment to comply with the Commission’s Open Internet rules and its commitment to offer broadband service on a standalone basis.</w:t>
      </w:r>
      <w:r>
        <w:rPr>
          <w:rFonts w:ascii="Arial" w:cs="Arial" w:eastAsia="Arial" w:hAnsi="Arial"/>
          <w:sz w:val="25"/>
          <w:szCs w:val="25"/>
          <w:color w:val="auto"/>
          <w:vertAlign w:val="superscript"/>
        </w:rPr>
        <w:t>35</w:t>
      </w:r>
    </w:p>
    <w:p>
      <w:pPr>
        <w:spacing w:after="0" w:line="121" w:lineRule="exact"/>
        <w:rPr>
          <w:sz w:val="20"/>
          <w:szCs w:val="20"/>
          <w:color w:val="auto"/>
        </w:rPr>
      </w:pPr>
    </w:p>
    <w:p>
      <w:pPr>
        <w:ind w:right="40"/>
        <w:spacing w:after="0" w:line="221" w:lineRule="auto"/>
        <w:rPr>
          <w:sz w:val="20"/>
          <w:szCs w:val="20"/>
          <w:color w:val="auto"/>
        </w:rPr>
      </w:pPr>
      <w:r>
        <w:rPr>
          <w:rFonts w:ascii="Arial" w:cs="Arial" w:eastAsia="Arial" w:hAnsi="Arial"/>
          <w:sz w:val="16"/>
          <w:szCs w:val="16"/>
          <w:color w:val="auto"/>
        </w:rPr>
        <w:t>Divestiture Applicants assert that the Divestiture Transactions will not reduce — and in some cases will enhance — the public interest benefits detailed in the Comcast-TWC Application.</w:t>
      </w:r>
      <w:r>
        <w:rPr>
          <w:rFonts w:ascii="Arial" w:cs="Arial" w:eastAsia="Arial" w:hAnsi="Arial"/>
          <w:sz w:val="22"/>
          <w:szCs w:val="22"/>
          <w:color w:val="auto"/>
          <w:vertAlign w:val="superscript"/>
        </w:rPr>
        <w:t>36</w:t>
      </w:r>
      <w:r>
        <w:rPr>
          <w:rFonts w:ascii="Arial" w:cs="Arial" w:eastAsia="Arial" w:hAnsi="Arial"/>
          <w:sz w:val="16"/>
          <w:szCs w:val="16"/>
          <w:color w:val="auto"/>
        </w:rPr>
        <w:t xml:space="preserve"> In particular, they assert that the Divestiture Transactions will allow them to better rationalize their geographic footprints by filling in gaps within the existing Comcast and Charter footprints.</w:t>
      </w:r>
      <w:r>
        <w:rPr>
          <w:rFonts w:ascii="Arial" w:cs="Arial" w:eastAsia="Arial" w:hAnsi="Arial"/>
          <w:sz w:val="22"/>
          <w:szCs w:val="22"/>
          <w:color w:val="auto"/>
          <w:vertAlign w:val="superscript"/>
        </w:rPr>
        <w:t>37</w:t>
      </w:r>
      <w:r>
        <w:rPr>
          <w:rFonts w:ascii="Arial" w:cs="Arial" w:eastAsia="Arial" w:hAnsi="Arial"/>
          <w:sz w:val="16"/>
          <w:szCs w:val="16"/>
          <w:color w:val="auto"/>
        </w:rPr>
        <w:t xml:space="preserve"> Divestiture Applicants contend that such clustering of systems will, among other things, facilitate investment in and deployment of advanced services,</w:t>
      </w:r>
      <w:r>
        <w:rPr>
          <w:rFonts w:ascii="Arial" w:cs="Arial" w:eastAsia="Arial" w:hAnsi="Arial"/>
          <w:sz w:val="22"/>
          <w:szCs w:val="22"/>
          <w:color w:val="auto"/>
          <w:vertAlign w:val="superscript"/>
        </w:rPr>
        <w:t>38</w:t>
      </w:r>
      <w:r>
        <w:rPr>
          <w:rFonts w:ascii="Arial" w:cs="Arial" w:eastAsia="Arial" w:hAnsi="Arial"/>
          <w:sz w:val="16"/>
          <w:szCs w:val="16"/>
          <w:color w:val="auto"/>
        </w:rPr>
        <w:t xml:space="preserve"> produce opportunities for operational and marketing efficiencies,</w:t>
      </w:r>
      <w:r>
        <w:rPr>
          <w:rFonts w:ascii="Arial" w:cs="Arial" w:eastAsia="Arial" w:hAnsi="Arial"/>
          <w:sz w:val="22"/>
          <w:szCs w:val="22"/>
          <w:color w:val="auto"/>
          <w:vertAlign w:val="superscript"/>
        </w:rPr>
        <w:t>39</w:t>
      </w:r>
      <w:r>
        <w:rPr>
          <w:rFonts w:ascii="Arial" w:cs="Arial" w:eastAsia="Arial" w:hAnsi="Arial"/>
          <w:sz w:val="16"/>
          <w:szCs w:val="16"/>
          <w:color w:val="auto"/>
        </w:rPr>
        <w:t xml:space="preserve"> improve their ability to provide customer service,</w:t>
      </w:r>
      <w:r>
        <w:rPr>
          <w:rFonts w:ascii="Arial" w:cs="Arial" w:eastAsia="Arial" w:hAnsi="Arial"/>
          <w:sz w:val="22"/>
          <w:szCs w:val="22"/>
          <w:color w:val="auto"/>
          <w:vertAlign w:val="superscript"/>
        </w:rPr>
        <w:t>40</w:t>
      </w:r>
      <w:r>
        <w:rPr>
          <w:rFonts w:ascii="Arial" w:cs="Arial" w:eastAsia="Arial" w:hAnsi="Arial"/>
          <w:sz w:val="16"/>
          <w:szCs w:val="16"/>
          <w:color w:val="auto"/>
        </w:rPr>
        <w:t xml:space="preserve"> and strengthen their ability to compete with incumbent local exchange carriers and other competitors that operate on a regional or super-regional scale.</w:t>
      </w:r>
      <w:r>
        <w:rPr>
          <w:rFonts w:ascii="Arial" w:cs="Arial" w:eastAsia="Arial" w:hAnsi="Arial"/>
          <w:sz w:val="22"/>
          <w:szCs w:val="22"/>
          <w:color w:val="auto"/>
          <w:vertAlign w:val="superscript"/>
        </w:rPr>
        <w:t>41</w:t>
      </w:r>
      <w:r>
        <w:rPr>
          <w:rFonts w:ascii="Arial" w:cs="Arial" w:eastAsia="Arial" w:hAnsi="Arial"/>
          <w:sz w:val="16"/>
          <w:szCs w:val="16"/>
          <w:color w:val="auto"/>
        </w:rPr>
        <w:t xml:space="preserve"> Moreover, they contend that Charter’s acquisition of cable systems will provide it with increased scale that is likely to enhance many of these benefits for Charter customers.</w:t>
      </w:r>
      <w:r>
        <w:rPr>
          <w:rFonts w:ascii="Arial" w:cs="Arial" w:eastAsia="Arial" w:hAnsi="Arial"/>
          <w:sz w:val="22"/>
          <w:szCs w:val="22"/>
          <w:color w:val="auto"/>
          <w:vertAlign w:val="superscript"/>
        </w:rPr>
        <w:t>42</w:t>
      </w:r>
      <w:r>
        <w:rPr>
          <w:rFonts w:ascii="Arial" w:cs="Arial" w:eastAsia="Arial" w:hAnsi="Arial"/>
          <w:sz w:val="16"/>
          <w:szCs w:val="16"/>
          <w:color w:val="auto"/>
        </w:rPr>
        <w:t xml:space="preserve"> In addition, Divestiture Applicants assert that Charter customers being acquired by Comcast will enjoy many of the same benefits as TWC customers being acquired in the Comcast-TWC transaction, including, among others,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231775</wp:posOffset>
            </wp:positionV>
            <wp:extent cx="758825"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72" w:lineRule="exact"/>
        <w:rPr>
          <w:sz w:val="20"/>
          <w:szCs w:val="20"/>
          <w:color w:val="auto"/>
        </w:rPr>
      </w:pPr>
    </w:p>
    <w:p>
      <w:pPr>
        <w:jc w:val="both"/>
        <w:ind w:firstLine="8"/>
        <w:spacing w:after="0" w:line="250" w:lineRule="auto"/>
        <w:tabs>
          <w:tab w:leader="none" w:pos="188" w:val="left"/>
        </w:tabs>
        <w:numPr>
          <w:ilvl w:val="0"/>
          <w:numId w:val="15"/>
        </w:numPr>
        <w:rPr>
          <w:rFonts w:ascii="Arial" w:cs="Arial" w:eastAsia="Arial" w:hAnsi="Arial"/>
          <w:sz w:val="24"/>
          <w:szCs w:val="24"/>
          <w:color w:val="auto"/>
          <w:vertAlign w:val="superscript"/>
        </w:rPr>
      </w:pPr>
      <w:r>
        <w:rPr>
          <w:rFonts w:ascii="Arial" w:cs="Arial" w:eastAsia="Arial" w:hAnsi="Arial"/>
          <w:sz w:val="17"/>
          <w:szCs w:val="17"/>
          <w:color w:val="auto"/>
        </w:rPr>
        <w:t xml:space="preserve">Comcast-TWC Application at 106-20; Comcast-TWC Supplement Letter at 6. Comcast and TWC state that Comcast is now the only company legally bound by the no-blocking and non-discrimination rules in the </w:t>
      </w:r>
      <w:r>
        <w:rPr>
          <w:rFonts w:ascii="Arial" w:cs="Arial" w:eastAsia="Arial" w:hAnsi="Arial"/>
          <w:sz w:val="17"/>
          <w:szCs w:val="17"/>
          <w:i w:val="1"/>
          <w:iCs w:val="1"/>
          <w:color w:val="auto"/>
        </w:rPr>
        <w:t>Open Internet Order</w:t>
      </w:r>
      <w:r>
        <w:rPr>
          <w:rFonts w:ascii="Arial" w:cs="Arial" w:eastAsia="Arial" w:hAnsi="Arial"/>
          <w:sz w:val="17"/>
          <w:szCs w:val="17"/>
          <w:color w:val="auto"/>
        </w:rPr>
        <w:t xml:space="preserve">, following the recent court decision vacating those rules, and that the transaction therefore will spread the reach of those protections to millions of additional customers. </w:t>
      </w:r>
      <w:r>
        <w:rPr>
          <w:rFonts w:ascii="Arial" w:cs="Arial" w:eastAsia="Arial" w:hAnsi="Arial"/>
          <w:sz w:val="17"/>
          <w:szCs w:val="17"/>
          <w:i w:val="1"/>
          <w:iCs w:val="1"/>
          <w:color w:val="auto"/>
        </w:rPr>
        <w:t>Id.</w:t>
      </w:r>
      <w:r>
        <w:rPr>
          <w:rFonts w:ascii="Arial" w:cs="Arial" w:eastAsia="Arial" w:hAnsi="Arial"/>
          <w:sz w:val="17"/>
          <w:szCs w:val="17"/>
          <w:color w:val="auto"/>
        </w:rPr>
        <w:t xml:space="preserve"> at 59; </w:t>
      </w:r>
      <w:r>
        <w:rPr>
          <w:rFonts w:ascii="Arial" w:cs="Arial" w:eastAsia="Arial" w:hAnsi="Arial"/>
          <w:sz w:val="17"/>
          <w:szCs w:val="17"/>
          <w:i w:val="1"/>
          <w:iCs w:val="1"/>
          <w:color w:val="auto"/>
        </w:rPr>
        <w:t>see also Preserving the Open Internet</w:t>
      </w:r>
      <w:r>
        <w:rPr>
          <w:rFonts w:ascii="Arial" w:cs="Arial" w:eastAsia="Arial" w:hAnsi="Arial"/>
          <w:sz w:val="17"/>
          <w:szCs w:val="17"/>
          <w:color w:val="auto"/>
        </w:rPr>
        <w:t>, Report and Order, 25 FCC Rcd 17905 (2010) (“</w:t>
      </w:r>
      <w:r>
        <w:rPr>
          <w:rFonts w:ascii="Arial" w:cs="Arial" w:eastAsia="Arial" w:hAnsi="Arial"/>
          <w:sz w:val="17"/>
          <w:szCs w:val="17"/>
          <w:i w:val="1"/>
          <w:iCs w:val="1"/>
          <w:color w:val="auto"/>
        </w:rPr>
        <w:t>Open Internet Order</w:t>
      </w:r>
      <w:r>
        <w:rPr>
          <w:rFonts w:ascii="Arial" w:cs="Arial" w:eastAsia="Arial" w:hAnsi="Arial"/>
          <w:sz w:val="17"/>
          <w:szCs w:val="17"/>
          <w:color w:val="auto"/>
        </w:rPr>
        <w:t xml:space="preserve">”), </w:t>
      </w:r>
      <w:r>
        <w:rPr>
          <w:rFonts w:ascii="Arial" w:cs="Arial" w:eastAsia="Arial" w:hAnsi="Arial"/>
          <w:sz w:val="17"/>
          <w:szCs w:val="17"/>
          <w:i w:val="1"/>
          <w:iCs w:val="1"/>
          <w:color w:val="auto"/>
        </w:rPr>
        <w:t>aff'd in part, vacated and remanded in part sub nom. Verizon v. FCC</w:t>
      </w:r>
      <w:r>
        <w:rPr>
          <w:rFonts w:ascii="Arial" w:cs="Arial" w:eastAsia="Arial" w:hAnsi="Arial"/>
          <w:sz w:val="17"/>
          <w:szCs w:val="17"/>
          <w:color w:val="auto"/>
        </w:rPr>
        <w:t>, 740 F.3d 623 (D.C. Cir. 2014).</w:t>
      </w:r>
    </w:p>
    <w:p>
      <w:pPr>
        <w:spacing w:after="0" w:line="248" w:lineRule="exact"/>
        <w:rPr>
          <w:rFonts w:ascii="Arial" w:cs="Arial" w:eastAsia="Arial" w:hAnsi="Arial"/>
          <w:sz w:val="24"/>
          <w:szCs w:val="24"/>
          <w:color w:val="auto"/>
          <w:vertAlign w:val="superscript"/>
        </w:rPr>
      </w:pPr>
    </w:p>
    <w:p>
      <w:pPr>
        <w:ind w:right="20" w:firstLine="8"/>
        <w:spacing w:after="0" w:line="288" w:lineRule="auto"/>
        <w:tabs>
          <w:tab w:leader="none" w:pos="171"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 xml:space="preserve">In their supplemental declaration filed with the Charter-to-Comcast Exchange Public Interest Statement, Drs. Gregory L. Rosston and Michael D. Topper conclude that the public interest benefits related to scale that were identified in the Comcast-TWC Application remain valid because the divestitures are only “slightly larger” than the level (3 million) they previously assumed and calculated into their original analysis. </w:t>
      </w:r>
      <w:r>
        <w:rPr>
          <w:rFonts w:ascii="Arial" w:cs="Arial" w:eastAsia="Arial" w:hAnsi="Arial"/>
          <w:sz w:val="15"/>
          <w:szCs w:val="15"/>
          <w:i w:val="1"/>
          <w:iCs w:val="1"/>
          <w:color w:val="auto"/>
        </w:rPr>
        <w:t>See</w:t>
      </w:r>
      <w:r>
        <w:rPr>
          <w:rFonts w:ascii="Arial" w:cs="Arial" w:eastAsia="Arial" w:hAnsi="Arial"/>
          <w:sz w:val="15"/>
          <w:szCs w:val="15"/>
          <w:color w:val="auto"/>
        </w:rPr>
        <w:t xml:space="preserve"> Rosston and Topper, </w:t>
      </w:r>
      <w:r>
        <w:rPr>
          <w:rFonts w:ascii="Arial" w:cs="Arial" w:eastAsia="Arial" w:hAnsi="Arial"/>
          <w:sz w:val="15"/>
          <w:szCs w:val="15"/>
          <w:i w:val="1"/>
          <w:iCs w:val="1"/>
          <w:color w:val="auto"/>
        </w:rPr>
        <w:t>An Economic Analysis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of the Proposed Comcast Divestiture Transactions with Charter </w:t>
      </w:r>
      <w:r>
        <w:rPr>
          <w:rFonts w:ascii="Arial" w:cs="Arial" w:eastAsia="Arial" w:hAnsi="Arial"/>
          <w:sz w:val="15"/>
          <w:szCs w:val="15"/>
          <w:color w:val="auto"/>
        </w:rPr>
        <w:t>(June 4, 2014) at 2, ¶ 5.</w:t>
      </w:r>
    </w:p>
    <w:p>
      <w:pPr>
        <w:spacing w:after="0" w:line="223" w:lineRule="exact"/>
        <w:rPr>
          <w:rFonts w:ascii="Arial" w:cs="Arial" w:eastAsia="Arial" w:hAnsi="Arial"/>
          <w:sz w:val="21"/>
          <w:szCs w:val="21"/>
          <w:color w:val="auto"/>
          <w:vertAlign w:val="superscript"/>
        </w:rPr>
      </w:pPr>
    </w:p>
    <w:p>
      <w:pPr>
        <w:ind w:right="160" w:firstLine="8"/>
        <w:spacing w:after="0" w:line="291" w:lineRule="auto"/>
        <w:tabs>
          <w:tab w:leader="none" w:pos="171"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Charter-to-Comcast Exchange Public Interest Statement at 5-10; Comcast-to-Charter Sale/Exchange Public Interest Statement at 7-10; SpinCo Public Interest Statement at 10-14. Specifically, Comcast will fill gaps in its footprint in portions of the Northeast (New England and New York), the Southeast (Virginia, Tennessee, North Carolina, and Georgia), Texas, and the West Coast (California, Oregon, and Washington). Charter-to-Comcast Exchange Public Interest Statement at 5. By contrast, post-transaction Charter and SpinCo will each have a sizeable presence in parts of the Midwest and the Southeast not served by Comcast. Comcast-to-Charter Sale/Exchange Public Interest Statement at 7; SpinCo Public Interest Statement at 1, 5.</w:t>
      </w:r>
    </w:p>
    <w:p>
      <w:pPr>
        <w:spacing w:after="0" w:line="221" w:lineRule="exact"/>
        <w:rPr>
          <w:rFonts w:ascii="Arial" w:cs="Arial" w:eastAsia="Arial" w:hAnsi="Arial"/>
          <w:sz w:val="21"/>
          <w:szCs w:val="21"/>
          <w:color w:val="auto"/>
          <w:vertAlign w:val="superscript"/>
        </w:rPr>
      </w:pPr>
    </w:p>
    <w:p>
      <w:pPr>
        <w:ind w:right="560" w:firstLine="8"/>
        <w:spacing w:after="0" w:line="285" w:lineRule="auto"/>
        <w:tabs>
          <w:tab w:leader="none" w:pos="171"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Charter-to-Comcast Exchange Public Interest Statement at 7-8; Comcast-to-Charter Sale/Exchange Public Interest Statement at 9-10; SpinCo Public Interest Statement at 12, 15-16.</w:t>
      </w:r>
    </w:p>
    <w:p>
      <w:pPr>
        <w:spacing w:after="0" w:line="210" w:lineRule="exact"/>
        <w:rPr>
          <w:rFonts w:ascii="Arial" w:cs="Arial" w:eastAsia="Arial" w:hAnsi="Arial"/>
          <w:sz w:val="21"/>
          <w:szCs w:val="21"/>
          <w:color w:val="auto"/>
          <w:vertAlign w:val="superscript"/>
        </w:rPr>
      </w:pPr>
    </w:p>
    <w:p>
      <w:pPr>
        <w:ind w:right="560" w:firstLine="8"/>
        <w:spacing w:after="0" w:line="285" w:lineRule="auto"/>
        <w:tabs>
          <w:tab w:leader="none" w:pos="171"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Charter-to-Comcast Exchange Public Interest Statement at 9-10; Comcast-to-Charter Sale/Exchange Public Interest Statement at 8-9; SpinCo Public Interest Statement at 10-12.</w:t>
      </w:r>
    </w:p>
    <w:p>
      <w:pPr>
        <w:spacing w:after="0" w:line="210" w:lineRule="exact"/>
        <w:rPr>
          <w:rFonts w:ascii="Arial" w:cs="Arial" w:eastAsia="Arial" w:hAnsi="Arial"/>
          <w:sz w:val="21"/>
          <w:szCs w:val="21"/>
          <w:color w:val="auto"/>
          <w:vertAlign w:val="superscript"/>
        </w:rPr>
      </w:pPr>
    </w:p>
    <w:p>
      <w:pPr>
        <w:ind w:right="280" w:firstLine="8"/>
        <w:spacing w:after="0" w:line="285" w:lineRule="auto"/>
        <w:tabs>
          <w:tab w:leader="none" w:pos="171"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Charter-to-Comcast Exchange Public Interest Statement at 8; Comcast-to-Charter Sale/Exchange Public Interest Statement at 10; SpinCo Public Interest Statement at 12.</w:t>
      </w:r>
    </w:p>
    <w:p>
      <w:pPr>
        <w:spacing w:after="0" w:line="210" w:lineRule="exact"/>
        <w:rPr>
          <w:rFonts w:ascii="Arial" w:cs="Arial" w:eastAsia="Arial" w:hAnsi="Arial"/>
          <w:sz w:val="21"/>
          <w:szCs w:val="21"/>
          <w:color w:val="auto"/>
          <w:vertAlign w:val="superscript"/>
        </w:rPr>
      </w:pPr>
    </w:p>
    <w:p>
      <w:pPr>
        <w:ind w:right="140" w:firstLine="8"/>
        <w:spacing w:after="0" w:line="285" w:lineRule="auto"/>
        <w:tabs>
          <w:tab w:leader="none" w:pos="171"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Charter-to-Comcast Exchange Public Interest Statement at 8-9; Comcast-to-Charter Sale/Exchange Public Interest Statement at 7-9, 14-16; SpinCo Public Interest Statement at 16-17.</w:t>
      </w:r>
    </w:p>
    <w:p>
      <w:pPr>
        <w:spacing w:after="0" w:line="210" w:lineRule="exact"/>
        <w:rPr>
          <w:rFonts w:ascii="Arial" w:cs="Arial" w:eastAsia="Arial" w:hAnsi="Arial"/>
          <w:sz w:val="21"/>
          <w:szCs w:val="21"/>
          <w:color w:val="auto"/>
          <w:vertAlign w:val="superscript"/>
        </w:rPr>
      </w:pPr>
    </w:p>
    <w:p>
      <w:pPr>
        <w:ind w:right="80" w:firstLine="8"/>
        <w:spacing w:after="0" w:line="285" w:lineRule="auto"/>
        <w:tabs>
          <w:tab w:leader="none" w:pos="171" w:val="left"/>
        </w:tabs>
        <w:numPr>
          <w:ilvl w:val="0"/>
          <w:numId w:val="15"/>
        </w:numPr>
        <w:rPr>
          <w:rFonts w:ascii="Arial" w:cs="Arial" w:eastAsia="Arial" w:hAnsi="Arial"/>
          <w:sz w:val="21"/>
          <w:szCs w:val="21"/>
          <w:color w:val="auto"/>
          <w:vertAlign w:val="superscript"/>
        </w:rPr>
      </w:pPr>
      <w:r>
        <w:rPr>
          <w:rFonts w:ascii="Arial" w:cs="Arial" w:eastAsia="Arial" w:hAnsi="Arial"/>
          <w:sz w:val="15"/>
          <w:szCs w:val="15"/>
          <w:color w:val="auto"/>
        </w:rPr>
        <w:t xml:space="preserve">Comcast-to-Charter Sale/Exchange Public Interest Statement at 10-17. Charter states that it “anticipates investing substantially in the TWC infrastructure” to bring advanced services to the acquired TWC systems. </w:t>
      </w:r>
      <w:r>
        <w:rPr>
          <w:rFonts w:ascii="Arial" w:cs="Arial" w:eastAsia="Arial" w:hAnsi="Arial"/>
          <w:sz w:val="15"/>
          <w:szCs w:val="15"/>
          <w:i w:val="1"/>
          <w:iCs w:val="1"/>
          <w:color w:val="auto"/>
        </w:rPr>
        <w:t>Id.</w:t>
      </w:r>
      <w:r>
        <w:rPr>
          <w:rFonts w:ascii="Arial" w:cs="Arial" w:eastAsia="Arial" w:hAnsi="Arial"/>
          <w:sz w:val="15"/>
          <w:szCs w:val="15"/>
          <w:color w:val="auto"/>
        </w:rPr>
        <w:t xml:space="preserve"> at 12-14.</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7" w:name="page8"/>
    <w:bookmarkEnd w:id="7"/>
    <w:p>
      <w:pPr>
        <w:ind w:right="80"/>
        <w:spacing w:after="0" w:line="233" w:lineRule="auto"/>
        <w:rPr>
          <w:sz w:val="20"/>
          <w:szCs w:val="20"/>
          <w:color w:val="auto"/>
        </w:rPr>
      </w:pPr>
      <w:r>
        <w:rPr>
          <w:rFonts w:ascii="Arial" w:cs="Arial" w:eastAsia="Arial" w:hAnsi="Arial"/>
          <w:sz w:val="18"/>
          <w:szCs w:val="18"/>
          <w:color w:val="auto"/>
        </w:rPr>
        <w:t>extension of Comcast’s conditions and commitments from the NBCUniversal transaction.</w:t>
      </w:r>
      <w:r>
        <w:rPr>
          <w:rFonts w:ascii="Arial" w:cs="Arial" w:eastAsia="Arial" w:hAnsi="Arial"/>
          <w:sz w:val="25"/>
          <w:szCs w:val="25"/>
          <w:color w:val="auto"/>
          <w:vertAlign w:val="superscript"/>
        </w:rPr>
        <w:t>43</w:t>
      </w:r>
      <w:r>
        <w:rPr>
          <w:rFonts w:ascii="Arial" w:cs="Arial" w:eastAsia="Arial" w:hAnsi="Arial"/>
          <w:sz w:val="18"/>
          <w:szCs w:val="18"/>
          <w:color w:val="auto"/>
        </w:rPr>
        <w:t xml:space="preserve"> Divestiture Applicants further assert that SpinCo — with nearly 2.5 million video subscribers — will have sufficient scale post-transaction to compete as a standalone company, and through its services agreement with Charter, it will provide its customers with access to Charter’s industry-leading broadband products and services.</w:t>
      </w:r>
      <w:r>
        <w:rPr>
          <w:rFonts w:ascii="Arial" w:cs="Arial" w:eastAsia="Arial" w:hAnsi="Arial"/>
          <w:sz w:val="25"/>
          <w:szCs w:val="25"/>
          <w:color w:val="auto"/>
          <w:vertAlign w:val="superscript"/>
        </w:rPr>
        <w:t>44</w:t>
      </w:r>
    </w:p>
    <w:p>
      <w:pPr>
        <w:spacing w:after="0" w:line="159" w:lineRule="exact"/>
        <w:rPr>
          <w:sz w:val="20"/>
          <w:szCs w:val="20"/>
          <w:color w:val="auto"/>
        </w:rPr>
      </w:pPr>
    </w:p>
    <w:p>
      <w:pPr>
        <w:ind w:right="80" w:firstLine="648"/>
        <w:spacing w:after="0" w:line="234" w:lineRule="auto"/>
        <w:rPr>
          <w:sz w:val="20"/>
          <w:szCs w:val="20"/>
          <w:color w:val="auto"/>
        </w:rPr>
      </w:pPr>
      <w:r>
        <w:rPr>
          <w:rFonts w:ascii="Arial" w:cs="Arial" w:eastAsia="Arial" w:hAnsi="Arial"/>
          <w:sz w:val="17"/>
          <w:szCs w:val="17"/>
          <w:color w:val="auto"/>
        </w:rPr>
        <w:t>In addition to the affirmative public interest benefits set forth in their application, Comcast and TWC assert that the proposed Comcast-TWC transaction will not result in any public interest harms. Comcast and TWC contend that, because their two companies serve almost entirely distinct geographic areas, the transaction will reduce neither competition nor consumer choice among broadband, video, or voice providers.</w:t>
      </w:r>
      <w:r>
        <w:rPr>
          <w:rFonts w:ascii="Arial" w:cs="Arial" w:eastAsia="Arial" w:hAnsi="Arial"/>
          <w:sz w:val="24"/>
          <w:szCs w:val="24"/>
          <w:color w:val="auto"/>
          <w:vertAlign w:val="superscript"/>
        </w:rPr>
        <w:t>45</w:t>
      </w:r>
      <w:r>
        <w:rPr>
          <w:rFonts w:ascii="Arial" w:cs="Arial" w:eastAsia="Arial" w:hAnsi="Arial"/>
          <w:sz w:val="17"/>
          <w:szCs w:val="17"/>
          <w:color w:val="auto"/>
        </w:rPr>
        <w:t xml:space="preserve"> In addition, Comcast and TWC contend that Comcast’s increased scale as a buyer of video programming will not cause competitive harm because, following the Divestiture Transactions, Comcast will manage systems serving fewer than 30 percent of the total MVPD subscribers in the United States.</w:t>
      </w:r>
      <w:r>
        <w:rPr>
          <w:rFonts w:ascii="Arial" w:cs="Arial" w:eastAsia="Arial" w:hAnsi="Arial"/>
          <w:sz w:val="24"/>
          <w:szCs w:val="24"/>
          <w:color w:val="auto"/>
          <w:vertAlign w:val="superscript"/>
        </w:rPr>
        <w:t>46</w:t>
      </w:r>
      <w:r>
        <w:rPr>
          <w:rFonts w:ascii="Arial" w:cs="Arial" w:eastAsia="Arial" w:hAnsi="Arial"/>
          <w:sz w:val="17"/>
          <w:szCs w:val="17"/>
          <w:color w:val="auto"/>
        </w:rPr>
        <w:t xml:space="preserve"> Comcast and TWC further argue that, given consumer demand for edge provider offerings, as well as the competitive nature of the broadband market, the combined company will have neither the incentive nor the ability to restrict access to its high-speed Internet customers.</w:t>
      </w:r>
      <w:r>
        <w:rPr>
          <w:rFonts w:ascii="Arial" w:cs="Arial" w:eastAsia="Arial" w:hAnsi="Arial"/>
          <w:sz w:val="24"/>
          <w:szCs w:val="24"/>
          <w:color w:val="auto"/>
          <w:vertAlign w:val="superscript"/>
        </w:rPr>
        <w:t>47</w:t>
      </w:r>
      <w:r>
        <w:rPr>
          <w:rFonts w:ascii="Arial" w:cs="Arial" w:eastAsia="Arial" w:hAnsi="Arial"/>
          <w:sz w:val="17"/>
          <w:szCs w:val="17"/>
          <w:color w:val="auto"/>
        </w:rPr>
        <w:t xml:space="preserve"> Finally, Comcast and TWC assert that the transaction complies fully with the Communications Act and all Commission rules.</w:t>
      </w:r>
      <w:r>
        <w:rPr>
          <w:rFonts w:ascii="Arial" w:cs="Arial" w:eastAsia="Arial" w:hAnsi="Arial"/>
          <w:sz w:val="24"/>
          <w:szCs w:val="24"/>
          <w:color w:val="auto"/>
          <w:vertAlign w:val="superscript"/>
        </w:rPr>
        <w:t>48</w:t>
      </w:r>
    </w:p>
    <w:p>
      <w:pPr>
        <w:spacing w:after="0" w:line="16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6"/>
          <w:szCs w:val="16"/>
          <w:color w:val="auto"/>
        </w:rPr>
        <w:t>Divestiture Applicants similarly contend that the Divestiture Transactions will not create any public interest harms. In particular, they assert that Comcast, TWC, and Charter each serve distinct geographic markets today, and therefore the Divestiture Transactions — like the Comcast-TWC transaction</w:t>
      </w:r>
    </w:p>
    <w:p>
      <w:pPr>
        <w:spacing w:after="0" w:line="1" w:lineRule="exact"/>
        <w:rPr>
          <w:sz w:val="20"/>
          <w:szCs w:val="20"/>
          <w:color w:val="auto"/>
        </w:rPr>
      </w:pPr>
    </w:p>
    <w:p>
      <w:pPr>
        <w:ind w:right="400"/>
        <w:spacing w:after="0" w:line="211" w:lineRule="auto"/>
        <w:rPr>
          <w:sz w:val="20"/>
          <w:szCs w:val="20"/>
          <w:color w:val="auto"/>
        </w:rPr>
      </w:pPr>
      <w:r>
        <w:rPr>
          <w:rFonts w:ascii="Arial" w:cs="Arial" w:eastAsia="Arial" w:hAnsi="Arial"/>
          <w:sz w:val="18"/>
          <w:szCs w:val="18"/>
          <w:color w:val="auto"/>
        </w:rPr>
        <w:t>— will not reduce the number of competitive choices for consumers.</w:t>
      </w:r>
      <w:r>
        <w:rPr>
          <w:rFonts w:ascii="Arial" w:cs="Arial" w:eastAsia="Arial" w:hAnsi="Arial"/>
          <w:sz w:val="25"/>
          <w:szCs w:val="25"/>
          <w:color w:val="auto"/>
          <w:vertAlign w:val="superscript"/>
        </w:rPr>
        <w:t>49</w:t>
      </w:r>
      <w:r>
        <w:rPr>
          <w:rFonts w:ascii="Arial" w:cs="Arial" w:eastAsia="Arial" w:hAnsi="Arial"/>
          <w:sz w:val="18"/>
          <w:szCs w:val="18"/>
          <w:color w:val="auto"/>
        </w:rPr>
        <w:t xml:space="preserve"> In addition, they assert that the Divestiture Transactions do not pose any vertical integration concerns as no 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58825"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180" w:hanging="172"/>
        <w:spacing w:after="0"/>
        <w:tabs>
          <w:tab w:leader="none" w:pos="18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Charter-to-Comcast Exchange Public Interest Statement at 10-12.</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SpinCo Public Interest Statement at 14.</w:t>
      </w:r>
    </w:p>
    <w:p>
      <w:pPr>
        <w:spacing w:after="0" w:line="255" w:lineRule="exact"/>
        <w:rPr>
          <w:rFonts w:ascii="Arial" w:cs="Arial" w:eastAsia="Arial" w:hAnsi="Arial"/>
          <w:sz w:val="23"/>
          <w:szCs w:val="23"/>
          <w:color w:val="auto"/>
          <w:vertAlign w:val="superscript"/>
        </w:rPr>
      </w:pPr>
    </w:p>
    <w:p>
      <w:pPr>
        <w:ind w:right="400" w:firstLine="8"/>
        <w:spacing w:after="0" w:line="284" w:lineRule="auto"/>
        <w:tabs>
          <w:tab w:leader="none" w:pos="171"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Comcast-TWC Application at 138. Comcast and TWC state that, after taking into account the Divestiture Transactions, there is an overlap of approximately 780 residential or small- or medium-sized business customers, and approximately 190 business customers, in the two companies’ service areas. Comcast-TWC Supplement Letter at 4-5.</w:t>
      </w:r>
    </w:p>
    <w:p>
      <w:pPr>
        <w:spacing w:after="0" w:line="224" w:lineRule="exact"/>
        <w:rPr>
          <w:rFonts w:ascii="Arial" w:cs="Arial" w:eastAsia="Arial" w:hAnsi="Arial"/>
          <w:sz w:val="21"/>
          <w:szCs w:val="21"/>
          <w:color w:val="auto"/>
          <w:vertAlign w:val="superscript"/>
        </w:rPr>
      </w:pPr>
    </w:p>
    <w:p>
      <w:pPr>
        <w:ind w:right="120" w:firstLine="8"/>
        <w:spacing w:after="0" w:line="282" w:lineRule="auto"/>
        <w:tabs>
          <w:tab w:leader="none" w:pos="171"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 xml:space="preserve">Comcast-TWC Application at 143; Comcast-TWC Supplement Letter at 3. Comcast and TWC note that 30 percent had previously been identified by the Commission as the appropriate threshold for its cable ownership cap, but that the U.S. Court of Appeals for the District of Columbia twice rejected a 30 percent cap, most recently in 2009. Comcast-TWC Application at 143-44 (citing </w:t>
      </w:r>
      <w:r>
        <w:rPr>
          <w:rFonts w:ascii="Arial" w:cs="Arial" w:eastAsia="Arial" w:hAnsi="Arial"/>
          <w:sz w:val="15"/>
          <w:szCs w:val="15"/>
          <w:i w:val="1"/>
          <w:iCs w:val="1"/>
          <w:color w:val="auto"/>
        </w:rPr>
        <w:t>Comcast Corp. v. FCC</w:t>
      </w:r>
      <w:r>
        <w:rPr>
          <w:rFonts w:ascii="Arial" w:cs="Arial" w:eastAsia="Arial" w:hAnsi="Arial"/>
          <w:sz w:val="15"/>
          <w:szCs w:val="15"/>
          <w:color w:val="auto"/>
        </w:rPr>
        <w:t xml:space="preserve">, 579 F.3d 1 (D.C. Cir. 2009); </w:t>
      </w:r>
      <w:r>
        <w:rPr>
          <w:rFonts w:ascii="Arial" w:cs="Arial" w:eastAsia="Arial" w:hAnsi="Arial"/>
          <w:sz w:val="15"/>
          <w:szCs w:val="15"/>
          <w:i w:val="1"/>
          <w:iCs w:val="1"/>
          <w:color w:val="auto"/>
        </w:rPr>
        <w:t>Time Warner Entm’t</w:t>
      </w:r>
      <w:r>
        <w:rPr>
          <w:rFonts w:ascii="Arial" w:cs="Arial" w:eastAsia="Arial" w:hAnsi="Arial"/>
          <w:sz w:val="15"/>
          <w:szCs w:val="15"/>
          <w:color w:val="auto"/>
        </w:rPr>
        <w:t xml:space="preserve"> </w:t>
      </w:r>
      <w:r>
        <w:rPr>
          <w:rFonts w:ascii="Arial" w:cs="Arial" w:eastAsia="Arial" w:hAnsi="Arial"/>
          <w:sz w:val="15"/>
          <w:szCs w:val="15"/>
          <w:i w:val="1"/>
          <w:iCs w:val="1"/>
          <w:color w:val="auto"/>
        </w:rPr>
        <w:t>Co. v. FCC</w:t>
      </w:r>
      <w:r>
        <w:rPr>
          <w:rFonts w:ascii="Arial" w:cs="Arial" w:eastAsia="Arial" w:hAnsi="Arial"/>
          <w:sz w:val="15"/>
          <w:szCs w:val="15"/>
          <w:color w:val="auto"/>
        </w:rPr>
        <w:t>, 240 F.3d 1126 (D.C. Cir. 2001)).</w:t>
      </w:r>
    </w:p>
    <w:p>
      <w:pPr>
        <w:spacing w:after="0" w:line="200" w:lineRule="exact"/>
        <w:rPr>
          <w:rFonts w:ascii="Arial" w:cs="Arial" w:eastAsia="Arial" w:hAnsi="Arial"/>
          <w:sz w:val="21"/>
          <w:szCs w:val="21"/>
          <w:color w:val="auto"/>
          <w:vertAlign w:val="superscript"/>
        </w:rPr>
      </w:pPr>
    </w:p>
    <w:p>
      <w:pPr>
        <w:spacing w:after="0" w:line="211"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color w:val="auto"/>
        </w:rPr>
        <w:t>Comcast-TWC Application at 156-64.</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17"/>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171-73.</w:t>
      </w:r>
    </w:p>
    <w:p>
      <w:pPr>
        <w:spacing w:after="0" w:line="255" w:lineRule="exact"/>
        <w:rPr>
          <w:rFonts w:ascii="Arial" w:cs="Arial" w:eastAsia="Arial" w:hAnsi="Arial"/>
          <w:sz w:val="23"/>
          <w:szCs w:val="23"/>
          <w:color w:val="auto"/>
          <w:vertAlign w:val="superscript"/>
        </w:rPr>
      </w:pPr>
    </w:p>
    <w:p>
      <w:pPr>
        <w:ind w:firstLine="8"/>
        <w:spacing w:after="0" w:line="287" w:lineRule="auto"/>
        <w:tabs>
          <w:tab w:leader="none" w:pos="171" w:val="left"/>
        </w:tabs>
        <w:numPr>
          <w:ilvl w:val="0"/>
          <w:numId w:val="17"/>
        </w:numPr>
        <w:rPr>
          <w:rFonts w:ascii="Arial" w:cs="Arial" w:eastAsia="Arial" w:hAnsi="Arial"/>
          <w:sz w:val="21"/>
          <w:szCs w:val="21"/>
          <w:color w:val="auto"/>
          <w:vertAlign w:val="superscript"/>
        </w:rPr>
      </w:pPr>
      <w:r>
        <w:rPr>
          <w:rFonts w:ascii="Arial" w:cs="Arial" w:eastAsia="Arial" w:hAnsi="Arial"/>
          <w:sz w:val="15"/>
          <w:szCs w:val="15"/>
          <w:color w:val="auto"/>
        </w:rPr>
        <w:t>Charter-to-Comcast Exchange Public Interest Statement at 12-13; Comcast-to-Charter Sale/Exchange Public Interest Statement at 18; SpinCo Public Interest Statement at 20. Divestiture Applicants note that approximately 2,800 Comcast residential or small- or medium-sized business customers are located in Charter’s service areas (and the number of Charter customers in Comcast service areas is similar), as well as approximately 1,500 TWC residential or small- or medium-sized business customers located in Charter’s service areas (and 790 Charter customers in TWC service areas). Charter-to-Comcast Exchange Public Interest Statement at 13 n.31.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841" w:right="299" w:bottom="1440" w:gutter="0" w:footer="0" w:header="0"/>
        </w:sectPr>
      </w:pPr>
    </w:p>
    <w:bookmarkStart w:id="8" w:name="page9"/>
    <w:bookmarkEnd w:id="8"/>
    <w:p>
      <w:pPr>
        <w:jc w:val="both"/>
        <w:ind w:right="120"/>
        <w:spacing w:after="0" w:line="233" w:lineRule="auto"/>
        <w:rPr>
          <w:sz w:val="20"/>
          <w:szCs w:val="20"/>
          <w:color w:val="auto"/>
        </w:rPr>
      </w:pPr>
      <w:r>
        <w:rPr>
          <w:rFonts w:ascii="Arial" w:cs="Arial" w:eastAsia="Arial" w:hAnsi="Arial"/>
          <w:sz w:val="18"/>
          <w:szCs w:val="18"/>
          <w:color w:val="auto"/>
        </w:rPr>
        <w:t>programming assets will be changing hands.</w:t>
      </w:r>
      <w:r>
        <w:rPr>
          <w:rFonts w:ascii="Arial" w:cs="Arial" w:eastAsia="Arial" w:hAnsi="Arial"/>
          <w:sz w:val="25"/>
          <w:szCs w:val="25"/>
          <w:color w:val="auto"/>
          <w:vertAlign w:val="superscript"/>
        </w:rPr>
        <w:t>50</w:t>
      </w:r>
      <w:r>
        <w:rPr>
          <w:rFonts w:ascii="Arial" w:cs="Arial" w:eastAsia="Arial" w:hAnsi="Arial"/>
          <w:sz w:val="18"/>
          <w:szCs w:val="18"/>
          <w:color w:val="auto"/>
        </w:rPr>
        <w:t xml:space="preserve"> Moreover, they argue that Comcast’s enhanced regional presence following its acquisition of Charter systems will not increase its incentive or ability to withhold programming, or to demand higher prices, because Comcast will see only modest increases in subscriber share within the footprints of its affiliated O&amp;O broadcast stations and its English-language RSNs.</w:t>
      </w:r>
      <w:r>
        <w:rPr>
          <w:rFonts w:ascii="Arial" w:cs="Arial" w:eastAsia="Arial" w:hAnsi="Arial"/>
          <w:sz w:val="25"/>
          <w:szCs w:val="25"/>
          <w:color w:val="auto"/>
          <w:vertAlign w:val="superscript"/>
        </w:rPr>
        <w:t>51</w:t>
      </w:r>
    </w:p>
    <w:p>
      <w:pPr>
        <w:spacing w:after="0" w:line="159" w:lineRule="exact"/>
        <w:rPr>
          <w:sz w:val="20"/>
          <w:szCs w:val="20"/>
          <w:color w:val="auto"/>
        </w:rPr>
      </w:pPr>
    </w:p>
    <w:p>
      <w:pPr>
        <w:ind w:firstLine="648"/>
        <w:spacing w:after="0" w:line="230" w:lineRule="auto"/>
        <w:rPr>
          <w:sz w:val="20"/>
          <w:szCs w:val="20"/>
          <w:color w:val="auto"/>
        </w:rPr>
      </w:pPr>
      <w:r>
        <w:rPr>
          <w:rFonts w:ascii="Arial" w:cs="Arial" w:eastAsia="Arial" w:hAnsi="Arial"/>
          <w:sz w:val="17"/>
          <w:szCs w:val="17"/>
          <w:color w:val="auto"/>
        </w:rPr>
        <w:t>The Divestiture Applicants also state that the Divestiture Transactions will not result in the violation of any provision of the Communications Act or the Commission’s rules.</w:t>
      </w:r>
      <w:r>
        <w:rPr>
          <w:rFonts w:ascii="Arial" w:cs="Arial" w:eastAsia="Arial" w:hAnsi="Arial"/>
          <w:sz w:val="24"/>
          <w:szCs w:val="24"/>
          <w:color w:val="auto"/>
          <w:vertAlign w:val="superscript"/>
        </w:rPr>
        <w:t>52</w:t>
      </w:r>
      <w:r>
        <w:rPr>
          <w:rFonts w:ascii="Arial" w:cs="Arial" w:eastAsia="Arial" w:hAnsi="Arial"/>
          <w:sz w:val="17"/>
          <w:szCs w:val="17"/>
          <w:color w:val="auto"/>
        </w:rPr>
        <w:t xml:space="preserve"> In addition, Comcast notes that Charter has received a waiver of the Commission’s navigation device “integration ban,” which expires on April 18, 2015, with respect to the navigation devices currently deployed on the Charter cable systems that Comcast is acquiring.</w:t>
      </w:r>
      <w:r>
        <w:rPr>
          <w:rFonts w:ascii="Arial" w:cs="Arial" w:eastAsia="Arial" w:hAnsi="Arial"/>
          <w:sz w:val="24"/>
          <w:szCs w:val="24"/>
          <w:color w:val="auto"/>
          <w:vertAlign w:val="superscript"/>
        </w:rPr>
        <w:t>53</w:t>
      </w:r>
      <w:r>
        <w:rPr>
          <w:rFonts w:ascii="Arial" w:cs="Arial" w:eastAsia="Arial" w:hAnsi="Arial"/>
          <w:sz w:val="17"/>
          <w:szCs w:val="17"/>
          <w:color w:val="auto"/>
        </w:rPr>
        <w:t xml:space="preserve"> Comcast requests that the Commission grant it the benefit of the waiver through April 18, 2016 to give Comcast sufficient time to integrate the systems into its network and to migrate them to a new security solution.</w:t>
      </w:r>
      <w:r>
        <w:rPr>
          <w:rFonts w:ascii="Arial" w:cs="Arial" w:eastAsia="Arial" w:hAnsi="Arial"/>
          <w:sz w:val="24"/>
          <w:szCs w:val="24"/>
          <w:color w:val="auto"/>
          <w:vertAlign w:val="superscript"/>
        </w:rPr>
        <w:t>54</w:t>
      </w:r>
      <w:r>
        <w:rPr>
          <w:rFonts w:ascii="Arial" w:cs="Arial" w:eastAsia="Arial" w:hAnsi="Arial"/>
          <w:sz w:val="17"/>
          <w:szCs w:val="17"/>
          <w:color w:val="auto"/>
        </w:rPr>
        <w:t xml:space="preserve"> Comcast explains that its waiver request is limited to the integrated set-top boxes that Charter will have already deployed at the time of the transaction and Comcast commits that it “will not deploy any new integrated set-top boxes in the acquired systems or in any other Comcast system after the transaction is completed.”</w:t>
      </w:r>
      <w:r>
        <w:rPr>
          <w:rFonts w:ascii="Arial" w:cs="Arial" w:eastAsia="Arial" w:hAnsi="Arial"/>
          <w:sz w:val="24"/>
          <w:szCs w:val="24"/>
          <w:color w:val="auto"/>
          <w:vertAlign w:val="superscript"/>
        </w:rPr>
        <w:t>55</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ASSIGNMENT AND TRANSFER OF CONTROL APPLICATIONS</w:t>
      </w:r>
    </w:p>
    <w:p>
      <w:pPr>
        <w:spacing w:after="0" w:line="283" w:lineRule="exact"/>
        <w:rPr>
          <w:sz w:val="20"/>
          <w:szCs w:val="20"/>
          <w:color w:val="auto"/>
        </w:rPr>
      </w:pPr>
    </w:p>
    <w:p>
      <w:pPr>
        <w:ind w:right="160"/>
        <w:spacing w:after="0" w:line="232" w:lineRule="auto"/>
        <w:rPr>
          <w:sz w:val="20"/>
          <w:szCs w:val="20"/>
          <w:color w:val="auto"/>
        </w:rPr>
      </w:pPr>
      <w:r>
        <w:rPr>
          <w:rFonts w:ascii="Arial" w:cs="Arial" w:eastAsia="Arial" w:hAnsi="Arial"/>
          <w:sz w:val="18"/>
          <w:szCs w:val="18"/>
          <w:color w:val="auto"/>
        </w:rPr>
        <w:t>The file numbers and call signs of the Comcast, TWC, and Charter facilities that are the subject of the assignment and transfer of control applications are listed in the Attachment to this Public Notice.</w:t>
      </w:r>
      <w:r>
        <w:rPr>
          <w:rFonts w:ascii="Arial" w:cs="Arial" w:eastAsia="Arial" w:hAnsi="Arial"/>
          <w:sz w:val="25"/>
          <w:szCs w:val="25"/>
          <w:color w:val="auto"/>
          <w:vertAlign w:val="superscript"/>
        </w:rPr>
        <w:t>56</w:t>
      </w:r>
      <w:r>
        <w:rPr>
          <w:rFonts w:ascii="Arial" w:cs="Arial" w:eastAsia="Arial" w:hAnsi="Arial"/>
          <w:sz w:val="18"/>
          <w:szCs w:val="18"/>
          <w:color w:val="auto"/>
        </w:rPr>
        <w:t xml:space="preserve"> Interested parties should refer to the assignment and transfer of control applications for a listing of the licenses. Parties should be aware that additional applications may have to be filed to identify any additional licenses and other authorizations in the services noted. Comcast and TWC have requested that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58825"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both"/>
        <w:ind w:firstLine="8"/>
        <w:spacing w:after="0" w:line="282" w:lineRule="auto"/>
        <w:tabs>
          <w:tab w:leader="none" w:pos="171"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Id. </w:t>
      </w:r>
      <w:r>
        <w:rPr>
          <w:rFonts w:ascii="Arial" w:cs="Arial" w:eastAsia="Arial" w:hAnsi="Arial"/>
          <w:sz w:val="15"/>
          <w:szCs w:val="15"/>
          <w:color w:val="auto"/>
        </w:rPr>
        <w:t>at 13; Comcast-to-Charter Sale/Exchange Public Interest Statement at 19-20; SpinCo Public Interest Statement at 21. Divestiture Applicants note that a</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total of twelve local or regional programming networks — including four regional sports networks (“RSNs”) — will be changing hands but argue that the potential loss of subscriber revenue, along with the Commission’s program access rules, should adequately address any theoretical concerns that they would withhold such programming. </w:t>
      </w:r>
      <w:r>
        <w:rPr>
          <w:rFonts w:ascii="Arial" w:cs="Arial" w:eastAsia="Arial" w:hAnsi="Arial"/>
          <w:sz w:val="15"/>
          <w:szCs w:val="15"/>
          <w:i w:val="1"/>
          <w:iCs w:val="1"/>
          <w:color w:val="auto"/>
        </w:rPr>
        <w:t>Id.</w:t>
      </w:r>
    </w:p>
    <w:p>
      <w:pPr>
        <w:spacing w:after="0" w:line="200" w:lineRule="exact"/>
        <w:rPr>
          <w:rFonts w:ascii="Arial" w:cs="Arial" w:eastAsia="Arial" w:hAnsi="Arial"/>
          <w:sz w:val="21"/>
          <w:szCs w:val="21"/>
          <w:color w:val="auto"/>
          <w:vertAlign w:val="superscript"/>
        </w:rPr>
      </w:pPr>
    </w:p>
    <w:p>
      <w:pPr>
        <w:spacing w:after="0" w:line="245" w:lineRule="exact"/>
        <w:rPr>
          <w:rFonts w:ascii="Arial" w:cs="Arial" w:eastAsia="Arial" w:hAnsi="Arial"/>
          <w:sz w:val="21"/>
          <w:szCs w:val="21"/>
          <w:color w:val="auto"/>
          <w:vertAlign w:val="superscript"/>
        </w:rPr>
      </w:pPr>
    </w:p>
    <w:p>
      <w:pPr>
        <w:ind w:right="160" w:firstLine="8"/>
        <w:spacing w:after="0" w:line="278" w:lineRule="auto"/>
        <w:tabs>
          <w:tab w:leader="none" w:pos="171"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 xml:space="preserve">Charter-to-Comcast Exchange Public Interest Statement at 14-15. In addition, Divestiture Applicants assert that the modest share of Charter subscribers that Comcast will acquire in certain large DMAs (e.g., New York, Los Angeles, and Dallas-Fort Worth) will not significantly increase Comcast’s purchasing power. </w:t>
      </w:r>
      <w:r>
        <w:rPr>
          <w:rFonts w:ascii="Arial" w:cs="Arial" w:eastAsia="Arial" w:hAnsi="Arial"/>
          <w:sz w:val="15"/>
          <w:szCs w:val="15"/>
          <w:i w:val="1"/>
          <w:iCs w:val="1"/>
          <w:color w:val="auto"/>
        </w:rPr>
        <w:t>Id.</w:t>
      </w:r>
      <w:r>
        <w:rPr>
          <w:rFonts w:ascii="Arial" w:cs="Arial" w:eastAsia="Arial" w:hAnsi="Arial"/>
          <w:sz w:val="15"/>
          <w:szCs w:val="15"/>
          <w:color w:val="auto"/>
        </w:rPr>
        <w:t xml:space="preserve"> at 16.</w:t>
      </w:r>
    </w:p>
    <w:p>
      <w:pPr>
        <w:spacing w:after="0" w:line="200" w:lineRule="exact"/>
        <w:rPr>
          <w:rFonts w:ascii="Arial" w:cs="Arial" w:eastAsia="Arial" w:hAnsi="Arial"/>
          <w:sz w:val="21"/>
          <w:szCs w:val="21"/>
          <w:color w:val="auto"/>
          <w:vertAlign w:val="superscript"/>
        </w:rPr>
      </w:pPr>
    </w:p>
    <w:p>
      <w:pPr>
        <w:spacing w:after="0" w:line="204"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at 18; Comcast-to-Charter Sale/Exchange Public Interest Statement at 20; SpinCo Public Interest Statement at 21.</w:t>
      </w:r>
    </w:p>
    <w:p>
      <w:pPr>
        <w:spacing w:after="0" w:line="255" w:lineRule="exact"/>
        <w:rPr>
          <w:rFonts w:ascii="Arial" w:cs="Arial" w:eastAsia="Arial" w:hAnsi="Arial"/>
          <w:sz w:val="23"/>
          <w:szCs w:val="23"/>
          <w:color w:val="auto"/>
          <w:vertAlign w:val="superscript"/>
        </w:rPr>
      </w:pPr>
    </w:p>
    <w:p>
      <w:pPr>
        <w:ind w:right="480" w:firstLine="8"/>
        <w:spacing w:after="0" w:line="285" w:lineRule="auto"/>
        <w:tabs>
          <w:tab w:leader="none" w:pos="171"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See </w:t>
      </w:r>
      <w:r>
        <w:rPr>
          <w:rFonts w:ascii="Arial" w:cs="Arial" w:eastAsia="Arial" w:hAnsi="Arial"/>
          <w:sz w:val="15"/>
          <w:szCs w:val="15"/>
          <w:color w:val="auto"/>
        </w:rPr>
        <w:t>Charter-to-Comcast Exchange Public Interest Statement at 18 (citing</w:t>
      </w:r>
      <w:r>
        <w:rPr>
          <w:rFonts w:ascii="Arial" w:cs="Arial" w:eastAsia="Arial" w:hAnsi="Arial"/>
          <w:sz w:val="15"/>
          <w:szCs w:val="15"/>
          <w:i w:val="1"/>
          <w:iCs w:val="1"/>
          <w:color w:val="auto"/>
        </w:rPr>
        <w:t xml:space="preserve"> Charter Commc’ns, Inc., Request for Waiver of Section 76.1204(a)(1) of the Commission’s Rules, </w:t>
      </w:r>
      <w:r>
        <w:rPr>
          <w:rFonts w:ascii="Arial" w:cs="Arial" w:eastAsia="Arial" w:hAnsi="Arial"/>
          <w:sz w:val="15"/>
          <w:szCs w:val="15"/>
          <w:color w:val="auto"/>
        </w:rPr>
        <w:t>Memorandum Opinion and Order, 28 FCC Rcd 5212 (2013)).</w:t>
      </w:r>
    </w:p>
    <w:p>
      <w:pPr>
        <w:spacing w:after="0" w:line="176"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Charter-to-Comcast Exchange Public Interest Statement at 18.</w:t>
      </w:r>
    </w:p>
    <w:p>
      <w:pPr>
        <w:spacing w:after="0" w:line="255" w:lineRule="exact"/>
        <w:rPr>
          <w:rFonts w:ascii="Arial" w:cs="Arial" w:eastAsia="Arial" w:hAnsi="Arial"/>
          <w:sz w:val="23"/>
          <w:szCs w:val="23"/>
          <w:color w:val="auto"/>
          <w:vertAlign w:val="superscript"/>
        </w:rPr>
      </w:pPr>
    </w:p>
    <w:p>
      <w:pPr>
        <w:ind w:right="20" w:firstLine="8"/>
        <w:spacing w:after="0" w:line="409" w:lineRule="auto"/>
        <w:tabs>
          <w:tab w:leader="none" w:pos="171" w:val="left"/>
        </w:tabs>
        <w:numPr>
          <w:ilvl w:val="0"/>
          <w:numId w:val="18"/>
        </w:numPr>
        <w:rPr>
          <w:rFonts w:ascii="Arial" w:cs="Arial" w:eastAsia="Arial" w:hAnsi="Arial"/>
          <w:sz w:val="21"/>
          <w:szCs w:val="21"/>
          <w:color w:val="auto"/>
          <w:vertAlign w:val="superscript"/>
        </w:rPr>
      </w:pPr>
      <w:r>
        <w:rPr>
          <w:rFonts w:ascii="Arial" w:cs="Arial" w:eastAsia="Arial" w:hAnsi="Arial"/>
          <w:sz w:val="15"/>
          <w:szCs w:val="15"/>
          <w:color w:val="auto"/>
        </w:rPr>
        <w:t xml:space="preserve">Letter from Kathryn A. Zachem, Senior Vice President, Regulatory and State Legislative Affairs, Comcast, to Marlene H. Dortch, Secretary, FCC, MB Docket No. 14-57 (July 2, 2014), at 1. Comcast notes that a waiver will give it “sufficient time to migrate the integrated boxes at issue to a compliant security solution consistent with Comcast’s security plans across its footprint, or pursue other measures to achieve compliance in the acquired system, by April 18, 2016.” </w:t>
      </w:r>
      <w:r>
        <w:rPr>
          <w:rFonts w:ascii="Arial" w:cs="Arial" w:eastAsia="Arial" w:hAnsi="Arial"/>
          <w:sz w:val="15"/>
          <w:szCs w:val="15"/>
          <w:i w:val="1"/>
          <w:iCs w:val="1"/>
          <w:color w:val="auto"/>
        </w:rPr>
        <w:t>Id.</w:t>
      </w:r>
      <w:r>
        <w:rPr>
          <w:rFonts w:ascii="Arial" w:cs="Arial" w:eastAsia="Arial" w:hAnsi="Arial"/>
          <w:sz w:val="15"/>
          <w:szCs w:val="15"/>
          <w:color w:val="auto"/>
        </w:rPr>
        <w:t xml:space="preserve"> at 2.</w:t>
      </w:r>
    </w:p>
    <w:p>
      <w:pPr>
        <w:spacing w:after="0" w:line="100"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18"/>
        </w:numPr>
        <w:rPr>
          <w:rFonts w:ascii="Arial" w:cs="Arial" w:eastAsia="Arial" w:hAnsi="Arial"/>
          <w:sz w:val="23"/>
          <w:szCs w:val="23"/>
          <w:color w:val="auto"/>
          <w:vertAlign w:val="superscript"/>
        </w:rPr>
      </w:pPr>
      <w:r>
        <w:rPr>
          <w:rFonts w:ascii="Arial" w:cs="Arial" w:eastAsia="Arial" w:hAnsi="Arial"/>
          <w:sz w:val="17"/>
          <w:szCs w:val="17"/>
          <w:color w:val="auto"/>
        </w:rPr>
        <w:t xml:space="preserve">File numbers and call signs for Bright House facilities that are subject to applications for </w:t>
      </w:r>
      <w:r>
        <w:rPr>
          <w:rFonts w:ascii="Arial" w:cs="Arial" w:eastAsia="Arial" w:hAnsi="Arial"/>
          <w:sz w:val="17"/>
          <w:szCs w:val="17"/>
          <w:i w:val="1"/>
          <w:iCs w:val="1"/>
          <w:color w:val="auto"/>
        </w:rPr>
        <w:t>pro forma</w:t>
      </w:r>
      <w:r>
        <w:rPr>
          <w:rFonts w:ascii="Arial" w:cs="Arial" w:eastAsia="Arial" w:hAnsi="Arial"/>
          <w:sz w:val="17"/>
          <w:szCs w:val="17"/>
          <w:color w:val="auto"/>
        </w:rPr>
        <w:t xml:space="preserve"> transfer of control also are listed in the Attachment.</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9" w:name="page10"/>
    <w:bookmarkEnd w:id="9"/>
    <w:p>
      <w:pPr>
        <w:ind w:right="200"/>
        <w:spacing w:after="0" w:line="263" w:lineRule="auto"/>
        <w:rPr>
          <w:sz w:val="20"/>
          <w:szCs w:val="20"/>
          <w:color w:val="auto"/>
        </w:rPr>
      </w:pPr>
      <w:r>
        <w:rPr>
          <w:rFonts w:ascii="Arial" w:cs="Arial" w:eastAsia="Arial" w:hAnsi="Arial"/>
          <w:sz w:val="18"/>
          <w:szCs w:val="18"/>
          <w:color w:val="auto"/>
        </w:rPr>
        <w:t>Commission’s grant of consent to the transfer of control of the licenses and other authorizations include the authority for Comcast to acquire control of: (1) any licenses and other authorizations issued to TWC or to its subsidiaries or affiliates during the Commission’s consideration of the applications and the period required for the consummation of the proposed transaction following approval; and (2) applications that will have been filed by TWC or its subsidiaries or its affiliates and that are pending at the time of consummation of the proposed transaction.</w:t>
      </w:r>
      <w:r>
        <w:rPr>
          <w:rFonts w:ascii="Arial" w:cs="Arial" w:eastAsia="Arial" w:hAnsi="Arial"/>
          <w:sz w:val="25"/>
          <w:szCs w:val="25"/>
          <w:color w:val="auto"/>
          <w:vertAlign w:val="superscript"/>
        </w:rPr>
        <w:t>57</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EX PARTE </w:t>
      </w:r>
      <w:r>
        <w:rPr>
          <w:rFonts w:ascii="Arial" w:cs="Arial" w:eastAsia="Arial" w:hAnsi="Arial"/>
          <w:sz w:val="18"/>
          <w:szCs w:val="18"/>
          <w:b w:val="1"/>
          <w:bCs w:val="1"/>
          <w:color w:val="auto"/>
        </w:rPr>
        <w:t>STATUS OF THIS PROCEEDING</w:t>
      </w:r>
    </w:p>
    <w:p>
      <w:pPr>
        <w:spacing w:after="0" w:line="283" w:lineRule="exact"/>
        <w:rPr>
          <w:sz w:val="20"/>
          <w:szCs w:val="20"/>
          <w:color w:val="auto"/>
        </w:rPr>
      </w:pPr>
    </w:p>
    <w:p>
      <w:pPr>
        <w:ind w:firstLine="648"/>
        <w:spacing w:after="0" w:line="257" w:lineRule="auto"/>
        <w:rPr>
          <w:sz w:val="20"/>
          <w:szCs w:val="20"/>
          <w:color w:val="auto"/>
        </w:rPr>
      </w:pPr>
      <w:r>
        <w:rPr>
          <w:rFonts w:ascii="Arial" w:cs="Arial" w:eastAsia="Arial" w:hAnsi="Arial"/>
          <w:sz w:val="16"/>
          <w:szCs w:val="16"/>
          <w:color w:val="auto"/>
        </w:rPr>
        <w:t>Pursuant to section 1.1200(a) of the Commission’s rules,</w:t>
      </w:r>
      <w:r>
        <w:rPr>
          <w:rFonts w:ascii="Arial" w:cs="Arial" w:eastAsia="Arial" w:hAnsi="Arial"/>
          <w:sz w:val="22"/>
          <w:szCs w:val="22"/>
          <w:color w:val="auto"/>
          <w:vertAlign w:val="superscript"/>
        </w:rPr>
        <w:t>58</w:t>
      </w:r>
      <w:r>
        <w:rPr>
          <w:rFonts w:ascii="Arial" w:cs="Arial" w:eastAsia="Arial" w:hAnsi="Arial"/>
          <w:sz w:val="16"/>
          <w:szCs w:val="16"/>
          <w:color w:val="auto"/>
        </w:rPr>
        <w:t xml:space="preserve"> the Commission may in its discretion modify the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procedures in particular proceedings if the public interest so requires. As we have previously announced, these applications will be governed by the permit-but-disclose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procedures that are applicable to non-restricted proceedings under section 1.1206 of the Commission’s rules.</w:t>
      </w:r>
      <w:r>
        <w:rPr>
          <w:rFonts w:ascii="Arial" w:cs="Arial" w:eastAsia="Arial" w:hAnsi="Arial"/>
          <w:sz w:val="22"/>
          <w:szCs w:val="22"/>
          <w:color w:val="auto"/>
          <w:vertAlign w:val="superscript"/>
        </w:rPr>
        <w:t>59</w:t>
      </w:r>
      <w:r>
        <w:rPr>
          <w:rFonts w:ascii="Arial" w:cs="Arial" w:eastAsia="Arial" w:hAnsi="Arial"/>
          <w:sz w:val="16"/>
          <w:szCs w:val="16"/>
          <w:color w:val="auto"/>
        </w:rPr>
        <w:t xml:space="preserve"> Parties making oral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presentations are reminded that they must file notices of the presentations which must contain, with regard to material already in the written record, either a succinct summary of the matters discussed or a citation to the page or paragraph number in the party’s written submission(s) where the matters discussed can be found, and with regard to any new information, a summary of the new data and arguments presented. Memoranda must contain a summary of the substance of the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presentation and not merely a listing of the subjects discussed. More than a one or two sentence description of the views and arguments presented is generally required. All of the disclosure requirements pertaining to oral and written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presentations are set forth in section 1.1206(b).</w:t>
      </w:r>
      <w:r>
        <w:rPr>
          <w:rFonts w:ascii="Arial" w:cs="Arial" w:eastAsia="Arial" w:hAnsi="Arial"/>
          <w:sz w:val="22"/>
          <w:szCs w:val="22"/>
          <w:color w:val="auto"/>
          <w:vertAlign w:val="superscript"/>
        </w:rPr>
        <w:t>60</w:t>
      </w:r>
      <w:r>
        <w:rPr>
          <w:rFonts w:ascii="Arial" w:cs="Arial" w:eastAsia="Arial" w:hAnsi="Arial"/>
          <w:sz w:val="16"/>
          <w:szCs w:val="16"/>
          <w:color w:val="auto"/>
        </w:rPr>
        <w:t xml:space="preserve"> Requests for exemptions from the disclosure requirements pursuant to section 1.1204(a)(9)</w:t>
      </w:r>
      <w:r>
        <w:rPr>
          <w:rFonts w:ascii="Arial" w:cs="Arial" w:eastAsia="Arial" w:hAnsi="Arial"/>
          <w:sz w:val="22"/>
          <w:szCs w:val="22"/>
          <w:color w:val="auto"/>
          <w:vertAlign w:val="superscript"/>
        </w:rPr>
        <w:t>61</w:t>
      </w:r>
      <w:r>
        <w:rPr>
          <w:rFonts w:ascii="Arial" w:cs="Arial" w:eastAsia="Arial" w:hAnsi="Arial"/>
          <w:sz w:val="16"/>
          <w:szCs w:val="16"/>
          <w:color w:val="auto"/>
        </w:rPr>
        <w:t xml:space="preserve"> may be made to Jonathan Sallet at (202) 418-1700 or Hillary Burchuk (202) 418-1719.</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REQUESTS FOR </w:t>
      </w:r>
      <w:r>
        <w:rPr>
          <w:rFonts w:ascii="Arial" w:cs="Arial" w:eastAsia="Arial" w:hAnsi="Arial"/>
          <w:sz w:val="18"/>
          <w:szCs w:val="18"/>
          <w:b w:val="1"/>
          <w:bCs w:val="1"/>
          <w:i w:val="1"/>
          <w:iCs w:val="1"/>
          <w:color w:val="auto"/>
        </w:rPr>
        <w:t>EX PARTE</w:t>
      </w:r>
      <w:r>
        <w:rPr>
          <w:rFonts w:ascii="Arial" w:cs="Arial" w:eastAsia="Arial" w:hAnsi="Arial"/>
          <w:sz w:val="18"/>
          <w:szCs w:val="18"/>
          <w:b w:val="1"/>
          <w:bCs w:val="1"/>
          <w:color w:val="auto"/>
        </w:rPr>
        <w:t xml:space="preserve"> MEETINGS</w:t>
      </w:r>
    </w:p>
    <w:p>
      <w:pPr>
        <w:spacing w:after="0" w:line="279" w:lineRule="exact"/>
        <w:rPr>
          <w:sz w:val="20"/>
          <w:szCs w:val="20"/>
          <w:color w:val="auto"/>
        </w:rPr>
      </w:pPr>
    </w:p>
    <w:p>
      <w:pPr>
        <w:ind w:right="80" w:firstLine="648"/>
        <w:spacing w:after="0" w:line="266" w:lineRule="auto"/>
        <w:rPr>
          <w:sz w:val="20"/>
          <w:szCs w:val="20"/>
          <w:color w:val="auto"/>
        </w:rPr>
      </w:pPr>
      <w:r>
        <w:rPr>
          <w:rFonts w:ascii="Arial" w:cs="Arial" w:eastAsia="Arial" w:hAnsi="Arial"/>
          <w:sz w:val="18"/>
          <w:szCs w:val="18"/>
          <w:b w:val="1"/>
          <w:bCs w:val="1"/>
          <w:color w:val="auto"/>
        </w:rPr>
        <w:t xml:space="preserve">All requests for meetings with Commission staff regarding this Docket should be made on-line, using the link at </w:t>
      </w:r>
      <w:r>
        <w:rPr>
          <w:rFonts w:ascii="Arial" w:cs="Arial" w:eastAsia="Arial" w:hAnsi="Arial"/>
          <w:sz w:val="18"/>
          <w:szCs w:val="18"/>
          <w:u w:val="single" w:color="auto"/>
          <w:color w:val="0000FF"/>
        </w:rPr>
        <w:t>http://transition.fcc.gov/transaction/comcast-twc_exparte-meeting-request</w:t>
      </w:r>
      <w:r>
        <w:rPr>
          <w:rFonts w:ascii="Arial" w:cs="Arial" w:eastAsia="Arial" w:hAnsi="Arial"/>
          <w:sz w:val="18"/>
          <w:szCs w:val="18"/>
          <w:color w:val="1F497D"/>
        </w:rPr>
        <w:t>.</w:t>
      </w:r>
      <w:r>
        <w:rPr>
          <w:rFonts w:ascii="Arial" w:cs="Arial" w:eastAsia="Arial" w:hAnsi="Arial"/>
          <w:sz w:val="18"/>
          <w:szCs w:val="18"/>
          <w:color w:val="0000FF"/>
        </w:rPr>
        <w:t xml:space="preserve"> </w:t>
      </w:r>
      <w:r>
        <w:rPr>
          <w:rFonts w:ascii="Arial" w:cs="Arial" w:eastAsia="Arial" w:hAnsi="Arial"/>
          <w:sz w:val="18"/>
          <w:szCs w:val="18"/>
          <w:b w:val="1"/>
          <w:bCs w:val="1"/>
          <w:color w:val="000000"/>
        </w:rPr>
        <w:t>Those who lack Internet access may direct their requests to Vanessa Lemmé,</w:t>
      </w:r>
      <w:r>
        <w:rPr>
          <w:rFonts w:ascii="Arial" w:cs="Arial" w:eastAsia="Arial" w:hAnsi="Arial"/>
          <w:sz w:val="18"/>
          <w:szCs w:val="18"/>
          <w:color w:val="0000FF"/>
        </w:rPr>
        <w:t xml:space="preserve"> </w:t>
      </w:r>
      <w:r>
        <w:rPr>
          <w:rFonts w:ascii="Arial" w:cs="Arial" w:eastAsia="Arial" w:hAnsi="Arial"/>
          <w:sz w:val="18"/>
          <w:szCs w:val="18"/>
          <w:b w:val="1"/>
          <w:bCs w:val="1"/>
          <w:color w:val="000000"/>
        </w:rPr>
        <w:t>Media Bureau, (202) 418-2611.</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INFORMATION</w:t>
      </w:r>
    </w:p>
    <w:p>
      <w:pPr>
        <w:spacing w:after="0" w:line="28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The applications for assignment and transfer of control of the licenses and other authorizations referred to in this Public Notice have been accepted for filing upon initial review. The Commission reserves the right to return any application if, upon further examination, it is determined to be defective and not in conformance with the Commission’s rules, regulations, or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58825" cy="342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45" w:lineRule="exact"/>
        <w:rPr>
          <w:sz w:val="20"/>
          <w:szCs w:val="20"/>
          <w:color w:val="auto"/>
        </w:rPr>
      </w:pPr>
    </w:p>
    <w:p>
      <w:pPr>
        <w:ind w:firstLine="8"/>
        <w:spacing w:after="0" w:line="216" w:lineRule="auto"/>
        <w:tabs>
          <w:tab w:leader="none" w:pos="193" w:val="left"/>
        </w:tabs>
        <w:numPr>
          <w:ilvl w:val="0"/>
          <w:numId w:val="19"/>
        </w:numPr>
        <w:rPr>
          <w:rFonts w:ascii="Arial" w:cs="Arial" w:eastAsia="Arial" w:hAnsi="Arial"/>
          <w:sz w:val="25"/>
          <w:szCs w:val="25"/>
          <w:color w:val="auto"/>
          <w:vertAlign w:val="superscript"/>
        </w:rPr>
      </w:pPr>
      <w:r>
        <w:rPr>
          <w:rFonts w:ascii="Arial" w:cs="Arial" w:eastAsia="Arial" w:hAnsi="Arial"/>
          <w:sz w:val="18"/>
          <w:szCs w:val="18"/>
          <w:color w:val="auto"/>
        </w:rPr>
        <w:t xml:space="preserve">Comcast-TWC Application at 174. Likewise, Divestiture Applicants have made equivalent requests with respect to the Divestiture Transactions.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Comcast-to-Charter Sale/Exchange Public Interest Statement at 20-21; SpinCo Public Interest Statement at 22.</w:t>
      </w:r>
    </w:p>
    <w:p>
      <w:pPr>
        <w:spacing w:after="0" w:line="223" w:lineRule="exact"/>
        <w:rPr>
          <w:rFonts w:ascii="Arial" w:cs="Arial" w:eastAsia="Arial" w:hAnsi="Arial"/>
          <w:sz w:val="25"/>
          <w:szCs w:val="25"/>
          <w:color w:val="auto"/>
          <w:vertAlign w:val="superscript"/>
        </w:rPr>
      </w:pPr>
    </w:p>
    <w:p>
      <w:pPr>
        <w:ind w:left="180" w:hanging="172"/>
        <w:spacing w:after="0"/>
        <w:tabs>
          <w:tab w:leader="none" w:pos="180" w:val="left"/>
        </w:tabs>
        <w:numPr>
          <w:ilvl w:val="0"/>
          <w:numId w:val="19"/>
        </w:numPr>
        <w:rPr>
          <w:rFonts w:ascii="Arial" w:cs="Arial" w:eastAsia="Arial" w:hAnsi="Arial"/>
          <w:sz w:val="23"/>
          <w:szCs w:val="23"/>
          <w:color w:val="auto"/>
          <w:vertAlign w:val="superscript"/>
        </w:rPr>
      </w:pPr>
      <w:r>
        <w:rPr>
          <w:rFonts w:ascii="Arial" w:cs="Arial" w:eastAsia="Arial" w:hAnsi="Arial"/>
          <w:sz w:val="17"/>
          <w:szCs w:val="17"/>
          <w:color w:val="auto"/>
        </w:rPr>
        <w:t>47 C.F.R. § 1.1200(a).</w:t>
      </w:r>
    </w:p>
    <w:p>
      <w:pPr>
        <w:spacing w:after="0" w:line="255" w:lineRule="exact"/>
        <w:rPr>
          <w:rFonts w:ascii="Arial" w:cs="Arial" w:eastAsia="Arial" w:hAnsi="Arial"/>
          <w:sz w:val="23"/>
          <w:szCs w:val="23"/>
          <w:color w:val="auto"/>
          <w:vertAlign w:val="superscript"/>
        </w:rPr>
      </w:pPr>
    </w:p>
    <w:p>
      <w:pPr>
        <w:ind w:right="160" w:firstLine="8"/>
        <w:spacing w:after="0" w:line="258" w:lineRule="auto"/>
        <w:tabs>
          <w:tab w:leader="none" w:pos="171" w:val="left"/>
        </w:tabs>
        <w:numPr>
          <w:ilvl w:val="0"/>
          <w:numId w:val="19"/>
        </w:numPr>
        <w:rPr>
          <w:rFonts w:ascii="Arial" w:cs="Arial" w:eastAsia="Arial" w:hAnsi="Arial"/>
          <w:sz w:val="21"/>
          <w:szCs w:val="21"/>
          <w:color w:val="auto"/>
          <w:vertAlign w:val="superscript"/>
        </w:rPr>
      </w:pPr>
      <w:r>
        <w:rPr>
          <w:rFonts w:ascii="Arial" w:cs="Arial" w:eastAsia="Arial" w:hAnsi="Arial"/>
          <w:sz w:val="15"/>
          <w:szCs w:val="15"/>
          <w:i w:val="1"/>
          <w:iCs w:val="1"/>
          <w:color w:val="auto"/>
        </w:rPr>
        <w:t xml:space="preserve">Id. </w:t>
      </w:r>
      <w:r>
        <w:rPr>
          <w:rFonts w:ascii="Arial" w:cs="Arial" w:eastAsia="Arial" w:hAnsi="Arial"/>
          <w:sz w:val="15"/>
          <w:szCs w:val="15"/>
          <w:color w:val="auto"/>
        </w:rPr>
        <w:t>§ 1.1206;</w:t>
      </w:r>
      <w:r>
        <w:rPr>
          <w:rFonts w:ascii="Arial" w:cs="Arial" w:eastAsia="Arial" w:hAnsi="Arial"/>
          <w:sz w:val="15"/>
          <w:szCs w:val="15"/>
          <w:i w:val="1"/>
          <w:iCs w:val="1"/>
          <w:color w:val="auto"/>
        </w:rPr>
        <w:t xml:space="preserve"> see also Commission Announces That the Applications Proposing the Transfer of Control of the Licenses and Authorizations Held by Time Warner Cable, Inc. and Its Subsidiaries to Comcast Corporation Have Been Filed and Permit-But-Disclose Ex Parte Procedures Now Apply</w:t>
      </w:r>
      <w:r>
        <w:rPr>
          <w:rFonts w:ascii="Arial" w:cs="Arial" w:eastAsia="Arial" w:hAnsi="Arial"/>
          <w:sz w:val="15"/>
          <w:szCs w:val="15"/>
          <w:color w:val="auto"/>
        </w:rPr>
        <w:t>, Public Notice,</w:t>
      </w:r>
    </w:p>
    <w:p>
      <w:pPr>
        <w:spacing w:after="0" w:line="1" w:lineRule="exact"/>
        <w:rPr>
          <w:rFonts w:ascii="Arial" w:cs="Arial" w:eastAsia="Arial" w:hAnsi="Arial"/>
          <w:sz w:val="21"/>
          <w:szCs w:val="21"/>
          <w:color w:val="auto"/>
          <w:vertAlign w:val="superscript"/>
        </w:rPr>
      </w:pPr>
    </w:p>
    <w:p>
      <w:pPr>
        <w:ind w:left="240" w:hanging="232"/>
        <w:spacing w:after="0"/>
        <w:tabs>
          <w:tab w:leader="none" w:pos="2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FCC Rcd 3741 (2014).</w:t>
      </w:r>
    </w:p>
    <w:p>
      <w:pPr>
        <w:spacing w:after="0" w:line="230" w:lineRule="exact"/>
        <w:rPr>
          <w:rFonts w:ascii="Arial" w:cs="Arial" w:eastAsia="Arial" w:hAnsi="Arial"/>
          <w:sz w:val="18"/>
          <w:szCs w:val="18"/>
          <w:color w:val="auto"/>
        </w:rPr>
      </w:pPr>
    </w:p>
    <w:p>
      <w:pPr>
        <w:ind w:left="180" w:hanging="172"/>
        <w:spacing w:after="0"/>
        <w:tabs>
          <w:tab w:leader="none" w:pos="180"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color w:val="auto"/>
        </w:rPr>
        <w:t>47 C.F.R. § 1.1206(b).</w:t>
      </w:r>
    </w:p>
    <w:p>
      <w:pPr>
        <w:spacing w:after="0" w:line="221"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21"/>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Id. </w:t>
      </w:r>
      <w:r>
        <w:rPr>
          <w:rFonts w:ascii="Arial" w:cs="Arial" w:eastAsia="Arial" w:hAnsi="Arial"/>
          <w:sz w:val="17"/>
          <w:szCs w:val="17"/>
          <w:color w:val="auto"/>
        </w:rPr>
        <w:t>§ 1.1204(a)(9).</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10" w:name="page11"/>
    <w:bookmarkEnd w:id="10"/>
    <w:p>
      <w:pPr>
        <w:ind w:right="40" w:firstLine="648"/>
        <w:spacing w:after="0" w:line="242" w:lineRule="auto"/>
        <w:rPr>
          <w:sz w:val="20"/>
          <w:szCs w:val="20"/>
          <w:color w:val="auto"/>
        </w:rPr>
      </w:pPr>
      <w:r>
        <w:rPr>
          <w:rFonts w:ascii="Arial" w:cs="Arial" w:eastAsia="Arial" w:hAnsi="Arial"/>
          <w:sz w:val="18"/>
          <w:szCs w:val="18"/>
          <w:color w:val="auto"/>
        </w:rPr>
        <w:t xml:space="preserve">Interested persons must file comments or petitions to deny the applications no later than </w:t>
      </w:r>
      <w:r>
        <w:rPr>
          <w:rFonts w:ascii="Arial" w:cs="Arial" w:eastAsia="Arial" w:hAnsi="Arial"/>
          <w:sz w:val="18"/>
          <w:szCs w:val="18"/>
          <w:b w:val="1"/>
          <w:bCs w:val="1"/>
          <w:color w:val="auto"/>
        </w:rPr>
        <w:t>August 25, 2014</w:t>
      </w:r>
      <w:r>
        <w:rPr>
          <w:rFonts w:ascii="Arial" w:cs="Arial" w:eastAsia="Arial" w:hAnsi="Arial"/>
          <w:sz w:val="18"/>
          <w:szCs w:val="18"/>
          <w:color w:val="auto"/>
        </w:rPr>
        <w:t xml:space="preserve">. Responses to comments or oppositions to petitions must be filed no later than </w:t>
      </w:r>
      <w:r>
        <w:rPr>
          <w:rFonts w:ascii="Arial" w:cs="Arial" w:eastAsia="Arial" w:hAnsi="Arial"/>
          <w:sz w:val="18"/>
          <w:szCs w:val="18"/>
          <w:b w:val="1"/>
          <w:bCs w:val="1"/>
          <w:color w:val="auto"/>
        </w:rPr>
        <w:t>September 23, 2014</w:t>
      </w:r>
      <w:r>
        <w:rPr>
          <w:rFonts w:ascii="Arial" w:cs="Arial" w:eastAsia="Arial" w:hAnsi="Arial"/>
          <w:sz w:val="18"/>
          <w:szCs w:val="18"/>
          <w:color w:val="auto"/>
        </w:rPr>
        <w:t xml:space="preserve">. Replies to responses or oppositions must be filed no later than </w:t>
      </w:r>
      <w:r>
        <w:rPr>
          <w:rFonts w:ascii="Arial" w:cs="Arial" w:eastAsia="Arial" w:hAnsi="Arial"/>
          <w:sz w:val="18"/>
          <w:szCs w:val="18"/>
          <w:b w:val="1"/>
          <w:bCs w:val="1"/>
          <w:color w:val="auto"/>
        </w:rPr>
        <w:t>October 8, 2014</w:t>
      </w:r>
      <w:r>
        <w:rPr>
          <w:rFonts w:ascii="Arial" w:cs="Arial" w:eastAsia="Arial" w:hAnsi="Arial"/>
          <w:sz w:val="18"/>
          <w:szCs w:val="18"/>
          <w:color w:val="auto"/>
        </w:rPr>
        <w:t>. Persons and entities that file comments or petitions to deny may participate fully in the proceeding, including seeking access to any confidential and/or highly confidential information that may be filed under a protective order.</w:t>
      </w:r>
      <w:r>
        <w:rPr>
          <w:rFonts w:ascii="Arial" w:cs="Arial" w:eastAsia="Arial" w:hAnsi="Arial"/>
          <w:sz w:val="25"/>
          <w:szCs w:val="25"/>
          <w:color w:val="auto"/>
          <w:vertAlign w:val="superscript"/>
        </w:rPr>
        <w:t>62</w:t>
      </w:r>
      <w:r>
        <w:rPr>
          <w:rFonts w:ascii="Arial" w:cs="Arial" w:eastAsia="Arial" w:hAnsi="Arial"/>
          <w:sz w:val="18"/>
          <w:szCs w:val="18"/>
          <w:color w:val="auto"/>
        </w:rPr>
        <w:t xml:space="preserve"> Persons and entities that do not file petitions to deny, however, even if they file comments, generally may not seek reconsideration of the Commission’s decision regarding the transfer of control of the licenses or other authorizations at issue or appeal a final decision to the courts.</w:t>
      </w:r>
      <w:r>
        <w:rPr>
          <w:rFonts w:ascii="Arial" w:cs="Arial" w:eastAsia="Arial" w:hAnsi="Arial"/>
          <w:sz w:val="25"/>
          <w:szCs w:val="25"/>
          <w:color w:val="auto"/>
          <w:vertAlign w:val="superscript"/>
        </w:rPr>
        <w:t>63</w:t>
      </w:r>
    </w:p>
    <w:p>
      <w:pPr>
        <w:spacing w:after="0" w:line="152" w:lineRule="exact"/>
        <w:rPr>
          <w:sz w:val="20"/>
          <w:szCs w:val="20"/>
          <w:color w:val="auto"/>
        </w:rPr>
      </w:pPr>
    </w:p>
    <w:p>
      <w:pPr>
        <w:ind w:right="60" w:firstLine="648"/>
        <w:spacing w:after="0" w:line="253" w:lineRule="auto"/>
        <w:rPr>
          <w:sz w:val="20"/>
          <w:szCs w:val="20"/>
          <w:color w:val="auto"/>
        </w:rPr>
      </w:pPr>
      <w:r>
        <w:rPr>
          <w:rFonts w:ascii="Arial" w:cs="Arial" w:eastAsia="Arial" w:hAnsi="Arial"/>
          <w:sz w:val="17"/>
          <w:szCs w:val="17"/>
          <w:b w:val="1"/>
          <w:bCs w:val="1"/>
          <w:color w:val="auto"/>
        </w:rPr>
        <w:t xml:space="preserve">To allow the Commission to consider fully all substantive issues regarding the applications referred to in this Public Notice in as timely and efficient a manner as possible, petitioners and commenters should raise all issues in their initial filings. New issues may not be raised in responses or replies. </w:t>
      </w:r>
      <w:r>
        <w:rPr>
          <w:rFonts w:ascii="Arial" w:cs="Arial" w:eastAsia="Arial" w:hAnsi="Arial"/>
          <w:sz w:val="24"/>
          <w:szCs w:val="24"/>
          <w:b w:val="1"/>
          <w:bCs w:val="1"/>
          <w:color w:val="auto"/>
          <w:vertAlign w:val="superscript"/>
        </w:rPr>
        <w:t>64</w:t>
      </w:r>
      <w:r>
        <w:rPr>
          <w:rFonts w:ascii="Arial" w:cs="Arial" w:eastAsia="Arial" w:hAnsi="Arial"/>
          <w:sz w:val="17"/>
          <w:szCs w:val="17"/>
          <w:b w:val="1"/>
          <w:bCs w:val="1"/>
          <w:color w:val="auto"/>
        </w:rPr>
        <w:t xml:space="preserve"> A party or interested person seeking to raise a new issue after the pleading cycle has closed must show good cause why it was not possible for it to have raised the issue previously. Submissions after the pleading cycle has closed that seek to raise new issues based on new facts or newly discovered facts should be filed within 15 days after such facts are discovered. Absent such a showing of good cause, any issues not timely raised may be disregarded by the Commission.</w:t>
      </w:r>
    </w:p>
    <w:p>
      <w:pPr>
        <w:spacing w:after="0" w:line="249"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All filings concerning matters referenced in this Public Notice should refer to MB Docket No. 14-57, and if they pertain only to specific applications or matters, to the specific file numbers of the individual applications or matters as well.</w:t>
      </w:r>
    </w:p>
    <w:p>
      <w:pPr>
        <w:spacing w:after="0" w:line="224"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 xml:space="preserve">Comments may be filed using the Commission’s Electronic Comment Filing System (ECFS). </w:t>
      </w:r>
      <w:r>
        <w:rPr>
          <w:rFonts w:ascii="Arial" w:cs="Arial" w:eastAsia="Arial" w:hAnsi="Arial"/>
          <w:sz w:val="18"/>
          <w:szCs w:val="18"/>
          <w:i w:val="1"/>
          <w:iCs w:val="1"/>
          <w:color w:val="auto"/>
        </w:rPr>
        <w:t>See Electronic Filing of Documents in Rulemaking</w:t>
      </w:r>
      <w:r>
        <w:rPr>
          <w:rFonts w:ascii="Arial" w:cs="Arial" w:eastAsia="Arial" w:hAnsi="Arial"/>
          <w:sz w:val="18"/>
          <w:szCs w:val="18"/>
          <w:color w:val="auto"/>
        </w:rPr>
        <w:t xml:space="preserve"> </w:t>
      </w:r>
      <w:r>
        <w:rPr>
          <w:rFonts w:ascii="Arial" w:cs="Arial" w:eastAsia="Arial" w:hAnsi="Arial"/>
          <w:sz w:val="18"/>
          <w:szCs w:val="18"/>
          <w:i w:val="1"/>
          <w:iCs w:val="1"/>
          <w:color w:val="auto"/>
        </w:rPr>
        <w:t>Proceedings</w:t>
      </w:r>
      <w:r>
        <w:rPr>
          <w:rFonts w:ascii="Arial" w:cs="Arial" w:eastAsia="Arial" w:hAnsi="Arial"/>
          <w:sz w:val="18"/>
          <w:szCs w:val="18"/>
          <w:color w:val="auto"/>
        </w:rPr>
        <w:t>, 63 FR 24121 (1998).</w:t>
      </w:r>
    </w:p>
    <w:p>
      <w:pPr>
        <w:spacing w:after="0" w:line="224"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Electronic Filers: Comments may be filed electronically using the Internet by accessing the ECFS: </w:t>
      </w:r>
      <w:r>
        <w:rPr>
          <w:rFonts w:ascii="Arial" w:cs="Arial" w:eastAsia="Arial" w:hAnsi="Arial"/>
          <w:sz w:val="18"/>
          <w:szCs w:val="18"/>
          <w:u w:val="single" w:color="auto"/>
          <w:color w:val="0000FF"/>
        </w:rPr>
        <w:t>http://fjallfoss.fcc.gov/ecfs2/</w:t>
      </w:r>
      <w:r>
        <w:rPr>
          <w:rFonts w:ascii="Arial" w:cs="Arial" w:eastAsia="Arial" w:hAnsi="Arial"/>
          <w:sz w:val="18"/>
          <w:szCs w:val="18"/>
          <w:color w:val="auto"/>
        </w:rPr>
        <w:t>.</w:t>
      </w:r>
    </w:p>
    <w:p>
      <w:pPr>
        <w:spacing w:after="0" w:line="279" w:lineRule="exact"/>
        <w:rPr>
          <w:rFonts w:ascii="Arial" w:cs="Arial" w:eastAsia="Arial" w:hAnsi="Arial"/>
          <w:sz w:val="18"/>
          <w:szCs w:val="18"/>
          <w:color w:val="auto"/>
        </w:rPr>
      </w:pPr>
    </w:p>
    <w:p>
      <w:pPr>
        <w:ind w:left="660" w:right="4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Paper Filers: Parties who choose to file by paper must file an original and one copy of each filing. Filings may be sent by hand or messenger delivery, by commercial overnight courier, or by first-class or overnight U.S. Postal Service mail. All filings must be addressed to the Commission’s Secretary, Office of the Secretary, Federal Communications Commission.</w:t>
      </w:r>
    </w:p>
    <w:p>
      <w:pPr>
        <w:spacing w:after="0" w:line="235" w:lineRule="exact"/>
        <w:rPr>
          <w:rFonts w:ascii="Arial" w:cs="Arial" w:eastAsia="Arial" w:hAnsi="Arial"/>
          <w:sz w:val="18"/>
          <w:szCs w:val="18"/>
          <w:color w:val="auto"/>
        </w:rPr>
      </w:pPr>
    </w:p>
    <w:p>
      <w:pPr>
        <w:ind w:left="1300" w:right="60" w:hanging="320"/>
        <w:spacing w:after="0" w:line="216" w:lineRule="auto"/>
        <w:tabs>
          <w:tab w:leader="none" w:pos="130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hand-delivered or messenger-delivered paper filings for the Commission’s Secretary must be delivered to FCC Headquarters at 445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 SW, Room TW-A325,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58825"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jc w:val="both"/>
        <w:ind w:firstLine="8"/>
        <w:spacing w:after="0" w:line="226" w:lineRule="auto"/>
        <w:tabs>
          <w:tab w:leader="none" w:pos="197" w:val="left"/>
        </w:tabs>
        <w:numPr>
          <w:ilvl w:val="0"/>
          <w:numId w:val="23"/>
        </w:numPr>
        <w:rPr>
          <w:rFonts w:ascii="Arial" w:cs="Arial" w:eastAsia="Arial" w:hAnsi="Arial"/>
          <w:sz w:val="25"/>
          <w:szCs w:val="25"/>
          <w:color w:val="auto"/>
          <w:vertAlign w:val="superscript"/>
        </w:rPr>
      </w:pPr>
      <w:r>
        <w:rPr>
          <w:rFonts w:ascii="Arial" w:cs="Arial" w:eastAsia="Arial" w:hAnsi="Arial"/>
          <w:sz w:val="18"/>
          <w:szCs w:val="18"/>
          <w:color w:val="auto"/>
        </w:rPr>
        <w:t xml:space="preserve">On April 4, 2014, the Media Bureau released a Joint Protective Order governing the review of both confidential information and highly confidential information submitted by applicants and others in this proceeding. </w:t>
      </w:r>
      <w:r>
        <w:rPr>
          <w:rFonts w:ascii="Arial" w:cs="Arial" w:eastAsia="Arial" w:hAnsi="Arial"/>
          <w:sz w:val="18"/>
          <w:szCs w:val="18"/>
          <w:i w:val="1"/>
          <w:iCs w:val="1"/>
          <w:color w:val="auto"/>
        </w:rPr>
        <w:t>Applications of Comcast Corp. and Time Warner Cable Inc. for Consent to Assign or</w:t>
      </w:r>
      <w:r>
        <w:rPr>
          <w:rFonts w:ascii="Arial" w:cs="Arial" w:eastAsia="Arial" w:hAnsi="Arial"/>
          <w:sz w:val="18"/>
          <w:szCs w:val="18"/>
          <w:color w:val="auto"/>
        </w:rPr>
        <w:t xml:space="preserve"> </w:t>
      </w:r>
      <w:r>
        <w:rPr>
          <w:rFonts w:ascii="Arial" w:cs="Arial" w:eastAsia="Arial" w:hAnsi="Arial"/>
          <w:sz w:val="18"/>
          <w:szCs w:val="18"/>
          <w:i w:val="1"/>
          <w:iCs w:val="1"/>
          <w:color w:val="auto"/>
        </w:rPr>
        <w:t>Transfer Control of Licenses and Authorizations</w:t>
      </w:r>
      <w:r>
        <w:rPr>
          <w:rFonts w:ascii="Arial" w:cs="Arial" w:eastAsia="Arial" w:hAnsi="Arial"/>
          <w:sz w:val="18"/>
          <w:szCs w:val="18"/>
          <w:color w:val="auto"/>
        </w:rPr>
        <w:t>, Joint Protective Order, 29 FCC Rcd 3688 (2014).</w:t>
      </w:r>
    </w:p>
    <w:p>
      <w:pPr>
        <w:spacing w:after="0" w:line="257" w:lineRule="exact"/>
        <w:rPr>
          <w:rFonts w:ascii="Arial" w:cs="Arial" w:eastAsia="Arial" w:hAnsi="Arial"/>
          <w:sz w:val="25"/>
          <w:szCs w:val="25"/>
          <w:color w:val="auto"/>
          <w:vertAlign w:val="superscript"/>
        </w:rPr>
      </w:pPr>
    </w:p>
    <w:p>
      <w:pPr>
        <w:ind w:right="60" w:firstLine="8"/>
        <w:spacing w:after="0" w:line="271" w:lineRule="auto"/>
        <w:tabs>
          <w:tab w:leader="none" w:pos="171" w:val="left"/>
        </w:tabs>
        <w:numPr>
          <w:ilvl w:val="0"/>
          <w:numId w:val="23"/>
        </w:numPr>
        <w:rPr>
          <w:rFonts w:ascii="Arial" w:cs="Arial" w:eastAsia="Arial" w:hAnsi="Arial"/>
          <w:sz w:val="21"/>
          <w:szCs w:val="21"/>
          <w:color w:val="auto"/>
          <w:vertAlign w:val="superscript"/>
        </w:rPr>
      </w:pPr>
      <w:r>
        <w:rPr>
          <w:rFonts w:ascii="Arial" w:cs="Arial" w:eastAsia="Arial" w:hAnsi="Arial"/>
          <w:sz w:val="15"/>
          <w:szCs w:val="15"/>
          <w:color w:val="auto"/>
        </w:rPr>
        <w:t>47 U.S.C. § 405(a); 47 C.F.R. § 1.106(b)(1) (“If the petition is filed by a person who is not a party to the proceeding, it shall state with particularity the manner in which the person's interests are adversely affected by the action taken, and shall show good reason why it was not possible for him to participate in the earlier stages of the proceeding.”); 47 C.F.R.</w:t>
      </w:r>
      <w:r>
        <w:rPr>
          <w:rFonts w:ascii="Arial" w:cs="Arial" w:eastAsia="Arial" w:hAnsi="Arial"/>
          <w:sz w:val="15"/>
          <w:szCs w:val="15"/>
          <w:i w:val="1"/>
          <w:iCs w:val="1"/>
          <w:color w:val="auto"/>
        </w:rPr>
        <w:t>.</w:t>
      </w:r>
      <w:r>
        <w:rPr>
          <w:rFonts w:ascii="Arial" w:cs="Arial" w:eastAsia="Arial" w:hAnsi="Arial"/>
          <w:sz w:val="15"/>
          <w:szCs w:val="15"/>
          <w:color w:val="auto"/>
        </w:rPr>
        <w:t xml:space="preserve"> § 1.106(m); </w:t>
      </w:r>
      <w:r>
        <w:rPr>
          <w:rFonts w:ascii="Arial" w:cs="Arial" w:eastAsia="Arial" w:hAnsi="Arial"/>
          <w:sz w:val="15"/>
          <w:szCs w:val="15"/>
          <w:i w:val="1"/>
          <w:iCs w:val="1"/>
          <w:color w:val="auto"/>
        </w:rPr>
        <w:t>Shareholders of Tribune Co., Transferors &amp; Sam Zell, et al. Transferees</w:t>
      </w:r>
      <w:r>
        <w:rPr>
          <w:rFonts w:ascii="Arial" w:cs="Arial" w:eastAsia="Arial" w:hAnsi="Arial"/>
          <w:sz w:val="15"/>
          <w:szCs w:val="15"/>
          <w:color w:val="auto"/>
        </w:rPr>
        <w:t>, 29 FCC Rcd 844, 847-</w:t>
      </w: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10-15 (2014) (discussing prerequisites for petitions to deny).</w:t>
      </w:r>
    </w:p>
    <w:p>
      <w:pPr>
        <w:spacing w:after="0" w:line="230" w:lineRule="exact"/>
        <w:rPr>
          <w:rFonts w:ascii="Arial" w:cs="Arial" w:eastAsia="Arial" w:hAnsi="Arial"/>
          <w:sz w:val="18"/>
          <w:szCs w:val="18"/>
          <w:color w:val="auto"/>
        </w:rPr>
      </w:pPr>
    </w:p>
    <w:p>
      <w:pPr>
        <w:ind w:left="180" w:hanging="172"/>
        <w:spacing w:after="0"/>
        <w:tabs>
          <w:tab w:leader="none" w:pos="180" w:val="left"/>
        </w:tabs>
        <w:numPr>
          <w:ilvl w:val="0"/>
          <w:numId w:val="25"/>
        </w:numPr>
        <w:rPr>
          <w:rFonts w:ascii="Arial" w:cs="Arial" w:eastAsia="Arial" w:hAnsi="Arial"/>
          <w:sz w:val="23"/>
          <w:szCs w:val="23"/>
          <w:color w:val="auto"/>
          <w:vertAlign w:val="superscript"/>
        </w:rPr>
      </w:pPr>
      <w:r>
        <w:rPr>
          <w:rFonts w:ascii="Arial" w:cs="Arial" w:eastAsia="Arial" w:hAnsi="Arial"/>
          <w:sz w:val="17"/>
          <w:szCs w:val="17"/>
          <w:i w:val="1"/>
          <w:iCs w:val="1"/>
          <w:color w:val="auto"/>
        </w:rPr>
        <w:t xml:space="preserve">See </w:t>
      </w:r>
      <w:r>
        <w:rPr>
          <w:rFonts w:ascii="Arial" w:cs="Arial" w:eastAsia="Arial" w:hAnsi="Arial"/>
          <w:sz w:val="17"/>
          <w:szCs w:val="17"/>
          <w:color w:val="auto"/>
        </w:rPr>
        <w:t>Section 1.45(c) of the Commission’s Rules, 47 C.F.R. § 1.45(c).</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11" w:name="page12"/>
    <w:bookmarkEnd w:id="11"/>
    <w:p>
      <w:pPr>
        <w:ind w:left="1300" w:right="540"/>
        <w:spacing w:after="0" w:line="277" w:lineRule="auto"/>
        <w:rPr>
          <w:sz w:val="20"/>
          <w:szCs w:val="20"/>
          <w:color w:val="auto"/>
        </w:rPr>
      </w:pPr>
      <w:r>
        <w:rPr>
          <w:rFonts w:ascii="Arial" w:cs="Arial" w:eastAsia="Arial" w:hAnsi="Arial"/>
          <w:sz w:val="18"/>
          <w:szCs w:val="18"/>
          <w:color w:val="auto"/>
        </w:rPr>
        <w:t xml:space="preserve">Washington, DC 20554. The filing hours are 8:00 a.m. to 7:00 p.m. All hand deliveries must be held together with rubber bands or fasteners. Any envelopes and boxes must be disposed of </w:t>
      </w:r>
      <w:r>
        <w:rPr>
          <w:rFonts w:ascii="Arial" w:cs="Arial" w:eastAsia="Arial" w:hAnsi="Arial"/>
          <w:sz w:val="18"/>
          <w:szCs w:val="18"/>
          <w:u w:val="single" w:color="auto"/>
          <w:color w:val="auto"/>
        </w:rPr>
        <w:t>before</w:t>
      </w:r>
      <w:r>
        <w:rPr>
          <w:rFonts w:ascii="Arial" w:cs="Arial" w:eastAsia="Arial" w:hAnsi="Arial"/>
          <w:sz w:val="18"/>
          <w:szCs w:val="18"/>
          <w:color w:val="auto"/>
        </w:rPr>
        <w:t xml:space="preserve"> entering the building.</w:t>
      </w:r>
    </w:p>
    <w:p>
      <w:pPr>
        <w:spacing w:after="0" w:line="224" w:lineRule="exact"/>
        <w:rPr>
          <w:sz w:val="20"/>
          <w:szCs w:val="20"/>
          <w:color w:val="auto"/>
        </w:rPr>
      </w:pPr>
    </w:p>
    <w:p>
      <w:pPr>
        <w:ind w:left="1300" w:right="360" w:hanging="320"/>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Commercial overnight mail (other than U.S. Postal Service Express Mail and Priority Mail) must be sent to 9300 East Hampton Drive, Capitol Heights, MD 20743.</w:t>
      </w:r>
    </w:p>
    <w:p>
      <w:pPr>
        <w:spacing w:after="0" w:line="224" w:lineRule="exact"/>
        <w:rPr>
          <w:rFonts w:ascii="Arial" w:cs="Arial" w:eastAsia="Arial" w:hAnsi="Arial"/>
          <w:sz w:val="18"/>
          <w:szCs w:val="18"/>
          <w:color w:val="auto"/>
        </w:rPr>
      </w:pPr>
    </w:p>
    <w:p>
      <w:pPr>
        <w:ind w:left="1300" w:hanging="320"/>
        <w:spacing w:after="0"/>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U.S. Postal Service first-class, Express, and Priority mail must be addressed to 445 12</w:t>
      </w:r>
      <w:r>
        <w:rPr>
          <w:rFonts w:ascii="Arial" w:cs="Arial" w:eastAsia="Arial" w:hAnsi="Arial"/>
          <w:sz w:val="25"/>
          <w:szCs w:val="25"/>
          <w:color w:val="auto"/>
          <w:vertAlign w:val="superscript"/>
        </w:rPr>
        <w:t>th</w:t>
      </w:r>
      <w:r>
        <w:rPr>
          <w:rFonts w:ascii="Arial" w:cs="Arial" w:eastAsia="Arial" w:hAnsi="Arial"/>
          <w:sz w:val="18"/>
          <w:szCs w:val="18"/>
          <w:color w:val="auto"/>
        </w:rPr>
        <w:t xml:space="preserve"> Street, SW, Washington DC 20554.</w:t>
      </w:r>
    </w:p>
    <w:p>
      <w:pPr>
        <w:spacing w:after="0" w:line="19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In addition, one copy of each submission must be sent to the following:</w:t>
      </w:r>
    </w:p>
    <w:p>
      <w:pPr>
        <w:spacing w:after="0" w:line="283"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Commission’s duplicating contractor, Best Copy and Printing, Inc., at fcc@bcpiweb.com, or (202) 488-5563 (facsimile);</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Vanessa Lemmé, Media Bureau, at Vanessa.Lemme@fcc.gov, or (202) 418-2053 (facsimile);</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Marcia Glauberman, Media Bureau, at Marcia.Glauberman@fcc.gov, or (202) 418-2053 (facsimile);</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William Dever, Wireline Competition Bureau, at William.Dever@fcc.gov, or (202) 418-1234 (facsimile); and</w:t>
      </w:r>
    </w:p>
    <w:p>
      <w:pPr>
        <w:spacing w:after="0" w:line="279" w:lineRule="exact"/>
        <w:rPr>
          <w:rFonts w:ascii="Arial" w:cs="Arial" w:eastAsia="Arial" w:hAnsi="Arial"/>
          <w:sz w:val="18"/>
          <w:szCs w:val="18"/>
          <w:color w:val="auto"/>
        </w:rPr>
      </w:pPr>
    </w:p>
    <w:p>
      <w:pPr>
        <w:ind w:left="340" w:hanging="332"/>
        <w:spacing w:after="0"/>
        <w:tabs>
          <w:tab w:leader="none" w:pos="3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Jim Bird, Office of General Counsel, at TransactionTeam@fcc.gov, or (202) 418-1234 (facsimile).</w:t>
      </w:r>
    </w:p>
    <w:p>
      <w:pPr>
        <w:spacing w:after="0" w:line="27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Any submission that is e-mailed to Best Copy and Printing and the persons listed above should include in the subject line of the e-mail: (1) MB Docket No. 14-57; (2) the name of the submitting party; and (3) a brief description or title identifying the type of document being submitted (</w:t>
      </w:r>
      <w:r>
        <w:rPr>
          <w:rFonts w:ascii="Arial" w:cs="Arial" w:eastAsia="Arial" w:hAnsi="Arial"/>
          <w:sz w:val="18"/>
          <w:szCs w:val="18"/>
          <w:i w:val="1"/>
          <w:iCs w:val="1"/>
          <w:color w:val="auto"/>
        </w:rPr>
        <w:t>e.g</w:t>
      </w:r>
      <w:r>
        <w:rPr>
          <w:rFonts w:ascii="Arial" w:cs="Arial" w:eastAsia="Arial" w:hAnsi="Arial"/>
          <w:sz w:val="18"/>
          <w:szCs w:val="18"/>
          <w:color w:val="auto"/>
        </w:rPr>
        <w:t xml:space="preserve">., MB Docket No. 14-57, Comcast Corporation, </w:t>
      </w:r>
      <w:r>
        <w:rPr>
          <w:rFonts w:ascii="Arial" w:cs="Arial" w:eastAsia="Arial" w:hAnsi="Arial"/>
          <w:sz w:val="18"/>
          <w:szCs w:val="18"/>
          <w:i w:val="1"/>
          <w:iCs w:val="1"/>
          <w:color w:val="auto"/>
        </w:rPr>
        <w:t>Ex Parte</w:t>
      </w:r>
      <w:r>
        <w:rPr>
          <w:rFonts w:ascii="Arial" w:cs="Arial" w:eastAsia="Arial" w:hAnsi="Arial"/>
          <w:sz w:val="18"/>
          <w:szCs w:val="18"/>
          <w:color w:val="auto"/>
        </w:rPr>
        <w:t xml:space="preserve"> Notice).</w:t>
      </w:r>
    </w:p>
    <w:p>
      <w:pPr>
        <w:spacing w:after="0" w:line="235" w:lineRule="exact"/>
        <w:rPr>
          <w:sz w:val="20"/>
          <w:szCs w:val="20"/>
          <w:color w:val="auto"/>
        </w:rPr>
      </w:pPr>
    </w:p>
    <w:p>
      <w:pPr>
        <w:ind w:right="200" w:firstLine="648"/>
        <w:spacing w:after="0" w:line="308" w:lineRule="auto"/>
        <w:rPr>
          <w:sz w:val="20"/>
          <w:szCs w:val="20"/>
          <w:color w:val="auto"/>
        </w:rPr>
      </w:pPr>
      <w:r>
        <w:rPr>
          <w:rFonts w:ascii="Arial" w:cs="Arial" w:eastAsia="Arial" w:hAnsi="Arial"/>
          <w:sz w:val="17"/>
          <w:szCs w:val="17"/>
          <w:i w:val="1"/>
          <w:iCs w:val="1"/>
          <w:color w:val="auto"/>
        </w:rPr>
        <w:t>People with Disabilities</w:t>
      </w:r>
      <w:r>
        <w:rPr>
          <w:rFonts w:ascii="Arial" w:cs="Arial" w:eastAsia="Arial" w:hAnsi="Arial"/>
          <w:sz w:val="17"/>
          <w:szCs w:val="17"/>
          <w:color w:val="auto"/>
        </w:rPr>
        <w:t>. To request materials in accessible formats for people with disabilities (braille, large print, electronic files, audio format),</w:t>
      </w:r>
      <w:r>
        <w:rPr>
          <w:rFonts w:ascii="Arial" w:cs="Arial" w:eastAsia="Arial" w:hAnsi="Arial"/>
          <w:sz w:val="17"/>
          <w:szCs w:val="17"/>
          <w:i w:val="1"/>
          <w:iCs w:val="1"/>
          <w:color w:val="auto"/>
        </w:rPr>
        <w:t xml:space="preserve"> </w:t>
      </w:r>
      <w:r>
        <w:rPr>
          <w:rFonts w:ascii="Arial" w:cs="Arial" w:eastAsia="Arial" w:hAnsi="Arial"/>
          <w:sz w:val="17"/>
          <w:szCs w:val="17"/>
          <w:color w:val="auto"/>
        </w:rPr>
        <w:t>send an e-mail to fcc504@fcc.gov or call the Consumer &amp; Governmental Affairs Bureau at 202-418-0530 (voice), 202-418-0432 (TTY).</w:t>
      </w:r>
    </w:p>
    <w:p>
      <w:pPr>
        <w:spacing w:after="0" w:line="201" w:lineRule="exact"/>
        <w:rPr>
          <w:sz w:val="20"/>
          <w:szCs w:val="20"/>
          <w:color w:val="auto"/>
        </w:rPr>
      </w:pPr>
    </w:p>
    <w:p>
      <w:pPr>
        <w:ind w:firstLine="648"/>
        <w:spacing w:after="0" w:line="253" w:lineRule="auto"/>
        <w:rPr>
          <w:sz w:val="20"/>
          <w:szCs w:val="20"/>
          <w:color w:val="auto"/>
        </w:rPr>
      </w:pPr>
      <w:r>
        <w:rPr>
          <w:rFonts w:ascii="Arial" w:cs="Arial" w:eastAsia="Arial" w:hAnsi="Arial"/>
          <w:sz w:val="17"/>
          <w:szCs w:val="17"/>
          <w:i w:val="1"/>
          <w:iCs w:val="1"/>
          <w:color w:val="auto"/>
        </w:rPr>
        <w:t>Availability of Documents</w:t>
      </w:r>
      <w:r>
        <w:rPr>
          <w:rFonts w:ascii="Arial" w:cs="Arial" w:eastAsia="Arial" w:hAnsi="Arial"/>
          <w:sz w:val="17"/>
          <w:szCs w:val="17"/>
          <w:color w:val="auto"/>
        </w:rPr>
        <w:t>. Documents in this proceeding will be available for public inspection and copying during business hours at the FCC</w:t>
      </w:r>
      <w:r>
        <w:rPr>
          <w:rFonts w:ascii="Arial" w:cs="Arial" w:eastAsia="Arial" w:hAnsi="Arial"/>
          <w:sz w:val="17"/>
          <w:szCs w:val="17"/>
          <w:i w:val="1"/>
          <w:iCs w:val="1"/>
          <w:color w:val="auto"/>
        </w:rPr>
        <w:t xml:space="preserve"> </w:t>
      </w:r>
      <w:r>
        <w:rPr>
          <w:rFonts w:ascii="Arial" w:cs="Arial" w:eastAsia="Arial" w:hAnsi="Arial"/>
          <w:sz w:val="17"/>
          <w:szCs w:val="17"/>
          <w:color w:val="auto"/>
        </w:rPr>
        <w:t>Reference Information Center, Portals II, 445 12</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Street, S.W., Room CY-A257, Washington, D.C. 20554. The documents may also be purchased from BCPI, telephone (202) 488-5300, facsimile (202) 488-5563, TTY (202) 488-5562, e-mail fcc@bcpiweb.com. The Application is also available electronically through the Commission’s ECFS, which may be accessed on the Commission’s Internet website at http://www.fcc.gov. Additional information regarding the proposed transaction will be available on the FCC’s Office of General Counsel’s transaction website, http://www.fcc.gov/transaction/comcast-twc, which will contain an unofficial listing and electronic copies of materials in this Docket.</w:t>
      </w:r>
    </w:p>
    <w:p>
      <w:pPr>
        <w:spacing w:after="0" w:line="245"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i w:val="1"/>
          <w:iCs w:val="1"/>
          <w:color w:val="auto"/>
        </w:rPr>
        <w:t>Further Information</w:t>
      </w:r>
      <w:r>
        <w:rPr>
          <w:rFonts w:ascii="Arial" w:cs="Arial" w:eastAsia="Arial" w:hAnsi="Arial"/>
          <w:sz w:val="18"/>
          <w:szCs w:val="18"/>
          <w:color w:val="auto"/>
        </w:rPr>
        <w:t>. For further information, contact Marcia Glauberman, Media Bureau, (202) 418-7046, or Matthew Warner, Wireline</w:t>
      </w:r>
      <w:r>
        <w:rPr>
          <w:rFonts w:ascii="Arial" w:cs="Arial" w:eastAsia="Arial" w:hAnsi="Arial"/>
          <w:sz w:val="18"/>
          <w:szCs w:val="18"/>
          <w:i w:val="1"/>
          <w:iCs w:val="1"/>
          <w:color w:val="auto"/>
        </w:rPr>
        <w:t xml:space="preserve"> </w:t>
      </w:r>
      <w:r>
        <w:rPr>
          <w:rFonts w:ascii="Arial" w:cs="Arial" w:eastAsia="Arial" w:hAnsi="Arial"/>
          <w:sz w:val="18"/>
          <w:szCs w:val="18"/>
          <w:color w:val="auto"/>
        </w:rPr>
        <w:t>Competition Bureau, (202) 418-2419. Press inquiries should be directed to Janice Wise, Media Bureau, (202) 418-8165. TTY: (202) 418-2555 or (888) 835-5322.</w:t>
      </w: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-FCC-</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841" w:right="29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180" w:type="dxa"/>
            <w:vAlign w:val="bottom"/>
          </w:tcPr>
          <w:p>
            <w:pPr>
              <w:jc w:val="center"/>
              <w:ind w:right="570"/>
              <w:spacing w:after="0"/>
              <w:rPr>
                <w:sz w:val="20"/>
                <w:szCs w:val="20"/>
                <w:color w:val="auto"/>
              </w:rPr>
            </w:pPr>
            <w:r>
              <w:rPr>
                <w:rFonts w:ascii="Arial" w:cs="Arial" w:eastAsia="Arial" w:hAnsi="Arial"/>
                <w:sz w:val="18"/>
                <w:szCs w:val="18"/>
                <w:b w:val="1"/>
                <w:bCs w:val="1"/>
                <w:color w:val="auto"/>
              </w:rPr>
              <w:t>ATTACHMENT</w:t>
            </w:r>
          </w:p>
        </w:tc>
        <w:tc>
          <w:tcPr>
            <w:tcW w:w="70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86"/>
        </w:trPr>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80" w:type="dxa"/>
            <w:vAlign w:val="bottom"/>
          </w:tcPr>
          <w:p>
            <w:pPr>
              <w:jc w:val="center"/>
              <w:ind w:right="590"/>
              <w:spacing w:after="0"/>
              <w:rPr>
                <w:sz w:val="20"/>
                <w:szCs w:val="20"/>
                <w:color w:val="auto"/>
              </w:rPr>
            </w:pPr>
            <w:r>
              <w:rPr>
                <w:rFonts w:ascii="Arial" w:cs="Arial" w:eastAsia="Arial" w:hAnsi="Arial"/>
                <w:sz w:val="18"/>
                <w:szCs w:val="18"/>
                <w:b w:val="1"/>
                <w:bCs w:val="1"/>
                <w:color w:val="auto"/>
              </w:rPr>
              <w:t>COMCAST/TIME WARNER CABLE TRANSACTION</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86"/>
        </w:trPr>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80" w:type="dxa"/>
            <w:vAlign w:val="bottom"/>
          </w:tcPr>
          <w:p>
            <w:pPr>
              <w:ind w:left="1200"/>
              <w:spacing w:after="0"/>
              <w:rPr>
                <w:sz w:val="20"/>
                <w:szCs w:val="20"/>
                <w:color w:val="auto"/>
              </w:rPr>
            </w:pPr>
            <w:r>
              <w:rPr>
                <w:rFonts w:ascii="Arial" w:cs="Arial" w:eastAsia="Arial" w:hAnsi="Arial"/>
                <w:sz w:val="18"/>
                <w:szCs w:val="18"/>
                <w:b w:val="1"/>
                <w:bCs w:val="1"/>
                <w:color w:val="auto"/>
              </w:rPr>
              <w:t>Part 78 – Cable Television Relay Service (CARS)</w:t>
            </w: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46"/>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7160" w:type="dxa"/>
            <w:vAlign w:val="bottom"/>
            <w:gridSpan w:val="3"/>
          </w:tcPr>
          <w:p>
            <w:pPr>
              <w:ind w:left="320"/>
              <w:spacing w:after="0"/>
              <w:rPr>
                <w:sz w:val="20"/>
                <w:szCs w:val="20"/>
                <w:color w:val="auto"/>
              </w:rPr>
            </w:pPr>
            <w:r>
              <w:rPr>
                <w:rFonts w:ascii="Arial" w:cs="Arial" w:eastAsia="Arial" w:hAnsi="Arial"/>
                <w:sz w:val="18"/>
                <w:szCs w:val="18"/>
                <w:b w:val="1"/>
                <w:bCs w:val="1"/>
                <w:color w:val="auto"/>
              </w:rPr>
              <w:t>Licensee</w:t>
            </w:r>
          </w:p>
        </w:tc>
        <w:tc>
          <w:tcPr>
            <w:tcW w:w="780" w:type="dxa"/>
            <w:vAlign w:val="bottom"/>
            <w:gridSpan w:val="2"/>
          </w:tcPr>
          <w:p>
            <w:pPr>
              <w:spacing w:after="0"/>
              <w:rPr>
                <w:sz w:val="20"/>
                <w:szCs w:val="20"/>
                <w:color w:val="auto"/>
              </w:rPr>
            </w:pPr>
            <w:r>
              <w:rPr>
                <w:rFonts w:ascii="Arial" w:cs="Arial" w:eastAsia="Arial" w:hAnsi="Arial"/>
                <w:sz w:val="18"/>
                <w:szCs w:val="18"/>
                <w:b w:val="1"/>
                <w:bCs w:val="1"/>
                <w:color w:val="auto"/>
                <w:w w:val="98"/>
              </w:rPr>
              <w:t>Call Sign</w:t>
            </w:r>
          </w:p>
        </w:tc>
      </w:tr>
      <w:tr>
        <w:trPr>
          <w:trHeight w:val="20"/>
        </w:trPr>
        <w:tc>
          <w:tcPr>
            <w:tcW w:w="6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CAR-20140422AC-09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Oceanic Time Warner Cable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8"/>
              </w:rPr>
              <w:t>WAE-470</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CAR-20140422AD-09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Oceanic Time Warner Cable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8"/>
              </w:rPr>
              <w:t>WAE-478</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CAR-20140422AE-09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Oceanic Time Warner Cable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8"/>
              </w:rPr>
              <w:t>WAX-743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CAR-20140422AF-09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Oceanic Time Warner Cable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4"/>
              </w:rPr>
              <w:t>WBM-742</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CAR-20140422AG-09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Oceanic Time Warner Cable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4"/>
              </w:rPr>
              <w:t>WBM-744</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CAR-20140422AH-09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Oceanic Time Warner Cable LLC</w:t>
            </w:r>
          </w:p>
        </w:tc>
        <w:tc>
          <w:tcPr>
            <w:tcW w:w="780" w:type="dxa"/>
            <w:vAlign w:val="bottom"/>
            <w:gridSpan w:val="2"/>
          </w:tcPr>
          <w:p>
            <w:pPr>
              <w:spacing w:after="0"/>
              <w:rPr>
                <w:sz w:val="20"/>
                <w:szCs w:val="20"/>
                <w:color w:val="auto"/>
              </w:rPr>
            </w:pPr>
            <w:r>
              <w:rPr>
                <w:rFonts w:ascii="Arial" w:cs="Arial" w:eastAsia="Arial" w:hAnsi="Arial"/>
                <w:sz w:val="18"/>
                <w:szCs w:val="18"/>
                <w:color w:val="auto"/>
              </w:rPr>
              <w:t>WLY-376</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CAR-20140422AI-09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Oceanic Time Warner Cable LLC</w:t>
            </w:r>
          </w:p>
        </w:tc>
        <w:tc>
          <w:tcPr>
            <w:tcW w:w="780" w:type="dxa"/>
            <w:vAlign w:val="bottom"/>
            <w:gridSpan w:val="2"/>
          </w:tcPr>
          <w:p>
            <w:pPr>
              <w:spacing w:after="0"/>
              <w:rPr>
                <w:sz w:val="20"/>
                <w:szCs w:val="20"/>
                <w:color w:val="auto"/>
              </w:rPr>
            </w:pPr>
            <w:r>
              <w:rPr>
                <w:rFonts w:ascii="Arial" w:cs="Arial" w:eastAsia="Arial" w:hAnsi="Arial"/>
                <w:sz w:val="18"/>
                <w:szCs w:val="18"/>
                <w:color w:val="auto"/>
              </w:rPr>
              <w:t>WLY-402</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CAR-20140422AJ-09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Oceanic Time Warner Cable LLC</w:t>
            </w:r>
          </w:p>
        </w:tc>
        <w:tc>
          <w:tcPr>
            <w:tcW w:w="780" w:type="dxa"/>
            <w:vAlign w:val="bottom"/>
            <w:gridSpan w:val="2"/>
          </w:tcPr>
          <w:p>
            <w:pPr>
              <w:spacing w:after="0"/>
              <w:rPr>
                <w:sz w:val="20"/>
                <w:szCs w:val="20"/>
                <w:color w:val="auto"/>
              </w:rPr>
            </w:pPr>
            <w:r>
              <w:rPr>
                <w:rFonts w:ascii="Arial" w:cs="Arial" w:eastAsia="Arial" w:hAnsi="Arial"/>
                <w:sz w:val="18"/>
                <w:szCs w:val="18"/>
                <w:color w:val="auto"/>
              </w:rPr>
              <w:t>WLY-415</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CAR-20140422AK-09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Oceanic Time Warner Cable LLC</w:t>
            </w:r>
          </w:p>
        </w:tc>
        <w:tc>
          <w:tcPr>
            <w:tcW w:w="780" w:type="dxa"/>
            <w:vAlign w:val="bottom"/>
            <w:gridSpan w:val="2"/>
          </w:tcPr>
          <w:p>
            <w:pPr>
              <w:spacing w:after="0"/>
              <w:rPr>
                <w:sz w:val="20"/>
                <w:szCs w:val="20"/>
                <w:color w:val="auto"/>
              </w:rPr>
            </w:pPr>
            <w:r>
              <w:rPr>
                <w:rFonts w:ascii="Arial" w:cs="Arial" w:eastAsia="Arial" w:hAnsi="Arial"/>
                <w:sz w:val="18"/>
                <w:szCs w:val="18"/>
                <w:color w:val="auto"/>
              </w:rPr>
              <w:t>WLY-713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CAR-20140422AR-09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Pacific West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4"/>
              </w:rPr>
              <w:t>KB-60101</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CAR-20140422AS-09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Pacific West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3"/>
              </w:rPr>
              <w:t>KD-55007</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CAR-20140422AT-09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Pacific West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8"/>
              </w:rPr>
              <w:t>WAE-606</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CAR-20140422AU-09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Pacific West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8"/>
              </w:rPr>
              <w:t>WHZ-293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CAR-20140422AV-09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Pacific West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8"/>
              </w:rPr>
              <w:t>WHZ-301</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CAR-20140422AW-09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Pacific West LLC</w:t>
            </w:r>
          </w:p>
        </w:tc>
        <w:tc>
          <w:tcPr>
            <w:tcW w:w="780" w:type="dxa"/>
            <w:vAlign w:val="bottom"/>
            <w:gridSpan w:val="2"/>
          </w:tcPr>
          <w:p>
            <w:pPr>
              <w:spacing w:after="0"/>
              <w:rPr>
                <w:sz w:val="20"/>
                <w:szCs w:val="20"/>
                <w:color w:val="auto"/>
              </w:rPr>
            </w:pPr>
            <w:r>
              <w:rPr>
                <w:rFonts w:ascii="Arial" w:cs="Arial" w:eastAsia="Arial" w:hAnsi="Arial"/>
                <w:sz w:val="18"/>
                <w:szCs w:val="18"/>
                <w:color w:val="auto"/>
              </w:rPr>
              <w:t>WLY-269</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CAR-20140422AX-09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Pacific West LLC</w:t>
            </w:r>
          </w:p>
        </w:tc>
        <w:tc>
          <w:tcPr>
            <w:tcW w:w="780" w:type="dxa"/>
            <w:vAlign w:val="bottom"/>
            <w:gridSpan w:val="2"/>
          </w:tcPr>
          <w:p>
            <w:pPr>
              <w:spacing w:after="0"/>
              <w:rPr>
                <w:sz w:val="20"/>
                <w:szCs w:val="20"/>
                <w:color w:val="auto"/>
              </w:rPr>
            </w:pPr>
            <w:r>
              <w:rPr>
                <w:rFonts w:ascii="Arial" w:cs="Arial" w:eastAsia="Arial" w:hAnsi="Arial"/>
                <w:sz w:val="18"/>
                <w:szCs w:val="18"/>
                <w:color w:val="auto"/>
              </w:rPr>
              <w:t>WLY-662</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CAR-20140422AY-09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Pacific West LLC</w:t>
            </w:r>
          </w:p>
        </w:tc>
        <w:tc>
          <w:tcPr>
            <w:tcW w:w="780" w:type="dxa"/>
            <w:vAlign w:val="bottom"/>
            <w:gridSpan w:val="2"/>
          </w:tcPr>
          <w:p>
            <w:pPr>
              <w:spacing w:after="0"/>
              <w:rPr>
                <w:sz w:val="20"/>
                <w:szCs w:val="20"/>
                <w:color w:val="auto"/>
              </w:rPr>
            </w:pPr>
            <w:r>
              <w:rPr>
                <w:rFonts w:ascii="Arial" w:cs="Arial" w:eastAsia="Arial" w:hAnsi="Arial"/>
                <w:sz w:val="18"/>
                <w:szCs w:val="18"/>
                <w:color w:val="auto"/>
              </w:rPr>
              <w:t>WLY-893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CAR-20140422AZ-09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Pacific West LLC</w:t>
            </w:r>
          </w:p>
        </w:tc>
        <w:tc>
          <w:tcPr>
            <w:tcW w:w="780" w:type="dxa"/>
            <w:vAlign w:val="bottom"/>
            <w:gridSpan w:val="2"/>
          </w:tcPr>
          <w:p>
            <w:pPr>
              <w:spacing w:after="0"/>
              <w:rPr>
                <w:sz w:val="20"/>
                <w:szCs w:val="20"/>
                <w:color w:val="auto"/>
              </w:rPr>
            </w:pPr>
            <w:r>
              <w:rPr>
                <w:rFonts w:ascii="Arial" w:cs="Arial" w:eastAsia="Arial" w:hAnsi="Arial"/>
                <w:sz w:val="18"/>
                <w:szCs w:val="18"/>
                <w:color w:val="auto"/>
              </w:rPr>
              <w:t>WSJ-903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CAR-20140422AB-09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Midwest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3"/>
              </w:rPr>
              <w:t>KD-55034</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CAR-20140422BD-09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Texas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4"/>
              </w:rPr>
              <w:t>KA-80623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CAR-20140422AL-09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Northeast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4"/>
              </w:rPr>
              <w:t>KB-60127</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CAR-20140422AM-09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Northeast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3"/>
              </w:rPr>
              <w:t>KD-55003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CAR-20140422AN-09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Northeast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3"/>
              </w:rPr>
              <w:t>KD-55027</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CAR-20140422AO-09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Northeast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3"/>
              </w:rPr>
              <w:t>KD-55031</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CAR-20140422AP-09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Northeast LLC</w:t>
            </w:r>
          </w:p>
        </w:tc>
        <w:tc>
          <w:tcPr>
            <w:tcW w:w="780" w:type="dxa"/>
            <w:vAlign w:val="bottom"/>
            <w:gridSpan w:val="2"/>
          </w:tcPr>
          <w:p>
            <w:pPr>
              <w:spacing w:after="0"/>
              <w:rPr>
                <w:sz w:val="20"/>
                <w:szCs w:val="20"/>
                <w:color w:val="auto"/>
              </w:rPr>
            </w:pPr>
            <w:r>
              <w:rPr>
                <w:rFonts w:ascii="Arial" w:cs="Arial" w:eastAsia="Arial" w:hAnsi="Arial"/>
                <w:sz w:val="18"/>
                <w:szCs w:val="18"/>
                <w:color w:val="auto"/>
              </w:rPr>
              <w:t>WLY-609</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CAR-20140422AQ-09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Northeast LLC</w:t>
            </w:r>
          </w:p>
        </w:tc>
        <w:tc>
          <w:tcPr>
            <w:tcW w:w="780" w:type="dxa"/>
            <w:vAlign w:val="bottom"/>
            <w:gridSpan w:val="2"/>
          </w:tcPr>
          <w:p>
            <w:pPr>
              <w:spacing w:after="0"/>
              <w:rPr>
                <w:sz w:val="20"/>
                <w:szCs w:val="20"/>
                <w:color w:val="auto"/>
              </w:rPr>
            </w:pPr>
            <w:r>
              <w:rPr>
                <w:rFonts w:ascii="Arial" w:cs="Arial" w:eastAsia="Arial" w:hAnsi="Arial"/>
                <w:sz w:val="18"/>
                <w:szCs w:val="18"/>
                <w:color w:val="auto"/>
              </w:rPr>
              <w:t>WLY-852</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CAR-20140422AA-09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New York City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3"/>
              </w:rPr>
              <w:t>KD-55028</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CAR-20140422BA-09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Southeast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3"/>
              </w:rPr>
              <w:t>KD-55024</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CAR-20140422BB-09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Southeast LLC</w:t>
            </w:r>
          </w:p>
        </w:tc>
        <w:tc>
          <w:tcPr>
            <w:tcW w:w="780" w:type="dxa"/>
            <w:vAlign w:val="bottom"/>
            <w:gridSpan w:val="2"/>
          </w:tcPr>
          <w:p>
            <w:pPr>
              <w:spacing w:after="0"/>
              <w:rPr>
                <w:sz w:val="20"/>
                <w:szCs w:val="20"/>
                <w:color w:val="auto"/>
              </w:rPr>
            </w:pPr>
            <w:r>
              <w:rPr>
                <w:rFonts w:ascii="Arial" w:cs="Arial" w:eastAsia="Arial" w:hAnsi="Arial"/>
                <w:sz w:val="18"/>
                <w:szCs w:val="18"/>
                <w:color w:val="auto"/>
                <w:w w:val="93"/>
              </w:rPr>
              <w:t>KD-55026</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CAR-20140422BC-09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Time Warner Cable Southeast LLC</w:t>
            </w:r>
          </w:p>
        </w:tc>
        <w:tc>
          <w:tcPr>
            <w:tcW w:w="780" w:type="dxa"/>
            <w:vAlign w:val="bottom"/>
            <w:gridSpan w:val="2"/>
          </w:tcPr>
          <w:p>
            <w:pPr>
              <w:spacing w:after="0"/>
              <w:rPr>
                <w:sz w:val="20"/>
                <w:szCs w:val="20"/>
                <w:color w:val="auto"/>
              </w:rPr>
            </w:pPr>
            <w:r>
              <w:rPr>
                <w:rFonts w:ascii="Arial" w:cs="Arial" w:eastAsia="Arial" w:hAnsi="Arial"/>
                <w:sz w:val="18"/>
                <w:szCs w:val="18"/>
                <w:color w:val="auto"/>
              </w:rPr>
              <w:t>WLY-235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Listed below are Bright House licenses subject to applications for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transfer of control:</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3060" w:type="dxa"/>
            <w:vAlign w:val="bottom"/>
            <w:gridSpan w:val="3"/>
          </w:tcPr>
          <w:p>
            <w:pPr>
              <w:ind w:left="340"/>
              <w:spacing w:after="0"/>
              <w:rPr>
                <w:sz w:val="20"/>
                <w:szCs w:val="20"/>
                <w:color w:val="auto"/>
              </w:rPr>
            </w:pPr>
            <w:r>
              <w:rPr>
                <w:rFonts w:ascii="Arial" w:cs="Arial" w:eastAsia="Arial" w:hAnsi="Arial"/>
                <w:sz w:val="18"/>
                <w:szCs w:val="18"/>
                <w:b w:val="1"/>
                <w:bCs w:val="1"/>
                <w:color w:val="auto"/>
              </w:rPr>
              <w:t>Licensee</w:t>
            </w:r>
          </w:p>
        </w:tc>
        <w:tc>
          <w:tcPr>
            <w:tcW w:w="41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Call Sign</w:t>
            </w:r>
          </w:p>
        </w:tc>
      </w:tr>
      <w:tr>
        <w:trPr>
          <w:trHeight w:val="20"/>
        </w:trPr>
        <w:tc>
          <w:tcPr>
            <w:tcW w:w="6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2"/>
        </w:trPr>
        <w:tc>
          <w:tcPr>
            <w:tcW w:w="1960" w:type="dxa"/>
            <w:vAlign w:val="bottom"/>
            <w:gridSpan w:val="2"/>
          </w:tcPr>
          <w:p>
            <w:pPr>
              <w:spacing w:after="0"/>
              <w:rPr>
                <w:sz w:val="20"/>
                <w:szCs w:val="20"/>
                <w:color w:val="auto"/>
              </w:rPr>
            </w:pPr>
            <w:r>
              <w:rPr>
                <w:rFonts w:ascii="Arial" w:cs="Arial" w:eastAsia="Arial" w:hAnsi="Arial"/>
                <w:sz w:val="18"/>
                <w:szCs w:val="18"/>
                <w:color w:val="auto"/>
              </w:rPr>
              <w:t>CAR-20140422BF-09</w:t>
            </w:r>
          </w:p>
        </w:tc>
        <w:tc>
          <w:tcPr>
            <w:tcW w:w="3060" w:type="dxa"/>
            <w:vAlign w:val="bottom"/>
            <w:gridSpan w:val="3"/>
          </w:tcPr>
          <w:p>
            <w:pPr>
              <w:ind w:left="340"/>
              <w:spacing w:after="0"/>
              <w:rPr>
                <w:sz w:val="20"/>
                <w:szCs w:val="20"/>
                <w:color w:val="auto"/>
              </w:rPr>
            </w:pPr>
            <w:r>
              <w:rPr>
                <w:rFonts w:ascii="Arial" w:cs="Arial" w:eastAsia="Arial" w:hAnsi="Arial"/>
                <w:sz w:val="18"/>
                <w:szCs w:val="18"/>
                <w:color w:val="auto"/>
              </w:rPr>
              <w:t>Bright House Networks, LLC</w:t>
            </w:r>
          </w:p>
        </w:tc>
        <w:tc>
          <w:tcPr>
            <w:tcW w:w="412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WHZ-396</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CAR-20140422BG-09</w:t>
            </w:r>
          </w:p>
        </w:tc>
        <w:tc>
          <w:tcPr>
            <w:tcW w:w="3060" w:type="dxa"/>
            <w:vAlign w:val="bottom"/>
            <w:gridSpan w:val="3"/>
          </w:tcPr>
          <w:p>
            <w:pPr>
              <w:ind w:left="340"/>
              <w:spacing w:after="0"/>
              <w:rPr>
                <w:sz w:val="20"/>
                <w:szCs w:val="20"/>
                <w:color w:val="auto"/>
              </w:rPr>
            </w:pPr>
            <w:r>
              <w:rPr>
                <w:rFonts w:ascii="Arial" w:cs="Arial" w:eastAsia="Arial" w:hAnsi="Arial"/>
                <w:sz w:val="18"/>
                <w:szCs w:val="18"/>
                <w:color w:val="auto"/>
              </w:rPr>
              <w:t>Bright House Networks, LLC</w:t>
            </w:r>
          </w:p>
        </w:tc>
        <w:tc>
          <w:tcPr>
            <w:tcW w:w="41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KA-80616</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CAR-20140422BH-09</w:t>
            </w:r>
          </w:p>
        </w:tc>
        <w:tc>
          <w:tcPr>
            <w:tcW w:w="3060" w:type="dxa"/>
            <w:vAlign w:val="bottom"/>
            <w:gridSpan w:val="3"/>
          </w:tcPr>
          <w:p>
            <w:pPr>
              <w:ind w:left="340"/>
              <w:spacing w:after="0"/>
              <w:rPr>
                <w:sz w:val="20"/>
                <w:szCs w:val="20"/>
                <w:color w:val="auto"/>
              </w:rPr>
            </w:pPr>
            <w:r>
              <w:rPr>
                <w:rFonts w:ascii="Arial" w:cs="Arial" w:eastAsia="Arial" w:hAnsi="Arial"/>
                <w:sz w:val="18"/>
                <w:szCs w:val="18"/>
                <w:color w:val="auto"/>
              </w:rPr>
              <w:t>Bright House Networks, LLC</w:t>
            </w:r>
          </w:p>
        </w:tc>
        <w:tc>
          <w:tcPr>
            <w:tcW w:w="41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KD-55009</w:t>
            </w:r>
          </w:p>
        </w:tc>
      </w:tr>
      <w:tr>
        <w:trPr>
          <w:trHeight w:val="216"/>
        </w:trPr>
        <w:tc>
          <w:tcPr>
            <w:tcW w:w="1960" w:type="dxa"/>
            <w:vAlign w:val="bottom"/>
            <w:gridSpan w:val="2"/>
          </w:tcPr>
          <w:p>
            <w:pPr>
              <w:spacing w:after="0"/>
              <w:rPr>
                <w:sz w:val="20"/>
                <w:szCs w:val="20"/>
                <w:color w:val="auto"/>
              </w:rPr>
            </w:pPr>
            <w:r>
              <w:rPr>
                <w:rFonts w:ascii="Arial" w:cs="Arial" w:eastAsia="Arial" w:hAnsi="Arial"/>
                <w:sz w:val="18"/>
                <w:szCs w:val="18"/>
                <w:color w:val="auto"/>
              </w:rPr>
              <w:t>CAR-20140422BI-09</w:t>
            </w:r>
          </w:p>
        </w:tc>
        <w:tc>
          <w:tcPr>
            <w:tcW w:w="3060" w:type="dxa"/>
            <w:vAlign w:val="bottom"/>
            <w:gridSpan w:val="3"/>
          </w:tcPr>
          <w:p>
            <w:pPr>
              <w:ind w:left="340"/>
              <w:spacing w:after="0"/>
              <w:rPr>
                <w:sz w:val="20"/>
                <w:szCs w:val="20"/>
                <w:color w:val="auto"/>
              </w:rPr>
            </w:pPr>
            <w:r>
              <w:rPr>
                <w:rFonts w:ascii="Arial" w:cs="Arial" w:eastAsia="Arial" w:hAnsi="Arial"/>
                <w:sz w:val="18"/>
                <w:szCs w:val="18"/>
                <w:color w:val="auto"/>
              </w:rPr>
              <w:t>Bright House Networks, LLC</w:t>
            </w:r>
          </w:p>
        </w:tc>
        <w:tc>
          <w:tcPr>
            <w:tcW w:w="41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WHZ-652</w:t>
            </w:r>
          </w:p>
        </w:tc>
      </w:tr>
      <w:tr>
        <w:trPr>
          <w:trHeight w:val="230"/>
        </w:trPr>
        <w:tc>
          <w:tcPr>
            <w:tcW w:w="1960" w:type="dxa"/>
            <w:vAlign w:val="bottom"/>
            <w:gridSpan w:val="2"/>
          </w:tcPr>
          <w:p>
            <w:pPr>
              <w:spacing w:after="0"/>
              <w:rPr>
                <w:sz w:val="20"/>
                <w:szCs w:val="20"/>
                <w:color w:val="auto"/>
              </w:rPr>
            </w:pPr>
            <w:r>
              <w:rPr>
                <w:rFonts w:ascii="Arial" w:cs="Arial" w:eastAsia="Arial" w:hAnsi="Arial"/>
                <w:sz w:val="18"/>
                <w:szCs w:val="18"/>
                <w:color w:val="auto"/>
              </w:rPr>
              <w:t>CAR-20140422BJ-09</w:t>
            </w:r>
          </w:p>
        </w:tc>
        <w:tc>
          <w:tcPr>
            <w:tcW w:w="3060" w:type="dxa"/>
            <w:vAlign w:val="bottom"/>
            <w:gridSpan w:val="3"/>
          </w:tcPr>
          <w:p>
            <w:pPr>
              <w:ind w:left="340"/>
              <w:spacing w:after="0"/>
              <w:rPr>
                <w:sz w:val="20"/>
                <w:szCs w:val="20"/>
                <w:color w:val="auto"/>
              </w:rPr>
            </w:pPr>
            <w:r>
              <w:rPr>
                <w:rFonts w:ascii="Arial" w:cs="Arial" w:eastAsia="Arial" w:hAnsi="Arial"/>
                <w:sz w:val="18"/>
                <w:szCs w:val="18"/>
                <w:color w:val="auto"/>
              </w:rPr>
              <w:t>Bright House Networks, LLC</w:t>
            </w:r>
          </w:p>
        </w:tc>
        <w:tc>
          <w:tcPr>
            <w:tcW w:w="412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KD-55011</w:t>
            </w:r>
          </w:p>
        </w:tc>
      </w:tr>
      <w:tr>
        <w:trPr>
          <w:trHeight w:val="932"/>
        </w:trPr>
        <w:tc>
          <w:tcPr>
            <w:tcW w:w="6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120" w:type="dxa"/>
            <w:vAlign w:val="bottom"/>
          </w:tcPr>
          <w:p>
            <w:pPr>
              <w:jc w:val="right"/>
              <w:ind w:right="3250"/>
              <w:spacing w:after="0"/>
              <w:rPr>
                <w:sz w:val="20"/>
                <w:szCs w:val="20"/>
                <w:color w:val="auto"/>
              </w:rPr>
            </w:pPr>
            <w:r>
              <w:rPr>
                <w:rFonts w:ascii="Arial" w:cs="Arial" w:eastAsia="Arial" w:hAnsi="Arial"/>
                <w:sz w:val="18"/>
                <w:szCs w:val="18"/>
                <w:color w:val="auto"/>
              </w:rPr>
              <w:t>12</w:t>
            </w: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8"/>
        </w:trPr>
        <w:tc>
          <w:tcPr>
            <w:tcW w:w="600" w:type="dxa"/>
            <w:vAlign w:val="bottom"/>
            <w:tcBorders>
              <w:bottom w:val="single" w:sz="8" w:color="808080"/>
            </w:tcBorders>
          </w:tcPr>
          <w:p>
            <w:pPr>
              <w:spacing w:after="0"/>
              <w:rPr>
                <w:sz w:val="10"/>
                <w:szCs w:val="10"/>
                <w:color w:val="auto"/>
              </w:rPr>
            </w:pPr>
          </w:p>
        </w:tc>
        <w:tc>
          <w:tcPr>
            <w:tcW w:w="1360" w:type="dxa"/>
            <w:vAlign w:val="bottom"/>
            <w:tcBorders>
              <w:bottom w:val="single" w:sz="8" w:color="808080"/>
            </w:tcBorders>
          </w:tcPr>
          <w:p>
            <w:pPr>
              <w:spacing w:after="0"/>
              <w:rPr>
                <w:sz w:val="10"/>
                <w:szCs w:val="10"/>
                <w:color w:val="auto"/>
              </w:rPr>
            </w:pPr>
          </w:p>
        </w:tc>
        <w:tc>
          <w:tcPr>
            <w:tcW w:w="34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13" w:name="page14"/>
    <w:bookmarkEnd w:id="13"/>
    <w:p>
      <w:pPr>
        <w:ind w:left="3640"/>
        <w:spacing w:after="0"/>
        <w:rPr>
          <w:sz w:val="20"/>
          <w:szCs w:val="20"/>
          <w:color w:val="auto"/>
        </w:rPr>
      </w:pPr>
      <w:r>
        <w:rPr>
          <w:rFonts w:ascii="Arial" w:cs="Arial" w:eastAsia="Arial" w:hAnsi="Arial"/>
          <w:sz w:val="18"/>
          <w:szCs w:val="18"/>
          <w:b w:val="1"/>
          <w:bCs w:val="1"/>
          <w:color w:val="auto"/>
        </w:rPr>
        <w:t>Part 25 – Satellite Communications Licenses and Registrations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Transmit/Receive Earth Station Licenses – Temporary-Fixed</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7020" w:type="dxa"/>
            <w:vAlign w:val="bottom"/>
            <w:gridSpan w:val="3"/>
          </w:tcPr>
          <w:p>
            <w:pPr>
              <w:ind w:left="180"/>
              <w:spacing w:after="0"/>
              <w:rPr>
                <w:sz w:val="20"/>
                <w:szCs w:val="20"/>
                <w:color w:val="auto"/>
              </w:rPr>
            </w:pPr>
            <w:r>
              <w:rPr>
                <w:rFonts w:ascii="Arial" w:cs="Arial" w:eastAsia="Arial" w:hAnsi="Arial"/>
                <w:sz w:val="18"/>
                <w:szCs w:val="18"/>
                <w:b w:val="1"/>
                <w:bCs w:val="1"/>
                <w:color w:val="auto"/>
              </w:rPr>
              <w:t>Licensee</w:t>
            </w:r>
          </w:p>
        </w:tc>
        <w:tc>
          <w:tcPr>
            <w:tcW w:w="700" w:type="dxa"/>
            <w:vAlign w:val="bottom"/>
          </w:tcPr>
          <w:p>
            <w:pPr>
              <w:spacing w:after="0"/>
              <w:rPr>
                <w:sz w:val="20"/>
                <w:szCs w:val="20"/>
                <w:color w:val="auto"/>
              </w:rPr>
            </w:pPr>
            <w:r>
              <w:rPr>
                <w:rFonts w:ascii="Arial" w:cs="Arial" w:eastAsia="Arial" w:hAnsi="Arial"/>
                <w:sz w:val="18"/>
                <w:szCs w:val="18"/>
                <w:b w:val="1"/>
                <w:bCs w:val="1"/>
                <w:color w:val="auto"/>
                <w:w w:val="88"/>
              </w:rPr>
              <w:t>Call Sign</w:t>
            </w:r>
          </w:p>
        </w:tc>
      </w:tr>
      <w:tr>
        <w:trPr>
          <w:trHeight w:val="20"/>
        </w:trPr>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22"/>
        </w:trPr>
        <w:tc>
          <w:tcPr>
            <w:tcW w:w="2120" w:type="dxa"/>
            <w:vAlign w:val="bottom"/>
            <w:gridSpan w:val="2"/>
          </w:tcPr>
          <w:p>
            <w:pPr>
              <w:spacing w:after="0"/>
              <w:rPr>
                <w:sz w:val="20"/>
                <w:szCs w:val="20"/>
                <w:color w:val="auto"/>
              </w:rPr>
            </w:pPr>
            <w:r>
              <w:rPr>
                <w:rFonts w:ascii="Arial" w:cs="Arial" w:eastAsia="Arial" w:hAnsi="Arial"/>
                <w:sz w:val="18"/>
                <w:szCs w:val="18"/>
                <w:color w:val="auto"/>
                <w:w w:val="98"/>
              </w:rPr>
              <w:t>SES-T/C-20140408-00254</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Time Warner Cable Midwest LLC</w:t>
            </w:r>
          </w:p>
        </w:tc>
        <w:tc>
          <w:tcPr>
            <w:tcW w:w="700" w:type="dxa"/>
            <w:vAlign w:val="bottom"/>
          </w:tcPr>
          <w:p>
            <w:pPr>
              <w:spacing w:after="0"/>
              <w:rPr>
                <w:sz w:val="20"/>
                <w:szCs w:val="20"/>
                <w:color w:val="auto"/>
              </w:rPr>
            </w:pPr>
            <w:r>
              <w:rPr>
                <w:rFonts w:ascii="Arial" w:cs="Arial" w:eastAsia="Arial" w:hAnsi="Arial"/>
                <w:sz w:val="18"/>
                <w:szCs w:val="18"/>
                <w:color w:val="auto"/>
                <w:w w:val="94"/>
              </w:rPr>
              <w:t>E020130</w:t>
            </w:r>
          </w:p>
        </w:tc>
      </w:tr>
      <w:tr>
        <w:trPr>
          <w:trHeight w:val="230"/>
        </w:trPr>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E040257</w:t>
            </w:r>
          </w:p>
        </w:tc>
      </w:tr>
      <w:tr>
        <w:trPr>
          <w:trHeight w:val="378"/>
        </w:trPr>
        <w:tc>
          <w:tcPr>
            <w:tcW w:w="2120" w:type="dxa"/>
            <w:vAlign w:val="bottom"/>
            <w:gridSpan w:val="2"/>
          </w:tcPr>
          <w:p>
            <w:pPr>
              <w:spacing w:after="0"/>
              <w:rPr>
                <w:sz w:val="20"/>
                <w:szCs w:val="20"/>
                <w:color w:val="auto"/>
              </w:rPr>
            </w:pPr>
            <w:r>
              <w:rPr>
                <w:rFonts w:ascii="Arial" w:cs="Arial" w:eastAsia="Arial" w:hAnsi="Arial"/>
                <w:sz w:val="18"/>
                <w:szCs w:val="18"/>
                <w:color w:val="auto"/>
                <w:w w:val="98"/>
              </w:rPr>
              <w:t>SES-T/C-20140408-00257</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Oceanic Time Warner Cable LLC</w:t>
            </w:r>
          </w:p>
        </w:tc>
        <w:tc>
          <w:tcPr>
            <w:tcW w:w="700" w:type="dxa"/>
            <w:vAlign w:val="bottom"/>
          </w:tcPr>
          <w:p>
            <w:pPr>
              <w:spacing w:after="0"/>
              <w:rPr>
                <w:sz w:val="20"/>
                <w:szCs w:val="20"/>
                <w:color w:val="auto"/>
              </w:rPr>
            </w:pPr>
            <w:r>
              <w:rPr>
                <w:rFonts w:ascii="Arial" w:cs="Arial" w:eastAsia="Arial" w:hAnsi="Arial"/>
                <w:sz w:val="18"/>
                <w:szCs w:val="18"/>
                <w:color w:val="auto"/>
                <w:w w:val="94"/>
              </w:rPr>
              <w:t>E080200</w:t>
            </w:r>
          </w:p>
        </w:tc>
      </w:tr>
      <w:tr>
        <w:trPr>
          <w:trHeight w:val="364"/>
        </w:trPr>
        <w:tc>
          <w:tcPr>
            <w:tcW w:w="2120" w:type="dxa"/>
            <w:vAlign w:val="bottom"/>
            <w:gridSpan w:val="2"/>
          </w:tcPr>
          <w:p>
            <w:pPr>
              <w:spacing w:after="0"/>
              <w:rPr>
                <w:sz w:val="20"/>
                <w:szCs w:val="20"/>
                <w:color w:val="auto"/>
              </w:rPr>
            </w:pPr>
            <w:r>
              <w:rPr>
                <w:rFonts w:ascii="Arial" w:cs="Arial" w:eastAsia="Arial" w:hAnsi="Arial"/>
                <w:sz w:val="18"/>
                <w:szCs w:val="18"/>
                <w:color w:val="auto"/>
                <w:w w:val="98"/>
              </w:rPr>
              <w:t>SES-T/C-20140408-00259</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Time Warner Cable Northeast LLC</w:t>
            </w:r>
          </w:p>
        </w:tc>
        <w:tc>
          <w:tcPr>
            <w:tcW w:w="700" w:type="dxa"/>
            <w:vAlign w:val="bottom"/>
          </w:tcPr>
          <w:p>
            <w:pPr>
              <w:spacing w:after="0"/>
              <w:rPr>
                <w:sz w:val="20"/>
                <w:szCs w:val="20"/>
                <w:color w:val="auto"/>
              </w:rPr>
            </w:pPr>
            <w:r>
              <w:rPr>
                <w:rFonts w:ascii="Arial" w:cs="Arial" w:eastAsia="Arial" w:hAnsi="Arial"/>
                <w:sz w:val="18"/>
                <w:szCs w:val="18"/>
                <w:color w:val="auto"/>
                <w:w w:val="94"/>
              </w:rPr>
              <w:t>E020046</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E020162</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E030142</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E040258</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E040450</w:t>
            </w:r>
          </w:p>
        </w:tc>
      </w:tr>
      <w:tr>
        <w:trPr>
          <w:trHeight w:val="230"/>
        </w:trPr>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E050253</w:t>
            </w:r>
          </w:p>
        </w:tc>
      </w:tr>
      <w:tr>
        <w:trPr>
          <w:trHeight w:val="378"/>
        </w:trPr>
        <w:tc>
          <w:tcPr>
            <w:tcW w:w="2120" w:type="dxa"/>
            <w:vAlign w:val="bottom"/>
            <w:gridSpan w:val="2"/>
          </w:tcPr>
          <w:p>
            <w:pPr>
              <w:spacing w:after="0"/>
              <w:rPr>
                <w:sz w:val="20"/>
                <w:szCs w:val="20"/>
                <w:color w:val="auto"/>
              </w:rPr>
            </w:pPr>
            <w:r>
              <w:rPr>
                <w:rFonts w:ascii="Arial" w:cs="Arial" w:eastAsia="Arial" w:hAnsi="Arial"/>
                <w:sz w:val="18"/>
                <w:szCs w:val="18"/>
                <w:color w:val="auto"/>
                <w:w w:val="98"/>
              </w:rPr>
              <w:t>SES-T/C-20140408-00261</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Time Warner Cable New York City LLC</w:t>
            </w:r>
          </w:p>
        </w:tc>
        <w:tc>
          <w:tcPr>
            <w:tcW w:w="700" w:type="dxa"/>
            <w:vAlign w:val="bottom"/>
          </w:tcPr>
          <w:p>
            <w:pPr>
              <w:spacing w:after="0"/>
              <w:rPr>
                <w:sz w:val="20"/>
                <w:szCs w:val="20"/>
                <w:color w:val="auto"/>
              </w:rPr>
            </w:pPr>
            <w:r>
              <w:rPr>
                <w:rFonts w:ascii="Arial" w:cs="Arial" w:eastAsia="Arial" w:hAnsi="Arial"/>
                <w:sz w:val="18"/>
                <w:szCs w:val="18"/>
                <w:color w:val="auto"/>
                <w:w w:val="94"/>
              </w:rPr>
              <w:t>E010308</w:t>
            </w:r>
          </w:p>
        </w:tc>
      </w:tr>
      <w:tr>
        <w:trPr>
          <w:trHeight w:val="364"/>
        </w:trPr>
        <w:tc>
          <w:tcPr>
            <w:tcW w:w="2120" w:type="dxa"/>
            <w:vAlign w:val="bottom"/>
            <w:gridSpan w:val="2"/>
          </w:tcPr>
          <w:p>
            <w:pPr>
              <w:spacing w:after="0"/>
              <w:rPr>
                <w:sz w:val="20"/>
                <w:szCs w:val="20"/>
                <w:color w:val="auto"/>
              </w:rPr>
            </w:pPr>
            <w:r>
              <w:rPr>
                <w:rFonts w:ascii="Arial" w:cs="Arial" w:eastAsia="Arial" w:hAnsi="Arial"/>
                <w:sz w:val="18"/>
                <w:szCs w:val="18"/>
                <w:color w:val="auto"/>
                <w:w w:val="98"/>
              </w:rPr>
              <w:t>SES-T/C-20140408-00264</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Time Warner Cable Southeast LLC</w:t>
            </w:r>
          </w:p>
        </w:tc>
        <w:tc>
          <w:tcPr>
            <w:tcW w:w="700" w:type="dxa"/>
            <w:vAlign w:val="bottom"/>
          </w:tcPr>
          <w:p>
            <w:pPr>
              <w:spacing w:after="0"/>
              <w:rPr>
                <w:sz w:val="20"/>
                <w:szCs w:val="20"/>
                <w:color w:val="auto"/>
              </w:rPr>
            </w:pPr>
            <w:r>
              <w:rPr>
                <w:rFonts w:ascii="Arial" w:cs="Arial" w:eastAsia="Arial" w:hAnsi="Arial"/>
                <w:sz w:val="18"/>
                <w:szCs w:val="18"/>
                <w:color w:val="auto"/>
                <w:w w:val="94"/>
              </w:rPr>
              <w:t>E020012</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E020045</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E070058</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E070059</w:t>
            </w:r>
          </w:p>
        </w:tc>
      </w:tr>
      <w:tr>
        <w:trPr>
          <w:trHeight w:val="230"/>
        </w:trPr>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18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E070060</w:t>
            </w:r>
          </w:p>
        </w:tc>
      </w:tr>
      <w:tr>
        <w:trPr>
          <w:trHeight w:val="378"/>
        </w:trPr>
        <w:tc>
          <w:tcPr>
            <w:tcW w:w="2120" w:type="dxa"/>
            <w:vAlign w:val="bottom"/>
            <w:gridSpan w:val="2"/>
          </w:tcPr>
          <w:p>
            <w:pPr>
              <w:spacing w:after="0"/>
              <w:rPr>
                <w:sz w:val="20"/>
                <w:szCs w:val="20"/>
                <w:color w:val="auto"/>
              </w:rPr>
            </w:pPr>
            <w:r>
              <w:rPr>
                <w:rFonts w:ascii="Arial" w:cs="Arial" w:eastAsia="Arial" w:hAnsi="Arial"/>
                <w:sz w:val="18"/>
                <w:szCs w:val="18"/>
                <w:color w:val="auto"/>
                <w:w w:val="98"/>
              </w:rPr>
              <w:t>SES-T/C-20140408-00267</w:t>
            </w:r>
          </w:p>
        </w:tc>
        <w:tc>
          <w:tcPr>
            <w:tcW w:w="7020" w:type="dxa"/>
            <w:vAlign w:val="bottom"/>
            <w:gridSpan w:val="3"/>
          </w:tcPr>
          <w:p>
            <w:pPr>
              <w:ind w:left="180"/>
              <w:spacing w:after="0"/>
              <w:rPr>
                <w:sz w:val="20"/>
                <w:szCs w:val="20"/>
                <w:color w:val="auto"/>
              </w:rPr>
            </w:pPr>
            <w:r>
              <w:rPr>
                <w:rFonts w:ascii="Arial" w:cs="Arial" w:eastAsia="Arial" w:hAnsi="Arial"/>
                <w:sz w:val="18"/>
                <w:szCs w:val="18"/>
                <w:color w:val="auto"/>
              </w:rPr>
              <w:t>Time Warner Cable Texas LLC</w:t>
            </w:r>
          </w:p>
        </w:tc>
        <w:tc>
          <w:tcPr>
            <w:tcW w:w="700" w:type="dxa"/>
            <w:vAlign w:val="bottom"/>
          </w:tcPr>
          <w:p>
            <w:pPr>
              <w:spacing w:after="0"/>
              <w:rPr>
                <w:sz w:val="20"/>
                <w:szCs w:val="20"/>
                <w:color w:val="auto"/>
              </w:rPr>
            </w:pPr>
            <w:r>
              <w:rPr>
                <w:rFonts w:ascii="Arial" w:cs="Arial" w:eastAsia="Arial" w:hAnsi="Arial"/>
                <w:sz w:val="18"/>
                <w:szCs w:val="18"/>
                <w:color w:val="auto"/>
                <w:w w:val="94"/>
              </w:rPr>
              <w:t>E120088</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Listed below are Bright House licenses subject to applications for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transfer of control:</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3280" w:type="dxa"/>
            <w:vAlign w:val="bottom"/>
            <w:gridSpan w:val="5"/>
          </w:tcPr>
          <w:p>
            <w:pPr>
              <w:ind w:left="180"/>
              <w:spacing w:after="0"/>
              <w:rPr>
                <w:sz w:val="20"/>
                <w:szCs w:val="20"/>
                <w:color w:val="auto"/>
              </w:rPr>
            </w:pPr>
            <w:r>
              <w:rPr>
                <w:rFonts w:ascii="Arial" w:cs="Arial" w:eastAsia="Arial" w:hAnsi="Arial"/>
                <w:sz w:val="18"/>
                <w:szCs w:val="18"/>
                <w:b w:val="1"/>
                <w:bCs w:val="1"/>
                <w:color w:val="auto"/>
              </w:rPr>
              <w:t>Licensee</w:t>
            </w:r>
          </w:p>
        </w:tc>
        <w:tc>
          <w:tcPr>
            <w:tcW w:w="37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Call Sign</w:t>
            </w:r>
          </w:p>
        </w:tc>
      </w:tr>
      <w:tr>
        <w:trPr>
          <w:trHeight w:val="20"/>
        </w:trPr>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2"/>
        </w:trPr>
        <w:tc>
          <w:tcPr>
            <w:tcW w:w="2120" w:type="dxa"/>
            <w:vAlign w:val="bottom"/>
            <w:gridSpan w:val="2"/>
          </w:tcPr>
          <w:p>
            <w:pPr>
              <w:spacing w:after="0"/>
              <w:rPr>
                <w:sz w:val="20"/>
                <w:szCs w:val="20"/>
                <w:color w:val="auto"/>
              </w:rPr>
            </w:pPr>
            <w:r>
              <w:rPr>
                <w:rFonts w:ascii="Arial" w:cs="Arial" w:eastAsia="Arial" w:hAnsi="Arial"/>
                <w:sz w:val="18"/>
                <w:szCs w:val="18"/>
                <w:color w:val="auto"/>
                <w:w w:val="98"/>
              </w:rPr>
              <w:t>SES-T/C-20140421-00306</w:t>
            </w:r>
          </w:p>
        </w:tc>
        <w:tc>
          <w:tcPr>
            <w:tcW w:w="3280" w:type="dxa"/>
            <w:vAlign w:val="bottom"/>
            <w:gridSpan w:val="5"/>
          </w:tcPr>
          <w:p>
            <w:pPr>
              <w:ind w:left="180"/>
              <w:spacing w:after="0"/>
              <w:rPr>
                <w:sz w:val="20"/>
                <w:szCs w:val="20"/>
                <w:color w:val="auto"/>
              </w:rPr>
            </w:pPr>
            <w:r>
              <w:rPr>
                <w:rFonts w:ascii="Arial" w:cs="Arial" w:eastAsia="Arial" w:hAnsi="Arial"/>
                <w:sz w:val="18"/>
                <w:szCs w:val="18"/>
                <w:color w:val="auto"/>
              </w:rPr>
              <w:t>Bright House Networks, LLC</w:t>
            </w:r>
          </w:p>
        </w:tc>
        <w:tc>
          <w:tcPr>
            <w:tcW w:w="37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E060061</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E060137</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E060138</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E070009</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E980521</w:t>
            </w:r>
          </w:p>
        </w:tc>
      </w:tr>
      <w:tr>
        <w:trPr>
          <w:trHeight w:val="230"/>
        </w:trPr>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E990035</w:t>
            </w:r>
          </w:p>
        </w:tc>
      </w:tr>
      <w:tr>
        <w:trPr>
          <w:trHeight w:val="338"/>
        </w:trPr>
        <w:tc>
          <w:tcPr>
            <w:tcW w:w="3200" w:type="dxa"/>
            <w:vAlign w:val="bottom"/>
            <w:tcBorders>
              <w:bottom w:val="single" w:sz="8" w:color="auto"/>
            </w:tcBorders>
            <w:gridSpan w:val="5"/>
          </w:tcPr>
          <w:p>
            <w:pPr>
              <w:spacing w:after="0"/>
              <w:rPr>
                <w:sz w:val="20"/>
                <w:szCs w:val="20"/>
                <w:color w:val="auto"/>
              </w:rPr>
            </w:pPr>
            <w:r>
              <w:rPr>
                <w:rFonts w:ascii="Arial" w:cs="Arial" w:eastAsia="Arial" w:hAnsi="Arial"/>
                <w:sz w:val="18"/>
                <w:szCs w:val="18"/>
                <w:b w:val="1"/>
                <w:bCs w:val="1"/>
                <w:color w:val="auto"/>
                <w:w w:val="90"/>
              </w:rPr>
              <w:t>Receive-Only Earth Station Registrations</w:t>
            </w:r>
          </w:p>
        </w:tc>
        <w:tc>
          <w:tcPr>
            <w:tcW w:w="2200" w:type="dxa"/>
            <w:vAlign w:val="bottom"/>
            <w:gridSpan w:val="2"/>
          </w:tcPr>
          <w:p>
            <w:pPr>
              <w:spacing w:after="0"/>
              <w:rPr>
                <w:sz w:val="24"/>
                <w:szCs w:val="24"/>
                <w:color w:val="auto"/>
              </w:rPr>
            </w:pPr>
          </w:p>
        </w:tc>
        <w:tc>
          <w:tcPr>
            <w:tcW w:w="3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8"/>
        </w:trPr>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3280" w:type="dxa"/>
            <w:vAlign w:val="bottom"/>
            <w:gridSpan w:val="5"/>
          </w:tcPr>
          <w:p>
            <w:pPr>
              <w:ind w:left="180"/>
              <w:spacing w:after="0"/>
              <w:rPr>
                <w:sz w:val="20"/>
                <w:szCs w:val="20"/>
                <w:color w:val="auto"/>
              </w:rPr>
            </w:pPr>
            <w:r>
              <w:rPr>
                <w:rFonts w:ascii="Arial" w:cs="Arial" w:eastAsia="Arial" w:hAnsi="Arial"/>
                <w:sz w:val="18"/>
                <w:szCs w:val="18"/>
                <w:b w:val="1"/>
                <w:bCs w:val="1"/>
                <w:color w:val="auto"/>
              </w:rPr>
              <w:t>Registration Holder</w:t>
            </w:r>
          </w:p>
        </w:tc>
        <w:tc>
          <w:tcPr>
            <w:tcW w:w="37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Call Sign</w:t>
            </w:r>
          </w:p>
        </w:tc>
      </w:tr>
      <w:tr>
        <w:trPr>
          <w:trHeight w:val="20"/>
        </w:trPr>
        <w:tc>
          <w:tcPr>
            <w:tcW w:w="60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20" w:type="dxa"/>
            <w:vAlign w:val="bottom"/>
            <w:gridSpan w:val="3"/>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2"/>
        </w:trPr>
        <w:tc>
          <w:tcPr>
            <w:tcW w:w="2120" w:type="dxa"/>
            <w:vAlign w:val="bottom"/>
            <w:gridSpan w:val="2"/>
          </w:tcPr>
          <w:p>
            <w:pPr>
              <w:spacing w:after="0"/>
              <w:rPr>
                <w:sz w:val="20"/>
                <w:szCs w:val="20"/>
                <w:color w:val="auto"/>
              </w:rPr>
            </w:pPr>
            <w:r>
              <w:rPr>
                <w:rFonts w:ascii="Arial" w:cs="Arial" w:eastAsia="Arial" w:hAnsi="Arial"/>
                <w:sz w:val="18"/>
                <w:szCs w:val="18"/>
                <w:color w:val="auto"/>
                <w:w w:val="98"/>
              </w:rPr>
              <w:t>SES-T/C-20140408-00249</w:t>
            </w:r>
          </w:p>
        </w:tc>
        <w:tc>
          <w:tcPr>
            <w:tcW w:w="3280" w:type="dxa"/>
            <w:vAlign w:val="bottom"/>
            <w:gridSpan w:val="5"/>
          </w:tcPr>
          <w:p>
            <w:pPr>
              <w:ind w:left="180"/>
              <w:spacing w:after="0"/>
              <w:rPr>
                <w:sz w:val="20"/>
                <w:szCs w:val="20"/>
                <w:color w:val="auto"/>
              </w:rPr>
            </w:pPr>
            <w:r>
              <w:rPr>
                <w:rFonts w:ascii="Arial" w:cs="Arial" w:eastAsia="Arial" w:hAnsi="Arial"/>
                <w:sz w:val="18"/>
                <w:szCs w:val="18"/>
                <w:color w:val="auto"/>
              </w:rPr>
              <w:t>Insight Communications Midwest, LLC</w:t>
            </w:r>
          </w:p>
        </w:tc>
        <w:tc>
          <w:tcPr>
            <w:tcW w:w="374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E5828</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E5921</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E990037</w:t>
            </w:r>
          </w:p>
        </w:tc>
      </w:tr>
      <w:tr>
        <w:trPr>
          <w:trHeight w:val="230"/>
        </w:trPr>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WV66</w:t>
            </w:r>
          </w:p>
        </w:tc>
      </w:tr>
      <w:tr>
        <w:trPr>
          <w:trHeight w:val="364"/>
        </w:trPr>
        <w:tc>
          <w:tcPr>
            <w:tcW w:w="2120" w:type="dxa"/>
            <w:vAlign w:val="bottom"/>
            <w:gridSpan w:val="2"/>
          </w:tcPr>
          <w:p>
            <w:pPr>
              <w:spacing w:after="0"/>
              <w:rPr>
                <w:sz w:val="20"/>
                <w:szCs w:val="20"/>
                <w:color w:val="auto"/>
              </w:rPr>
            </w:pPr>
            <w:r>
              <w:rPr>
                <w:rFonts w:ascii="Arial" w:cs="Arial" w:eastAsia="Arial" w:hAnsi="Arial"/>
                <w:sz w:val="18"/>
                <w:szCs w:val="18"/>
                <w:color w:val="auto"/>
                <w:w w:val="98"/>
              </w:rPr>
              <w:t>SES-T/C-20140408-00250</w:t>
            </w:r>
          </w:p>
        </w:tc>
        <w:tc>
          <w:tcPr>
            <w:tcW w:w="3280" w:type="dxa"/>
            <w:vAlign w:val="bottom"/>
            <w:gridSpan w:val="5"/>
          </w:tcPr>
          <w:p>
            <w:pPr>
              <w:ind w:left="180"/>
              <w:spacing w:after="0"/>
              <w:rPr>
                <w:sz w:val="20"/>
                <w:szCs w:val="20"/>
                <w:color w:val="auto"/>
              </w:rPr>
            </w:pPr>
            <w:r>
              <w:rPr>
                <w:rFonts w:ascii="Arial" w:cs="Arial" w:eastAsia="Arial" w:hAnsi="Arial"/>
                <w:sz w:val="18"/>
                <w:szCs w:val="18"/>
                <w:color w:val="auto"/>
              </w:rPr>
              <w:t>Time Warner Cable Southeast LLC</w:t>
            </w:r>
          </w:p>
        </w:tc>
        <w:tc>
          <w:tcPr>
            <w:tcW w:w="374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E080034</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E2084</w:t>
            </w:r>
          </w:p>
        </w:tc>
      </w:tr>
      <w:tr>
        <w:trPr>
          <w:trHeight w:val="216"/>
        </w:trPr>
        <w:tc>
          <w:tcPr>
            <w:tcW w:w="6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74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E2362</w:t>
            </w:r>
          </w:p>
        </w:tc>
      </w:tr>
      <w:tr>
        <w:trPr>
          <w:trHeight w:val="230"/>
        </w:trPr>
        <w:tc>
          <w:tcPr>
            <w:tcW w:w="6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E2442</w:t>
            </w:r>
          </w:p>
        </w:tc>
      </w:tr>
      <w:tr>
        <w:trPr>
          <w:trHeight w:val="932"/>
        </w:trPr>
        <w:tc>
          <w:tcPr>
            <w:tcW w:w="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740" w:type="dxa"/>
            <w:vAlign w:val="bottom"/>
          </w:tcPr>
          <w:p>
            <w:pPr>
              <w:jc w:val="right"/>
              <w:ind w:right="3250"/>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8"/>
        </w:trPr>
        <w:tc>
          <w:tcPr>
            <w:tcW w:w="60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8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62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374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E5204</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E5489</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E6407</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w w:val="85"/>
              </w:rPr>
              <w:t>E860365</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w w:val="85"/>
              </w:rPr>
              <w:t>E890880</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w w:val="85"/>
              </w:rPr>
              <w:t>E890887</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w w:val="85"/>
              </w:rPr>
              <w:t>E890889</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w w:val="85"/>
              </w:rPr>
              <w:t>E890947</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w w:val="85"/>
              </w:rPr>
              <w:t>E900387</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w w:val="85"/>
              </w:rPr>
              <w:t>E900388</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w w:val="85"/>
              </w:rPr>
              <w:t>E920351</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WB59</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WD41</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WE97</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WF74</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WG32</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WG36</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WG86</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WG89</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WH21</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WH89</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WN63</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WN78</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WR95</w:t>
            </w:r>
          </w:p>
        </w:tc>
      </w:tr>
      <w:tr>
        <w:trPr>
          <w:trHeight w:val="230"/>
        </w:trPr>
        <w:tc>
          <w:tcPr>
            <w:tcW w:w="708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WS37</w:t>
            </w:r>
          </w:p>
        </w:tc>
      </w:tr>
      <w:tr>
        <w:trPr>
          <w:trHeight w:val="364"/>
        </w:trPr>
        <w:tc>
          <w:tcPr>
            <w:tcW w:w="7080" w:type="dxa"/>
            <w:vAlign w:val="bottom"/>
          </w:tcPr>
          <w:p>
            <w:pPr>
              <w:spacing w:after="0"/>
              <w:rPr>
                <w:sz w:val="20"/>
                <w:szCs w:val="20"/>
                <w:color w:val="auto"/>
              </w:rPr>
            </w:pPr>
            <w:r>
              <w:rPr>
                <w:rFonts w:ascii="Arial" w:cs="Arial" w:eastAsia="Arial" w:hAnsi="Arial"/>
                <w:sz w:val="18"/>
                <w:szCs w:val="18"/>
                <w:color w:val="auto"/>
                <w:w w:val="91"/>
              </w:rPr>
              <w:t>SES-T/C-20140408-00251Insight Kentucky Partners II, L.P.</w:t>
            </w:r>
          </w:p>
        </w:tc>
        <w:tc>
          <w:tcPr>
            <w:tcW w:w="2700" w:type="dxa"/>
            <w:vAlign w:val="bottom"/>
          </w:tcPr>
          <w:p>
            <w:pPr>
              <w:ind w:left="2060"/>
              <w:spacing w:after="0"/>
              <w:rPr>
                <w:sz w:val="20"/>
                <w:szCs w:val="20"/>
                <w:color w:val="auto"/>
              </w:rPr>
            </w:pPr>
            <w:r>
              <w:rPr>
                <w:rFonts w:ascii="Arial" w:cs="Arial" w:eastAsia="Arial" w:hAnsi="Arial"/>
                <w:sz w:val="18"/>
                <w:szCs w:val="18"/>
                <w:color w:val="auto"/>
              </w:rPr>
              <w:t>E2091</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E3703</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E5074</w:t>
            </w:r>
          </w:p>
        </w:tc>
      </w:tr>
      <w:tr>
        <w:trPr>
          <w:trHeight w:val="230"/>
        </w:trPr>
        <w:tc>
          <w:tcPr>
            <w:tcW w:w="708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E6334</w:t>
            </w:r>
          </w:p>
        </w:tc>
      </w:tr>
      <w:tr>
        <w:trPr>
          <w:trHeight w:val="378"/>
        </w:trPr>
        <w:tc>
          <w:tcPr>
            <w:tcW w:w="7080" w:type="dxa"/>
            <w:vAlign w:val="bottom"/>
          </w:tcPr>
          <w:p>
            <w:pPr>
              <w:spacing w:after="0"/>
              <w:rPr>
                <w:sz w:val="20"/>
                <w:szCs w:val="20"/>
                <w:color w:val="auto"/>
              </w:rPr>
            </w:pPr>
            <w:r>
              <w:rPr>
                <w:rFonts w:ascii="Arial" w:cs="Arial" w:eastAsia="Arial" w:hAnsi="Arial"/>
                <w:sz w:val="18"/>
                <w:szCs w:val="18"/>
                <w:color w:val="auto"/>
                <w:w w:val="90"/>
              </w:rPr>
              <w:t>SES-T/C-20140408-00253Time Warner Cable Enterprises LLC</w:t>
            </w:r>
          </w:p>
        </w:tc>
        <w:tc>
          <w:tcPr>
            <w:tcW w:w="2700" w:type="dxa"/>
            <w:vAlign w:val="bottom"/>
          </w:tcPr>
          <w:p>
            <w:pPr>
              <w:ind w:left="2060"/>
              <w:spacing w:after="0"/>
              <w:rPr>
                <w:sz w:val="20"/>
                <w:szCs w:val="20"/>
                <w:color w:val="auto"/>
              </w:rPr>
            </w:pPr>
            <w:r>
              <w:rPr>
                <w:rFonts w:ascii="Arial" w:cs="Arial" w:eastAsia="Arial" w:hAnsi="Arial"/>
                <w:sz w:val="18"/>
                <w:szCs w:val="18"/>
                <w:color w:val="auto"/>
                <w:w w:val="85"/>
              </w:rPr>
              <w:t>E860675</w:t>
            </w:r>
          </w:p>
        </w:tc>
      </w:tr>
      <w:tr>
        <w:trPr>
          <w:trHeight w:val="364"/>
        </w:trPr>
        <w:tc>
          <w:tcPr>
            <w:tcW w:w="7080" w:type="dxa"/>
            <w:vAlign w:val="bottom"/>
          </w:tcPr>
          <w:p>
            <w:pPr>
              <w:spacing w:after="0"/>
              <w:rPr>
                <w:sz w:val="20"/>
                <w:szCs w:val="20"/>
                <w:color w:val="auto"/>
              </w:rPr>
            </w:pPr>
            <w:r>
              <w:rPr>
                <w:rFonts w:ascii="Arial" w:cs="Arial" w:eastAsia="Arial" w:hAnsi="Arial"/>
                <w:sz w:val="18"/>
                <w:szCs w:val="18"/>
                <w:color w:val="auto"/>
                <w:w w:val="91"/>
              </w:rPr>
              <w:t>SES-T/C-20140408-00255Time Warner Cable Pacific West LLC</w:t>
            </w:r>
          </w:p>
        </w:tc>
        <w:tc>
          <w:tcPr>
            <w:tcW w:w="2700" w:type="dxa"/>
            <w:vAlign w:val="bottom"/>
          </w:tcPr>
          <w:p>
            <w:pPr>
              <w:ind w:left="2060"/>
              <w:spacing w:after="0"/>
              <w:rPr>
                <w:sz w:val="20"/>
                <w:szCs w:val="20"/>
                <w:color w:val="auto"/>
              </w:rPr>
            </w:pPr>
            <w:r>
              <w:rPr>
                <w:rFonts w:ascii="Arial" w:cs="Arial" w:eastAsia="Arial" w:hAnsi="Arial"/>
                <w:sz w:val="18"/>
                <w:szCs w:val="18"/>
                <w:color w:val="auto"/>
                <w:w w:val="85"/>
              </w:rPr>
              <w:t>E050104</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w w:val="85"/>
              </w:rPr>
              <w:t>E080189</w:t>
            </w:r>
          </w:p>
        </w:tc>
      </w:tr>
      <w:tr>
        <w:trPr>
          <w:trHeight w:val="216"/>
        </w:trPr>
        <w:tc>
          <w:tcPr>
            <w:tcW w:w="7080" w:type="dxa"/>
            <w:vAlign w:val="bottom"/>
          </w:tcPr>
          <w:p>
            <w:pPr>
              <w:spacing w:after="0"/>
              <w:rPr>
                <w:sz w:val="18"/>
                <w:szCs w:val="18"/>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E2187</w:t>
            </w:r>
          </w:p>
        </w:tc>
      </w:tr>
      <w:tr>
        <w:trPr>
          <w:trHeight w:val="230"/>
        </w:trPr>
        <w:tc>
          <w:tcPr>
            <w:tcW w:w="7080" w:type="dxa"/>
            <w:vAlign w:val="bottom"/>
          </w:tcPr>
          <w:p>
            <w:pPr>
              <w:spacing w:after="0"/>
              <w:rPr>
                <w:sz w:val="20"/>
                <w:szCs w:val="20"/>
                <w:color w:val="auto"/>
              </w:rPr>
            </w:pPr>
          </w:p>
        </w:tc>
        <w:tc>
          <w:tcPr>
            <w:tcW w:w="2700" w:type="dxa"/>
            <w:vAlign w:val="bottom"/>
          </w:tcPr>
          <w:p>
            <w:pPr>
              <w:ind w:left="2060"/>
              <w:spacing w:after="0"/>
              <w:rPr>
                <w:sz w:val="20"/>
                <w:szCs w:val="20"/>
                <w:color w:val="auto"/>
              </w:rPr>
            </w:pPr>
            <w:r>
              <w:rPr>
                <w:rFonts w:ascii="Arial" w:cs="Arial" w:eastAsia="Arial" w:hAnsi="Arial"/>
                <w:sz w:val="18"/>
                <w:szCs w:val="18"/>
                <w:color w:val="auto"/>
              </w:rPr>
              <w:t>E2321</w:t>
            </w:r>
          </w:p>
        </w:tc>
      </w:tr>
    </w:tbl>
    <w:p>
      <w:pPr>
        <w:ind w:left="9140"/>
        <w:spacing w:after="0"/>
        <w:rPr>
          <w:sz w:val="20"/>
          <w:szCs w:val="20"/>
          <w:color w:val="auto"/>
        </w:rPr>
      </w:pPr>
      <w:r>
        <w:rPr>
          <w:rFonts w:ascii="Arial" w:cs="Arial" w:eastAsia="Arial" w:hAnsi="Arial"/>
          <w:sz w:val="18"/>
          <w:szCs w:val="18"/>
          <w:color w:val="auto"/>
        </w:rPr>
        <w:t>E2480</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E2983</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E3015</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E3075</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E3118</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E3198</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E3199</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E3201</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E3238</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E3293</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E4930</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E5019</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E5048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E5057</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E5404</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E5961</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E6438</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E6474</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E6756</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E860336</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E860337</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E874223</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E880022</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E880393</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E880841</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E880852</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E881085</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E890025</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E890603</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E950223</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E960066</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E960176</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E960320</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KB62</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KB97</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KK46</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KK81</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KM99</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KP64</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KP72</w:t>
            </w:r>
          </w:p>
        </w:tc>
      </w:tr>
      <w:tr>
        <w:trPr>
          <w:trHeight w:val="230"/>
        </w:trPr>
        <w:tc>
          <w:tcPr>
            <w:tcW w:w="2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KW80</w:t>
            </w:r>
          </w:p>
        </w:tc>
      </w:tr>
      <w:tr>
        <w:trPr>
          <w:trHeight w:val="364"/>
        </w:trPr>
        <w:tc>
          <w:tcPr>
            <w:tcW w:w="2120" w:type="dxa"/>
            <w:vAlign w:val="bottom"/>
          </w:tcPr>
          <w:p>
            <w:pPr>
              <w:spacing w:after="0"/>
              <w:rPr>
                <w:sz w:val="20"/>
                <w:szCs w:val="20"/>
                <w:color w:val="auto"/>
              </w:rPr>
            </w:pPr>
            <w:r>
              <w:rPr>
                <w:rFonts w:ascii="Arial" w:cs="Arial" w:eastAsia="Arial" w:hAnsi="Arial"/>
                <w:sz w:val="18"/>
                <w:szCs w:val="18"/>
                <w:color w:val="auto"/>
                <w:w w:val="98"/>
              </w:rPr>
              <w:t>SES-T/C-20140408-00256</w:t>
            </w:r>
          </w:p>
        </w:tc>
        <w:tc>
          <w:tcPr>
            <w:tcW w:w="4820" w:type="dxa"/>
            <w:vAlign w:val="bottom"/>
          </w:tcPr>
          <w:p>
            <w:pPr>
              <w:ind w:left="180"/>
              <w:spacing w:after="0"/>
              <w:rPr>
                <w:sz w:val="20"/>
                <w:szCs w:val="20"/>
                <w:color w:val="auto"/>
              </w:rPr>
            </w:pPr>
            <w:r>
              <w:rPr>
                <w:rFonts w:ascii="Arial" w:cs="Arial" w:eastAsia="Arial" w:hAnsi="Arial"/>
                <w:sz w:val="18"/>
                <w:szCs w:val="18"/>
                <w:color w:val="auto"/>
              </w:rPr>
              <w:t>Time Warner Cable Midwest LLC</w:t>
            </w:r>
          </w:p>
        </w:tc>
        <w:tc>
          <w:tcPr>
            <w:tcW w:w="2840" w:type="dxa"/>
            <w:vAlign w:val="bottom"/>
          </w:tcPr>
          <w:p>
            <w:pPr>
              <w:ind w:left="2200"/>
              <w:spacing w:after="0"/>
              <w:rPr>
                <w:sz w:val="20"/>
                <w:szCs w:val="20"/>
                <w:color w:val="auto"/>
              </w:rPr>
            </w:pPr>
            <w:r>
              <w:rPr>
                <w:rFonts w:ascii="Arial" w:cs="Arial" w:eastAsia="Arial" w:hAnsi="Arial"/>
                <w:sz w:val="18"/>
                <w:szCs w:val="18"/>
                <w:color w:val="auto"/>
                <w:w w:val="85"/>
              </w:rPr>
              <w:t>E040017</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E2018</w:t>
            </w:r>
          </w:p>
        </w:tc>
      </w:tr>
      <w:tr>
        <w:trPr>
          <w:trHeight w:val="216"/>
        </w:trPr>
        <w:tc>
          <w:tcPr>
            <w:tcW w:w="21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E2425</w:t>
            </w:r>
          </w:p>
        </w:tc>
      </w:tr>
      <w:tr>
        <w:trPr>
          <w:trHeight w:val="230"/>
        </w:trPr>
        <w:tc>
          <w:tcPr>
            <w:tcW w:w="21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2840" w:type="dxa"/>
            <w:vAlign w:val="bottom"/>
          </w:tcPr>
          <w:p>
            <w:pPr>
              <w:ind w:left="2200"/>
              <w:spacing w:after="0"/>
              <w:rPr>
                <w:sz w:val="20"/>
                <w:szCs w:val="20"/>
                <w:color w:val="auto"/>
              </w:rPr>
            </w:pPr>
            <w:r>
              <w:rPr>
                <w:rFonts w:ascii="Arial" w:cs="Arial" w:eastAsia="Arial" w:hAnsi="Arial"/>
                <w:sz w:val="18"/>
                <w:szCs w:val="18"/>
                <w:color w:val="auto"/>
              </w:rPr>
              <w:t>E2426</w:t>
            </w:r>
          </w:p>
        </w:tc>
      </w:tr>
    </w:tbl>
    <w:p>
      <w:pPr>
        <w:ind w:left="9140"/>
        <w:spacing w:after="0"/>
        <w:rPr>
          <w:sz w:val="20"/>
          <w:szCs w:val="20"/>
          <w:color w:val="auto"/>
        </w:rPr>
      </w:pPr>
      <w:r>
        <w:rPr>
          <w:rFonts w:ascii="Arial" w:cs="Arial" w:eastAsia="Arial" w:hAnsi="Arial"/>
          <w:sz w:val="18"/>
          <w:szCs w:val="18"/>
          <w:color w:val="auto"/>
        </w:rPr>
        <w:t>E2427</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E2679</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E2685</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E2985</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E3145</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E3436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E3458</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E3505</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E3506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E3550</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E3551</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E3952</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E4172</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E4198</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E4338</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E4341</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E4478</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16" w:name="page17"/>
    <w:bookmarkEnd w:id="16"/>
    <w:p>
      <w:pPr>
        <w:ind w:left="7940"/>
        <w:spacing w:after="0"/>
        <w:rPr>
          <w:sz w:val="20"/>
          <w:szCs w:val="20"/>
          <w:color w:val="auto"/>
        </w:rPr>
      </w:pPr>
      <w:r>
        <w:rPr>
          <w:rFonts w:ascii="Arial" w:cs="Arial" w:eastAsia="Arial" w:hAnsi="Arial"/>
          <w:sz w:val="18"/>
          <w:szCs w:val="18"/>
          <w:color w:val="auto"/>
        </w:rPr>
        <w:t>E5020</w:t>
      </w:r>
    </w:p>
    <w:p>
      <w:pPr>
        <w:spacing w:after="0" w:line="23"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E5437</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E5498</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E6449</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E7300</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E860321</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E865184</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E870893</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E872136</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E873416</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E873418</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E873420</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E873614</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E880468</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E880888</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E890798</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E890832</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E900073</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E900577</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E9046</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E910224</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E9194</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E920186</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E920188</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E930031</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E930144</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E930196</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E940078</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E9472</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E950468</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E960299</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5"/>
          <w:szCs w:val="15"/>
          <w:color w:val="auto"/>
        </w:rPr>
        <w:t>E980458</w:t>
      </w:r>
    </w:p>
    <w:p>
      <w:pPr>
        <w:spacing w:after="0" w:line="44"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KF37</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KY95</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KZ28</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WB50</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WD20</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WE47</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WF88</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WG76</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WK50</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WN46</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WN89</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WP20</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WQ55</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WR73</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WS44</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WT29</w:t>
      </w:r>
    </w:p>
    <w:p>
      <w:pPr>
        <w:spacing w:after="0" w:line="9" w:lineRule="exact"/>
        <w:rPr>
          <w:sz w:val="20"/>
          <w:szCs w:val="20"/>
          <w:color w:val="auto"/>
        </w:rPr>
      </w:pPr>
    </w:p>
    <w:p>
      <w:pPr>
        <w:ind w:left="7940"/>
        <w:spacing w:after="0"/>
        <w:rPr>
          <w:sz w:val="20"/>
          <w:szCs w:val="20"/>
          <w:color w:val="auto"/>
        </w:rPr>
      </w:pPr>
      <w:r>
        <w:rPr>
          <w:rFonts w:ascii="Arial" w:cs="Arial" w:eastAsia="Arial" w:hAnsi="Arial"/>
          <w:sz w:val="18"/>
          <w:szCs w:val="18"/>
          <w:color w:val="auto"/>
        </w:rPr>
        <w:t>WV36</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95885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019"/>
          </w:cols>
          <w:pgMar w:left="1440" w:top="841" w:right="1440"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r>
              <w:rPr>
                <w:rFonts w:ascii="Arial" w:cs="Arial" w:eastAsia="Arial" w:hAnsi="Arial"/>
                <w:sz w:val="18"/>
                <w:szCs w:val="18"/>
                <w:color w:val="auto"/>
                <w:w w:val="98"/>
              </w:rPr>
              <w:t>SES-T/C-20140408-00258</w:t>
            </w:r>
          </w:p>
        </w:tc>
        <w:tc>
          <w:tcPr>
            <w:tcW w:w="4860" w:type="dxa"/>
            <w:vAlign w:val="bottom"/>
          </w:tcPr>
          <w:p>
            <w:pPr>
              <w:ind w:left="180"/>
              <w:spacing w:after="0"/>
              <w:rPr>
                <w:sz w:val="20"/>
                <w:szCs w:val="20"/>
                <w:color w:val="auto"/>
              </w:rPr>
            </w:pPr>
            <w:r>
              <w:rPr>
                <w:rFonts w:ascii="Arial" w:cs="Arial" w:eastAsia="Arial" w:hAnsi="Arial"/>
                <w:sz w:val="18"/>
                <w:szCs w:val="18"/>
                <w:color w:val="auto"/>
              </w:rPr>
              <w:t>Oceanic Time Warner Cable LLC</w:t>
            </w:r>
          </w:p>
        </w:tc>
        <w:tc>
          <w:tcPr>
            <w:tcW w:w="2800" w:type="dxa"/>
            <w:vAlign w:val="bottom"/>
          </w:tcPr>
          <w:p>
            <w:pPr>
              <w:ind w:left="2160"/>
              <w:spacing w:after="0"/>
              <w:rPr>
                <w:sz w:val="20"/>
                <w:szCs w:val="20"/>
                <w:color w:val="auto"/>
              </w:rPr>
            </w:pPr>
            <w:r>
              <w:rPr>
                <w:rFonts w:ascii="Arial" w:cs="Arial" w:eastAsia="Arial" w:hAnsi="Arial"/>
                <w:sz w:val="18"/>
                <w:szCs w:val="18"/>
                <w:color w:val="auto"/>
              </w:rPr>
              <w:t>E6736</w:t>
            </w:r>
          </w:p>
        </w:tc>
      </w:tr>
      <w:tr>
        <w:trPr>
          <w:trHeight w:val="364"/>
        </w:trPr>
        <w:tc>
          <w:tcPr>
            <w:tcW w:w="2120" w:type="dxa"/>
            <w:vAlign w:val="bottom"/>
          </w:tcPr>
          <w:p>
            <w:pPr>
              <w:spacing w:after="0"/>
              <w:rPr>
                <w:sz w:val="20"/>
                <w:szCs w:val="20"/>
                <w:color w:val="auto"/>
              </w:rPr>
            </w:pPr>
            <w:r>
              <w:rPr>
                <w:rFonts w:ascii="Arial" w:cs="Arial" w:eastAsia="Arial" w:hAnsi="Arial"/>
                <w:sz w:val="18"/>
                <w:szCs w:val="18"/>
                <w:color w:val="auto"/>
                <w:w w:val="98"/>
              </w:rPr>
              <w:t>SES-T/C-20140408-00260</w:t>
            </w:r>
          </w:p>
        </w:tc>
        <w:tc>
          <w:tcPr>
            <w:tcW w:w="4860" w:type="dxa"/>
            <w:vAlign w:val="bottom"/>
          </w:tcPr>
          <w:p>
            <w:pPr>
              <w:ind w:left="180"/>
              <w:spacing w:after="0"/>
              <w:rPr>
                <w:sz w:val="20"/>
                <w:szCs w:val="20"/>
                <w:color w:val="auto"/>
              </w:rPr>
            </w:pPr>
            <w:r>
              <w:rPr>
                <w:rFonts w:ascii="Arial" w:cs="Arial" w:eastAsia="Arial" w:hAnsi="Arial"/>
                <w:sz w:val="18"/>
                <w:szCs w:val="18"/>
                <w:color w:val="auto"/>
              </w:rPr>
              <w:t>Time Warner Cable Texas LLC</w:t>
            </w:r>
          </w:p>
        </w:tc>
        <w:tc>
          <w:tcPr>
            <w:tcW w:w="2800" w:type="dxa"/>
            <w:vAlign w:val="bottom"/>
          </w:tcPr>
          <w:p>
            <w:pPr>
              <w:ind w:left="2160"/>
              <w:spacing w:after="0"/>
              <w:rPr>
                <w:sz w:val="20"/>
                <w:szCs w:val="20"/>
                <w:color w:val="auto"/>
              </w:rPr>
            </w:pPr>
            <w:r>
              <w:rPr>
                <w:rFonts w:ascii="Arial" w:cs="Arial" w:eastAsia="Arial" w:hAnsi="Arial"/>
                <w:sz w:val="18"/>
                <w:szCs w:val="18"/>
                <w:color w:val="auto"/>
              </w:rPr>
              <w:t>E2889</w:t>
            </w:r>
          </w:p>
        </w:tc>
      </w:tr>
      <w:tr>
        <w:trPr>
          <w:trHeight w:val="216"/>
        </w:trPr>
        <w:tc>
          <w:tcPr>
            <w:tcW w:w="2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w w:val="85"/>
              </w:rPr>
              <w:t>E890831</w:t>
            </w:r>
          </w:p>
        </w:tc>
      </w:tr>
      <w:tr>
        <w:trPr>
          <w:trHeight w:val="216"/>
        </w:trPr>
        <w:tc>
          <w:tcPr>
            <w:tcW w:w="2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w w:val="85"/>
              </w:rPr>
              <w:t>E950214</w:t>
            </w:r>
          </w:p>
        </w:tc>
      </w:tr>
      <w:tr>
        <w:trPr>
          <w:trHeight w:val="216"/>
        </w:trPr>
        <w:tc>
          <w:tcPr>
            <w:tcW w:w="2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w w:val="85"/>
              </w:rPr>
              <w:t>E950394</w:t>
            </w:r>
          </w:p>
        </w:tc>
      </w:tr>
      <w:tr>
        <w:trPr>
          <w:trHeight w:val="216"/>
        </w:trPr>
        <w:tc>
          <w:tcPr>
            <w:tcW w:w="2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rPr>
              <w:t>E9530</w:t>
            </w:r>
          </w:p>
        </w:tc>
      </w:tr>
      <w:tr>
        <w:trPr>
          <w:trHeight w:val="216"/>
        </w:trPr>
        <w:tc>
          <w:tcPr>
            <w:tcW w:w="2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rPr>
              <w:t>KP85</w:t>
            </w:r>
          </w:p>
        </w:tc>
      </w:tr>
      <w:tr>
        <w:trPr>
          <w:trHeight w:val="216"/>
        </w:trPr>
        <w:tc>
          <w:tcPr>
            <w:tcW w:w="2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rPr>
              <w:t>KT59</w:t>
            </w:r>
          </w:p>
        </w:tc>
      </w:tr>
      <w:tr>
        <w:trPr>
          <w:trHeight w:val="216"/>
        </w:trPr>
        <w:tc>
          <w:tcPr>
            <w:tcW w:w="2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rPr>
              <w:t>KU69</w:t>
            </w:r>
          </w:p>
        </w:tc>
      </w:tr>
      <w:tr>
        <w:trPr>
          <w:trHeight w:val="216"/>
        </w:trPr>
        <w:tc>
          <w:tcPr>
            <w:tcW w:w="2120" w:type="dxa"/>
            <w:vAlign w:val="bottom"/>
          </w:tcPr>
          <w:p>
            <w:pPr>
              <w:spacing w:after="0"/>
              <w:rPr>
                <w:sz w:val="18"/>
                <w:szCs w:val="18"/>
                <w:color w:val="auto"/>
              </w:rPr>
            </w:pPr>
          </w:p>
        </w:tc>
        <w:tc>
          <w:tcPr>
            <w:tcW w:w="4860" w:type="dxa"/>
            <w:vAlign w:val="bottom"/>
          </w:tcPr>
          <w:p>
            <w:pPr>
              <w:spacing w:after="0"/>
              <w:rPr>
                <w:sz w:val="18"/>
                <w:szCs w:val="18"/>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rPr>
              <w:t>KU72</w:t>
            </w:r>
          </w:p>
        </w:tc>
      </w:tr>
      <w:tr>
        <w:trPr>
          <w:trHeight w:val="230"/>
        </w:trPr>
        <w:tc>
          <w:tcPr>
            <w:tcW w:w="2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rPr>
              <w:t>KY61</w:t>
            </w:r>
          </w:p>
        </w:tc>
      </w:tr>
      <w:tr>
        <w:trPr>
          <w:trHeight w:val="364"/>
        </w:trPr>
        <w:tc>
          <w:tcPr>
            <w:tcW w:w="2120" w:type="dxa"/>
            <w:vAlign w:val="bottom"/>
          </w:tcPr>
          <w:p>
            <w:pPr>
              <w:spacing w:after="0"/>
              <w:rPr>
                <w:sz w:val="20"/>
                <w:szCs w:val="20"/>
                <w:color w:val="auto"/>
              </w:rPr>
            </w:pPr>
            <w:r>
              <w:rPr>
                <w:rFonts w:ascii="Arial" w:cs="Arial" w:eastAsia="Arial" w:hAnsi="Arial"/>
                <w:sz w:val="18"/>
                <w:szCs w:val="18"/>
                <w:color w:val="auto"/>
                <w:w w:val="98"/>
              </w:rPr>
              <w:t>SES-T/C-20140408-00262</w:t>
            </w:r>
          </w:p>
        </w:tc>
        <w:tc>
          <w:tcPr>
            <w:tcW w:w="4860" w:type="dxa"/>
            <w:vAlign w:val="bottom"/>
          </w:tcPr>
          <w:p>
            <w:pPr>
              <w:ind w:left="180"/>
              <w:spacing w:after="0"/>
              <w:rPr>
                <w:sz w:val="20"/>
                <w:szCs w:val="20"/>
                <w:color w:val="auto"/>
              </w:rPr>
            </w:pPr>
            <w:r>
              <w:rPr>
                <w:rFonts w:ascii="Arial" w:cs="Arial" w:eastAsia="Arial" w:hAnsi="Arial"/>
                <w:sz w:val="18"/>
                <w:szCs w:val="18"/>
                <w:color w:val="auto"/>
              </w:rPr>
              <w:t>Time Warner Cable Northeast LLC</w:t>
            </w:r>
          </w:p>
        </w:tc>
        <w:tc>
          <w:tcPr>
            <w:tcW w:w="2800" w:type="dxa"/>
            <w:vAlign w:val="bottom"/>
          </w:tcPr>
          <w:p>
            <w:pPr>
              <w:ind w:left="2160"/>
              <w:spacing w:after="0"/>
              <w:rPr>
                <w:sz w:val="20"/>
                <w:szCs w:val="20"/>
                <w:color w:val="auto"/>
              </w:rPr>
            </w:pPr>
            <w:r>
              <w:rPr>
                <w:rFonts w:ascii="Arial" w:cs="Arial" w:eastAsia="Arial" w:hAnsi="Arial"/>
                <w:sz w:val="18"/>
                <w:szCs w:val="18"/>
                <w:color w:val="auto"/>
                <w:w w:val="85"/>
              </w:rPr>
              <w:t>E000249</w:t>
            </w:r>
          </w:p>
        </w:tc>
      </w:tr>
      <w:tr>
        <w:trPr>
          <w:trHeight w:val="230"/>
        </w:trPr>
        <w:tc>
          <w:tcPr>
            <w:tcW w:w="2120" w:type="dxa"/>
            <w:vAlign w:val="bottom"/>
          </w:tcPr>
          <w:p>
            <w:pPr>
              <w:spacing w:after="0"/>
              <w:rPr>
                <w:sz w:val="20"/>
                <w:szCs w:val="20"/>
                <w:color w:val="auto"/>
              </w:rPr>
            </w:pPr>
          </w:p>
        </w:tc>
        <w:tc>
          <w:tcPr>
            <w:tcW w:w="4860" w:type="dxa"/>
            <w:vAlign w:val="bottom"/>
          </w:tcPr>
          <w:p>
            <w:pPr>
              <w:spacing w:after="0"/>
              <w:rPr>
                <w:sz w:val="20"/>
                <w:szCs w:val="20"/>
                <w:color w:val="auto"/>
              </w:rPr>
            </w:pPr>
          </w:p>
        </w:tc>
        <w:tc>
          <w:tcPr>
            <w:tcW w:w="2800" w:type="dxa"/>
            <w:vAlign w:val="bottom"/>
          </w:tcPr>
          <w:p>
            <w:pPr>
              <w:ind w:left="2160"/>
              <w:spacing w:after="0"/>
              <w:rPr>
                <w:sz w:val="20"/>
                <w:szCs w:val="20"/>
                <w:color w:val="auto"/>
              </w:rPr>
            </w:pPr>
            <w:r>
              <w:rPr>
                <w:rFonts w:ascii="Arial" w:cs="Arial" w:eastAsia="Arial" w:hAnsi="Arial"/>
                <w:sz w:val="18"/>
                <w:szCs w:val="18"/>
                <w:color w:val="auto"/>
              </w:rPr>
              <w:t>E2075</w:t>
            </w:r>
          </w:p>
        </w:tc>
      </w:tr>
    </w:tbl>
    <w:p>
      <w:pPr>
        <w:ind w:left="9140"/>
        <w:spacing w:after="0"/>
        <w:rPr>
          <w:sz w:val="20"/>
          <w:szCs w:val="20"/>
          <w:color w:val="auto"/>
        </w:rPr>
      </w:pPr>
      <w:r>
        <w:rPr>
          <w:rFonts w:ascii="Arial" w:cs="Arial" w:eastAsia="Arial" w:hAnsi="Arial"/>
          <w:sz w:val="18"/>
          <w:szCs w:val="18"/>
          <w:color w:val="auto"/>
        </w:rPr>
        <w:t>E2573</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E2632</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E3283</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E3533</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E3542</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E3560</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E3571</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E3824</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E4158</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E4217</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E4261</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E4384</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E4385</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E4474</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E5897</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E5905</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E6333</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E6338</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E8309</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E860969</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E870043</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E870127</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E870272</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E873722</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E8796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E8842</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E8856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E890026</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E890152</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E900146</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E900679</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E940490</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E950014</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E950081</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E950084</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w w:val="85"/>
              </w:rPr>
              <w:t>E950097</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w w:val="85"/>
              </w:rPr>
              <w:t>E960052</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w w:val="85"/>
              </w:rPr>
              <w:t>E960055</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w w:val="85"/>
              </w:rPr>
              <w:t>E970250</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WG21</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WG77</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WH47</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WL33</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WN29</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WQ80</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WR92</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WT85</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WT93</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WV84</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WY82</w:t>
            </w:r>
          </w:p>
        </w:tc>
      </w:tr>
      <w:tr>
        <w:trPr>
          <w:trHeight w:val="230"/>
        </w:trPr>
        <w:tc>
          <w:tcPr>
            <w:tcW w:w="7920" w:type="dxa"/>
            <w:vAlign w:val="bottom"/>
          </w:tcPr>
          <w:p>
            <w:pPr>
              <w:spacing w:after="0"/>
              <w:rPr>
                <w:sz w:val="20"/>
                <w:szCs w:val="20"/>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WZ42</w:t>
            </w:r>
          </w:p>
        </w:tc>
      </w:tr>
      <w:tr>
        <w:trPr>
          <w:trHeight w:val="364"/>
        </w:trPr>
        <w:tc>
          <w:tcPr>
            <w:tcW w:w="7920" w:type="dxa"/>
            <w:vAlign w:val="bottom"/>
          </w:tcPr>
          <w:p>
            <w:pPr>
              <w:spacing w:after="0"/>
              <w:rPr>
                <w:sz w:val="20"/>
                <w:szCs w:val="20"/>
                <w:color w:val="auto"/>
              </w:rPr>
            </w:pPr>
            <w:r>
              <w:rPr>
                <w:rFonts w:ascii="Arial" w:cs="Arial" w:eastAsia="Arial" w:hAnsi="Arial"/>
                <w:sz w:val="18"/>
                <w:szCs w:val="18"/>
                <w:color w:val="auto"/>
                <w:w w:val="93"/>
              </w:rPr>
              <w:t>SES-T/C-20140408-00265Time Warner Cable New York City LLC</w:t>
            </w:r>
          </w:p>
        </w:tc>
        <w:tc>
          <w:tcPr>
            <w:tcW w:w="1860" w:type="dxa"/>
            <w:vAlign w:val="bottom"/>
          </w:tcPr>
          <w:p>
            <w:pPr>
              <w:ind w:left="1220"/>
              <w:spacing w:after="0"/>
              <w:rPr>
                <w:sz w:val="20"/>
                <w:szCs w:val="20"/>
                <w:color w:val="auto"/>
              </w:rPr>
            </w:pPr>
            <w:r>
              <w:rPr>
                <w:rFonts w:ascii="Arial" w:cs="Arial" w:eastAsia="Arial" w:hAnsi="Arial"/>
                <w:sz w:val="18"/>
                <w:szCs w:val="18"/>
                <w:color w:val="auto"/>
                <w:w w:val="85"/>
              </w:rPr>
              <w:t>E860649</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w w:val="85"/>
              </w:rPr>
              <w:t>E865064</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w w:val="85"/>
              </w:rPr>
              <w:t>E874282</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w w:val="85"/>
              </w:rPr>
              <w:t>E881207</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w w:val="85"/>
              </w:rPr>
              <w:t>E881208</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w w:val="85"/>
              </w:rPr>
              <w:t>E900314</w:t>
            </w:r>
          </w:p>
        </w:tc>
      </w:tr>
      <w:tr>
        <w:trPr>
          <w:trHeight w:val="230"/>
        </w:trPr>
        <w:tc>
          <w:tcPr>
            <w:tcW w:w="7920" w:type="dxa"/>
            <w:vAlign w:val="bottom"/>
          </w:tcPr>
          <w:p>
            <w:pPr>
              <w:spacing w:after="0"/>
              <w:rPr>
                <w:sz w:val="20"/>
                <w:szCs w:val="20"/>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w w:val="85"/>
              </w:rPr>
              <w:t>E930246</w:t>
            </w:r>
          </w:p>
        </w:tc>
      </w:tr>
      <w:tr>
        <w:trPr>
          <w:trHeight w:val="364"/>
        </w:trPr>
        <w:tc>
          <w:tcPr>
            <w:tcW w:w="7920" w:type="dxa"/>
            <w:vAlign w:val="bottom"/>
          </w:tcPr>
          <w:p>
            <w:pPr>
              <w:spacing w:after="0"/>
              <w:rPr>
                <w:sz w:val="20"/>
                <w:szCs w:val="20"/>
                <w:color w:val="auto"/>
              </w:rPr>
            </w:pPr>
            <w:r>
              <w:rPr>
                <w:rFonts w:ascii="Arial" w:cs="Arial" w:eastAsia="Arial" w:hAnsi="Arial"/>
                <w:sz w:val="18"/>
                <w:szCs w:val="18"/>
                <w:color w:val="auto"/>
                <w:w w:val="90"/>
              </w:rPr>
              <w:t>SES-T/C-20140408-00266Time Warner Entertainment–Advance/Newhouse Partnership</w:t>
            </w:r>
          </w:p>
        </w:tc>
        <w:tc>
          <w:tcPr>
            <w:tcW w:w="1860" w:type="dxa"/>
            <w:vAlign w:val="bottom"/>
          </w:tcPr>
          <w:p>
            <w:pPr>
              <w:ind w:left="1220"/>
              <w:spacing w:after="0"/>
              <w:rPr>
                <w:sz w:val="20"/>
                <w:szCs w:val="20"/>
                <w:color w:val="auto"/>
              </w:rPr>
            </w:pPr>
            <w:r>
              <w:rPr>
                <w:rFonts w:ascii="Arial" w:cs="Arial" w:eastAsia="Arial" w:hAnsi="Arial"/>
                <w:sz w:val="18"/>
                <w:szCs w:val="18"/>
                <w:color w:val="auto"/>
                <w:w w:val="85"/>
              </w:rPr>
              <w:t>E100101</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E4381</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w w:val="85"/>
              </w:rPr>
              <w:t>E920572</w:t>
            </w:r>
          </w:p>
        </w:tc>
      </w:tr>
      <w:tr>
        <w:trPr>
          <w:trHeight w:val="216"/>
        </w:trPr>
        <w:tc>
          <w:tcPr>
            <w:tcW w:w="7920" w:type="dxa"/>
            <w:vAlign w:val="bottom"/>
          </w:tcPr>
          <w:p>
            <w:pPr>
              <w:spacing w:after="0"/>
              <w:rPr>
                <w:sz w:val="18"/>
                <w:szCs w:val="18"/>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KJ59</w:t>
            </w:r>
          </w:p>
        </w:tc>
      </w:tr>
      <w:tr>
        <w:trPr>
          <w:trHeight w:val="230"/>
        </w:trPr>
        <w:tc>
          <w:tcPr>
            <w:tcW w:w="7920" w:type="dxa"/>
            <w:vAlign w:val="bottom"/>
          </w:tcPr>
          <w:p>
            <w:pPr>
              <w:spacing w:after="0"/>
              <w:rPr>
                <w:sz w:val="20"/>
                <w:szCs w:val="20"/>
                <w:color w:val="auto"/>
              </w:rPr>
            </w:pPr>
          </w:p>
        </w:tc>
        <w:tc>
          <w:tcPr>
            <w:tcW w:w="1860" w:type="dxa"/>
            <w:vAlign w:val="bottom"/>
          </w:tcPr>
          <w:p>
            <w:pPr>
              <w:ind w:left="1220"/>
              <w:spacing w:after="0"/>
              <w:rPr>
                <w:sz w:val="20"/>
                <w:szCs w:val="20"/>
                <w:color w:val="auto"/>
              </w:rPr>
            </w:pPr>
            <w:r>
              <w:rPr>
                <w:rFonts w:ascii="Arial" w:cs="Arial" w:eastAsia="Arial" w:hAnsi="Arial"/>
                <w:sz w:val="18"/>
                <w:szCs w:val="18"/>
                <w:color w:val="auto"/>
              </w:rPr>
              <w:t>WQ21</w:t>
            </w:r>
          </w:p>
        </w:tc>
      </w:tr>
    </w:tbl>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214 Authorizations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63 – Domestic Section 214 Authority</w:t>
      </w:r>
    </w:p>
    <w:p>
      <w:pPr>
        <w:spacing w:after="0" w:line="283" w:lineRule="exact"/>
        <w:rPr>
          <w:sz w:val="20"/>
          <w:szCs w:val="20"/>
          <w:color w:val="auto"/>
        </w:rPr>
      </w:pPr>
    </w:p>
    <w:p>
      <w:pPr>
        <w:ind w:right="80" w:firstLine="648"/>
        <w:spacing w:after="0" w:line="342" w:lineRule="auto"/>
        <w:rPr>
          <w:sz w:val="20"/>
          <w:szCs w:val="20"/>
          <w:color w:val="auto"/>
        </w:rPr>
      </w:pPr>
      <w:r>
        <w:rPr>
          <w:rFonts w:ascii="Arial" w:cs="Arial" w:eastAsia="Arial" w:hAnsi="Arial"/>
          <w:sz w:val="16"/>
          <w:szCs w:val="16"/>
          <w:color w:val="auto"/>
        </w:rPr>
        <w:t>Comcast and TWC have filed an application for consent to the transfer of control of domestic section 214 authority in connection with the Comcast-TWC transaction described above.</w:t>
      </w:r>
      <w:r>
        <w:rPr>
          <w:rFonts w:ascii="Arial" w:cs="Arial" w:eastAsia="Arial" w:hAnsi="Arial"/>
          <w:sz w:val="22"/>
          <w:szCs w:val="22"/>
          <w:color w:val="auto"/>
          <w:vertAlign w:val="superscript"/>
        </w:rPr>
        <w:t>65</w:t>
      </w:r>
      <w:r>
        <w:rPr>
          <w:rFonts w:ascii="Arial" w:cs="Arial" w:eastAsia="Arial" w:hAnsi="Arial"/>
          <w:sz w:val="16"/>
          <w:szCs w:val="16"/>
          <w:color w:val="auto"/>
        </w:rPr>
        <w:t xml:space="preserve"> Applicants do not request streamlined treatment for this application under section 63.03(b) of the Commission’s rules.</w:t>
      </w:r>
      <w:r>
        <w:rPr>
          <w:rFonts w:ascii="Arial" w:cs="Arial" w:eastAsia="Arial" w:hAnsi="Arial"/>
          <w:sz w:val="22"/>
          <w:szCs w:val="22"/>
          <w:color w:val="auto"/>
          <w:vertAlign w:val="superscript"/>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287020</wp:posOffset>
            </wp:positionV>
            <wp:extent cx="758825" cy="342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59" w:lineRule="exact"/>
        <w:rPr>
          <w:sz w:val="20"/>
          <w:szCs w:val="20"/>
          <w:color w:val="auto"/>
        </w:rPr>
      </w:pPr>
    </w:p>
    <w:p>
      <w:pPr>
        <w:jc w:val="both"/>
        <w:ind w:firstLine="8"/>
        <w:spacing w:after="0" w:line="243" w:lineRule="auto"/>
        <w:tabs>
          <w:tab w:leader="none" w:pos="184" w:val="left"/>
        </w:tabs>
        <w:numPr>
          <w:ilvl w:val="0"/>
          <w:numId w:val="28"/>
        </w:numPr>
        <w:rPr>
          <w:rFonts w:ascii="Arial" w:cs="Arial" w:eastAsia="Arial" w:hAnsi="Arial"/>
          <w:sz w:val="23"/>
          <w:szCs w:val="23"/>
          <w:color w:val="auto"/>
          <w:vertAlign w:val="superscript"/>
        </w:rPr>
      </w:pPr>
      <w:r>
        <w:rPr>
          <w:rFonts w:ascii="Arial" w:cs="Arial" w:eastAsia="Arial" w:hAnsi="Arial"/>
          <w:sz w:val="17"/>
          <w:szCs w:val="17"/>
          <w:i w:val="1"/>
          <w:iCs w:val="1"/>
          <w:color w:val="auto"/>
        </w:rPr>
        <w:t>Applications of Comcast Corp. and Time Warner Cable Inc. for Consent Pursuant to Section 214 of the Communications Act of 1934, as Amended, to Transfer Control of Subsidiaries of Time Warner Cable Inc.</w:t>
      </w:r>
      <w:r>
        <w:rPr>
          <w:rFonts w:ascii="Arial" w:cs="Arial" w:eastAsia="Arial" w:hAnsi="Arial"/>
          <w:sz w:val="17"/>
          <w:szCs w:val="17"/>
          <w:color w:val="auto"/>
        </w:rPr>
        <w:t>, MB Docket No. 14-57, Joint Application (filed Apr. 8, 2014) (TWC is authorized to provide</w:t>
      </w:r>
      <w:r>
        <w:rPr>
          <w:rFonts w:ascii="Arial" w:cs="Arial" w:eastAsia="Arial" w:hAnsi="Arial"/>
          <w:sz w:val="17"/>
          <w:szCs w:val="17"/>
          <w:i w:val="1"/>
          <w:iCs w:val="1"/>
          <w:color w:val="auto"/>
        </w:rPr>
        <w:t xml:space="preserve"> </w:t>
      </w:r>
      <w:r>
        <w:rPr>
          <w:rFonts w:ascii="Arial" w:cs="Arial" w:eastAsia="Arial" w:hAnsi="Arial"/>
          <w:sz w:val="17"/>
          <w:szCs w:val="17"/>
          <w:color w:val="auto"/>
        </w:rPr>
        <w:t>interstate and intrastate telecommunications services in 33 states).</w:t>
      </w:r>
    </w:p>
    <w:p>
      <w:pPr>
        <w:spacing w:after="0" w:line="220"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28"/>
        </w:numPr>
        <w:rPr>
          <w:rFonts w:ascii="Arial" w:cs="Arial" w:eastAsia="Arial" w:hAnsi="Arial"/>
          <w:sz w:val="23"/>
          <w:szCs w:val="23"/>
          <w:color w:val="auto"/>
          <w:vertAlign w:val="superscript"/>
        </w:rPr>
      </w:pPr>
      <w:r>
        <w:rPr>
          <w:rFonts w:ascii="Arial" w:cs="Arial" w:eastAsia="Arial" w:hAnsi="Arial"/>
          <w:sz w:val="17"/>
          <w:szCs w:val="17"/>
          <w:color w:val="auto"/>
        </w:rPr>
        <w:t>47 C.F.R. § 63.03(b).</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180" w:type="dxa"/>
            <w:vAlign w:val="bottom"/>
          </w:tcPr>
          <w:p>
            <w:pPr>
              <w:ind w:left="140"/>
              <w:spacing w:after="0"/>
              <w:rPr>
                <w:sz w:val="20"/>
                <w:szCs w:val="20"/>
                <w:color w:val="auto"/>
              </w:rPr>
            </w:pPr>
            <w:r>
              <w:rPr>
                <w:rFonts w:ascii="Arial" w:cs="Arial" w:eastAsia="Arial" w:hAnsi="Arial"/>
                <w:sz w:val="18"/>
                <w:szCs w:val="18"/>
                <w:b w:val="1"/>
                <w:bCs w:val="1"/>
                <w:color w:val="auto"/>
              </w:rPr>
              <w:t>Part 63 – International Section 214 Authorizations</w:t>
            </w: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46"/>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7040" w:type="dxa"/>
            <w:vAlign w:val="bottom"/>
            <w:gridSpan w:val="4"/>
          </w:tcPr>
          <w:p>
            <w:pPr>
              <w:ind w:left="200"/>
              <w:spacing w:after="0"/>
              <w:rPr>
                <w:sz w:val="20"/>
                <w:szCs w:val="20"/>
                <w:color w:val="auto"/>
              </w:rPr>
            </w:pPr>
            <w:r>
              <w:rPr>
                <w:rFonts w:ascii="Arial" w:cs="Arial" w:eastAsia="Arial" w:hAnsi="Arial"/>
                <w:sz w:val="18"/>
                <w:szCs w:val="18"/>
                <w:b w:val="1"/>
                <w:bCs w:val="1"/>
                <w:color w:val="auto"/>
              </w:rPr>
              <w:t>Authorization Holder</w:t>
            </w: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w w:val="99"/>
              </w:rPr>
              <w:t>Authorization Number</w:t>
            </w:r>
          </w:p>
        </w:tc>
      </w:tr>
      <w:tr>
        <w:trPr>
          <w:trHeight w:val="20"/>
        </w:trPr>
        <w:tc>
          <w:tcPr>
            <w:tcW w:w="6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22"/>
        </w:trPr>
        <w:tc>
          <w:tcPr>
            <w:tcW w:w="2100" w:type="dxa"/>
            <w:vAlign w:val="bottom"/>
            <w:gridSpan w:val="2"/>
          </w:tcPr>
          <w:p>
            <w:pPr>
              <w:spacing w:after="0"/>
              <w:rPr>
                <w:sz w:val="20"/>
                <w:szCs w:val="20"/>
                <w:color w:val="auto"/>
              </w:rPr>
            </w:pPr>
            <w:r>
              <w:rPr>
                <w:rFonts w:ascii="Arial" w:cs="Arial" w:eastAsia="Arial" w:hAnsi="Arial"/>
                <w:sz w:val="18"/>
                <w:szCs w:val="18"/>
                <w:color w:val="auto"/>
              </w:rPr>
              <w:t>ITC-T/C-20140408-00116</w:t>
            </w: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TWCIS HoldCo LLC</w:t>
            </w:r>
          </w:p>
        </w:tc>
        <w:tc>
          <w:tcPr>
            <w:tcW w:w="1900" w:type="dxa"/>
            <w:vAlign w:val="bottom"/>
            <w:gridSpan w:val="3"/>
          </w:tcPr>
          <w:p>
            <w:pPr>
              <w:spacing w:after="0"/>
              <w:rPr>
                <w:sz w:val="20"/>
                <w:szCs w:val="20"/>
                <w:color w:val="auto"/>
              </w:rPr>
            </w:pPr>
            <w:r>
              <w:rPr>
                <w:rFonts w:ascii="Arial" w:cs="Arial" w:eastAsia="Arial" w:hAnsi="Arial"/>
                <w:sz w:val="18"/>
                <w:szCs w:val="18"/>
                <w:color w:val="auto"/>
                <w:w w:val="90"/>
              </w:rPr>
              <w:t>ITC-214-20030117-00043</w:t>
            </w: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rPr>
              <w:t>ITC-T/C-20140408-00117</w:t>
            </w: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Insight Midwest Holdings, LLC</w:t>
            </w:r>
          </w:p>
        </w:tc>
        <w:tc>
          <w:tcPr>
            <w:tcW w:w="1900" w:type="dxa"/>
            <w:vAlign w:val="bottom"/>
            <w:gridSpan w:val="3"/>
          </w:tcPr>
          <w:p>
            <w:pPr>
              <w:spacing w:after="0"/>
              <w:rPr>
                <w:sz w:val="20"/>
                <w:szCs w:val="20"/>
                <w:color w:val="auto"/>
              </w:rPr>
            </w:pPr>
            <w:r>
              <w:rPr>
                <w:rFonts w:ascii="Arial" w:cs="Arial" w:eastAsia="Arial" w:hAnsi="Arial"/>
                <w:sz w:val="18"/>
                <w:szCs w:val="18"/>
                <w:color w:val="auto"/>
                <w:w w:val="90"/>
              </w:rPr>
              <w:t>ITC-214-20040723-00514</w:t>
            </w:r>
          </w:p>
        </w:tc>
      </w:tr>
      <w:tr>
        <w:trPr>
          <w:trHeight w:val="702"/>
        </w:trPr>
        <w:tc>
          <w:tcPr>
            <w:tcW w:w="6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180" w:type="dxa"/>
            <w:vAlign w:val="bottom"/>
            <w:gridSpan w:val="2"/>
          </w:tcPr>
          <w:p>
            <w:pPr>
              <w:ind w:left="920"/>
              <w:spacing w:after="0"/>
              <w:rPr>
                <w:sz w:val="20"/>
                <w:szCs w:val="20"/>
                <w:color w:val="auto"/>
              </w:rPr>
            </w:pPr>
            <w:r>
              <w:rPr>
                <w:rFonts w:ascii="Arial" w:cs="Arial" w:eastAsia="Arial" w:hAnsi="Arial"/>
                <w:sz w:val="18"/>
                <w:szCs w:val="18"/>
                <w:b w:val="1"/>
                <w:bCs w:val="1"/>
                <w:color w:val="auto"/>
              </w:rPr>
              <w:t>Parts 87, 90 and 101 – Private Wireless Licenses</w:t>
            </w:r>
          </w:p>
        </w:tc>
        <w:tc>
          <w:tcPr>
            <w:tcW w:w="1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7040" w:type="dxa"/>
            <w:vAlign w:val="bottom"/>
            <w:gridSpan w:val="4"/>
          </w:tcPr>
          <w:p>
            <w:pPr>
              <w:ind w:left="200"/>
              <w:spacing w:after="0"/>
              <w:rPr>
                <w:sz w:val="20"/>
                <w:szCs w:val="20"/>
                <w:color w:val="auto"/>
              </w:rPr>
            </w:pPr>
            <w:r>
              <w:rPr>
                <w:rFonts w:ascii="Arial" w:cs="Arial" w:eastAsia="Arial" w:hAnsi="Arial"/>
                <w:sz w:val="18"/>
                <w:szCs w:val="18"/>
                <w:b w:val="1"/>
                <w:bCs w:val="1"/>
                <w:color w:val="auto"/>
              </w:rPr>
              <w:t>Licensee</w:t>
            </w:r>
          </w:p>
        </w:tc>
        <w:tc>
          <w:tcPr>
            <w:tcW w:w="1900" w:type="dxa"/>
            <w:vAlign w:val="bottom"/>
            <w:gridSpan w:val="3"/>
          </w:tcPr>
          <w:p>
            <w:pPr>
              <w:spacing w:after="0"/>
              <w:rPr>
                <w:sz w:val="20"/>
                <w:szCs w:val="20"/>
                <w:color w:val="auto"/>
              </w:rPr>
            </w:pPr>
            <w:r>
              <w:rPr>
                <w:rFonts w:ascii="Arial" w:cs="Arial" w:eastAsia="Arial" w:hAnsi="Arial"/>
                <w:sz w:val="18"/>
                <w:szCs w:val="18"/>
                <w:b w:val="1"/>
                <w:bCs w:val="1"/>
                <w:color w:val="auto"/>
              </w:rPr>
              <w:t>Lead Call Sign</w:t>
            </w:r>
          </w:p>
        </w:tc>
      </w:tr>
      <w:tr>
        <w:trPr>
          <w:trHeight w:val="20"/>
        </w:trPr>
        <w:tc>
          <w:tcPr>
            <w:tcW w:w="6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180" w:type="dxa"/>
            <w:vAlign w:val="bottom"/>
            <w:gridSpan w:val="2"/>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r>
      <w:tr>
        <w:trPr>
          <w:trHeight w:val="222"/>
        </w:trPr>
        <w:tc>
          <w:tcPr>
            <w:tcW w:w="2100" w:type="dxa"/>
            <w:vAlign w:val="bottom"/>
            <w:gridSpan w:val="2"/>
          </w:tcPr>
          <w:p>
            <w:pPr>
              <w:spacing w:after="0"/>
              <w:rPr>
                <w:sz w:val="20"/>
                <w:szCs w:val="20"/>
                <w:color w:val="auto"/>
              </w:rPr>
            </w:pPr>
            <w:r>
              <w:rPr>
                <w:rFonts w:ascii="Arial" w:cs="Arial" w:eastAsia="Arial" w:hAnsi="Arial"/>
                <w:sz w:val="18"/>
                <w:szCs w:val="18"/>
                <w:color w:val="auto"/>
              </w:rPr>
              <w:t>0006184861</w:t>
            </w: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Time Warner Cable Enterprises LLC</w:t>
            </w:r>
          </w:p>
        </w:tc>
        <w:tc>
          <w:tcPr>
            <w:tcW w:w="1900" w:type="dxa"/>
            <w:vAlign w:val="bottom"/>
            <w:gridSpan w:val="3"/>
          </w:tcPr>
          <w:p>
            <w:pPr>
              <w:spacing w:after="0"/>
              <w:rPr>
                <w:sz w:val="20"/>
                <w:szCs w:val="20"/>
                <w:color w:val="auto"/>
              </w:rPr>
            </w:pPr>
            <w:r>
              <w:rPr>
                <w:rFonts w:ascii="Arial" w:cs="Arial" w:eastAsia="Arial" w:hAnsi="Arial"/>
                <w:sz w:val="18"/>
                <w:szCs w:val="18"/>
                <w:color w:val="auto"/>
              </w:rPr>
              <w:t>WQJU341</w:t>
            </w: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0006184863</w:t>
            </w: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Oceanic Time Warner Cable LLC</w:t>
            </w:r>
          </w:p>
        </w:tc>
        <w:tc>
          <w:tcPr>
            <w:tcW w:w="1900" w:type="dxa"/>
            <w:vAlign w:val="bottom"/>
            <w:gridSpan w:val="3"/>
          </w:tcPr>
          <w:p>
            <w:pPr>
              <w:spacing w:after="0"/>
              <w:rPr>
                <w:sz w:val="20"/>
                <w:szCs w:val="20"/>
                <w:color w:val="auto"/>
              </w:rPr>
            </w:pPr>
            <w:r>
              <w:rPr>
                <w:rFonts w:ascii="Arial" w:cs="Arial" w:eastAsia="Arial" w:hAnsi="Arial"/>
                <w:sz w:val="18"/>
                <w:szCs w:val="18"/>
                <w:color w:val="auto"/>
              </w:rPr>
              <w:t>WQQS791</w:t>
            </w: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0006184865</w:t>
            </w: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Time Warner Cable Pacific West LLC</w:t>
            </w:r>
          </w:p>
        </w:tc>
        <w:tc>
          <w:tcPr>
            <w:tcW w:w="1900" w:type="dxa"/>
            <w:vAlign w:val="bottom"/>
            <w:gridSpan w:val="3"/>
          </w:tcPr>
          <w:p>
            <w:pPr>
              <w:spacing w:after="0"/>
              <w:rPr>
                <w:sz w:val="20"/>
                <w:szCs w:val="20"/>
                <w:color w:val="auto"/>
              </w:rPr>
            </w:pPr>
            <w:r>
              <w:rPr>
                <w:rFonts w:ascii="Arial" w:cs="Arial" w:eastAsia="Arial" w:hAnsi="Arial"/>
                <w:sz w:val="18"/>
                <w:szCs w:val="18"/>
                <w:color w:val="auto"/>
              </w:rPr>
              <w:t>KBL655</w:t>
            </w: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0006184868</w:t>
            </w: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Time Warner Cable Midwest LLC</w:t>
            </w:r>
          </w:p>
        </w:tc>
        <w:tc>
          <w:tcPr>
            <w:tcW w:w="1900" w:type="dxa"/>
            <w:vAlign w:val="bottom"/>
            <w:gridSpan w:val="3"/>
          </w:tcPr>
          <w:p>
            <w:pPr>
              <w:spacing w:after="0"/>
              <w:rPr>
                <w:sz w:val="20"/>
                <w:szCs w:val="20"/>
                <w:color w:val="auto"/>
              </w:rPr>
            </w:pPr>
            <w:r>
              <w:rPr>
                <w:rFonts w:ascii="Arial" w:cs="Arial" w:eastAsia="Arial" w:hAnsi="Arial"/>
                <w:sz w:val="18"/>
                <w:szCs w:val="18"/>
                <w:color w:val="auto"/>
              </w:rPr>
              <w:t>KSP492</w:t>
            </w: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0006184872</w:t>
            </w: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Time Warner Cable Texas LLC</w:t>
            </w:r>
          </w:p>
        </w:tc>
        <w:tc>
          <w:tcPr>
            <w:tcW w:w="1900" w:type="dxa"/>
            <w:vAlign w:val="bottom"/>
            <w:gridSpan w:val="3"/>
          </w:tcPr>
          <w:p>
            <w:pPr>
              <w:spacing w:after="0"/>
              <w:rPr>
                <w:sz w:val="20"/>
                <w:szCs w:val="20"/>
                <w:color w:val="auto"/>
              </w:rPr>
            </w:pPr>
            <w:r>
              <w:rPr>
                <w:rFonts w:ascii="Arial" w:cs="Arial" w:eastAsia="Arial" w:hAnsi="Arial"/>
                <w:sz w:val="18"/>
                <w:szCs w:val="18"/>
                <w:color w:val="auto"/>
              </w:rPr>
              <w:t>WPPN885</w:t>
            </w: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0006184876</w:t>
            </w: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Time Warner Cable Northeast LLC</w:t>
            </w:r>
          </w:p>
        </w:tc>
        <w:tc>
          <w:tcPr>
            <w:tcW w:w="1900" w:type="dxa"/>
            <w:vAlign w:val="bottom"/>
            <w:gridSpan w:val="3"/>
          </w:tcPr>
          <w:p>
            <w:pPr>
              <w:spacing w:after="0"/>
              <w:rPr>
                <w:sz w:val="20"/>
                <w:szCs w:val="20"/>
                <w:color w:val="auto"/>
              </w:rPr>
            </w:pPr>
            <w:r>
              <w:rPr>
                <w:rFonts w:ascii="Arial" w:cs="Arial" w:eastAsia="Arial" w:hAnsi="Arial"/>
                <w:sz w:val="18"/>
                <w:szCs w:val="18"/>
                <w:color w:val="auto"/>
              </w:rPr>
              <w:t>KP3939</w:t>
            </w:r>
          </w:p>
        </w:tc>
      </w:tr>
      <w:tr>
        <w:trPr>
          <w:trHeight w:val="216"/>
        </w:trPr>
        <w:tc>
          <w:tcPr>
            <w:tcW w:w="2100" w:type="dxa"/>
            <w:vAlign w:val="bottom"/>
            <w:gridSpan w:val="2"/>
          </w:tcPr>
          <w:p>
            <w:pPr>
              <w:spacing w:after="0"/>
              <w:rPr>
                <w:sz w:val="20"/>
                <w:szCs w:val="20"/>
                <w:color w:val="auto"/>
              </w:rPr>
            </w:pPr>
            <w:r>
              <w:rPr>
                <w:rFonts w:ascii="Arial" w:cs="Arial" w:eastAsia="Arial" w:hAnsi="Arial"/>
                <w:sz w:val="18"/>
                <w:szCs w:val="18"/>
                <w:color w:val="auto"/>
              </w:rPr>
              <w:t>0006184882</w:t>
            </w: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Time Warner Cable New York City LLC</w:t>
            </w:r>
          </w:p>
        </w:tc>
        <w:tc>
          <w:tcPr>
            <w:tcW w:w="1900" w:type="dxa"/>
            <w:vAlign w:val="bottom"/>
            <w:gridSpan w:val="3"/>
          </w:tcPr>
          <w:p>
            <w:pPr>
              <w:spacing w:after="0"/>
              <w:rPr>
                <w:sz w:val="20"/>
                <w:szCs w:val="20"/>
                <w:color w:val="auto"/>
              </w:rPr>
            </w:pPr>
            <w:r>
              <w:rPr>
                <w:rFonts w:ascii="Arial" w:cs="Arial" w:eastAsia="Arial" w:hAnsi="Arial"/>
                <w:sz w:val="18"/>
                <w:szCs w:val="18"/>
                <w:color w:val="auto"/>
              </w:rPr>
              <w:t>WPOB447</w:t>
            </w:r>
          </w:p>
        </w:tc>
      </w:tr>
      <w:tr>
        <w:trPr>
          <w:trHeight w:val="230"/>
        </w:trPr>
        <w:tc>
          <w:tcPr>
            <w:tcW w:w="2100" w:type="dxa"/>
            <w:vAlign w:val="bottom"/>
            <w:gridSpan w:val="2"/>
          </w:tcPr>
          <w:p>
            <w:pPr>
              <w:spacing w:after="0"/>
              <w:rPr>
                <w:sz w:val="20"/>
                <w:szCs w:val="20"/>
                <w:color w:val="auto"/>
              </w:rPr>
            </w:pPr>
            <w:r>
              <w:rPr>
                <w:rFonts w:ascii="Arial" w:cs="Arial" w:eastAsia="Arial" w:hAnsi="Arial"/>
                <w:sz w:val="18"/>
                <w:szCs w:val="18"/>
                <w:color w:val="auto"/>
              </w:rPr>
              <w:t>0006184885</w:t>
            </w:r>
          </w:p>
        </w:tc>
        <w:tc>
          <w:tcPr>
            <w:tcW w:w="7040" w:type="dxa"/>
            <w:vAlign w:val="bottom"/>
            <w:gridSpan w:val="4"/>
          </w:tcPr>
          <w:p>
            <w:pPr>
              <w:ind w:left="200"/>
              <w:spacing w:after="0"/>
              <w:rPr>
                <w:sz w:val="20"/>
                <w:szCs w:val="20"/>
                <w:color w:val="auto"/>
              </w:rPr>
            </w:pPr>
            <w:r>
              <w:rPr>
                <w:rFonts w:ascii="Arial" w:cs="Arial" w:eastAsia="Arial" w:hAnsi="Arial"/>
                <w:sz w:val="18"/>
                <w:szCs w:val="18"/>
                <w:color w:val="auto"/>
              </w:rPr>
              <w:t>Time Warner Cable Southeast LLC</w:t>
            </w:r>
          </w:p>
        </w:tc>
        <w:tc>
          <w:tcPr>
            <w:tcW w:w="1900" w:type="dxa"/>
            <w:vAlign w:val="bottom"/>
            <w:gridSpan w:val="3"/>
          </w:tcPr>
          <w:p>
            <w:pPr>
              <w:spacing w:after="0"/>
              <w:rPr>
                <w:sz w:val="20"/>
                <w:szCs w:val="20"/>
                <w:color w:val="auto"/>
              </w:rPr>
            </w:pPr>
            <w:r>
              <w:rPr>
                <w:rFonts w:ascii="Arial" w:cs="Arial" w:eastAsia="Arial" w:hAnsi="Arial"/>
                <w:sz w:val="18"/>
                <w:szCs w:val="18"/>
                <w:color w:val="auto"/>
              </w:rPr>
              <w:t>KTK417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Listed below are Bright House licenses subject to applications for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transfer of control:</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3420" w:type="dxa"/>
            <w:vAlign w:val="bottom"/>
            <w:gridSpan w:val="3"/>
          </w:tcPr>
          <w:p>
            <w:pPr>
              <w:ind w:left="700"/>
              <w:spacing w:after="0"/>
              <w:rPr>
                <w:sz w:val="20"/>
                <w:szCs w:val="20"/>
                <w:color w:val="auto"/>
              </w:rPr>
            </w:pPr>
            <w:r>
              <w:rPr>
                <w:rFonts w:ascii="Arial" w:cs="Arial" w:eastAsia="Arial" w:hAnsi="Arial"/>
                <w:sz w:val="18"/>
                <w:szCs w:val="18"/>
                <w:b w:val="1"/>
                <w:bCs w:val="1"/>
                <w:color w:val="auto"/>
              </w:rPr>
              <w:t>Licensee</w:t>
            </w:r>
          </w:p>
        </w:tc>
        <w:tc>
          <w:tcPr>
            <w:tcW w:w="412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Lead Call Sign</w:t>
            </w:r>
          </w:p>
        </w:tc>
      </w:tr>
      <w:tr>
        <w:trPr>
          <w:trHeight w:val="20"/>
        </w:trPr>
        <w:tc>
          <w:tcPr>
            <w:tcW w:w="6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37"/>
        </w:trPr>
        <w:tc>
          <w:tcPr>
            <w:tcW w:w="1600" w:type="dxa"/>
            <w:vAlign w:val="bottom"/>
            <w:gridSpan w:val="2"/>
          </w:tcPr>
          <w:p>
            <w:pPr>
              <w:spacing w:after="0"/>
              <w:rPr>
                <w:sz w:val="20"/>
                <w:szCs w:val="20"/>
                <w:color w:val="auto"/>
              </w:rPr>
            </w:pPr>
            <w:r>
              <w:rPr>
                <w:rFonts w:ascii="Arial" w:cs="Arial" w:eastAsia="Arial" w:hAnsi="Arial"/>
                <w:sz w:val="18"/>
                <w:szCs w:val="18"/>
                <w:color w:val="auto"/>
              </w:rPr>
              <w:t>0006210354</w:t>
            </w:r>
          </w:p>
        </w:tc>
        <w:tc>
          <w:tcPr>
            <w:tcW w:w="3420" w:type="dxa"/>
            <w:vAlign w:val="bottom"/>
            <w:gridSpan w:val="3"/>
          </w:tcPr>
          <w:p>
            <w:pPr>
              <w:ind w:left="700"/>
              <w:spacing w:after="0"/>
              <w:rPr>
                <w:sz w:val="20"/>
                <w:szCs w:val="20"/>
                <w:color w:val="auto"/>
              </w:rPr>
            </w:pPr>
            <w:r>
              <w:rPr>
                <w:rFonts w:ascii="Arial" w:cs="Arial" w:eastAsia="Arial" w:hAnsi="Arial"/>
                <w:sz w:val="18"/>
                <w:szCs w:val="18"/>
                <w:color w:val="auto"/>
              </w:rPr>
              <w:t>Bright House Networks, LLC</w:t>
            </w:r>
          </w:p>
        </w:tc>
        <w:tc>
          <w:tcPr>
            <w:tcW w:w="412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KBR969</w:t>
            </w:r>
          </w:p>
        </w:tc>
      </w:tr>
      <w:tr>
        <w:trPr>
          <w:trHeight w:val="932"/>
        </w:trPr>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4120" w:type="dxa"/>
            <w:vAlign w:val="bottom"/>
          </w:tcPr>
          <w:p>
            <w:pPr>
              <w:jc w:val="right"/>
              <w:ind w:right="3250"/>
              <w:spacing w:after="0"/>
              <w:rPr>
                <w:sz w:val="20"/>
                <w:szCs w:val="20"/>
                <w:color w:val="auto"/>
              </w:rPr>
            </w:pPr>
            <w:r>
              <w:rPr>
                <w:rFonts w:ascii="Arial" w:cs="Arial" w:eastAsia="Arial" w:hAnsi="Arial"/>
                <w:sz w:val="18"/>
                <w:szCs w:val="18"/>
                <w:color w:val="auto"/>
              </w:rPr>
              <w:t>19</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6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2060" w:type="dxa"/>
            <w:vAlign w:val="bottom"/>
            <w:tcBorders>
              <w:bottom w:val="single" w:sz="8" w:color="808080"/>
            </w:tcBorders>
          </w:tcPr>
          <w:p>
            <w:pPr>
              <w:spacing w:after="0"/>
              <w:rPr>
                <w:sz w:val="10"/>
                <w:szCs w:val="10"/>
                <w:color w:val="auto"/>
              </w:rPr>
            </w:pPr>
          </w:p>
        </w:tc>
        <w:tc>
          <w:tcPr>
            <w:tcW w:w="412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37"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COMCAST/CHARTER/SPINCO DIVESTITURE TRANSACTIONS</w:t>
      </w:r>
    </w:p>
    <w:p>
      <w:pPr>
        <w:spacing w:after="0" w:line="279"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Part 78 – Cable Television Relay Service (CARS)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Charter licenses to be transferred to Comcast: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7160" w:type="dxa"/>
            <w:vAlign w:val="bottom"/>
            <w:gridSpan w:val="3"/>
          </w:tcPr>
          <w:p>
            <w:pPr>
              <w:ind w:left="320"/>
              <w:spacing w:after="0"/>
              <w:rPr>
                <w:sz w:val="20"/>
                <w:szCs w:val="20"/>
                <w:color w:val="auto"/>
              </w:rPr>
            </w:pPr>
            <w:r>
              <w:rPr>
                <w:rFonts w:ascii="Arial" w:cs="Arial" w:eastAsia="Arial" w:hAnsi="Arial"/>
                <w:sz w:val="18"/>
                <w:szCs w:val="18"/>
                <w:b w:val="1"/>
                <w:bCs w:val="1"/>
                <w:color w:val="auto"/>
              </w:rPr>
              <w:t>Licensee</w:t>
            </w:r>
          </w:p>
        </w:tc>
        <w:tc>
          <w:tcPr>
            <w:tcW w:w="760" w:type="dxa"/>
            <w:vAlign w:val="bottom"/>
            <w:gridSpan w:val="2"/>
          </w:tcPr>
          <w:p>
            <w:pPr>
              <w:spacing w:after="0"/>
              <w:rPr>
                <w:sz w:val="20"/>
                <w:szCs w:val="20"/>
                <w:color w:val="auto"/>
              </w:rPr>
            </w:pPr>
            <w:r>
              <w:rPr>
                <w:rFonts w:ascii="Arial" w:cs="Arial" w:eastAsia="Arial" w:hAnsi="Arial"/>
                <w:sz w:val="18"/>
                <w:szCs w:val="18"/>
                <w:b w:val="1"/>
                <w:bCs w:val="1"/>
                <w:color w:val="auto"/>
                <w:w w:val="96"/>
              </w:rPr>
              <w:t>Call Sign</w:t>
            </w:r>
          </w:p>
        </w:tc>
      </w:tr>
      <w:tr>
        <w:trPr>
          <w:trHeight w:val="20"/>
        </w:trPr>
        <w:tc>
          <w:tcPr>
            <w:tcW w:w="6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2"/>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CAR-20140613AN-09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CCO SoCal I, LLC</w:t>
            </w:r>
          </w:p>
        </w:tc>
        <w:tc>
          <w:tcPr>
            <w:tcW w:w="760" w:type="dxa"/>
            <w:vAlign w:val="bottom"/>
            <w:gridSpan w:val="2"/>
          </w:tcPr>
          <w:p>
            <w:pPr>
              <w:spacing w:after="0"/>
              <w:rPr>
                <w:sz w:val="20"/>
                <w:szCs w:val="20"/>
                <w:color w:val="auto"/>
              </w:rPr>
            </w:pPr>
            <w:r>
              <w:rPr>
                <w:rFonts w:ascii="Arial" w:cs="Arial" w:eastAsia="Arial" w:hAnsi="Arial"/>
                <w:sz w:val="18"/>
                <w:szCs w:val="18"/>
                <w:color w:val="auto"/>
                <w:w w:val="92"/>
              </w:rPr>
              <w:t>WAM-603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CAR-20140613AO-09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CCO SoCal I, LLC</w:t>
            </w:r>
          </w:p>
        </w:tc>
        <w:tc>
          <w:tcPr>
            <w:tcW w:w="760" w:type="dxa"/>
            <w:vAlign w:val="bottom"/>
            <w:gridSpan w:val="2"/>
          </w:tcPr>
          <w:p>
            <w:pPr>
              <w:spacing w:after="0"/>
              <w:rPr>
                <w:sz w:val="20"/>
                <w:szCs w:val="20"/>
                <w:color w:val="auto"/>
              </w:rPr>
            </w:pPr>
            <w:r>
              <w:rPr>
                <w:rFonts w:ascii="Arial" w:cs="Arial" w:eastAsia="Arial" w:hAnsi="Arial"/>
                <w:sz w:val="18"/>
                <w:szCs w:val="18"/>
                <w:color w:val="auto"/>
                <w:w w:val="92"/>
              </w:rPr>
              <w:t>WAM-609</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CAR-20140613AP-09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CCO SoCal I, LLC</w:t>
            </w:r>
          </w:p>
        </w:tc>
        <w:tc>
          <w:tcPr>
            <w:tcW w:w="760" w:type="dxa"/>
            <w:vAlign w:val="bottom"/>
            <w:gridSpan w:val="2"/>
          </w:tcPr>
          <w:p>
            <w:pPr>
              <w:spacing w:after="0"/>
              <w:rPr>
                <w:sz w:val="20"/>
                <w:szCs w:val="20"/>
                <w:color w:val="auto"/>
              </w:rPr>
            </w:pPr>
            <w:r>
              <w:rPr>
                <w:rFonts w:ascii="Arial" w:cs="Arial" w:eastAsia="Arial" w:hAnsi="Arial"/>
                <w:sz w:val="18"/>
                <w:szCs w:val="18"/>
                <w:color w:val="auto"/>
                <w:w w:val="96"/>
              </w:rPr>
              <w:t>WHZ-899</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CAR-20140613AQ-09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CCO SoCal I, LLC</w:t>
            </w:r>
          </w:p>
        </w:tc>
        <w:tc>
          <w:tcPr>
            <w:tcW w:w="760" w:type="dxa"/>
            <w:vAlign w:val="bottom"/>
            <w:gridSpan w:val="2"/>
          </w:tcPr>
          <w:p>
            <w:pPr>
              <w:spacing w:after="0"/>
              <w:rPr>
                <w:sz w:val="20"/>
                <w:szCs w:val="20"/>
                <w:color w:val="auto"/>
              </w:rPr>
            </w:pPr>
            <w:r>
              <w:rPr>
                <w:rFonts w:ascii="Arial" w:cs="Arial" w:eastAsia="Arial" w:hAnsi="Arial"/>
                <w:sz w:val="18"/>
                <w:szCs w:val="18"/>
                <w:color w:val="auto"/>
              </w:rPr>
              <w:t>WSA-52</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CAR-20140613AR-09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CCO SoCal I, LLC</w:t>
            </w:r>
          </w:p>
        </w:tc>
        <w:tc>
          <w:tcPr>
            <w:tcW w:w="760" w:type="dxa"/>
            <w:vAlign w:val="bottom"/>
            <w:gridSpan w:val="2"/>
          </w:tcPr>
          <w:p>
            <w:pPr>
              <w:spacing w:after="0"/>
              <w:rPr>
                <w:sz w:val="20"/>
                <w:szCs w:val="20"/>
                <w:color w:val="auto"/>
              </w:rPr>
            </w:pPr>
            <w:r>
              <w:rPr>
                <w:rFonts w:ascii="Arial" w:cs="Arial" w:eastAsia="Arial" w:hAnsi="Arial"/>
                <w:sz w:val="18"/>
                <w:szCs w:val="18"/>
                <w:color w:val="auto"/>
              </w:rPr>
              <w:t>WSJ-78</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CAR-20140613AS-09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CCO SoCal I, LLC</w:t>
            </w:r>
          </w:p>
        </w:tc>
        <w:tc>
          <w:tcPr>
            <w:tcW w:w="760" w:type="dxa"/>
            <w:vAlign w:val="bottom"/>
            <w:gridSpan w:val="2"/>
          </w:tcPr>
          <w:p>
            <w:pPr>
              <w:spacing w:after="0"/>
              <w:rPr>
                <w:sz w:val="20"/>
                <w:szCs w:val="20"/>
                <w:color w:val="auto"/>
              </w:rPr>
            </w:pPr>
            <w:r>
              <w:rPr>
                <w:rFonts w:ascii="Arial" w:cs="Arial" w:eastAsia="Arial" w:hAnsi="Arial"/>
                <w:sz w:val="18"/>
                <w:szCs w:val="18"/>
                <w:color w:val="auto"/>
                <w:w w:val="93"/>
              </w:rPr>
              <w:t>WGV-505</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CAR-20140613AT-09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CCO SoCal I, LLC</w:t>
            </w:r>
          </w:p>
        </w:tc>
        <w:tc>
          <w:tcPr>
            <w:tcW w:w="760" w:type="dxa"/>
            <w:vAlign w:val="bottom"/>
            <w:gridSpan w:val="2"/>
          </w:tcPr>
          <w:p>
            <w:pPr>
              <w:spacing w:after="0"/>
              <w:rPr>
                <w:sz w:val="20"/>
                <w:szCs w:val="20"/>
                <w:color w:val="auto"/>
              </w:rPr>
            </w:pPr>
            <w:r>
              <w:rPr>
                <w:rFonts w:ascii="Arial" w:cs="Arial" w:eastAsia="Arial" w:hAnsi="Arial"/>
                <w:sz w:val="18"/>
                <w:szCs w:val="18"/>
                <w:color w:val="auto"/>
                <w:w w:val="96"/>
              </w:rPr>
              <w:t>WHZ-511</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CAR-20140613AU-09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CCO SoCal I, LLC</w:t>
            </w:r>
          </w:p>
        </w:tc>
        <w:tc>
          <w:tcPr>
            <w:tcW w:w="760" w:type="dxa"/>
            <w:vAlign w:val="bottom"/>
            <w:gridSpan w:val="2"/>
          </w:tcPr>
          <w:p>
            <w:pPr>
              <w:spacing w:after="0"/>
              <w:rPr>
                <w:sz w:val="20"/>
                <w:szCs w:val="20"/>
                <w:color w:val="auto"/>
              </w:rPr>
            </w:pPr>
            <w:r>
              <w:rPr>
                <w:rFonts w:ascii="Arial" w:cs="Arial" w:eastAsia="Arial" w:hAnsi="Arial"/>
                <w:sz w:val="18"/>
                <w:szCs w:val="18"/>
                <w:color w:val="auto"/>
                <w:w w:val="96"/>
              </w:rPr>
              <w:t>WHZ-662</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CAR-20140613AV-09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CCO SoCal I, LLC</w:t>
            </w:r>
          </w:p>
        </w:tc>
        <w:tc>
          <w:tcPr>
            <w:tcW w:w="760" w:type="dxa"/>
            <w:vAlign w:val="bottom"/>
            <w:gridSpan w:val="2"/>
          </w:tcPr>
          <w:p>
            <w:pPr>
              <w:spacing w:after="0"/>
              <w:rPr>
                <w:sz w:val="20"/>
                <w:szCs w:val="20"/>
                <w:color w:val="auto"/>
              </w:rPr>
            </w:pPr>
            <w:r>
              <w:rPr>
                <w:rFonts w:ascii="Arial" w:cs="Arial" w:eastAsia="Arial" w:hAnsi="Arial"/>
                <w:sz w:val="18"/>
                <w:szCs w:val="18"/>
                <w:color w:val="auto"/>
                <w:w w:val="96"/>
              </w:rPr>
              <w:t>WHZ-764</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CAR-20140613AW-09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CCO SoCal I, LLC</w:t>
            </w:r>
          </w:p>
        </w:tc>
        <w:tc>
          <w:tcPr>
            <w:tcW w:w="760" w:type="dxa"/>
            <w:vAlign w:val="bottom"/>
            <w:gridSpan w:val="2"/>
          </w:tcPr>
          <w:p>
            <w:pPr>
              <w:spacing w:after="0"/>
              <w:rPr>
                <w:sz w:val="20"/>
                <w:szCs w:val="20"/>
                <w:color w:val="auto"/>
              </w:rPr>
            </w:pPr>
            <w:r>
              <w:rPr>
                <w:rFonts w:ascii="Arial" w:cs="Arial" w:eastAsia="Arial" w:hAnsi="Arial"/>
                <w:sz w:val="18"/>
                <w:szCs w:val="18"/>
                <w:color w:val="auto"/>
              </w:rPr>
              <w:t>WBW-21</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CAR-20140613BF-09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Falcon Cable Systems Co. II, LP</w:t>
            </w:r>
          </w:p>
        </w:tc>
        <w:tc>
          <w:tcPr>
            <w:tcW w:w="760" w:type="dxa"/>
            <w:vAlign w:val="bottom"/>
            <w:gridSpan w:val="2"/>
          </w:tcPr>
          <w:p>
            <w:pPr>
              <w:spacing w:after="0"/>
              <w:rPr>
                <w:sz w:val="20"/>
                <w:szCs w:val="20"/>
                <w:color w:val="auto"/>
              </w:rPr>
            </w:pPr>
            <w:r>
              <w:rPr>
                <w:rFonts w:ascii="Arial" w:cs="Arial" w:eastAsia="Arial" w:hAnsi="Arial"/>
                <w:sz w:val="18"/>
                <w:szCs w:val="18"/>
                <w:color w:val="auto"/>
                <w:w w:val="96"/>
              </w:rPr>
              <w:t>WHZ-856</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CAR-20140613BG-09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Falcon Cable Systems Co. II, LP</w:t>
            </w:r>
          </w:p>
        </w:tc>
        <w:tc>
          <w:tcPr>
            <w:tcW w:w="760" w:type="dxa"/>
            <w:vAlign w:val="bottom"/>
            <w:gridSpan w:val="2"/>
          </w:tcPr>
          <w:p>
            <w:pPr>
              <w:spacing w:after="0"/>
              <w:rPr>
                <w:sz w:val="20"/>
                <w:szCs w:val="20"/>
                <w:color w:val="auto"/>
              </w:rPr>
            </w:pPr>
            <w:r>
              <w:rPr>
                <w:rFonts w:ascii="Arial" w:cs="Arial" w:eastAsia="Arial" w:hAnsi="Arial"/>
                <w:sz w:val="18"/>
                <w:szCs w:val="18"/>
                <w:color w:val="auto"/>
                <w:w w:val="98"/>
              </w:rPr>
              <w:t>WLY-695</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CAR-20140613BD-09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Falcon Telecable, a California Limited Partnership</w:t>
            </w:r>
          </w:p>
        </w:tc>
        <w:tc>
          <w:tcPr>
            <w:tcW w:w="760" w:type="dxa"/>
            <w:vAlign w:val="bottom"/>
            <w:gridSpan w:val="2"/>
          </w:tcPr>
          <w:p>
            <w:pPr>
              <w:spacing w:after="0"/>
              <w:rPr>
                <w:sz w:val="20"/>
                <w:szCs w:val="20"/>
                <w:color w:val="auto"/>
              </w:rPr>
            </w:pPr>
            <w:r>
              <w:rPr>
                <w:rFonts w:ascii="Arial" w:cs="Arial" w:eastAsia="Arial" w:hAnsi="Arial"/>
                <w:sz w:val="18"/>
                <w:szCs w:val="18"/>
                <w:color w:val="auto"/>
                <w:w w:val="96"/>
              </w:rPr>
              <w:t>WHZ-632</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CAR-20140613BE-09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Falcon Telecable, a California Limited Partnership</w:t>
            </w:r>
          </w:p>
        </w:tc>
        <w:tc>
          <w:tcPr>
            <w:tcW w:w="760" w:type="dxa"/>
            <w:vAlign w:val="bottom"/>
            <w:gridSpan w:val="2"/>
          </w:tcPr>
          <w:p>
            <w:pPr>
              <w:spacing w:after="0"/>
              <w:rPr>
                <w:sz w:val="20"/>
                <w:szCs w:val="20"/>
                <w:color w:val="auto"/>
              </w:rPr>
            </w:pPr>
            <w:r>
              <w:rPr>
                <w:rFonts w:ascii="Arial" w:cs="Arial" w:eastAsia="Arial" w:hAnsi="Arial"/>
                <w:sz w:val="18"/>
                <w:szCs w:val="18"/>
                <w:color w:val="auto"/>
                <w:w w:val="96"/>
              </w:rPr>
              <w:t>WHZ-645</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CAR-20140613AX-09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Falcon Community Ventures I, LP</w:t>
            </w:r>
          </w:p>
        </w:tc>
        <w:tc>
          <w:tcPr>
            <w:tcW w:w="760" w:type="dxa"/>
            <w:vAlign w:val="bottom"/>
            <w:gridSpan w:val="2"/>
          </w:tcPr>
          <w:p>
            <w:pPr>
              <w:spacing w:after="0"/>
              <w:rPr>
                <w:sz w:val="20"/>
                <w:szCs w:val="20"/>
                <w:color w:val="auto"/>
              </w:rPr>
            </w:pPr>
            <w:r>
              <w:rPr>
                <w:rFonts w:ascii="Arial" w:cs="Arial" w:eastAsia="Arial" w:hAnsi="Arial"/>
                <w:sz w:val="18"/>
                <w:szCs w:val="18"/>
                <w:color w:val="auto"/>
                <w:w w:val="96"/>
              </w:rPr>
              <w:t>WAY-753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CAR-20140613AY-09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Falcon Community Ventures I, LP</w:t>
            </w:r>
          </w:p>
        </w:tc>
        <w:tc>
          <w:tcPr>
            <w:tcW w:w="760" w:type="dxa"/>
            <w:vAlign w:val="bottom"/>
            <w:gridSpan w:val="2"/>
          </w:tcPr>
          <w:p>
            <w:pPr>
              <w:spacing w:after="0"/>
              <w:rPr>
                <w:sz w:val="20"/>
                <w:szCs w:val="20"/>
                <w:color w:val="auto"/>
              </w:rPr>
            </w:pPr>
            <w:r>
              <w:rPr>
                <w:rFonts w:ascii="Arial" w:cs="Arial" w:eastAsia="Arial" w:hAnsi="Arial"/>
                <w:sz w:val="18"/>
                <w:szCs w:val="18"/>
                <w:color w:val="auto"/>
                <w:w w:val="96"/>
              </w:rPr>
              <w:t>WHZ-908</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CAR-20140613AZ-09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Falcon Community Ventures I, LP</w:t>
            </w:r>
          </w:p>
        </w:tc>
        <w:tc>
          <w:tcPr>
            <w:tcW w:w="760" w:type="dxa"/>
            <w:vAlign w:val="bottom"/>
            <w:gridSpan w:val="2"/>
          </w:tcPr>
          <w:p>
            <w:pPr>
              <w:spacing w:after="0"/>
              <w:rPr>
                <w:sz w:val="20"/>
                <w:szCs w:val="20"/>
                <w:color w:val="auto"/>
              </w:rPr>
            </w:pPr>
            <w:r>
              <w:rPr>
                <w:rFonts w:ascii="Arial" w:cs="Arial" w:eastAsia="Arial" w:hAnsi="Arial"/>
                <w:sz w:val="18"/>
                <w:szCs w:val="18"/>
                <w:color w:val="auto"/>
                <w:w w:val="98"/>
              </w:rPr>
              <w:t>WLY-441</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CAR-20140613BA-09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Falcon Community Ventures I, LP</w:t>
            </w:r>
          </w:p>
        </w:tc>
        <w:tc>
          <w:tcPr>
            <w:tcW w:w="760" w:type="dxa"/>
            <w:vAlign w:val="bottom"/>
            <w:gridSpan w:val="2"/>
          </w:tcPr>
          <w:p>
            <w:pPr>
              <w:spacing w:after="0"/>
              <w:rPr>
                <w:sz w:val="20"/>
                <w:szCs w:val="20"/>
                <w:color w:val="auto"/>
              </w:rPr>
            </w:pPr>
            <w:r>
              <w:rPr>
                <w:rFonts w:ascii="Arial" w:cs="Arial" w:eastAsia="Arial" w:hAnsi="Arial"/>
                <w:sz w:val="18"/>
                <w:szCs w:val="18"/>
                <w:color w:val="auto"/>
                <w:w w:val="98"/>
              </w:rPr>
              <w:t>WLY-446</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CAR-20140613BB-09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Falcon Video Communications, L.P.</w:t>
            </w:r>
          </w:p>
        </w:tc>
        <w:tc>
          <w:tcPr>
            <w:tcW w:w="760" w:type="dxa"/>
            <w:vAlign w:val="bottom"/>
            <w:gridSpan w:val="2"/>
          </w:tcPr>
          <w:p>
            <w:pPr>
              <w:spacing w:after="0"/>
              <w:rPr>
                <w:sz w:val="20"/>
                <w:szCs w:val="20"/>
                <w:color w:val="auto"/>
              </w:rPr>
            </w:pPr>
            <w:r>
              <w:rPr>
                <w:rFonts w:ascii="Arial" w:cs="Arial" w:eastAsia="Arial" w:hAnsi="Arial"/>
                <w:sz w:val="18"/>
                <w:szCs w:val="18"/>
                <w:color w:val="auto"/>
                <w:w w:val="97"/>
              </w:rPr>
              <w:t>WGJ-868</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CAR-20140613BC-09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Rifkin Acquisition Partners, LLC</w:t>
            </w:r>
          </w:p>
        </w:tc>
        <w:tc>
          <w:tcPr>
            <w:tcW w:w="760" w:type="dxa"/>
            <w:vAlign w:val="bottom"/>
            <w:gridSpan w:val="2"/>
          </w:tcPr>
          <w:p>
            <w:pPr>
              <w:spacing w:after="0"/>
              <w:rPr>
                <w:sz w:val="20"/>
                <w:szCs w:val="20"/>
                <w:color w:val="auto"/>
              </w:rPr>
            </w:pPr>
            <w:r>
              <w:rPr>
                <w:rFonts w:ascii="Arial" w:cs="Arial" w:eastAsia="Arial" w:hAnsi="Arial"/>
                <w:sz w:val="18"/>
                <w:szCs w:val="18"/>
                <w:color w:val="auto"/>
                <w:w w:val="94"/>
              </w:rPr>
              <w:t>WGZ-305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Comcast licenses to be assigned to SpinCo:</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7160" w:type="dxa"/>
            <w:vAlign w:val="bottom"/>
            <w:gridSpan w:val="3"/>
          </w:tcPr>
          <w:p>
            <w:pPr>
              <w:ind w:left="320"/>
              <w:spacing w:after="0"/>
              <w:rPr>
                <w:sz w:val="20"/>
                <w:szCs w:val="20"/>
                <w:color w:val="auto"/>
              </w:rPr>
            </w:pPr>
            <w:r>
              <w:rPr>
                <w:rFonts w:ascii="Arial" w:cs="Arial" w:eastAsia="Arial" w:hAnsi="Arial"/>
                <w:sz w:val="18"/>
                <w:szCs w:val="18"/>
                <w:b w:val="1"/>
                <w:bCs w:val="1"/>
                <w:color w:val="auto"/>
              </w:rPr>
              <w:t>Licensee</w:t>
            </w:r>
          </w:p>
        </w:tc>
        <w:tc>
          <w:tcPr>
            <w:tcW w:w="740" w:type="dxa"/>
            <w:vAlign w:val="bottom"/>
            <w:gridSpan w:val="2"/>
          </w:tcPr>
          <w:p>
            <w:pPr>
              <w:spacing w:after="0"/>
              <w:rPr>
                <w:sz w:val="20"/>
                <w:szCs w:val="20"/>
                <w:color w:val="auto"/>
              </w:rPr>
            </w:pPr>
            <w:r>
              <w:rPr>
                <w:rFonts w:ascii="Arial" w:cs="Arial" w:eastAsia="Arial" w:hAnsi="Arial"/>
                <w:sz w:val="18"/>
                <w:szCs w:val="18"/>
                <w:b w:val="1"/>
                <w:bCs w:val="1"/>
                <w:color w:val="auto"/>
                <w:w w:val="93"/>
              </w:rPr>
              <w:t>Call Sign</w:t>
            </w:r>
          </w:p>
        </w:tc>
      </w:tr>
      <w:tr>
        <w:trPr>
          <w:trHeight w:val="20"/>
        </w:trPr>
        <w:tc>
          <w:tcPr>
            <w:tcW w:w="6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CAR-20140612AB-08</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Comcast of Alabama, Inc.</w:t>
            </w:r>
          </w:p>
        </w:tc>
        <w:tc>
          <w:tcPr>
            <w:tcW w:w="740" w:type="dxa"/>
            <w:vAlign w:val="bottom"/>
            <w:gridSpan w:val="2"/>
          </w:tcPr>
          <w:p>
            <w:pPr>
              <w:spacing w:after="0"/>
              <w:rPr>
                <w:sz w:val="20"/>
                <w:szCs w:val="20"/>
                <w:color w:val="auto"/>
              </w:rPr>
            </w:pPr>
            <w:r>
              <w:rPr>
                <w:rFonts w:ascii="Arial" w:cs="Arial" w:eastAsia="Arial" w:hAnsi="Arial"/>
                <w:sz w:val="18"/>
                <w:szCs w:val="18"/>
                <w:color w:val="auto"/>
                <w:w w:val="91"/>
              </w:rPr>
              <w:t>WBG-892</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CAR-20140612AA-08</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Comcast of Kentucky/Tennessee/Virginia, LLC</w:t>
            </w:r>
          </w:p>
        </w:tc>
        <w:tc>
          <w:tcPr>
            <w:tcW w:w="740" w:type="dxa"/>
            <w:vAlign w:val="bottom"/>
            <w:gridSpan w:val="2"/>
          </w:tcPr>
          <w:p>
            <w:pPr>
              <w:spacing w:after="0"/>
              <w:rPr>
                <w:sz w:val="20"/>
                <w:szCs w:val="20"/>
                <w:color w:val="auto"/>
              </w:rPr>
            </w:pPr>
            <w:r>
              <w:rPr>
                <w:rFonts w:ascii="Arial" w:cs="Arial" w:eastAsia="Arial" w:hAnsi="Arial"/>
                <w:sz w:val="18"/>
                <w:szCs w:val="18"/>
                <w:color w:val="auto"/>
                <w:w w:val="95"/>
              </w:rPr>
              <w:t>WLY-894</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Listed below are Charter licenses subject to applications for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restructuring: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8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7160" w:type="dxa"/>
            <w:vAlign w:val="bottom"/>
            <w:gridSpan w:val="3"/>
          </w:tcPr>
          <w:p>
            <w:pPr>
              <w:ind w:left="320"/>
              <w:spacing w:after="0"/>
              <w:rPr>
                <w:sz w:val="20"/>
                <w:szCs w:val="20"/>
                <w:color w:val="auto"/>
              </w:rPr>
            </w:pPr>
            <w:r>
              <w:rPr>
                <w:rFonts w:ascii="Arial" w:cs="Arial" w:eastAsia="Arial" w:hAnsi="Arial"/>
                <w:sz w:val="18"/>
                <w:szCs w:val="18"/>
                <w:b w:val="1"/>
                <w:bCs w:val="1"/>
                <w:color w:val="auto"/>
              </w:rPr>
              <w:t>Licensee</w:t>
            </w: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Call Sign</w:t>
            </w:r>
          </w:p>
        </w:tc>
      </w:tr>
      <w:tr>
        <w:trPr>
          <w:trHeight w:val="20"/>
        </w:trPr>
        <w:tc>
          <w:tcPr>
            <w:tcW w:w="60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2"/>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CAR-20140613AB-08</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Falcon Telecable, a California Limited Partnership</w:t>
            </w:r>
          </w:p>
        </w:tc>
        <w:tc>
          <w:tcPr>
            <w:tcW w:w="2280" w:type="dxa"/>
            <w:vAlign w:val="bottom"/>
            <w:gridSpan w:val="2"/>
          </w:tcPr>
          <w:p>
            <w:pPr>
              <w:spacing w:after="0"/>
              <w:rPr>
                <w:sz w:val="20"/>
                <w:szCs w:val="20"/>
                <w:color w:val="auto"/>
              </w:rPr>
            </w:pPr>
            <w:r>
              <w:rPr>
                <w:rFonts w:ascii="Arial" w:cs="Arial" w:eastAsia="Arial" w:hAnsi="Arial"/>
                <w:sz w:val="18"/>
                <w:szCs w:val="18"/>
                <w:color w:val="auto"/>
              </w:rPr>
              <w:t>WGV-576</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CAR-20140612AC-09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CC VIII Operating,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WLY-689</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CAR-20140613AA-09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CC VIII Operating,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KQQ-26</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CAR-20140612AD-09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CC VIII Operating,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WLY-669</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CAR-20140613AC-09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Charter Cable Partners,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WGJ-444</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CAR-20140613AD-09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Charter Cable Partners,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WLY-637</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CAR-20140613AE-09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Bresnan Communications,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WBH-637</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CAR-20140613AF-09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Bresnan Communications,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WHZ-634</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CAR-20140613AG-09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Bresnan Communications,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WHZ-748</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CAR-20140613AH-09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Bresnan Communications,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WLY-332</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CAR-20140613AI-09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Bresnan Communications,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WLY-563</w:t>
            </w:r>
          </w:p>
        </w:tc>
      </w:tr>
      <w:tr>
        <w:trPr>
          <w:trHeight w:val="216"/>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CAR-20140613AJ-09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Bresnan Communications,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WLY-838</w:t>
            </w:r>
          </w:p>
        </w:tc>
      </w:tr>
      <w:tr>
        <w:trPr>
          <w:trHeight w:val="230"/>
        </w:trPr>
        <w:tc>
          <w:tcPr>
            <w:tcW w:w="1980" w:type="dxa"/>
            <w:vAlign w:val="bottom"/>
            <w:gridSpan w:val="2"/>
          </w:tcPr>
          <w:p>
            <w:pPr>
              <w:spacing w:after="0"/>
              <w:rPr>
                <w:sz w:val="20"/>
                <w:szCs w:val="20"/>
                <w:color w:val="auto"/>
              </w:rPr>
            </w:pPr>
            <w:r>
              <w:rPr>
                <w:rFonts w:ascii="Arial" w:cs="Arial" w:eastAsia="Arial" w:hAnsi="Arial"/>
                <w:sz w:val="18"/>
                <w:szCs w:val="18"/>
                <w:color w:val="auto"/>
              </w:rPr>
              <w:t>CAR-20140613AK-09</w:t>
            </w:r>
          </w:p>
        </w:tc>
        <w:tc>
          <w:tcPr>
            <w:tcW w:w="7160" w:type="dxa"/>
            <w:vAlign w:val="bottom"/>
            <w:gridSpan w:val="3"/>
          </w:tcPr>
          <w:p>
            <w:pPr>
              <w:ind w:left="320"/>
              <w:spacing w:after="0"/>
              <w:rPr>
                <w:sz w:val="20"/>
                <w:szCs w:val="20"/>
                <w:color w:val="auto"/>
              </w:rPr>
            </w:pPr>
            <w:r>
              <w:rPr>
                <w:rFonts w:ascii="Arial" w:cs="Arial" w:eastAsia="Arial" w:hAnsi="Arial"/>
                <w:sz w:val="18"/>
                <w:szCs w:val="18"/>
                <w:color w:val="auto"/>
              </w:rPr>
              <w:t>Bresnan Communications,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WLY-839</w:t>
            </w:r>
          </w:p>
        </w:tc>
      </w:tr>
      <w:tr>
        <w:trPr>
          <w:trHeight w:val="932"/>
        </w:trPr>
        <w:tc>
          <w:tcPr>
            <w:tcW w:w="6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7160" w:type="dxa"/>
            <w:vAlign w:val="bottom"/>
            <w:gridSpan w:val="3"/>
          </w:tcPr>
          <w:p>
            <w:pPr>
              <w:ind w:left="3640"/>
              <w:spacing w:after="0"/>
              <w:rPr>
                <w:sz w:val="20"/>
                <w:szCs w:val="20"/>
                <w:color w:val="auto"/>
              </w:rPr>
            </w:pPr>
            <w:r>
              <w:rPr>
                <w:rFonts w:ascii="Arial" w:cs="Arial" w:eastAsia="Arial" w:hAnsi="Arial"/>
                <w:sz w:val="18"/>
                <w:szCs w:val="18"/>
                <w:color w:val="auto"/>
              </w:rPr>
              <w:t>20</w:t>
            </w: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8"/>
        </w:trPr>
        <w:tc>
          <w:tcPr>
            <w:tcW w:w="600" w:type="dxa"/>
            <w:vAlign w:val="bottom"/>
            <w:tcBorders>
              <w:bottom w:val="single" w:sz="8" w:color="808080"/>
            </w:tcBorders>
          </w:tcPr>
          <w:p>
            <w:pPr>
              <w:spacing w:after="0"/>
              <w:rPr>
                <w:sz w:val="10"/>
                <w:szCs w:val="10"/>
                <w:color w:val="auto"/>
              </w:rPr>
            </w:pPr>
          </w:p>
        </w:tc>
        <w:tc>
          <w:tcPr>
            <w:tcW w:w="13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18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83"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16"/>
        </w:trPr>
        <w:tc>
          <w:tcPr>
            <w:tcW w:w="1980" w:type="dxa"/>
            <w:vAlign w:val="bottom"/>
          </w:tcPr>
          <w:p>
            <w:pPr>
              <w:spacing w:after="0"/>
              <w:rPr>
                <w:sz w:val="20"/>
                <w:szCs w:val="20"/>
                <w:color w:val="auto"/>
              </w:rPr>
            </w:pPr>
            <w:r>
              <w:rPr>
                <w:rFonts w:ascii="Arial" w:cs="Arial" w:eastAsia="Arial" w:hAnsi="Arial"/>
                <w:sz w:val="18"/>
                <w:szCs w:val="18"/>
                <w:color w:val="auto"/>
              </w:rPr>
              <w:t>CAR-20140613AL-09</w:t>
            </w:r>
          </w:p>
        </w:tc>
        <w:tc>
          <w:tcPr>
            <w:tcW w:w="4880" w:type="dxa"/>
            <w:vAlign w:val="bottom"/>
          </w:tcPr>
          <w:p>
            <w:pPr>
              <w:ind w:left="320"/>
              <w:spacing w:after="0"/>
              <w:rPr>
                <w:sz w:val="20"/>
                <w:szCs w:val="20"/>
                <w:color w:val="auto"/>
              </w:rPr>
            </w:pPr>
            <w:r>
              <w:rPr>
                <w:rFonts w:ascii="Arial" w:cs="Arial" w:eastAsia="Arial" w:hAnsi="Arial"/>
                <w:sz w:val="18"/>
                <w:szCs w:val="18"/>
                <w:color w:val="auto"/>
              </w:rPr>
              <w:t>Bresnan Communications, LLC</w:t>
            </w:r>
          </w:p>
        </w:tc>
        <w:tc>
          <w:tcPr>
            <w:tcW w:w="2980" w:type="dxa"/>
            <w:vAlign w:val="bottom"/>
          </w:tcPr>
          <w:p>
            <w:pPr>
              <w:ind w:left="2280"/>
              <w:spacing w:after="0"/>
              <w:rPr>
                <w:sz w:val="20"/>
                <w:szCs w:val="20"/>
                <w:color w:val="auto"/>
              </w:rPr>
            </w:pPr>
            <w:r>
              <w:rPr>
                <w:rFonts w:ascii="Arial" w:cs="Arial" w:eastAsia="Arial" w:hAnsi="Arial"/>
                <w:sz w:val="18"/>
                <w:szCs w:val="18"/>
                <w:color w:val="auto"/>
                <w:w w:val="90"/>
              </w:rPr>
              <w:t>WLY-861</w:t>
            </w:r>
          </w:p>
        </w:tc>
      </w:tr>
      <w:tr>
        <w:trPr>
          <w:trHeight w:val="230"/>
        </w:trPr>
        <w:tc>
          <w:tcPr>
            <w:tcW w:w="1980" w:type="dxa"/>
            <w:vAlign w:val="bottom"/>
          </w:tcPr>
          <w:p>
            <w:pPr>
              <w:spacing w:after="0"/>
              <w:rPr>
                <w:sz w:val="20"/>
                <w:szCs w:val="20"/>
                <w:color w:val="auto"/>
              </w:rPr>
            </w:pPr>
            <w:r>
              <w:rPr>
                <w:rFonts w:ascii="Arial" w:cs="Arial" w:eastAsia="Arial" w:hAnsi="Arial"/>
                <w:sz w:val="18"/>
                <w:szCs w:val="18"/>
                <w:color w:val="auto"/>
              </w:rPr>
              <w:t>CAR-20140613AM-09</w:t>
            </w:r>
          </w:p>
        </w:tc>
        <w:tc>
          <w:tcPr>
            <w:tcW w:w="4880" w:type="dxa"/>
            <w:vAlign w:val="bottom"/>
          </w:tcPr>
          <w:p>
            <w:pPr>
              <w:ind w:left="320"/>
              <w:spacing w:after="0"/>
              <w:rPr>
                <w:sz w:val="20"/>
                <w:szCs w:val="20"/>
                <w:color w:val="auto"/>
              </w:rPr>
            </w:pPr>
            <w:r>
              <w:rPr>
                <w:rFonts w:ascii="Arial" w:cs="Arial" w:eastAsia="Arial" w:hAnsi="Arial"/>
                <w:sz w:val="18"/>
                <w:szCs w:val="18"/>
                <w:color w:val="auto"/>
              </w:rPr>
              <w:t>Bresnan Communications, LLC</w:t>
            </w:r>
          </w:p>
        </w:tc>
        <w:tc>
          <w:tcPr>
            <w:tcW w:w="2980" w:type="dxa"/>
            <w:vAlign w:val="bottom"/>
          </w:tcPr>
          <w:p>
            <w:pPr>
              <w:ind w:left="2280"/>
              <w:spacing w:after="0"/>
              <w:rPr>
                <w:sz w:val="20"/>
                <w:szCs w:val="20"/>
                <w:color w:val="auto"/>
              </w:rPr>
            </w:pPr>
            <w:r>
              <w:rPr>
                <w:rFonts w:ascii="Arial" w:cs="Arial" w:eastAsia="Arial" w:hAnsi="Arial"/>
                <w:sz w:val="18"/>
                <w:szCs w:val="18"/>
                <w:color w:val="auto"/>
                <w:w w:val="90"/>
              </w:rPr>
              <w:t>WLY-914</w:t>
            </w:r>
          </w:p>
        </w:tc>
      </w:tr>
    </w:tbl>
    <w:p>
      <w:pPr>
        <w:spacing w:after="0" w:line="252" w:lineRule="exact"/>
        <w:rPr>
          <w:sz w:val="20"/>
          <w:szCs w:val="20"/>
          <w:color w:val="auto"/>
        </w:rPr>
      </w:pPr>
    </w:p>
    <w:p>
      <w:pPr>
        <w:ind w:left="4140"/>
        <w:spacing w:after="0"/>
        <w:rPr>
          <w:sz w:val="20"/>
          <w:szCs w:val="20"/>
          <w:color w:val="auto"/>
        </w:rPr>
      </w:pPr>
      <w:r>
        <w:rPr>
          <w:rFonts w:ascii="Arial" w:cs="Arial" w:eastAsia="Arial" w:hAnsi="Arial"/>
          <w:sz w:val="18"/>
          <w:szCs w:val="18"/>
          <w:b w:val="1"/>
          <w:bCs w:val="1"/>
          <w:color w:val="auto"/>
        </w:rPr>
        <w:t>Part 25 – Satellite Communications Registrations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Receive-Only Earth Station Registrations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Charter registrations subject to applications for assignment or transfer of control to Comcast: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6980" w:type="dxa"/>
            <w:vAlign w:val="bottom"/>
            <w:gridSpan w:val="3"/>
          </w:tcPr>
          <w:p>
            <w:pPr>
              <w:ind w:left="140"/>
              <w:spacing w:after="0"/>
              <w:rPr>
                <w:sz w:val="20"/>
                <w:szCs w:val="20"/>
                <w:color w:val="auto"/>
              </w:rPr>
            </w:pPr>
            <w:r>
              <w:rPr>
                <w:rFonts w:ascii="Arial" w:cs="Arial" w:eastAsia="Arial" w:hAnsi="Arial"/>
                <w:sz w:val="18"/>
                <w:szCs w:val="18"/>
                <w:b w:val="1"/>
                <w:bCs w:val="1"/>
                <w:color w:val="auto"/>
              </w:rPr>
              <w:t>Registration Holder</w:t>
            </w: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Call Sign</w:t>
            </w:r>
          </w:p>
        </w:tc>
      </w:tr>
      <w:tr>
        <w:trPr>
          <w:trHeight w:val="20"/>
        </w:trPr>
        <w:tc>
          <w:tcPr>
            <w:tcW w:w="6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37"/>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SES-ASG-20140604-00428</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Renaissance Media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E7061</w:t>
            </w:r>
          </w:p>
        </w:tc>
      </w:tr>
      <w:tr>
        <w:trPr>
          <w:trHeight w:val="364"/>
        </w:trPr>
        <w:tc>
          <w:tcPr>
            <w:tcW w:w="9140" w:type="dxa"/>
            <w:vAlign w:val="bottom"/>
            <w:gridSpan w:val="5"/>
          </w:tcPr>
          <w:p>
            <w:pPr>
              <w:spacing w:after="0"/>
              <w:rPr>
                <w:sz w:val="20"/>
                <w:szCs w:val="20"/>
                <w:color w:val="auto"/>
              </w:rPr>
            </w:pPr>
            <w:r>
              <w:rPr>
                <w:rFonts w:ascii="Arial" w:cs="Arial" w:eastAsia="Arial" w:hAnsi="Arial"/>
                <w:sz w:val="18"/>
                <w:szCs w:val="18"/>
                <w:color w:val="auto"/>
              </w:rPr>
              <w:t>SES-ASG-20140604-00473   Charter Communications VI,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E5824</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E7475</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E7992</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E880118</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E880175</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KQ32</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WG59</w:t>
            </w:r>
          </w:p>
        </w:tc>
      </w:tr>
      <w:tr>
        <w:trPr>
          <w:trHeight w:val="364"/>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SES-ASG-20140604-00478</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Robin Media Group, Inc.</w:t>
            </w:r>
          </w:p>
        </w:tc>
        <w:tc>
          <w:tcPr>
            <w:tcW w:w="2280" w:type="dxa"/>
            <w:vAlign w:val="bottom"/>
            <w:gridSpan w:val="2"/>
          </w:tcPr>
          <w:p>
            <w:pPr>
              <w:spacing w:after="0"/>
              <w:rPr>
                <w:sz w:val="20"/>
                <w:szCs w:val="20"/>
                <w:color w:val="auto"/>
              </w:rPr>
            </w:pPr>
            <w:r>
              <w:rPr>
                <w:rFonts w:ascii="Arial" w:cs="Arial" w:eastAsia="Arial" w:hAnsi="Arial"/>
                <w:sz w:val="18"/>
                <w:szCs w:val="18"/>
                <w:color w:val="auto"/>
              </w:rPr>
              <w:t>E2380</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E8172</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E870847</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E890917</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WF25</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WK73</w:t>
            </w:r>
          </w:p>
        </w:tc>
      </w:tr>
      <w:tr>
        <w:trPr>
          <w:trHeight w:val="364"/>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SES-ASG-20140604-00479</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Charter Communications,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E010328</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E050294</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E070116</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E110071</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E110074</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E110076</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E110077</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E7233</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E7385</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E940159</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WE80</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WR42</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WS56</w:t>
            </w:r>
          </w:p>
        </w:tc>
      </w:tr>
      <w:tr>
        <w:trPr>
          <w:trHeight w:val="364"/>
        </w:trPr>
        <w:tc>
          <w:tcPr>
            <w:tcW w:w="9140" w:type="dxa"/>
            <w:vAlign w:val="bottom"/>
            <w:gridSpan w:val="5"/>
          </w:tcPr>
          <w:p>
            <w:pPr>
              <w:spacing w:after="0"/>
              <w:rPr>
                <w:sz w:val="20"/>
                <w:szCs w:val="20"/>
                <w:color w:val="auto"/>
              </w:rPr>
            </w:pPr>
            <w:r>
              <w:rPr>
                <w:rFonts w:ascii="Arial" w:cs="Arial" w:eastAsia="Arial" w:hAnsi="Arial"/>
                <w:sz w:val="18"/>
                <w:szCs w:val="18"/>
                <w:color w:val="auto"/>
              </w:rPr>
              <w:t>SES-ASG-20140604-00480    Charter Communications Entertainment I,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E4255</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E6392</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E980448</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E990507</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E990508</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E990509</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E990511</w:t>
            </w:r>
          </w:p>
        </w:tc>
      </w:tr>
      <w:tr>
        <w:trPr>
          <w:trHeight w:val="378"/>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SES-ASG-20140604-00481</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Charter Communications, LLC</w:t>
            </w:r>
          </w:p>
        </w:tc>
        <w:tc>
          <w:tcPr>
            <w:tcW w:w="2280" w:type="dxa"/>
            <w:vAlign w:val="bottom"/>
            <w:gridSpan w:val="2"/>
          </w:tcPr>
          <w:p>
            <w:pPr>
              <w:spacing w:after="0"/>
              <w:rPr>
                <w:sz w:val="20"/>
                <w:szCs w:val="20"/>
                <w:color w:val="auto"/>
              </w:rPr>
            </w:pPr>
            <w:r>
              <w:rPr>
                <w:rFonts w:ascii="Arial" w:cs="Arial" w:eastAsia="Arial" w:hAnsi="Arial"/>
                <w:sz w:val="18"/>
                <w:szCs w:val="18"/>
                <w:color w:val="auto"/>
              </w:rPr>
              <w:t>E3518</w:t>
            </w:r>
          </w:p>
        </w:tc>
      </w:tr>
      <w:tr>
        <w:trPr>
          <w:trHeight w:val="932"/>
        </w:trPr>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980" w:type="dxa"/>
            <w:vAlign w:val="bottom"/>
            <w:gridSpan w:val="3"/>
          </w:tcPr>
          <w:p>
            <w:pPr>
              <w:ind w:left="3460"/>
              <w:spacing w:after="0"/>
              <w:rPr>
                <w:sz w:val="20"/>
                <w:szCs w:val="20"/>
                <w:color w:val="auto"/>
              </w:rPr>
            </w:pPr>
            <w:r>
              <w:rPr>
                <w:rFonts w:ascii="Arial" w:cs="Arial" w:eastAsia="Arial" w:hAnsi="Arial"/>
                <w:sz w:val="18"/>
                <w:szCs w:val="18"/>
                <w:color w:val="auto"/>
              </w:rPr>
              <w:t>21</w:t>
            </w: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8"/>
        </w:trPr>
        <w:tc>
          <w:tcPr>
            <w:tcW w:w="6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532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SES-ASG-20140604-00483</w:t>
            </w:r>
          </w:p>
        </w:tc>
        <w:tc>
          <w:tcPr>
            <w:tcW w:w="5500" w:type="dxa"/>
            <w:vAlign w:val="bottom"/>
          </w:tcPr>
          <w:p>
            <w:pPr>
              <w:ind w:left="140"/>
              <w:spacing w:after="0"/>
              <w:rPr>
                <w:sz w:val="20"/>
                <w:szCs w:val="20"/>
                <w:color w:val="auto"/>
              </w:rPr>
            </w:pPr>
            <w:r>
              <w:rPr>
                <w:rFonts w:ascii="Arial" w:cs="Arial" w:eastAsia="Arial" w:hAnsi="Arial"/>
                <w:sz w:val="18"/>
                <w:szCs w:val="18"/>
                <w:color w:val="auto"/>
              </w:rPr>
              <w:t>HPI Acquisitions Co., LLC</w:t>
            </w:r>
          </w:p>
        </w:tc>
        <w:tc>
          <w:tcPr>
            <w:tcW w:w="2120" w:type="dxa"/>
            <w:vAlign w:val="bottom"/>
          </w:tcPr>
          <w:p>
            <w:pPr>
              <w:ind w:left="1480"/>
              <w:spacing w:after="0"/>
              <w:rPr>
                <w:sz w:val="20"/>
                <w:szCs w:val="20"/>
                <w:color w:val="auto"/>
              </w:rPr>
            </w:pPr>
            <w:r>
              <w:rPr>
                <w:rFonts w:ascii="Arial" w:cs="Arial" w:eastAsia="Arial" w:hAnsi="Arial"/>
                <w:sz w:val="18"/>
                <w:szCs w:val="18"/>
                <w:color w:val="auto"/>
              </w:rPr>
              <w:t>WH33</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SES-ASG-20140604-00491</w:t>
            </w:r>
          </w:p>
        </w:tc>
        <w:tc>
          <w:tcPr>
            <w:tcW w:w="5500" w:type="dxa"/>
            <w:vAlign w:val="bottom"/>
          </w:tcPr>
          <w:p>
            <w:pPr>
              <w:ind w:left="140"/>
              <w:spacing w:after="0"/>
              <w:rPr>
                <w:sz w:val="20"/>
                <w:szCs w:val="20"/>
                <w:color w:val="auto"/>
              </w:rPr>
            </w:pPr>
            <w:r>
              <w:rPr>
                <w:rFonts w:ascii="Arial" w:cs="Arial" w:eastAsia="Arial" w:hAnsi="Arial"/>
                <w:sz w:val="18"/>
                <w:szCs w:val="18"/>
                <w:color w:val="auto"/>
              </w:rPr>
              <w:t>Plattsburgh Cablevision Inc.</w:t>
            </w:r>
          </w:p>
        </w:tc>
        <w:tc>
          <w:tcPr>
            <w:tcW w:w="2120" w:type="dxa"/>
            <w:vAlign w:val="bottom"/>
          </w:tcPr>
          <w:p>
            <w:pPr>
              <w:ind w:left="1480"/>
              <w:spacing w:after="0"/>
              <w:rPr>
                <w:sz w:val="20"/>
                <w:szCs w:val="20"/>
                <w:color w:val="auto"/>
              </w:rPr>
            </w:pPr>
            <w:r>
              <w:rPr>
                <w:rFonts w:ascii="Arial" w:cs="Arial" w:eastAsia="Arial" w:hAnsi="Arial"/>
                <w:sz w:val="18"/>
                <w:szCs w:val="18"/>
                <w:color w:val="auto"/>
              </w:rPr>
              <w:t>E6784</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SES-ASG-20140604-00492</w:t>
            </w:r>
          </w:p>
        </w:tc>
        <w:tc>
          <w:tcPr>
            <w:tcW w:w="5500" w:type="dxa"/>
            <w:vAlign w:val="bottom"/>
          </w:tcPr>
          <w:p>
            <w:pPr>
              <w:ind w:left="140"/>
              <w:spacing w:after="0"/>
              <w:rPr>
                <w:sz w:val="20"/>
                <w:szCs w:val="20"/>
                <w:color w:val="auto"/>
              </w:rPr>
            </w:pPr>
            <w:r>
              <w:rPr>
                <w:rFonts w:ascii="Arial" w:cs="Arial" w:eastAsia="Arial" w:hAnsi="Arial"/>
                <w:sz w:val="18"/>
                <w:szCs w:val="18"/>
                <w:color w:val="auto"/>
              </w:rPr>
              <w:t>Tennessee, LLC</w:t>
            </w: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E050329</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rPr>
              <w:t>SES-T/C-20140604-00397</w:t>
            </w:r>
          </w:p>
        </w:tc>
        <w:tc>
          <w:tcPr>
            <w:tcW w:w="5500" w:type="dxa"/>
            <w:vAlign w:val="bottom"/>
          </w:tcPr>
          <w:p>
            <w:pPr>
              <w:ind w:left="140"/>
              <w:spacing w:after="0"/>
              <w:rPr>
                <w:sz w:val="20"/>
                <w:szCs w:val="20"/>
                <w:color w:val="auto"/>
              </w:rPr>
            </w:pPr>
            <w:r>
              <w:rPr>
                <w:rFonts w:ascii="Arial" w:cs="Arial" w:eastAsia="Arial" w:hAnsi="Arial"/>
                <w:sz w:val="18"/>
                <w:szCs w:val="18"/>
                <w:color w:val="auto"/>
              </w:rPr>
              <w:t>The Helicon Group, L.P.</w:t>
            </w: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E040177</w:t>
            </w:r>
          </w:p>
        </w:tc>
      </w:tr>
      <w:tr>
        <w:trPr>
          <w:trHeight w:val="230"/>
        </w:trPr>
        <w:tc>
          <w:tcPr>
            <w:tcW w:w="2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WZ93</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rPr>
              <w:t>SES-T/C-20140604-00398</w:t>
            </w:r>
          </w:p>
        </w:tc>
        <w:tc>
          <w:tcPr>
            <w:tcW w:w="5500" w:type="dxa"/>
            <w:vAlign w:val="bottom"/>
          </w:tcPr>
          <w:p>
            <w:pPr>
              <w:ind w:left="140"/>
              <w:spacing w:after="0"/>
              <w:rPr>
                <w:sz w:val="20"/>
                <w:szCs w:val="20"/>
                <w:color w:val="auto"/>
              </w:rPr>
            </w:pPr>
            <w:r>
              <w:rPr>
                <w:rFonts w:ascii="Arial" w:cs="Arial" w:eastAsia="Arial" w:hAnsi="Arial"/>
                <w:sz w:val="18"/>
                <w:szCs w:val="18"/>
                <w:color w:val="auto"/>
              </w:rPr>
              <w:t>Marcus Cable Associates, L.L.C.</w:t>
            </w: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E000185</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E000199</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E4191</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E872103</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E940402</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E940404</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E940407</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KQ79</w:t>
            </w:r>
          </w:p>
        </w:tc>
      </w:tr>
      <w:tr>
        <w:trPr>
          <w:trHeight w:val="230"/>
        </w:trPr>
        <w:tc>
          <w:tcPr>
            <w:tcW w:w="2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WR33</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rPr>
              <w:t>SES-T/C-20140604-00402</w:t>
            </w:r>
          </w:p>
        </w:tc>
        <w:tc>
          <w:tcPr>
            <w:tcW w:w="5500" w:type="dxa"/>
            <w:vAlign w:val="bottom"/>
          </w:tcPr>
          <w:p>
            <w:pPr>
              <w:ind w:left="140"/>
              <w:spacing w:after="0"/>
              <w:rPr>
                <w:sz w:val="20"/>
                <w:szCs w:val="20"/>
                <w:color w:val="auto"/>
              </w:rPr>
            </w:pPr>
            <w:r>
              <w:rPr>
                <w:rFonts w:ascii="Arial" w:cs="Arial" w:eastAsia="Arial" w:hAnsi="Arial"/>
                <w:sz w:val="18"/>
                <w:szCs w:val="18"/>
                <w:color w:val="auto"/>
              </w:rPr>
              <w:t>Falcon Cable Media, a California Limited Partnership</w:t>
            </w:r>
          </w:p>
        </w:tc>
        <w:tc>
          <w:tcPr>
            <w:tcW w:w="2120" w:type="dxa"/>
            <w:vAlign w:val="bottom"/>
          </w:tcPr>
          <w:p>
            <w:pPr>
              <w:ind w:left="1480"/>
              <w:spacing w:after="0"/>
              <w:rPr>
                <w:sz w:val="20"/>
                <w:szCs w:val="20"/>
                <w:color w:val="auto"/>
              </w:rPr>
            </w:pPr>
            <w:r>
              <w:rPr>
                <w:rFonts w:ascii="Arial" w:cs="Arial" w:eastAsia="Arial" w:hAnsi="Arial"/>
                <w:sz w:val="18"/>
                <w:szCs w:val="18"/>
                <w:color w:val="auto"/>
              </w:rPr>
              <w:t>WU58</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rPr>
              <w:t>SES-T/C-20140604-00413</w:t>
            </w:r>
          </w:p>
        </w:tc>
        <w:tc>
          <w:tcPr>
            <w:tcW w:w="5500" w:type="dxa"/>
            <w:vAlign w:val="bottom"/>
          </w:tcPr>
          <w:p>
            <w:pPr>
              <w:ind w:left="140"/>
              <w:spacing w:after="0"/>
              <w:rPr>
                <w:sz w:val="20"/>
                <w:szCs w:val="20"/>
                <w:color w:val="auto"/>
              </w:rPr>
            </w:pPr>
            <w:r>
              <w:rPr>
                <w:rFonts w:ascii="Arial" w:cs="Arial" w:eastAsia="Arial" w:hAnsi="Arial"/>
                <w:sz w:val="18"/>
                <w:szCs w:val="18"/>
                <w:color w:val="auto"/>
              </w:rPr>
              <w:t>Falcon Video Communications, L.P.</w:t>
            </w: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E090183</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E110006</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E5158</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E880890</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E920551</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E920553</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E940432</w:t>
            </w:r>
          </w:p>
        </w:tc>
      </w:tr>
      <w:tr>
        <w:trPr>
          <w:trHeight w:val="230"/>
        </w:trPr>
        <w:tc>
          <w:tcPr>
            <w:tcW w:w="2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KT50</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rPr>
              <w:t>SES-T/C-20140604-00414</w:t>
            </w:r>
          </w:p>
        </w:tc>
        <w:tc>
          <w:tcPr>
            <w:tcW w:w="5500" w:type="dxa"/>
            <w:vAlign w:val="bottom"/>
          </w:tcPr>
          <w:p>
            <w:pPr>
              <w:ind w:left="140"/>
              <w:spacing w:after="0"/>
              <w:rPr>
                <w:sz w:val="20"/>
                <w:szCs w:val="20"/>
                <w:color w:val="auto"/>
              </w:rPr>
            </w:pPr>
            <w:r>
              <w:rPr>
                <w:rFonts w:ascii="Arial" w:cs="Arial" w:eastAsia="Arial" w:hAnsi="Arial"/>
                <w:sz w:val="18"/>
                <w:szCs w:val="18"/>
                <w:color w:val="auto"/>
              </w:rPr>
              <w:t>Falcon Telecable, a California Limited Partnership</w:t>
            </w:r>
          </w:p>
        </w:tc>
        <w:tc>
          <w:tcPr>
            <w:tcW w:w="2120" w:type="dxa"/>
            <w:vAlign w:val="bottom"/>
          </w:tcPr>
          <w:p>
            <w:pPr>
              <w:ind w:left="1480"/>
              <w:spacing w:after="0"/>
              <w:rPr>
                <w:sz w:val="20"/>
                <w:szCs w:val="20"/>
                <w:color w:val="auto"/>
              </w:rPr>
            </w:pPr>
            <w:r>
              <w:rPr>
                <w:rFonts w:ascii="Arial" w:cs="Arial" w:eastAsia="Arial" w:hAnsi="Arial"/>
                <w:sz w:val="18"/>
                <w:szCs w:val="18"/>
                <w:color w:val="auto"/>
              </w:rPr>
              <w:t>E3573</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rPr>
              <w:t>SES-T/C-20140604-00415</w:t>
            </w:r>
          </w:p>
        </w:tc>
        <w:tc>
          <w:tcPr>
            <w:tcW w:w="5500" w:type="dxa"/>
            <w:vAlign w:val="bottom"/>
          </w:tcPr>
          <w:p>
            <w:pPr>
              <w:ind w:left="140"/>
              <w:spacing w:after="0"/>
              <w:rPr>
                <w:sz w:val="20"/>
                <w:szCs w:val="20"/>
                <w:color w:val="auto"/>
              </w:rPr>
            </w:pPr>
            <w:r>
              <w:rPr>
                <w:rFonts w:ascii="Arial" w:cs="Arial" w:eastAsia="Arial" w:hAnsi="Arial"/>
                <w:sz w:val="18"/>
                <w:szCs w:val="18"/>
                <w:color w:val="auto"/>
              </w:rPr>
              <w:t>Falcon Community Cable, LP</w:t>
            </w:r>
          </w:p>
        </w:tc>
        <w:tc>
          <w:tcPr>
            <w:tcW w:w="2120" w:type="dxa"/>
            <w:vAlign w:val="bottom"/>
          </w:tcPr>
          <w:p>
            <w:pPr>
              <w:ind w:left="1480"/>
              <w:spacing w:after="0"/>
              <w:rPr>
                <w:sz w:val="20"/>
                <w:szCs w:val="20"/>
                <w:color w:val="auto"/>
              </w:rPr>
            </w:pPr>
            <w:r>
              <w:rPr>
                <w:rFonts w:ascii="Arial" w:cs="Arial" w:eastAsia="Arial" w:hAnsi="Arial"/>
                <w:sz w:val="18"/>
                <w:szCs w:val="18"/>
                <w:color w:val="auto"/>
              </w:rPr>
              <w:t>E2578</w:t>
            </w:r>
          </w:p>
        </w:tc>
      </w:tr>
      <w:tr>
        <w:trPr>
          <w:trHeight w:val="230"/>
        </w:trPr>
        <w:tc>
          <w:tcPr>
            <w:tcW w:w="2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KM70</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rPr>
              <w:t>SES-T/C-20140604-00416</w:t>
            </w:r>
          </w:p>
        </w:tc>
        <w:tc>
          <w:tcPr>
            <w:tcW w:w="5500" w:type="dxa"/>
            <w:vAlign w:val="bottom"/>
          </w:tcPr>
          <w:p>
            <w:pPr>
              <w:ind w:left="140"/>
              <w:spacing w:after="0"/>
              <w:rPr>
                <w:sz w:val="20"/>
                <w:szCs w:val="20"/>
                <w:color w:val="auto"/>
              </w:rPr>
            </w:pPr>
            <w:r>
              <w:rPr>
                <w:rFonts w:ascii="Arial" w:cs="Arial" w:eastAsia="Arial" w:hAnsi="Arial"/>
                <w:sz w:val="18"/>
                <w:szCs w:val="18"/>
                <w:color w:val="auto"/>
              </w:rPr>
              <w:t>Falcon Cable Systems Co. II, LP</w:t>
            </w: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E030157</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E910119</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E910243</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E910245</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E930082</w:t>
            </w:r>
          </w:p>
        </w:tc>
      </w:tr>
      <w:tr>
        <w:trPr>
          <w:trHeight w:val="230"/>
        </w:trPr>
        <w:tc>
          <w:tcPr>
            <w:tcW w:w="2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rPr>
              <w:t>KJ20</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rPr>
              <w:t>SES-T/C-20140604-00417</w:t>
            </w:r>
          </w:p>
        </w:tc>
        <w:tc>
          <w:tcPr>
            <w:tcW w:w="5500" w:type="dxa"/>
            <w:vAlign w:val="bottom"/>
          </w:tcPr>
          <w:p>
            <w:pPr>
              <w:ind w:left="140"/>
              <w:spacing w:after="0"/>
              <w:rPr>
                <w:sz w:val="20"/>
                <w:szCs w:val="20"/>
                <w:color w:val="auto"/>
              </w:rPr>
            </w:pPr>
            <w:r>
              <w:rPr>
                <w:rFonts w:ascii="Arial" w:cs="Arial" w:eastAsia="Arial" w:hAnsi="Arial"/>
                <w:sz w:val="18"/>
                <w:szCs w:val="18"/>
                <w:color w:val="auto"/>
              </w:rPr>
              <w:t>CCO SoCal I, LLC</w:t>
            </w: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E020286</w:t>
            </w:r>
          </w:p>
        </w:tc>
      </w:tr>
      <w:tr>
        <w:trPr>
          <w:trHeight w:val="216"/>
        </w:trPr>
        <w:tc>
          <w:tcPr>
            <w:tcW w:w="216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E030011</w:t>
            </w:r>
          </w:p>
        </w:tc>
      </w:tr>
      <w:tr>
        <w:trPr>
          <w:trHeight w:val="230"/>
        </w:trPr>
        <w:tc>
          <w:tcPr>
            <w:tcW w:w="2160" w:type="dxa"/>
            <w:vAlign w:val="bottom"/>
          </w:tcPr>
          <w:p>
            <w:pPr>
              <w:spacing w:after="0"/>
              <w:rPr>
                <w:sz w:val="20"/>
                <w:szCs w:val="20"/>
                <w:color w:val="auto"/>
              </w:rPr>
            </w:pPr>
          </w:p>
        </w:tc>
        <w:tc>
          <w:tcPr>
            <w:tcW w:w="5500" w:type="dxa"/>
            <w:vAlign w:val="bottom"/>
          </w:tcPr>
          <w:p>
            <w:pPr>
              <w:spacing w:after="0"/>
              <w:rPr>
                <w:sz w:val="20"/>
                <w:szCs w:val="20"/>
                <w:color w:val="auto"/>
              </w:rPr>
            </w:pPr>
          </w:p>
        </w:tc>
        <w:tc>
          <w:tcPr>
            <w:tcW w:w="2120" w:type="dxa"/>
            <w:vAlign w:val="bottom"/>
          </w:tcPr>
          <w:p>
            <w:pPr>
              <w:ind w:left="1480"/>
              <w:spacing w:after="0"/>
              <w:rPr>
                <w:sz w:val="20"/>
                <w:szCs w:val="20"/>
                <w:color w:val="auto"/>
              </w:rPr>
            </w:pPr>
            <w:r>
              <w:rPr>
                <w:rFonts w:ascii="Arial" w:cs="Arial" w:eastAsia="Arial" w:hAnsi="Arial"/>
                <w:sz w:val="18"/>
                <w:szCs w:val="18"/>
                <w:color w:val="auto"/>
                <w:w w:val="85"/>
              </w:rPr>
              <w:t>E030069</w:t>
            </w:r>
          </w:p>
        </w:tc>
      </w:tr>
    </w:tbl>
    <w:p>
      <w:pPr>
        <w:ind w:left="9140"/>
        <w:spacing w:after="0"/>
        <w:rPr>
          <w:sz w:val="20"/>
          <w:szCs w:val="20"/>
          <w:color w:val="auto"/>
        </w:rPr>
      </w:pPr>
      <w:r>
        <w:rPr>
          <w:rFonts w:ascii="Arial" w:cs="Arial" w:eastAsia="Arial" w:hAnsi="Arial"/>
          <w:sz w:val="18"/>
          <w:szCs w:val="18"/>
          <w:color w:val="auto"/>
        </w:rPr>
        <w:t>E2182</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E2183</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E2186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E2675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E5916</w:t>
            </w:r>
          </w:p>
        </w:tc>
      </w:t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E7431</w:t>
            </w:r>
          </w:p>
        </w:tc>
      </w:t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E8495</w:t>
            </w:r>
          </w:p>
        </w:tc>
      </w:t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w w:val="85"/>
              </w:rPr>
              <w:t>E860375</w:t>
            </w:r>
          </w:p>
        </w:tc>
      </w:t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w w:val="85"/>
              </w:rPr>
              <w:t>E881108</w:t>
            </w:r>
          </w:p>
        </w:tc>
      </w:t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w w:val="85"/>
              </w:rPr>
              <w:t>E890360</w:t>
            </w:r>
          </w:p>
        </w:tc>
      </w:t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w w:val="85"/>
              </w:rPr>
              <w:t>E891006</w:t>
            </w:r>
          </w:p>
        </w:tc>
      </w:t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w w:val="85"/>
              </w:rPr>
              <w:t>E920601</w:t>
            </w:r>
          </w:p>
        </w:tc>
      </w:t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w w:val="85"/>
              </w:rPr>
              <w:t>E960504</w:t>
            </w:r>
          </w:p>
        </w:tc>
      </w:t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w w:val="85"/>
              </w:rPr>
              <w:t>E980463</w:t>
            </w:r>
          </w:p>
        </w:tc>
      </w:t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KF76</w:t>
            </w:r>
          </w:p>
        </w:tc>
      </w:t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KG33</w:t>
            </w:r>
          </w:p>
        </w:tc>
      </w:t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KR30</w:t>
            </w:r>
          </w:p>
        </w:tc>
      </w:tr>
      <w:tr>
        <w:trPr>
          <w:trHeight w:val="216"/>
        </w:trPr>
        <w:tc>
          <w:tcPr>
            <w:tcW w:w="212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KV61</w:t>
            </w:r>
          </w:p>
        </w:tc>
      </w:tr>
      <w:tr>
        <w:trPr>
          <w:trHeight w:val="230"/>
        </w:trPr>
        <w:tc>
          <w:tcPr>
            <w:tcW w:w="2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KZ51</w:t>
            </w:r>
          </w:p>
        </w:tc>
      </w:tr>
      <w:tr>
        <w:trPr>
          <w:trHeight w:val="378"/>
        </w:trPr>
        <w:tc>
          <w:tcPr>
            <w:tcW w:w="2120" w:type="dxa"/>
            <w:vAlign w:val="bottom"/>
          </w:tcPr>
          <w:p>
            <w:pPr>
              <w:spacing w:after="0"/>
              <w:rPr>
                <w:sz w:val="20"/>
                <w:szCs w:val="20"/>
                <w:color w:val="auto"/>
              </w:rPr>
            </w:pPr>
            <w:r>
              <w:rPr>
                <w:rFonts w:ascii="Arial" w:cs="Arial" w:eastAsia="Arial" w:hAnsi="Arial"/>
                <w:sz w:val="18"/>
                <w:szCs w:val="18"/>
                <w:color w:val="auto"/>
                <w:w w:val="98"/>
              </w:rPr>
              <w:t>SES-T/C-20140604-00418</w:t>
            </w:r>
          </w:p>
        </w:tc>
        <w:tc>
          <w:tcPr>
            <w:tcW w:w="4840" w:type="dxa"/>
            <w:vAlign w:val="bottom"/>
          </w:tcPr>
          <w:p>
            <w:pPr>
              <w:ind w:left="180"/>
              <w:spacing w:after="0"/>
              <w:rPr>
                <w:sz w:val="20"/>
                <w:szCs w:val="20"/>
                <w:color w:val="auto"/>
              </w:rPr>
            </w:pPr>
            <w:r>
              <w:rPr>
                <w:rFonts w:ascii="Arial" w:cs="Arial" w:eastAsia="Arial" w:hAnsi="Arial"/>
                <w:sz w:val="18"/>
                <w:szCs w:val="18"/>
                <w:color w:val="auto"/>
              </w:rPr>
              <w:t>Falcon Community Ventures I, LP</w:t>
            </w:r>
          </w:p>
        </w:tc>
        <w:tc>
          <w:tcPr>
            <w:tcW w:w="2820" w:type="dxa"/>
            <w:vAlign w:val="bottom"/>
          </w:tcPr>
          <w:p>
            <w:pPr>
              <w:ind w:left="2180"/>
              <w:spacing w:after="0"/>
              <w:rPr>
                <w:sz w:val="20"/>
                <w:szCs w:val="20"/>
                <w:color w:val="auto"/>
              </w:rPr>
            </w:pPr>
            <w:r>
              <w:rPr>
                <w:rFonts w:ascii="Arial" w:cs="Arial" w:eastAsia="Arial" w:hAnsi="Arial"/>
                <w:sz w:val="18"/>
                <w:szCs w:val="18"/>
                <w:color w:val="auto"/>
              </w:rPr>
              <w:t>KP47</w:t>
            </w:r>
          </w:p>
        </w:tc>
      </w:tr>
      <w:tr>
        <w:trPr>
          <w:trHeight w:val="364"/>
        </w:trPr>
        <w:tc>
          <w:tcPr>
            <w:tcW w:w="2120" w:type="dxa"/>
            <w:vAlign w:val="bottom"/>
          </w:tcPr>
          <w:p>
            <w:pPr>
              <w:spacing w:after="0"/>
              <w:rPr>
                <w:sz w:val="20"/>
                <w:szCs w:val="20"/>
                <w:color w:val="auto"/>
              </w:rPr>
            </w:pPr>
            <w:r>
              <w:rPr>
                <w:rFonts w:ascii="Arial" w:cs="Arial" w:eastAsia="Arial" w:hAnsi="Arial"/>
                <w:sz w:val="18"/>
                <w:szCs w:val="18"/>
                <w:color w:val="auto"/>
                <w:w w:val="98"/>
              </w:rPr>
              <w:t>SES-T/C-20140604-00419</w:t>
            </w:r>
          </w:p>
        </w:tc>
        <w:tc>
          <w:tcPr>
            <w:tcW w:w="4840" w:type="dxa"/>
            <w:vAlign w:val="bottom"/>
          </w:tcPr>
          <w:p>
            <w:pPr>
              <w:ind w:left="180"/>
              <w:spacing w:after="0"/>
              <w:rPr>
                <w:sz w:val="20"/>
                <w:szCs w:val="20"/>
                <w:color w:val="auto"/>
              </w:rPr>
            </w:pPr>
            <w:r>
              <w:rPr>
                <w:rFonts w:ascii="Arial" w:cs="Arial" w:eastAsia="Arial" w:hAnsi="Arial"/>
                <w:sz w:val="18"/>
                <w:szCs w:val="18"/>
                <w:color w:val="auto"/>
              </w:rPr>
              <w:t>Cable Equities of Colorado, LLC</w:t>
            </w:r>
          </w:p>
        </w:tc>
        <w:tc>
          <w:tcPr>
            <w:tcW w:w="2820" w:type="dxa"/>
            <w:vAlign w:val="bottom"/>
          </w:tcPr>
          <w:p>
            <w:pPr>
              <w:ind w:left="2180"/>
              <w:spacing w:after="0"/>
              <w:rPr>
                <w:sz w:val="20"/>
                <w:szCs w:val="20"/>
                <w:color w:val="auto"/>
              </w:rPr>
            </w:pPr>
            <w:r>
              <w:rPr>
                <w:rFonts w:ascii="Arial" w:cs="Arial" w:eastAsia="Arial" w:hAnsi="Arial"/>
                <w:sz w:val="18"/>
                <w:szCs w:val="18"/>
                <w:color w:val="auto"/>
                <w:w w:val="85"/>
              </w:rPr>
              <w:t>E050001</w:t>
            </w:r>
          </w:p>
        </w:tc>
      </w:tr>
      <w:tr>
        <w:trPr>
          <w:trHeight w:val="230"/>
        </w:trPr>
        <w:tc>
          <w:tcPr>
            <w:tcW w:w="212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2820" w:type="dxa"/>
            <w:vAlign w:val="bottom"/>
          </w:tcPr>
          <w:p>
            <w:pPr>
              <w:ind w:left="2180"/>
              <w:spacing w:after="0"/>
              <w:rPr>
                <w:sz w:val="20"/>
                <w:szCs w:val="20"/>
                <w:color w:val="auto"/>
              </w:rPr>
            </w:pPr>
            <w:r>
              <w:rPr>
                <w:rFonts w:ascii="Arial" w:cs="Arial" w:eastAsia="Arial" w:hAnsi="Arial"/>
                <w:sz w:val="18"/>
                <w:szCs w:val="18"/>
                <w:color w:val="auto"/>
              </w:rPr>
              <w:t>WU60</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Comcast/TWC registrations subject to applications for assignment or transfer of control to Charter:</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00" w:type="dxa"/>
            <w:vAlign w:val="bottom"/>
          </w:tcPr>
          <w:p>
            <w:pPr>
              <w:spacing w:after="0"/>
              <w:rPr>
                <w:sz w:val="20"/>
                <w:szCs w:val="20"/>
                <w:color w:val="auto"/>
              </w:rPr>
            </w:pPr>
            <w:r>
              <w:rPr>
                <w:rFonts w:ascii="Arial" w:cs="Arial" w:eastAsia="Arial" w:hAnsi="Arial"/>
                <w:sz w:val="18"/>
                <w:szCs w:val="18"/>
                <w:b w:val="1"/>
                <w:bCs w:val="1"/>
                <w:color w:val="auto"/>
                <w:w w:val="89"/>
              </w:rPr>
              <w:t>File No.</w:t>
            </w:r>
          </w:p>
        </w:tc>
        <w:tc>
          <w:tcPr>
            <w:tcW w:w="8540" w:type="dxa"/>
            <w:vAlign w:val="bottom"/>
            <w:gridSpan w:val="3"/>
          </w:tcPr>
          <w:p>
            <w:pPr>
              <w:ind w:left="1700"/>
              <w:spacing w:after="0"/>
              <w:rPr>
                <w:sz w:val="20"/>
                <w:szCs w:val="20"/>
                <w:color w:val="auto"/>
              </w:rPr>
            </w:pPr>
            <w:r>
              <w:rPr>
                <w:rFonts w:ascii="Arial" w:cs="Arial" w:eastAsia="Arial" w:hAnsi="Arial"/>
                <w:sz w:val="18"/>
                <w:szCs w:val="18"/>
                <w:b w:val="1"/>
                <w:bCs w:val="1"/>
                <w:color w:val="auto"/>
              </w:rPr>
              <w:t>Registration Holder</w:t>
            </w:r>
          </w:p>
        </w:tc>
        <w:tc>
          <w:tcPr>
            <w:tcW w:w="700" w:type="dxa"/>
            <w:vAlign w:val="bottom"/>
          </w:tcPr>
          <w:p>
            <w:pPr>
              <w:spacing w:after="0"/>
              <w:rPr>
                <w:sz w:val="20"/>
                <w:szCs w:val="20"/>
                <w:color w:val="auto"/>
              </w:rPr>
            </w:pPr>
            <w:r>
              <w:rPr>
                <w:rFonts w:ascii="Arial" w:cs="Arial" w:eastAsia="Arial" w:hAnsi="Arial"/>
                <w:sz w:val="18"/>
                <w:szCs w:val="18"/>
                <w:b w:val="1"/>
                <w:bCs w:val="1"/>
                <w:color w:val="auto"/>
                <w:w w:val="88"/>
              </w:rPr>
              <w:t>Call Sign</w:t>
            </w:r>
          </w:p>
        </w:tc>
      </w:tr>
      <w:tr>
        <w:trPr>
          <w:trHeight w:val="20"/>
        </w:trPr>
        <w:tc>
          <w:tcPr>
            <w:tcW w:w="60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22"/>
        </w:trPr>
        <w:tc>
          <w:tcPr>
            <w:tcW w:w="9140" w:type="dxa"/>
            <w:vAlign w:val="bottom"/>
            <w:gridSpan w:val="4"/>
          </w:tcPr>
          <w:p>
            <w:pPr>
              <w:spacing w:after="0"/>
              <w:rPr>
                <w:sz w:val="20"/>
                <w:szCs w:val="20"/>
                <w:color w:val="auto"/>
              </w:rPr>
            </w:pPr>
            <w:r>
              <w:rPr>
                <w:rFonts w:ascii="Arial" w:cs="Arial" w:eastAsia="Arial" w:hAnsi="Arial"/>
                <w:sz w:val="18"/>
                <w:szCs w:val="18"/>
                <w:color w:val="auto"/>
              </w:rPr>
              <w:t>SES-ASG-20140604-00470   Time Warner Cable Midwest LLC</w:t>
            </w:r>
          </w:p>
        </w:tc>
        <w:tc>
          <w:tcPr>
            <w:tcW w:w="700" w:type="dxa"/>
            <w:vAlign w:val="bottom"/>
          </w:tcPr>
          <w:p>
            <w:pPr>
              <w:spacing w:after="0"/>
              <w:rPr>
                <w:sz w:val="20"/>
                <w:szCs w:val="20"/>
                <w:color w:val="auto"/>
              </w:rPr>
            </w:pPr>
            <w:r>
              <w:rPr>
                <w:rFonts w:ascii="Arial" w:cs="Arial" w:eastAsia="Arial" w:hAnsi="Arial"/>
                <w:sz w:val="18"/>
                <w:szCs w:val="18"/>
                <w:color w:val="auto"/>
              </w:rPr>
              <w:t>E2685</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E2985</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E3458</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E4198</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E5437</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E872136</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E880468</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E9046</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E930196</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E940078</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E9472</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E950468</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E980458</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KF37</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WF88</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WN46</w:t>
            </w:r>
          </w:p>
        </w:tc>
      </w:tr>
      <w:tr>
        <w:trPr>
          <w:trHeight w:val="230"/>
        </w:trPr>
        <w:tc>
          <w:tcPr>
            <w:tcW w:w="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WQ55</w:t>
            </w:r>
          </w:p>
        </w:tc>
      </w:tr>
      <w:tr>
        <w:trPr>
          <w:trHeight w:val="364"/>
        </w:trPr>
        <w:tc>
          <w:tcPr>
            <w:tcW w:w="9140" w:type="dxa"/>
            <w:vAlign w:val="bottom"/>
            <w:gridSpan w:val="4"/>
          </w:tcPr>
          <w:p>
            <w:pPr>
              <w:spacing w:after="0"/>
              <w:rPr>
                <w:sz w:val="20"/>
                <w:szCs w:val="20"/>
                <w:color w:val="auto"/>
              </w:rPr>
            </w:pPr>
            <w:r>
              <w:rPr>
                <w:rFonts w:ascii="Arial" w:cs="Arial" w:eastAsia="Arial" w:hAnsi="Arial"/>
                <w:sz w:val="18"/>
                <w:szCs w:val="18"/>
                <w:color w:val="auto"/>
              </w:rPr>
              <w:t>SES-ASG-20140604-00471   Time Warner Cable Midwest LLC</w:t>
            </w:r>
          </w:p>
        </w:tc>
        <w:tc>
          <w:tcPr>
            <w:tcW w:w="700" w:type="dxa"/>
            <w:vAlign w:val="bottom"/>
          </w:tcPr>
          <w:p>
            <w:pPr>
              <w:spacing w:after="0"/>
              <w:rPr>
                <w:sz w:val="20"/>
                <w:szCs w:val="20"/>
                <w:color w:val="auto"/>
              </w:rPr>
            </w:pPr>
            <w:r>
              <w:rPr>
                <w:rFonts w:ascii="Arial" w:cs="Arial" w:eastAsia="Arial" w:hAnsi="Arial"/>
                <w:sz w:val="18"/>
                <w:szCs w:val="18"/>
                <w:color w:val="auto"/>
              </w:rPr>
              <w:t>E2425</w:t>
            </w:r>
          </w:p>
        </w:tc>
      </w:tr>
      <w:tr>
        <w:trPr>
          <w:trHeight w:val="216"/>
        </w:trPr>
        <w:tc>
          <w:tcPr>
            <w:tcW w:w="6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E2426</w:t>
            </w:r>
          </w:p>
        </w:tc>
      </w:tr>
      <w:tr>
        <w:trPr>
          <w:trHeight w:val="230"/>
        </w:trPr>
        <w:tc>
          <w:tcPr>
            <w:tcW w:w="6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E2427</w:t>
            </w:r>
          </w:p>
        </w:tc>
      </w:tr>
    </w:tbl>
    <w:p>
      <w:pPr>
        <w:ind w:left="9140"/>
        <w:spacing w:after="0"/>
        <w:rPr>
          <w:sz w:val="20"/>
          <w:szCs w:val="20"/>
          <w:color w:val="auto"/>
        </w:rPr>
      </w:pPr>
      <w:r>
        <w:rPr>
          <w:rFonts w:ascii="Arial" w:cs="Arial" w:eastAsia="Arial" w:hAnsi="Arial"/>
          <w:sz w:val="18"/>
          <w:szCs w:val="18"/>
          <w:color w:val="auto"/>
        </w:rPr>
        <w:t>E3436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E3505</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E3506</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E3550</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E3551</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E3952</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E4172</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E4338</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E4341</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E4478</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E5020</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E5498</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E6449</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E7300</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E865184</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E870893</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E873416</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E873418</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E873420</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E873614</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E880888</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E890798</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E890832</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E900073</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E900577</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E910224</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E9194</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E920186</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E920188</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E930031</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E930144</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E960299</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WB50</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WD20</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WE47</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WG76</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WK50</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WN89</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WP20</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WR73</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WS44</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WT29</w:t>
            </w:r>
          </w:p>
        </w:tc>
      </w:tr>
      <w:tr>
        <w:trPr>
          <w:trHeight w:val="230"/>
        </w:trPr>
        <w:tc>
          <w:tcPr>
            <w:tcW w:w="21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WV36</w:t>
            </w:r>
          </w:p>
        </w:tc>
      </w:tr>
      <w:tr>
        <w:trPr>
          <w:trHeight w:val="378"/>
        </w:trPr>
        <w:tc>
          <w:tcPr>
            <w:tcW w:w="7920" w:type="dxa"/>
            <w:vAlign w:val="bottom"/>
            <w:gridSpan w:val="2"/>
          </w:tcPr>
          <w:p>
            <w:pPr>
              <w:spacing w:after="0"/>
              <w:rPr>
                <w:sz w:val="20"/>
                <w:szCs w:val="20"/>
                <w:color w:val="auto"/>
              </w:rPr>
            </w:pPr>
            <w:r>
              <w:rPr>
                <w:rFonts w:ascii="Arial" w:cs="Arial" w:eastAsia="Arial" w:hAnsi="Arial"/>
                <w:sz w:val="18"/>
                <w:szCs w:val="18"/>
                <w:color w:val="auto"/>
              </w:rPr>
              <w:t>SES-ASG-20140604-00472   Time Warner Entertainment–Advance/Newhouse Partnership</w:t>
            </w:r>
          </w:p>
        </w:tc>
        <w:tc>
          <w:tcPr>
            <w:tcW w:w="3500" w:type="dxa"/>
            <w:vAlign w:val="bottom"/>
          </w:tcPr>
          <w:p>
            <w:pPr>
              <w:ind w:left="1220"/>
              <w:spacing w:after="0"/>
              <w:rPr>
                <w:sz w:val="20"/>
                <w:szCs w:val="20"/>
                <w:color w:val="auto"/>
              </w:rPr>
            </w:pPr>
            <w:r>
              <w:rPr>
                <w:rFonts w:ascii="Arial" w:cs="Arial" w:eastAsia="Arial" w:hAnsi="Arial"/>
                <w:sz w:val="18"/>
                <w:szCs w:val="18"/>
                <w:color w:val="auto"/>
              </w:rPr>
              <w:t>E4381</w:t>
            </w:r>
          </w:p>
        </w:tc>
      </w:tr>
      <w:tr>
        <w:trPr>
          <w:trHeight w:val="378"/>
        </w:trPr>
        <w:tc>
          <w:tcPr>
            <w:tcW w:w="7920" w:type="dxa"/>
            <w:vAlign w:val="bottom"/>
            <w:gridSpan w:val="2"/>
          </w:tcPr>
          <w:p>
            <w:pPr>
              <w:spacing w:after="0"/>
              <w:rPr>
                <w:sz w:val="20"/>
                <w:szCs w:val="20"/>
                <w:color w:val="auto"/>
              </w:rPr>
            </w:pPr>
            <w:r>
              <w:rPr>
                <w:rFonts w:ascii="Arial" w:cs="Arial" w:eastAsia="Arial" w:hAnsi="Arial"/>
                <w:sz w:val="18"/>
                <w:szCs w:val="18"/>
                <w:color w:val="auto"/>
              </w:rPr>
              <w:t>SES-ASG-20140604-00482   Time Warner Cable Midwest LLC</w:t>
            </w:r>
          </w:p>
        </w:tc>
        <w:tc>
          <w:tcPr>
            <w:tcW w:w="3500" w:type="dxa"/>
            <w:vAlign w:val="bottom"/>
          </w:tcPr>
          <w:p>
            <w:pPr>
              <w:ind w:left="1220"/>
              <w:spacing w:after="0"/>
              <w:rPr>
                <w:sz w:val="20"/>
                <w:szCs w:val="20"/>
                <w:color w:val="auto"/>
              </w:rPr>
            </w:pPr>
            <w:r>
              <w:rPr>
                <w:rFonts w:ascii="Arial" w:cs="Arial" w:eastAsia="Arial" w:hAnsi="Arial"/>
                <w:sz w:val="18"/>
                <w:szCs w:val="18"/>
                <w:color w:val="auto"/>
              </w:rPr>
              <w:t>E3145</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SES-ASG-20140604-00495</w:t>
            </w:r>
          </w:p>
        </w:tc>
        <w:tc>
          <w:tcPr>
            <w:tcW w:w="5760" w:type="dxa"/>
            <w:vAlign w:val="bottom"/>
          </w:tcPr>
          <w:p>
            <w:pPr>
              <w:ind w:left="140"/>
              <w:spacing w:after="0"/>
              <w:rPr>
                <w:sz w:val="20"/>
                <w:szCs w:val="20"/>
                <w:color w:val="auto"/>
              </w:rPr>
            </w:pPr>
            <w:r>
              <w:rPr>
                <w:rFonts w:ascii="Arial" w:cs="Arial" w:eastAsia="Arial" w:hAnsi="Arial"/>
                <w:sz w:val="18"/>
                <w:szCs w:val="18"/>
                <w:color w:val="auto"/>
              </w:rPr>
              <w:t>Time Warner Cable Midwest LLC</w:t>
            </w:r>
          </w:p>
        </w:tc>
        <w:tc>
          <w:tcPr>
            <w:tcW w:w="3500" w:type="dxa"/>
            <w:vAlign w:val="bottom"/>
          </w:tcPr>
          <w:p>
            <w:pPr>
              <w:ind w:left="1220"/>
              <w:spacing w:after="0"/>
              <w:rPr>
                <w:sz w:val="20"/>
                <w:szCs w:val="20"/>
                <w:color w:val="auto"/>
              </w:rPr>
            </w:pPr>
            <w:r>
              <w:rPr>
                <w:rFonts w:ascii="Arial" w:cs="Arial" w:eastAsia="Arial" w:hAnsi="Arial"/>
                <w:sz w:val="18"/>
                <w:szCs w:val="18"/>
                <w:color w:val="auto"/>
              </w:rPr>
              <w:t>E2018</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rPr>
              <w:t>SES-T/C-20140604-00395</w:t>
            </w:r>
          </w:p>
        </w:tc>
        <w:tc>
          <w:tcPr>
            <w:tcW w:w="5760" w:type="dxa"/>
            <w:vAlign w:val="bottom"/>
          </w:tcPr>
          <w:p>
            <w:pPr>
              <w:ind w:left="140"/>
              <w:spacing w:after="0"/>
              <w:rPr>
                <w:sz w:val="20"/>
                <w:szCs w:val="20"/>
                <w:color w:val="auto"/>
              </w:rPr>
            </w:pPr>
            <w:r>
              <w:rPr>
                <w:rFonts w:ascii="Arial" w:cs="Arial" w:eastAsia="Arial" w:hAnsi="Arial"/>
                <w:sz w:val="18"/>
                <w:szCs w:val="18"/>
                <w:color w:val="auto"/>
              </w:rPr>
              <w:t>Insight Kentucky Partners II, L.P.</w:t>
            </w:r>
          </w:p>
        </w:tc>
        <w:tc>
          <w:tcPr>
            <w:tcW w:w="3500" w:type="dxa"/>
            <w:vAlign w:val="bottom"/>
          </w:tcPr>
          <w:p>
            <w:pPr>
              <w:ind w:left="1220"/>
              <w:spacing w:after="0"/>
              <w:rPr>
                <w:sz w:val="20"/>
                <w:szCs w:val="20"/>
                <w:color w:val="auto"/>
              </w:rPr>
            </w:pPr>
            <w:r>
              <w:rPr>
                <w:rFonts w:ascii="Arial" w:cs="Arial" w:eastAsia="Arial" w:hAnsi="Arial"/>
                <w:sz w:val="18"/>
                <w:szCs w:val="18"/>
                <w:color w:val="auto"/>
              </w:rPr>
              <w:t>E2091</w:t>
            </w:r>
          </w:p>
        </w:tc>
      </w:tr>
      <w:tr>
        <w:trPr>
          <w:trHeight w:val="216"/>
        </w:trPr>
        <w:tc>
          <w:tcPr>
            <w:tcW w:w="216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E3703</w:t>
            </w:r>
          </w:p>
        </w:tc>
      </w:tr>
      <w:tr>
        <w:trPr>
          <w:trHeight w:val="230"/>
        </w:trPr>
        <w:tc>
          <w:tcPr>
            <w:tcW w:w="216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3500" w:type="dxa"/>
            <w:vAlign w:val="bottom"/>
          </w:tcPr>
          <w:p>
            <w:pPr>
              <w:ind w:left="1220"/>
              <w:spacing w:after="0"/>
              <w:rPr>
                <w:sz w:val="20"/>
                <w:szCs w:val="20"/>
                <w:color w:val="auto"/>
              </w:rPr>
            </w:pPr>
            <w:r>
              <w:rPr>
                <w:rFonts w:ascii="Arial" w:cs="Arial" w:eastAsia="Arial" w:hAnsi="Arial"/>
                <w:sz w:val="18"/>
                <w:szCs w:val="18"/>
                <w:color w:val="auto"/>
              </w:rPr>
              <w:t>E5074</w:t>
            </w:r>
          </w:p>
        </w:tc>
      </w:tr>
      <w:tr>
        <w:trPr>
          <w:trHeight w:val="932"/>
        </w:trPr>
        <w:tc>
          <w:tcPr>
            <w:tcW w:w="2160" w:type="dxa"/>
            <w:vAlign w:val="bottom"/>
          </w:tcPr>
          <w:p>
            <w:pPr>
              <w:spacing w:after="0"/>
              <w:rPr>
                <w:sz w:val="24"/>
                <w:szCs w:val="24"/>
                <w:color w:val="auto"/>
              </w:rPr>
            </w:pPr>
          </w:p>
        </w:tc>
        <w:tc>
          <w:tcPr>
            <w:tcW w:w="5760" w:type="dxa"/>
            <w:vAlign w:val="bottom"/>
          </w:tcPr>
          <w:p>
            <w:pPr>
              <w:jc w:val="right"/>
              <w:ind w:right="2030"/>
              <w:spacing w:after="0"/>
              <w:rPr>
                <w:sz w:val="20"/>
                <w:szCs w:val="20"/>
                <w:color w:val="auto"/>
              </w:rPr>
            </w:pPr>
            <w:r>
              <w:rPr>
                <w:rFonts w:ascii="Arial" w:cs="Arial" w:eastAsia="Arial" w:hAnsi="Arial"/>
                <w:sz w:val="18"/>
                <w:szCs w:val="18"/>
                <w:color w:val="auto"/>
              </w:rPr>
              <w:t>24</w:t>
            </w:r>
          </w:p>
        </w:tc>
        <w:tc>
          <w:tcPr>
            <w:tcW w:w="3500" w:type="dxa"/>
            <w:vAlign w:val="bottom"/>
          </w:tcPr>
          <w:p>
            <w:pPr>
              <w:spacing w:after="0"/>
              <w:rPr>
                <w:sz w:val="24"/>
                <w:szCs w:val="24"/>
                <w:color w:val="auto"/>
              </w:rPr>
            </w:pPr>
          </w:p>
        </w:tc>
      </w:tr>
      <w:tr>
        <w:trPr>
          <w:trHeight w:val="118"/>
        </w:trPr>
        <w:tc>
          <w:tcPr>
            <w:tcW w:w="2160" w:type="dxa"/>
            <w:vAlign w:val="bottom"/>
            <w:tcBorders>
              <w:bottom w:val="single" w:sz="8" w:color="808080"/>
            </w:tcBorders>
          </w:tcPr>
          <w:p>
            <w:pPr>
              <w:spacing w:after="0"/>
              <w:rPr>
                <w:sz w:val="10"/>
                <w:szCs w:val="10"/>
                <w:color w:val="auto"/>
              </w:rPr>
            </w:pPr>
          </w:p>
        </w:tc>
        <w:tc>
          <w:tcPr>
            <w:tcW w:w="5760" w:type="dxa"/>
            <w:vAlign w:val="bottom"/>
            <w:tcBorders>
              <w:bottom w:val="single" w:sz="8" w:color="808080"/>
            </w:tcBorders>
          </w:tcPr>
          <w:p>
            <w:pPr>
              <w:spacing w:after="0"/>
              <w:rPr>
                <w:sz w:val="10"/>
                <w:szCs w:val="10"/>
                <w:color w:val="auto"/>
              </w:rPr>
            </w:pPr>
          </w:p>
        </w:tc>
        <w:tc>
          <w:tcPr>
            <w:tcW w:w="350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E6334</w:t>
            </w:r>
          </w:p>
        </w:tc>
      </w:tr>
      <w:tr>
        <w:trPr>
          <w:trHeight w:val="364"/>
        </w:trPr>
        <w:tc>
          <w:tcPr>
            <w:tcW w:w="2120" w:type="dxa"/>
            <w:vAlign w:val="bottom"/>
          </w:tcPr>
          <w:p>
            <w:pPr>
              <w:spacing w:after="0"/>
              <w:rPr>
                <w:sz w:val="20"/>
                <w:szCs w:val="20"/>
                <w:color w:val="auto"/>
              </w:rPr>
            </w:pPr>
            <w:r>
              <w:rPr>
                <w:rFonts w:ascii="Arial" w:cs="Arial" w:eastAsia="Arial" w:hAnsi="Arial"/>
                <w:sz w:val="18"/>
                <w:szCs w:val="18"/>
                <w:color w:val="auto"/>
                <w:w w:val="98"/>
              </w:rPr>
              <w:t>SES-T/C-20140605-00412</w:t>
            </w:r>
          </w:p>
        </w:tc>
        <w:tc>
          <w:tcPr>
            <w:tcW w:w="5040" w:type="dxa"/>
            <w:vAlign w:val="bottom"/>
          </w:tcPr>
          <w:p>
            <w:pPr>
              <w:ind w:left="180"/>
              <w:spacing w:after="0"/>
              <w:rPr>
                <w:sz w:val="20"/>
                <w:szCs w:val="20"/>
                <w:color w:val="auto"/>
              </w:rPr>
            </w:pPr>
            <w:r>
              <w:rPr>
                <w:rFonts w:ascii="Arial" w:cs="Arial" w:eastAsia="Arial" w:hAnsi="Arial"/>
                <w:sz w:val="18"/>
                <w:szCs w:val="18"/>
                <w:color w:val="auto"/>
              </w:rPr>
              <w:t>Insight Communications Midwest, LLC</w:t>
            </w:r>
          </w:p>
        </w:tc>
        <w:tc>
          <w:tcPr>
            <w:tcW w:w="2620" w:type="dxa"/>
            <w:vAlign w:val="bottom"/>
          </w:tcPr>
          <w:p>
            <w:pPr>
              <w:ind w:left="1980"/>
              <w:spacing w:after="0"/>
              <w:rPr>
                <w:sz w:val="20"/>
                <w:szCs w:val="20"/>
                <w:color w:val="auto"/>
              </w:rPr>
            </w:pPr>
            <w:r>
              <w:rPr>
                <w:rFonts w:ascii="Arial" w:cs="Arial" w:eastAsia="Arial" w:hAnsi="Arial"/>
                <w:sz w:val="18"/>
                <w:szCs w:val="18"/>
                <w:color w:val="auto"/>
              </w:rPr>
              <w:t>E5828</w:t>
            </w:r>
          </w:p>
        </w:tc>
      </w:tr>
      <w:tr>
        <w:trPr>
          <w:trHeight w:val="216"/>
        </w:trPr>
        <w:tc>
          <w:tcPr>
            <w:tcW w:w="2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E5921</w:t>
            </w:r>
          </w:p>
        </w:tc>
      </w:tr>
      <w:tr>
        <w:trPr>
          <w:trHeight w:val="216"/>
        </w:trPr>
        <w:tc>
          <w:tcPr>
            <w:tcW w:w="21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w w:val="85"/>
              </w:rPr>
              <w:t>E990037</w:t>
            </w:r>
          </w:p>
        </w:tc>
      </w:tr>
      <w:tr>
        <w:trPr>
          <w:trHeight w:val="230"/>
        </w:trPr>
        <w:tc>
          <w:tcPr>
            <w:tcW w:w="21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2620" w:type="dxa"/>
            <w:vAlign w:val="bottom"/>
          </w:tcPr>
          <w:p>
            <w:pPr>
              <w:ind w:left="1980"/>
              <w:spacing w:after="0"/>
              <w:rPr>
                <w:sz w:val="20"/>
                <w:szCs w:val="20"/>
                <w:color w:val="auto"/>
              </w:rPr>
            </w:pPr>
            <w:r>
              <w:rPr>
                <w:rFonts w:ascii="Arial" w:cs="Arial" w:eastAsia="Arial" w:hAnsi="Arial"/>
                <w:sz w:val="18"/>
                <w:szCs w:val="18"/>
                <w:color w:val="auto"/>
              </w:rPr>
              <w:t>WV66</w:t>
            </w:r>
          </w:p>
        </w:tc>
      </w:tr>
    </w:tbl>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Comcast registrations subject to applications for assignment or transfer of control to SpinCo:</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6980" w:type="dxa"/>
            <w:vAlign w:val="bottom"/>
            <w:gridSpan w:val="3"/>
          </w:tcPr>
          <w:p>
            <w:pPr>
              <w:ind w:left="140"/>
              <w:spacing w:after="0"/>
              <w:rPr>
                <w:sz w:val="20"/>
                <w:szCs w:val="20"/>
                <w:color w:val="auto"/>
              </w:rPr>
            </w:pPr>
            <w:r>
              <w:rPr>
                <w:rFonts w:ascii="Arial" w:cs="Arial" w:eastAsia="Arial" w:hAnsi="Arial"/>
                <w:sz w:val="18"/>
                <w:szCs w:val="18"/>
                <w:b w:val="1"/>
                <w:bCs w:val="1"/>
                <w:color w:val="auto"/>
              </w:rPr>
              <w:t>Registration Holder</w:t>
            </w:r>
          </w:p>
        </w:tc>
        <w:tc>
          <w:tcPr>
            <w:tcW w:w="700" w:type="dxa"/>
            <w:vAlign w:val="bottom"/>
          </w:tcPr>
          <w:p>
            <w:pPr>
              <w:spacing w:after="0"/>
              <w:rPr>
                <w:sz w:val="20"/>
                <w:szCs w:val="20"/>
                <w:color w:val="auto"/>
              </w:rPr>
            </w:pPr>
            <w:r>
              <w:rPr>
                <w:rFonts w:ascii="Arial" w:cs="Arial" w:eastAsia="Arial" w:hAnsi="Arial"/>
                <w:sz w:val="18"/>
                <w:szCs w:val="18"/>
                <w:b w:val="1"/>
                <w:bCs w:val="1"/>
                <w:color w:val="auto"/>
                <w:w w:val="88"/>
              </w:rPr>
              <w:t>Call Sign</w:t>
            </w:r>
          </w:p>
        </w:tc>
      </w:tr>
      <w:tr>
        <w:trPr>
          <w:trHeight w:val="20"/>
        </w:trPr>
        <w:tc>
          <w:tcPr>
            <w:tcW w:w="6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r>
      <w:tr>
        <w:trPr>
          <w:trHeight w:val="222"/>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SES-ASG-20140604-00430</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Comcast of Minnesota, Inc.</w:t>
            </w:r>
          </w:p>
        </w:tc>
        <w:tc>
          <w:tcPr>
            <w:tcW w:w="700" w:type="dxa"/>
            <w:vAlign w:val="bottom"/>
          </w:tcPr>
          <w:p>
            <w:pPr>
              <w:spacing w:after="0"/>
              <w:rPr>
                <w:sz w:val="20"/>
                <w:szCs w:val="20"/>
                <w:color w:val="auto"/>
              </w:rPr>
            </w:pPr>
            <w:r>
              <w:rPr>
                <w:rFonts w:ascii="Arial" w:cs="Arial" w:eastAsia="Arial" w:hAnsi="Arial"/>
                <w:sz w:val="18"/>
                <w:szCs w:val="18"/>
                <w:color w:val="auto"/>
              </w:rPr>
              <w:t>E8076</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E860401</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E860402</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E860403</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E860457</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E860458</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E860459</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E990063</w:t>
            </w:r>
          </w:p>
        </w:tc>
      </w:tr>
      <w:tr>
        <w:trPr>
          <w:trHeight w:val="364"/>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SES-ASG-20140604-00431</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Comcast of Arkansas/Florida/Louisiana/</w:t>
            </w:r>
          </w:p>
        </w:tc>
        <w:tc>
          <w:tcPr>
            <w:tcW w:w="700" w:type="dxa"/>
            <w:vAlign w:val="bottom"/>
          </w:tcPr>
          <w:p>
            <w:pPr>
              <w:spacing w:after="0"/>
              <w:rPr>
                <w:sz w:val="20"/>
                <w:szCs w:val="20"/>
                <w:color w:val="auto"/>
              </w:rPr>
            </w:pPr>
            <w:r>
              <w:rPr>
                <w:rFonts w:ascii="Arial" w:cs="Arial" w:eastAsia="Arial" w:hAnsi="Arial"/>
                <w:sz w:val="18"/>
                <w:szCs w:val="18"/>
                <w:color w:val="auto"/>
              </w:rPr>
              <w:t>E3387</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Minnesota/Mississippi/Tennessee, Inc.</w:t>
            </w:r>
          </w:p>
        </w:tc>
        <w:tc>
          <w:tcPr>
            <w:tcW w:w="700" w:type="dxa"/>
            <w:vAlign w:val="bottom"/>
          </w:tcPr>
          <w:p>
            <w:pPr>
              <w:spacing w:after="0"/>
              <w:rPr>
                <w:sz w:val="20"/>
                <w:szCs w:val="20"/>
                <w:color w:val="auto"/>
              </w:rPr>
            </w:pPr>
          </w:p>
        </w:tc>
      </w:tr>
      <w:tr>
        <w:trPr>
          <w:trHeight w:val="364"/>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SES-ASG-20140604-00442</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Comcast of California/Connecticut/Michigan</w:t>
            </w:r>
          </w:p>
        </w:tc>
        <w:tc>
          <w:tcPr>
            <w:tcW w:w="700" w:type="dxa"/>
            <w:vAlign w:val="bottom"/>
          </w:tcPr>
          <w:p>
            <w:pPr>
              <w:spacing w:after="0"/>
              <w:rPr>
                <w:sz w:val="20"/>
                <w:szCs w:val="20"/>
                <w:color w:val="auto"/>
              </w:rPr>
            </w:pPr>
            <w:r>
              <w:rPr>
                <w:rFonts w:ascii="Arial" w:cs="Arial" w:eastAsia="Arial" w:hAnsi="Arial"/>
                <w:sz w:val="18"/>
                <w:szCs w:val="18"/>
                <w:color w:val="auto"/>
              </w:rPr>
              <w:t>E2010</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E6448</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w w:val="94"/>
              </w:rPr>
              <w:t>E860753</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WE61</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WG48</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WZ62</w:t>
            </w:r>
          </w:p>
        </w:tc>
      </w:tr>
      <w:tr>
        <w:trPr>
          <w:trHeight w:val="364"/>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SES-ASG-20140604-00443</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Comcast of Connecticut/Georgia/Massachusetts/</w:t>
            </w:r>
          </w:p>
        </w:tc>
        <w:tc>
          <w:tcPr>
            <w:tcW w:w="700" w:type="dxa"/>
            <w:vAlign w:val="bottom"/>
          </w:tcPr>
          <w:p>
            <w:pPr>
              <w:spacing w:after="0"/>
              <w:rPr>
                <w:sz w:val="20"/>
                <w:szCs w:val="20"/>
                <w:color w:val="auto"/>
              </w:rPr>
            </w:pPr>
            <w:r>
              <w:rPr>
                <w:rFonts w:ascii="Arial" w:cs="Arial" w:eastAsia="Arial" w:hAnsi="Arial"/>
                <w:sz w:val="18"/>
                <w:szCs w:val="18"/>
                <w:color w:val="auto"/>
              </w:rPr>
              <w:t>WP39</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New Hampshire/New York/North Carolina/</w:t>
            </w:r>
          </w:p>
        </w:tc>
        <w:tc>
          <w:tcPr>
            <w:tcW w:w="700" w:type="dxa"/>
            <w:vAlign w:val="bottom"/>
          </w:tcPr>
          <w:p>
            <w:pPr>
              <w:spacing w:after="0"/>
              <w:rPr>
                <w:sz w:val="18"/>
                <w:szCs w:val="18"/>
                <w:color w:val="auto"/>
              </w:rPr>
            </w:pP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40" w:type="dxa"/>
            <w:vAlign w:val="bottom"/>
            <w:gridSpan w:val="2"/>
          </w:tcPr>
          <w:p>
            <w:pPr>
              <w:ind w:left="40"/>
              <w:spacing w:after="0"/>
              <w:rPr>
                <w:sz w:val="20"/>
                <w:szCs w:val="20"/>
                <w:color w:val="auto"/>
              </w:rPr>
            </w:pPr>
            <w:r>
              <w:rPr>
                <w:rFonts w:ascii="Arial" w:cs="Arial" w:eastAsia="Arial" w:hAnsi="Arial"/>
                <w:sz w:val="18"/>
                <w:szCs w:val="18"/>
                <w:color w:val="auto"/>
              </w:rPr>
              <w:t>Virginia/Vermont, LLC</w:t>
            </w:r>
          </w:p>
        </w:tc>
        <w:tc>
          <w:tcPr>
            <w:tcW w:w="700" w:type="dxa"/>
            <w:vAlign w:val="bottom"/>
          </w:tcPr>
          <w:p>
            <w:pPr>
              <w:spacing w:after="0"/>
              <w:rPr>
                <w:sz w:val="20"/>
                <w:szCs w:val="20"/>
                <w:color w:val="auto"/>
              </w:rPr>
            </w:pPr>
          </w:p>
        </w:tc>
      </w:tr>
      <w:tr>
        <w:trPr>
          <w:trHeight w:val="364"/>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SES-ASG-20140604-00446</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Comcast of Wisconsin, Inc.</w:t>
            </w:r>
          </w:p>
        </w:tc>
        <w:tc>
          <w:tcPr>
            <w:tcW w:w="700" w:type="dxa"/>
            <w:vAlign w:val="bottom"/>
          </w:tcPr>
          <w:p>
            <w:pPr>
              <w:spacing w:after="0"/>
              <w:rPr>
                <w:sz w:val="20"/>
                <w:szCs w:val="20"/>
                <w:color w:val="auto"/>
              </w:rPr>
            </w:pPr>
            <w:r>
              <w:rPr>
                <w:rFonts w:ascii="Arial" w:cs="Arial" w:eastAsia="Arial" w:hAnsi="Arial"/>
                <w:sz w:val="18"/>
                <w:szCs w:val="18"/>
                <w:color w:val="auto"/>
                <w:w w:val="94"/>
              </w:rPr>
              <w:t>E040405</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E7596</w:t>
            </w:r>
          </w:p>
        </w:tc>
      </w:tr>
      <w:tr>
        <w:trPr>
          <w:trHeight w:val="378"/>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SES-ASG-20140604-00447</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Comcast of Mt. Clemens</w:t>
            </w:r>
          </w:p>
        </w:tc>
        <w:tc>
          <w:tcPr>
            <w:tcW w:w="700" w:type="dxa"/>
            <w:vAlign w:val="bottom"/>
          </w:tcPr>
          <w:p>
            <w:pPr>
              <w:spacing w:after="0"/>
              <w:rPr>
                <w:sz w:val="20"/>
                <w:szCs w:val="20"/>
                <w:color w:val="auto"/>
              </w:rPr>
            </w:pPr>
            <w:r>
              <w:rPr>
                <w:rFonts w:ascii="Arial" w:cs="Arial" w:eastAsia="Arial" w:hAnsi="Arial"/>
                <w:sz w:val="18"/>
                <w:szCs w:val="18"/>
                <w:color w:val="auto"/>
              </w:rPr>
              <w:t>E2353</w:t>
            </w:r>
          </w:p>
        </w:tc>
      </w:tr>
      <w:tr>
        <w:trPr>
          <w:trHeight w:val="364"/>
        </w:trPr>
        <w:tc>
          <w:tcPr>
            <w:tcW w:w="9140" w:type="dxa"/>
            <w:vAlign w:val="bottom"/>
            <w:gridSpan w:val="5"/>
          </w:tcPr>
          <w:p>
            <w:pPr>
              <w:spacing w:after="0"/>
              <w:rPr>
                <w:sz w:val="20"/>
                <w:szCs w:val="20"/>
                <w:color w:val="auto"/>
              </w:rPr>
            </w:pPr>
            <w:r>
              <w:rPr>
                <w:rFonts w:ascii="Arial" w:cs="Arial" w:eastAsia="Arial" w:hAnsi="Arial"/>
                <w:sz w:val="18"/>
                <w:szCs w:val="18"/>
                <w:color w:val="auto"/>
              </w:rPr>
              <w:t>SES-ASG-20140604-00455   Comcast of Minnesota/Wisconsin, Inc.</w:t>
            </w:r>
          </w:p>
        </w:tc>
        <w:tc>
          <w:tcPr>
            <w:tcW w:w="700" w:type="dxa"/>
            <w:vAlign w:val="bottom"/>
          </w:tcPr>
          <w:p>
            <w:pPr>
              <w:spacing w:after="0"/>
              <w:rPr>
                <w:sz w:val="20"/>
                <w:szCs w:val="20"/>
                <w:color w:val="auto"/>
              </w:rPr>
            </w:pPr>
            <w:r>
              <w:rPr>
                <w:rFonts w:ascii="Arial" w:cs="Arial" w:eastAsia="Arial" w:hAnsi="Arial"/>
                <w:sz w:val="18"/>
                <w:szCs w:val="18"/>
                <w:color w:val="auto"/>
                <w:w w:val="94"/>
              </w:rPr>
              <w:t>E859629</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E8818</w:t>
            </w:r>
          </w:p>
        </w:tc>
      </w:tr>
      <w:tr>
        <w:trPr>
          <w:trHeight w:val="364"/>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SES-ASG-20140604-00457</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Comcast of California/Massachusetts/</w:t>
            </w:r>
          </w:p>
        </w:tc>
        <w:tc>
          <w:tcPr>
            <w:tcW w:w="700" w:type="dxa"/>
            <w:vAlign w:val="bottom"/>
          </w:tcPr>
          <w:p>
            <w:pPr>
              <w:spacing w:after="0"/>
              <w:rPr>
                <w:sz w:val="20"/>
                <w:szCs w:val="20"/>
                <w:color w:val="auto"/>
              </w:rPr>
            </w:pPr>
            <w:r>
              <w:rPr>
                <w:rFonts w:ascii="Arial" w:cs="Arial" w:eastAsia="Arial" w:hAnsi="Arial"/>
                <w:sz w:val="18"/>
                <w:szCs w:val="18"/>
                <w:color w:val="auto"/>
                <w:w w:val="94"/>
              </w:rPr>
              <w:t>E960287</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Michigan/Utah, Inc.</w:t>
            </w:r>
          </w:p>
        </w:tc>
        <w:tc>
          <w:tcPr>
            <w:tcW w:w="700" w:type="dxa"/>
            <w:vAlign w:val="bottom"/>
          </w:tcPr>
          <w:p>
            <w:pPr>
              <w:spacing w:after="0"/>
              <w:rPr>
                <w:sz w:val="20"/>
                <w:szCs w:val="20"/>
                <w:color w:val="auto"/>
              </w:rPr>
            </w:pPr>
            <w:r>
              <w:rPr>
                <w:rFonts w:ascii="Arial" w:cs="Arial" w:eastAsia="Arial" w:hAnsi="Arial"/>
                <w:sz w:val="18"/>
                <w:szCs w:val="18"/>
                <w:color w:val="auto"/>
              </w:rPr>
              <w:t>WK40</w:t>
            </w:r>
          </w:p>
        </w:tc>
      </w:tr>
      <w:tr>
        <w:trPr>
          <w:trHeight w:val="364"/>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SES-ASG-20140604-00458</w:t>
            </w:r>
          </w:p>
        </w:tc>
        <w:tc>
          <w:tcPr>
            <w:tcW w:w="6980" w:type="dxa"/>
            <w:vAlign w:val="bottom"/>
            <w:gridSpan w:val="3"/>
          </w:tcPr>
          <w:p>
            <w:pPr>
              <w:ind w:left="140"/>
              <w:spacing w:after="0"/>
              <w:rPr>
                <w:sz w:val="20"/>
                <w:szCs w:val="20"/>
                <w:color w:val="auto"/>
              </w:rPr>
            </w:pPr>
            <w:r>
              <w:rPr>
                <w:rFonts w:ascii="Arial" w:cs="Arial" w:eastAsia="Arial" w:hAnsi="Arial"/>
                <w:sz w:val="18"/>
                <w:szCs w:val="18"/>
                <w:color w:val="auto"/>
              </w:rPr>
              <w:t>Comcast of Alabama, Inc.</w:t>
            </w:r>
          </w:p>
        </w:tc>
        <w:tc>
          <w:tcPr>
            <w:tcW w:w="700" w:type="dxa"/>
            <w:vAlign w:val="bottom"/>
          </w:tcPr>
          <w:p>
            <w:pPr>
              <w:spacing w:after="0"/>
              <w:rPr>
                <w:sz w:val="20"/>
                <w:szCs w:val="20"/>
                <w:color w:val="auto"/>
              </w:rPr>
            </w:pPr>
            <w:r>
              <w:rPr>
                <w:rFonts w:ascii="Arial" w:cs="Arial" w:eastAsia="Arial" w:hAnsi="Arial"/>
                <w:sz w:val="18"/>
                <w:szCs w:val="18"/>
                <w:color w:val="auto"/>
                <w:w w:val="94"/>
              </w:rPr>
              <w:t>E100049</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E5497</w:t>
            </w:r>
          </w:p>
        </w:tc>
      </w:tr>
    </w:tbl>
    <w:p>
      <w:pPr>
        <w:ind w:left="9140"/>
        <w:spacing w:after="0"/>
        <w:rPr>
          <w:sz w:val="20"/>
          <w:szCs w:val="20"/>
          <w:color w:val="auto"/>
        </w:rPr>
      </w:pPr>
      <w:r>
        <w:rPr>
          <w:rFonts w:ascii="Arial" w:cs="Arial" w:eastAsia="Arial" w:hAnsi="Arial"/>
          <w:sz w:val="18"/>
          <w:szCs w:val="18"/>
          <w:color w:val="auto"/>
        </w:rPr>
        <w:t>WB48</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WB49</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WB52</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WB63</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WE41</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WS94</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WY90</w:t>
            </w:r>
          </w:p>
        </w:tc>
      </w:tr>
      <w:tr>
        <w:trPr>
          <w:trHeight w:val="230"/>
        </w:trPr>
        <w:tc>
          <w:tcPr>
            <w:tcW w:w="21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WY91</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SES-ASG-20140604-00459</w:t>
            </w:r>
          </w:p>
        </w:tc>
        <w:tc>
          <w:tcPr>
            <w:tcW w:w="3440" w:type="dxa"/>
            <w:vAlign w:val="bottom"/>
          </w:tcPr>
          <w:p>
            <w:pPr>
              <w:ind w:left="140"/>
              <w:spacing w:after="0"/>
              <w:rPr>
                <w:sz w:val="20"/>
                <w:szCs w:val="20"/>
                <w:color w:val="auto"/>
              </w:rPr>
            </w:pPr>
            <w:r>
              <w:rPr>
                <w:rFonts w:ascii="Arial" w:cs="Arial" w:eastAsia="Arial" w:hAnsi="Arial"/>
                <w:sz w:val="18"/>
                <w:szCs w:val="18"/>
                <w:color w:val="auto"/>
              </w:rPr>
              <w:t>Comcast of Colorado/Florida/Michigan/</w:t>
            </w:r>
          </w:p>
        </w:tc>
        <w:tc>
          <w:tcPr>
            <w:tcW w:w="5820" w:type="dxa"/>
            <w:vAlign w:val="bottom"/>
          </w:tcPr>
          <w:p>
            <w:pPr>
              <w:ind w:left="3540"/>
              <w:spacing w:after="0"/>
              <w:rPr>
                <w:sz w:val="20"/>
                <w:szCs w:val="20"/>
                <w:color w:val="auto"/>
              </w:rPr>
            </w:pPr>
            <w:r>
              <w:rPr>
                <w:rFonts w:ascii="Arial" w:cs="Arial" w:eastAsia="Arial" w:hAnsi="Arial"/>
                <w:sz w:val="18"/>
                <w:szCs w:val="18"/>
                <w:color w:val="auto"/>
              </w:rPr>
              <w:t>E2172</w:t>
            </w:r>
          </w:p>
        </w:tc>
      </w:tr>
      <w:tr>
        <w:trPr>
          <w:trHeight w:val="216"/>
        </w:trPr>
        <w:tc>
          <w:tcPr>
            <w:tcW w:w="2160" w:type="dxa"/>
            <w:vAlign w:val="bottom"/>
          </w:tcPr>
          <w:p>
            <w:pPr>
              <w:spacing w:after="0"/>
              <w:rPr>
                <w:sz w:val="18"/>
                <w:szCs w:val="18"/>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w w:val="92"/>
              </w:rPr>
              <w:t>New Mexico/Pennsylvania/Washington, LLC</w:t>
            </w:r>
          </w:p>
        </w:tc>
        <w:tc>
          <w:tcPr>
            <w:tcW w:w="5820" w:type="dxa"/>
            <w:vAlign w:val="bottom"/>
          </w:tcPr>
          <w:p>
            <w:pPr>
              <w:ind w:left="3540"/>
              <w:spacing w:after="0"/>
              <w:rPr>
                <w:sz w:val="20"/>
                <w:szCs w:val="20"/>
                <w:color w:val="auto"/>
              </w:rPr>
            </w:pPr>
            <w:r>
              <w:rPr>
                <w:rFonts w:ascii="Arial" w:cs="Arial" w:eastAsia="Arial" w:hAnsi="Arial"/>
                <w:sz w:val="18"/>
                <w:szCs w:val="18"/>
                <w:color w:val="auto"/>
              </w:rPr>
              <w:t>E2613</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E3204</w:t>
            </w:r>
          </w:p>
        </w:tc>
      </w:tr>
      <w:tr>
        <w:trPr>
          <w:trHeight w:val="230"/>
        </w:trPr>
        <w:tc>
          <w:tcPr>
            <w:tcW w:w="21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E6740</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SES-ASG-20140604-00460</w:t>
            </w:r>
          </w:p>
        </w:tc>
        <w:tc>
          <w:tcPr>
            <w:tcW w:w="3440" w:type="dxa"/>
            <w:vAlign w:val="bottom"/>
          </w:tcPr>
          <w:p>
            <w:pPr>
              <w:ind w:left="140"/>
              <w:spacing w:after="0"/>
              <w:rPr>
                <w:sz w:val="20"/>
                <w:szCs w:val="20"/>
                <w:color w:val="auto"/>
              </w:rPr>
            </w:pPr>
            <w:r>
              <w:rPr>
                <w:rFonts w:ascii="Arial" w:cs="Arial" w:eastAsia="Arial" w:hAnsi="Arial"/>
                <w:sz w:val="18"/>
                <w:szCs w:val="18"/>
                <w:color w:val="auto"/>
              </w:rPr>
              <w:t>Comcast of the South</w:t>
            </w:r>
          </w:p>
        </w:tc>
        <w:tc>
          <w:tcPr>
            <w:tcW w:w="5820" w:type="dxa"/>
            <w:vAlign w:val="bottom"/>
          </w:tcPr>
          <w:p>
            <w:pPr>
              <w:ind w:left="3540"/>
              <w:spacing w:after="0"/>
              <w:rPr>
                <w:sz w:val="20"/>
                <w:szCs w:val="20"/>
                <w:color w:val="auto"/>
              </w:rPr>
            </w:pPr>
            <w:r>
              <w:rPr>
                <w:rFonts w:ascii="Arial" w:cs="Arial" w:eastAsia="Arial" w:hAnsi="Arial"/>
                <w:sz w:val="18"/>
                <w:szCs w:val="18"/>
                <w:color w:val="auto"/>
              </w:rPr>
              <w:t>E980265</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E980267</w:t>
            </w:r>
          </w:p>
        </w:tc>
      </w:tr>
      <w:tr>
        <w:trPr>
          <w:trHeight w:val="230"/>
        </w:trPr>
        <w:tc>
          <w:tcPr>
            <w:tcW w:w="21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E980268</w:t>
            </w:r>
          </w:p>
        </w:tc>
      </w:tr>
      <w:tr>
        <w:trPr>
          <w:trHeight w:val="378"/>
        </w:trPr>
        <w:tc>
          <w:tcPr>
            <w:tcW w:w="5600" w:type="dxa"/>
            <w:vAlign w:val="bottom"/>
            <w:gridSpan w:val="2"/>
          </w:tcPr>
          <w:p>
            <w:pPr>
              <w:spacing w:after="0"/>
              <w:rPr>
                <w:sz w:val="20"/>
                <w:szCs w:val="20"/>
                <w:color w:val="auto"/>
              </w:rPr>
            </w:pPr>
            <w:r>
              <w:rPr>
                <w:rFonts w:ascii="Arial" w:cs="Arial" w:eastAsia="Arial" w:hAnsi="Arial"/>
                <w:sz w:val="18"/>
                <w:szCs w:val="18"/>
                <w:color w:val="auto"/>
              </w:rPr>
              <w:t>SES-ASG-20140604-00461   Comcast of Illinois/Indiana/Ohio, LLC</w:t>
            </w:r>
          </w:p>
        </w:tc>
        <w:tc>
          <w:tcPr>
            <w:tcW w:w="5820" w:type="dxa"/>
            <w:vAlign w:val="bottom"/>
          </w:tcPr>
          <w:p>
            <w:pPr>
              <w:ind w:left="3540"/>
              <w:spacing w:after="0"/>
              <w:rPr>
                <w:sz w:val="20"/>
                <w:szCs w:val="20"/>
                <w:color w:val="auto"/>
              </w:rPr>
            </w:pPr>
            <w:r>
              <w:rPr>
                <w:rFonts w:ascii="Arial" w:cs="Arial" w:eastAsia="Arial" w:hAnsi="Arial"/>
                <w:sz w:val="18"/>
                <w:szCs w:val="18"/>
                <w:color w:val="auto"/>
              </w:rPr>
              <w:t>E000266</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SES-ASG-20140604-00462</w:t>
            </w:r>
          </w:p>
        </w:tc>
        <w:tc>
          <w:tcPr>
            <w:tcW w:w="3440" w:type="dxa"/>
            <w:vAlign w:val="bottom"/>
          </w:tcPr>
          <w:p>
            <w:pPr>
              <w:ind w:left="140"/>
              <w:spacing w:after="0"/>
              <w:rPr>
                <w:sz w:val="20"/>
                <w:szCs w:val="20"/>
                <w:color w:val="auto"/>
              </w:rPr>
            </w:pPr>
            <w:r>
              <w:rPr>
                <w:rFonts w:ascii="Arial" w:cs="Arial" w:eastAsia="Arial" w:hAnsi="Arial"/>
                <w:sz w:val="18"/>
                <w:szCs w:val="18"/>
                <w:color w:val="auto"/>
              </w:rPr>
              <w:t>Comcast of Indiana/Kentucky/Utah</w:t>
            </w:r>
          </w:p>
        </w:tc>
        <w:tc>
          <w:tcPr>
            <w:tcW w:w="5820" w:type="dxa"/>
            <w:vAlign w:val="bottom"/>
          </w:tcPr>
          <w:p>
            <w:pPr>
              <w:ind w:left="3540"/>
              <w:spacing w:after="0"/>
              <w:rPr>
                <w:sz w:val="20"/>
                <w:szCs w:val="20"/>
                <w:color w:val="auto"/>
              </w:rPr>
            </w:pPr>
            <w:r>
              <w:rPr>
                <w:rFonts w:ascii="Arial" w:cs="Arial" w:eastAsia="Arial" w:hAnsi="Arial"/>
                <w:sz w:val="18"/>
                <w:szCs w:val="18"/>
                <w:color w:val="auto"/>
              </w:rPr>
              <w:t>WH40</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SES-ASG-20140604-00463</w:t>
            </w:r>
          </w:p>
        </w:tc>
        <w:tc>
          <w:tcPr>
            <w:tcW w:w="3440" w:type="dxa"/>
            <w:vAlign w:val="bottom"/>
          </w:tcPr>
          <w:p>
            <w:pPr>
              <w:ind w:left="140"/>
              <w:spacing w:after="0"/>
              <w:rPr>
                <w:sz w:val="20"/>
                <w:szCs w:val="20"/>
                <w:color w:val="auto"/>
              </w:rPr>
            </w:pPr>
            <w:r>
              <w:rPr>
                <w:rFonts w:ascii="Arial" w:cs="Arial" w:eastAsia="Arial" w:hAnsi="Arial"/>
                <w:sz w:val="18"/>
                <w:szCs w:val="18"/>
                <w:color w:val="auto"/>
              </w:rPr>
              <w:t>Comcast of Shelby, Inc.</w:t>
            </w:r>
          </w:p>
        </w:tc>
        <w:tc>
          <w:tcPr>
            <w:tcW w:w="5820" w:type="dxa"/>
            <w:vAlign w:val="bottom"/>
          </w:tcPr>
          <w:p>
            <w:pPr>
              <w:ind w:left="3540"/>
              <w:spacing w:after="0"/>
              <w:rPr>
                <w:sz w:val="20"/>
                <w:szCs w:val="20"/>
                <w:color w:val="auto"/>
              </w:rPr>
            </w:pPr>
            <w:r>
              <w:rPr>
                <w:rFonts w:ascii="Arial" w:cs="Arial" w:eastAsia="Arial" w:hAnsi="Arial"/>
                <w:sz w:val="18"/>
                <w:szCs w:val="18"/>
                <w:color w:val="auto"/>
              </w:rPr>
              <w:t>E3926</w:t>
            </w:r>
          </w:p>
        </w:tc>
      </w:tr>
      <w:tr>
        <w:trPr>
          <w:trHeight w:val="378"/>
        </w:trPr>
        <w:tc>
          <w:tcPr>
            <w:tcW w:w="5600" w:type="dxa"/>
            <w:vAlign w:val="bottom"/>
            <w:gridSpan w:val="2"/>
          </w:tcPr>
          <w:p>
            <w:pPr>
              <w:spacing w:after="0"/>
              <w:rPr>
                <w:sz w:val="20"/>
                <w:szCs w:val="20"/>
                <w:color w:val="auto"/>
              </w:rPr>
            </w:pPr>
            <w:r>
              <w:rPr>
                <w:rFonts w:ascii="Arial" w:cs="Arial" w:eastAsia="Arial" w:hAnsi="Arial"/>
                <w:sz w:val="18"/>
                <w:szCs w:val="18"/>
                <w:color w:val="auto"/>
              </w:rPr>
              <w:t>SES-ASG-20140604-00464   Comcast of Sterling Heights, Inc.</w:t>
            </w:r>
          </w:p>
        </w:tc>
        <w:tc>
          <w:tcPr>
            <w:tcW w:w="5820" w:type="dxa"/>
            <w:vAlign w:val="bottom"/>
          </w:tcPr>
          <w:p>
            <w:pPr>
              <w:ind w:left="3540"/>
              <w:spacing w:after="0"/>
              <w:rPr>
                <w:sz w:val="20"/>
                <w:szCs w:val="20"/>
                <w:color w:val="auto"/>
              </w:rPr>
            </w:pPr>
            <w:r>
              <w:rPr>
                <w:rFonts w:ascii="Arial" w:cs="Arial" w:eastAsia="Arial" w:hAnsi="Arial"/>
                <w:sz w:val="18"/>
                <w:szCs w:val="18"/>
                <w:color w:val="auto"/>
              </w:rPr>
              <w:t>E5457</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SES-ASG-20140604-00465</w:t>
            </w:r>
          </w:p>
        </w:tc>
        <w:tc>
          <w:tcPr>
            <w:tcW w:w="3440" w:type="dxa"/>
            <w:vAlign w:val="bottom"/>
          </w:tcPr>
          <w:p>
            <w:pPr>
              <w:ind w:left="140"/>
              <w:spacing w:after="0"/>
              <w:rPr>
                <w:sz w:val="20"/>
                <w:szCs w:val="20"/>
                <w:color w:val="auto"/>
              </w:rPr>
            </w:pPr>
            <w:r>
              <w:rPr>
                <w:rFonts w:ascii="Arial" w:cs="Arial" w:eastAsia="Arial" w:hAnsi="Arial"/>
                <w:sz w:val="18"/>
                <w:szCs w:val="18"/>
                <w:color w:val="auto"/>
              </w:rPr>
              <w:t>Comcast of Clinton</w:t>
            </w:r>
          </w:p>
        </w:tc>
        <w:tc>
          <w:tcPr>
            <w:tcW w:w="5820" w:type="dxa"/>
            <w:vAlign w:val="bottom"/>
          </w:tcPr>
          <w:p>
            <w:pPr>
              <w:ind w:left="3540"/>
              <w:spacing w:after="0"/>
              <w:rPr>
                <w:sz w:val="20"/>
                <w:szCs w:val="20"/>
                <w:color w:val="auto"/>
              </w:rPr>
            </w:pPr>
            <w:r>
              <w:rPr>
                <w:rFonts w:ascii="Arial" w:cs="Arial" w:eastAsia="Arial" w:hAnsi="Arial"/>
                <w:sz w:val="18"/>
                <w:szCs w:val="18"/>
                <w:color w:val="auto"/>
              </w:rPr>
              <w:t>E3925</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SES-ASG-20140604-00466</w:t>
            </w:r>
          </w:p>
        </w:tc>
        <w:tc>
          <w:tcPr>
            <w:tcW w:w="3440" w:type="dxa"/>
            <w:vAlign w:val="bottom"/>
          </w:tcPr>
          <w:p>
            <w:pPr>
              <w:ind w:left="140"/>
              <w:spacing w:after="0"/>
              <w:rPr>
                <w:sz w:val="20"/>
                <w:szCs w:val="20"/>
                <w:color w:val="auto"/>
              </w:rPr>
            </w:pPr>
            <w:r>
              <w:rPr>
                <w:rFonts w:ascii="Arial" w:cs="Arial" w:eastAsia="Arial" w:hAnsi="Arial"/>
                <w:sz w:val="18"/>
                <w:szCs w:val="18"/>
                <w:color w:val="auto"/>
              </w:rPr>
              <w:t>Comcast of Warren</w:t>
            </w:r>
          </w:p>
        </w:tc>
        <w:tc>
          <w:tcPr>
            <w:tcW w:w="5820" w:type="dxa"/>
            <w:vAlign w:val="bottom"/>
          </w:tcPr>
          <w:p>
            <w:pPr>
              <w:ind w:left="3540"/>
              <w:spacing w:after="0"/>
              <w:rPr>
                <w:sz w:val="20"/>
                <w:szCs w:val="20"/>
                <w:color w:val="auto"/>
              </w:rPr>
            </w:pPr>
            <w:r>
              <w:rPr>
                <w:rFonts w:ascii="Arial" w:cs="Arial" w:eastAsia="Arial" w:hAnsi="Arial"/>
                <w:sz w:val="18"/>
                <w:szCs w:val="18"/>
                <w:color w:val="auto"/>
              </w:rPr>
              <w:t>E3928</w:t>
            </w:r>
          </w:p>
        </w:tc>
      </w:tr>
      <w:tr>
        <w:trPr>
          <w:trHeight w:val="378"/>
        </w:trPr>
        <w:tc>
          <w:tcPr>
            <w:tcW w:w="5600" w:type="dxa"/>
            <w:vAlign w:val="bottom"/>
            <w:gridSpan w:val="2"/>
          </w:tcPr>
          <w:p>
            <w:pPr>
              <w:spacing w:after="0"/>
              <w:rPr>
                <w:sz w:val="20"/>
                <w:szCs w:val="20"/>
                <w:color w:val="auto"/>
              </w:rPr>
            </w:pPr>
            <w:r>
              <w:rPr>
                <w:rFonts w:ascii="Arial" w:cs="Arial" w:eastAsia="Arial" w:hAnsi="Arial"/>
                <w:sz w:val="18"/>
                <w:szCs w:val="18"/>
                <w:color w:val="auto"/>
              </w:rPr>
              <w:t>SES-ASG-20140604-00468   Comcast of Georgia/Michigan, LP</w:t>
            </w:r>
          </w:p>
        </w:tc>
        <w:tc>
          <w:tcPr>
            <w:tcW w:w="5820" w:type="dxa"/>
            <w:vAlign w:val="bottom"/>
          </w:tcPr>
          <w:p>
            <w:pPr>
              <w:ind w:left="3540"/>
              <w:spacing w:after="0"/>
              <w:rPr>
                <w:sz w:val="20"/>
                <w:szCs w:val="20"/>
                <w:color w:val="auto"/>
              </w:rPr>
            </w:pPr>
            <w:r>
              <w:rPr>
                <w:rFonts w:ascii="Arial" w:cs="Arial" w:eastAsia="Arial" w:hAnsi="Arial"/>
                <w:sz w:val="18"/>
                <w:szCs w:val="18"/>
                <w:color w:val="auto"/>
              </w:rPr>
              <w:t>E5265</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SES-ASG-20140604-00474</w:t>
            </w:r>
          </w:p>
        </w:tc>
        <w:tc>
          <w:tcPr>
            <w:tcW w:w="3440" w:type="dxa"/>
            <w:vAlign w:val="bottom"/>
          </w:tcPr>
          <w:p>
            <w:pPr>
              <w:ind w:left="140"/>
              <w:spacing w:after="0"/>
              <w:rPr>
                <w:sz w:val="20"/>
                <w:szCs w:val="20"/>
                <w:color w:val="auto"/>
              </w:rPr>
            </w:pPr>
            <w:r>
              <w:rPr>
                <w:rFonts w:ascii="Arial" w:cs="Arial" w:eastAsia="Arial" w:hAnsi="Arial"/>
                <w:sz w:val="18"/>
                <w:szCs w:val="18"/>
                <w:color w:val="auto"/>
              </w:rPr>
              <w:t>Comcast of Indiana/Kentucky/Utah</w:t>
            </w:r>
          </w:p>
        </w:tc>
        <w:tc>
          <w:tcPr>
            <w:tcW w:w="5820" w:type="dxa"/>
            <w:vAlign w:val="bottom"/>
          </w:tcPr>
          <w:p>
            <w:pPr>
              <w:ind w:left="3540"/>
              <w:spacing w:after="0"/>
              <w:rPr>
                <w:sz w:val="20"/>
                <w:szCs w:val="20"/>
                <w:color w:val="auto"/>
              </w:rPr>
            </w:pPr>
            <w:r>
              <w:rPr>
                <w:rFonts w:ascii="Arial" w:cs="Arial" w:eastAsia="Arial" w:hAnsi="Arial"/>
                <w:sz w:val="18"/>
                <w:szCs w:val="18"/>
                <w:color w:val="auto"/>
              </w:rPr>
              <w:t>E5525</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E6291</w:t>
            </w:r>
          </w:p>
        </w:tc>
      </w:tr>
      <w:tr>
        <w:trPr>
          <w:trHeight w:val="230"/>
        </w:trPr>
        <w:tc>
          <w:tcPr>
            <w:tcW w:w="21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E940406</w:t>
            </w:r>
          </w:p>
        </w:tc>
      </w:tr>
      <w:tr>
        <w:trPr>
          <w:trHeight w:val="364"/>
        </w:trPr>
        <w:tc>
          <w:tcPr>
            <w:tcW w:w="5600" w:type="dxa"/>
            <w:vAlign w:val="bottom"/>
            <w:gridSpan w:val="2"/>
          </w:tcPr>
          <w:p>
            <w:pPr>
              <w:spacing w:after="0"/>
              <w:rPr>
                <w:sz w:val="20"/>
                <w:szCs w:val="20"/>
                <w:color w:val="auto"/>
              </w:rPr>
            </w:pPr>
            <w:r>
              <w:rPr>
                <w:rFonts w:ascii="Arial" w:cs="Arial" w:eastAsia="Arial" w:hAnsi="Arial"/>
                <w:sz w:val="18"/>
                <w:szCs w:val="18"/>
                <w:color w:val="auto"/>
              </w:rPr>
              <w:t>SES-ASG-20140604-00477   Comcast of Illinois/Indiana/Ohio, LLC</w:t>
            </w:r>
          </w:p>
        </w:tc>
        <w:tc>
          <w:tcPr>
            <w:tcW w:w="5820" w:type="dxa"/>
            <w:vAlign w:val="bottom"/>
          </w:tcPr>
          <w:p>
            <w:pPr>
              <w:ind w:left="3540"/>
              <w:spacing w:after="0"/>
              <w:rPr>
                <w:sz w:val="20"/>
                <w:szCs w:val="20"/>
                <w:color w:val="auto"/>
              </w:rPr>
            </w:pPr>
            <w:r>
              <w:rPr>
                <w:rFonts w:ascii="Arial" w:cs="Arial" w:eastAsia="Arial" w:hAnsi="Arial"/>
                <w:sz w:val="18"/>
                <w:szCs w:val="18"/>
                <w:color w:val="auto"/>
              </w:rPr>
              <w:t>E2020</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E3236</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E3950</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E4173</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E4720</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E5417</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E6738</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E870436</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WL32</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WU52</w:t>
            </w:r>
          </w:p>
        </w:tc>
      </w:tr>
      <w:tr>
        <w:trPr>
          <w:trHeight w:val="216"/>
        </w:trPr>
        <w:tc>
          <w:tcPr>
            <w:tcW w:w="216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WX23</w:t>
            </w:r>
          </w:p>
        </w:tc>
      </w:tr>
      <w:tr>
        <w:trPr>
          <w:trHeight w:val="230"/>
        </w:trPr>
        <w:tc>
          <w:tcPr>
            <w:tcW w:w="216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5820" w:type="dxa"/>
            <w:vAlign w:val="bottom"/>
          </w:tcPr>
          <w:p>
            <w:pPr>
              <w:ind w:left="3540"/>
              <w:spacing w:after="0"/>
              <w:rPr>
                <w:sz w:val="20"/>
                <w:szCs w:val="20"/>
                <w:color w:val="auto"/>
              </w:rPr>
            </w:pPr>
            <w:r>
              <w:rPr>
                <w:rFonts w:ascii="Arial" w:cs="Arial" w:eastAsia="Arial" w:hAnsi="Arial"/>
                <w:sz w:val="18"/>
                <w:szCs w:val="18"/>
                <w:color w:val="auto"/>
              </w:rPr>
              <w:t>WX28</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SES-ASG-20140604-00484</w:t>
            </w:r>
          </w:p>
        </w:tc>
        <w:tc>
          <w:tcPr>
            <w:tcW w:w="3440" w:type="dxa"/>
            <w:vAlign w:val="bottom"/>
          </w:tcPr>
          <w:p>
            <w:pPr>
              <w:ind w:left="140"/>
              <w:spacing w:after="0"/>
              <w:rPr>
                <w:sz w:val="20"/>
                <w:szCs w:val="20"/>
                <w:color w:val="auto"/>
              </w:rPr>
            </w:pPr>
            <w:r>
              <w:rPr>
                <w:rFonts w:ascii="Arial" w:cs="Arial" w:eastAsia="Arial" w:hAnsi="Arial"/>
                <w:sz w:val="18"/>
                <w:szCs w:val="18"/>
                <w:color w:val="auto"/>
              </w:rPr>
              <w:t>Comcast of Flint Inc.</w:t>
            </w:r>
          </w:p>
        </w:tc>
        <w:tc>
          <w:tcPr>
            <w:tcW w:w="5820" w:type="dxa"/>
            <w:vAlign w:val="bottom"/>
          </w:tcPr>
          <w:p>
            <w:pPr>
              <w:ind w:left="3540"/>
              <w:spacing w:after="0"/>
              <w:rPr>
                <w:sz w:val="20"/>
                <w:szCs w:val="20"/>
                <w:color w:val="auto"/>
              </w:rPr>
            </w:pPr>
            <w:r>
              <w:rPr>
                <w:rFonts w:ascii="Arial" w:cs="Arial" w:eastAsia="Arial" w:hAnsi="Arial"/>
                <w:sz w:val="18"/>
                <w:szCs w:val="18"/>
                <w:color w:val="auto"/>
              </w:rPr>
              <w:t>E880402</w:t>
            </w:r>
          </w:p>
        </w:tc>
      </w:tr>
      <w:tr>
        <w:trPr>
          <w:trHeight w:val="41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SES-ASG-20140604-00485</w:t>
            </w:r>
          </w:p>
        </w:tc>
        <w:tc>
          <w:tcPr>
            <w:tcW w:w="3440" w:type="dxa"/>
            <w:vAlign w:val="bottom"/>
          </w:tcPr>
          <w:p>
            <w:pPr>
              <w:ind w:left="140"/>
              <w:spacing w:after="0"/>
              <w:rPr>
                <w:sz w:val="20"/>
                <w:szCs w:val="20"/>
                <w:color w:val="auto"/>
              </w:rPr>
            </w:pPr>
            <w:r>
              <w:rPr>
                <w:rFonts w:ascii="Arial" w:cs="Arial" w:eastAsia="Arial" w:hAnsi="Arial"/>
                <w:sz w:val="18"/>
                <w:szCs w:val="18"/>
                <w:color w:val="auto"/>
              </w:rPr>
              <w:t>Comcast of Colorado/Florida/Michigan/</w:t>
            </w:r>
          </w:p>
        </w:tc>
        <w:tc>
          <w:tcPr>
            <w:tcW w:w="5820" w:type="dxa"/>
            <w:vAlign w:val="bottom"/>
          </w:tcPr>
          <w:p>
            <w:pPr>
              <w:ind w:left="3540"/>
              <w:spacing w:after="0"/>
              <w:rPr>
                <w:sz w:val="20"/>
                <w:szCs w:val="20"/>
                <w:color w:val="auto"/>
              </w:rPr>
            </w:pPr>
            <w:r>
              <w:rPr>
                <w:rFonts w:ascii="Arial" w:cs="Arial" w:eastAsia="Arial" w:hAnsi="Arial"/>
                <w:sz w:val="18"/>
                <w:szCs w:val="18"/>
                <w:color w:val="auto"/>
              </w:rPr>
              <w:t>WK65</w:t>
            </w:r>
          </w:p>
        </w:tc>
      </w:tr>
      <w:tr>
        <w:trPr>
          <w:trHeight w:val="230"/>
        </w:trPr>
        <w:tc>
          <w:tcPr>
            <w:tcW w:w="2160" w:type="dxa"/>
            <w:vAlign w:val="bottom"/>
          </w:tcPr>
          <w:p>
            <w:pPr>
              <w:spacing w:after="0"/>
              <w:rPr>
                <w:sz w:val="20"/>
                <w:szCs w:val="20"/>
                <w:color w:val="auto"/>
              </w:rPr>
            </w:pPr>
          </w:p>
        </w:tc>
        <w:tc>
          <w:tcPr>
            <w:tcW w:w="3440" w:type="dxa"/>
            <w:vAlign w:val="bottom"/>
          </w:tcPr>
          <w:p>
            <w:pPr>
              <w:ind w:left="140"/>
              <w:spacing w:after="0"/>
              <w:rPr>
                <w:sz w:val="20"/>
                <w:szCs w:val="20"/>
                <w:color w:val="auto"/>
              </w:rPr>
            </w:pPr>
            <w:r>
              <w:rPr>
                <w:rFonts w:ascii="Arial" w:cs="Arial" w:eastAsia="Arial" w:hAnsi="Arial"/>
                <w:sz w:val="18"/>
                <w:szCs w:val="18"/>
                <w:color w:val="auto"/>
                <w:w w:val="92"/>
              </w:rPr>
              <w:t>New Mexico/Pennsylvania/Washington, LLC</w:t>
            </w:r>
          </w:p>
        </w:tc>
        <w:tc>
          <w:tcPr>
            <w:tcW w:w="5820" w:type="dxa"/>
            <w:vAlign w:val="bottom"/>
          </w:tcPr>
          <w:p>
            <w:pPr>
              <w:spacing w:after="0"/>
              <w:rPr>
                <w:sz w:val="20"/>
                <w:szCs w:val="20"/>
                <w:color w:val="auto"/>
              </w:rPr>
            </w:pPr>
          </w:p>
        </w:tc>
      </w:tr>
      <w:tr>
        <w:trPr>
          <w:trHeight w:val="932"/>
        </w:trPr>
        <w:tc>
          <w:tcPr>
            <w:tcW w:w="21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26</w:t>
            </w:r>
          </w:p>
        </w:tc>
      </w:tr>
      <w:tr>
        <w:trPr>
          <w:trHeight w:val="118"/>
        </w:trPr>
        <w:tc>
          <w:tcPr>
            <w:tcW w:w="2160" w:type="dxa"/>
            <w:vAlign w:val="bottom"/>
            <w:tcBorders>
              <w:bottom w:val="single" w:sz="8" w:color="808080"/>
            </w:tcBorders>
          </w:tcPr>
          <w:p>
            <w:pPr>
              <w:spacing w:after="0"/>
              <w:rPr>
                <w:sz w:val="10"/>
                <w:szCs w:val="10"/>
                <w:color w:val="auto"/>
              </w:rPr>
            </w:pPr>
          </w:p>
        </w:tc>
        <w:tc>
          <w:tcPr>
            <w:tcW w:w="3440" w:type="dxa"/>
            <w:vAlign w:val="bottom"/>
            <w:tcBorders>
              <w:bottom w:val="single" w:sz="8" w:color="808080"/>
            </w:tcBorders>
          </w:tcPr>
          <w:p>
            <w:pPr>
              <w:spacing w:after="0"/>
              <w:rPr>
                <w:sz w:val="10"/>
                <w:szCs w:val="10"/>
                <w:color w:val="auto"/>
              </w:rPr>
            </w:pPr>
          </w:p>
        </w:tc>
        <w:tc>
          <w:tcPr>
            <w:tcW w:w="582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SES-ASG-20140604-00487</w:t>
            </w:r>
          </w:p>
        </w:tc>
        <w:tc>
          <w:tcPr>
            <w:tcW w:w="5140" w:type="dxa"/>
            <w:vAlign w:val="bottom"/>
          </w:tcPr>
          <w:p>
            <w:pPr>
              <w:ind w:left="140"/>
              <w:spacing w:after="0"/>
              <w:rPr>
                <w:sz w:val="20"/>
                <w:szCs w:val="20"/>
                <w:color w:val="auto"/>
              </w:rPr>
            </w:pPr>
            <w:r>
              <w:rPr>
                <w:rFonts w:ascii="Arial" w:cs="Arial" w:eastAsia="Arial" w:hAnsi="Arial"/>
                <w:sz w:val="18"/>
                <w:szCs w:val="18"/>
                <w:color w:val="auto"/>
              </w:rPr>
              <w:t>Comcast Cable Investors, LP</w:t>
            </w:r>
          </w:p>
        </w:tc>
        <w:tc>
          <w:tcPr>
            <w:tcW w:w="2480" w:type="dxa"/>
            <w:vAlign w:val="bottom"/>
          </w:tcPr>
          <w:p>
            <w:pPr>
              <w:ind w:left="1840"/>
              <w:spacing w:after="0"/>
              <w:rPr>
                <w:sz w:val="20"/>
                <w:szCs w:val="20"/>
                <w:color w:val="auto"/>
              </w:rPr>
            </w:pPr>
            <w:r>
              <w:rPr>
                <w:rFonts w:ascii="Arial" w:cs="Arial" w:eastAsia="Arial" w:hAnsi="Arial"/>
                <w:sz w:val="18"/>
                <w:szCs w:val="18"/>
                <w:color w:val="auto"/>
              </w:rPr>
              <w:t>WJ72</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SES-ASG-20140604-00490</w:t>
            </w:r>
          </w:p>
        </w:tc>
        <w:tc>
          <w:tcPr>
            <w:tcW w:w="5140" w:type="dxa"/>
            <w:vAlign w:val="bottom"/>
          </w:tcPr>
          <w:p>
            <w:pPr>
              <w:ind w:left="140"/>
              <w:spacing w:after="0"/>
              <w:rPr>
                <w:sz w:val="20"/>
                <w:szCs w:val="20"/>
                <w:color w:val="auto"/>
              </w:rPr>
            </w:pPr>
            <w:r>
              <w:rPr>
                <w:rFonts w:ascii="Arial" w:cs="Arial" w:eastAsia="Arial" w:hAnsi="Arial"/>
                <w:sz w:val="18"/>
                <w:szCs w:val="18"/>
                <w:color w:val="auto"/>
              </w:rPr>
              <w:t>Comcast of Florida/Washington, LLC</w:t>
            </w:r>
          </w:p>
        </w:tc>
        <w:tc>
          <w:tcPr>
            <w:tcW w:w="2480" w:type="dxa"/>
            <w:vAlign w:val="bottom"/>
          </w:tcPr>
          <w:p>
            <w:pPr>
              <w:ind w:left="1840"/>
              <w:spacing w:after="0"/>
              <w:rPr>
                <w:sz w:val="20"/>
                <w:szCs w:val="20"/>
                <w:color w:val="auto"/>
              </w:rPr>
            </w:pPr>
            <w:r>
              <w:rPr>
                <w:rFonts w:ascii="Arial" w:cs="Arial" w:eastAsia="Arial" w:hAnsi="Arial"/>
                <w:sz w:val="18"/>
                <w:szCs w:val="18"/>
                <w:color w:val="auto"/>
                <w:w w:val="85"/>
              </w:rPr>
              <w:t>E010103</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SES-ASG-20140604-00493</w:t>
            </w:r>
          </w:p>
        </w:tc>
        <w:tc>
          <w:tcPr>
            <w:tcW w:w="5140" w:type="dxa"/>
            <w:vAlign w:val="bottom"/>
          </w:tcPr>
          <w:p>
            <w:pPr>
              <w:ind w:left="180"/>
              <w:spacing w:after="0"/>
              <w:rPr>
                <w:sz w:val="20"/>
                <w:szCs w:val="20"/>
                <w:color w:val="auto"/>
              </w:rPr>
            </w:pPr>
            <w:r>
              <w:rPr>
                <w:rFonts w:ascii="Arial" w:cs="Arial" w:eastAsia="Arial" w:hAnsi="Arial"/>
                <w:sz w:val="18"/>
                <w:szCs w:val="18"/>
                <w:color w:val="auto"/>
              </w:rPr>
              <w:t>Comcast of Paducah Inc.</w:t>
            </w:r>
          </w:p>
        </w:tc>
        <w:tc>
          <w:tcPr>
            <w:tcW w:w="2480" w:type="dxa"/>
            <w:vAlign w:val="bottom"/>
          </w:tcPr>
          <w:p>
            <w:pPr>
              <w:ind w:left="1840"/>
              <w:spacing w:after="0"/>
              <w:rPr>
                <w:sz w:val="20"/>
                <w:szCs w:val="20"/>
                <w:color w:val="auto"/>
              </w:rPr>
            </w:pPr>
            <w:r>
              <w:rPr>
                <w:rFonts w:ascii="Arial" w:cs="Arial" w:eastAsia="Arial" w:hAnsi="Arial"/>
                <w:sz w:val="18"/>
                <w:szCs w:val="18"/>
                <w:color w:val="auto"/>
              </w:rPr>
              <w:t>WE64</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SES-ASG-20140604-00494</w:t>
            </w:r>
          </w:p>
        </w:tc>
        <w:tc>
          <w:tcPr>
            <w:tcW w:w="5140" w:type="dxa"/>
            <w:vAlign w:val="bottom"/>
          </w:tcPr>
          <w:p>
            <w:pPr>
              <w:ind w:left="140"/>
              <w:spacing w:after="0"/>
              <w:rPr>
                <w:sz w:val="20"/>
                <w:szCs w:val="20"/>
                <w:color w:val="auto"/>
              </w:rPr>
            </w:pPr>
            <w:r>
              <w:rPr>
                <w:rFonts w:ascii="Arial" w:cs="Arial" w:eastAsia="Arial" w:hAnsi="Arial"/>
                <w:sz w:val="18"/>
                <w:szCs w:val="18"/>
                <w:color w:val="auto"/>
              </w:rPr>
              <w:t>Comcast of Quincy Inc.</w:t>
            </w:r>
          </w:p>
        </w:tc>
        <w:tc>
          <w:tcPr>
            <w:tcW w:w="2480" w:type="dxa"/>
            <w:vAlign w:val="bottom"/>
          </w:tcPr>
          <w:p>
            <w:pPr>
              <w:ind w:left="1840"/>
              <w:spacing w:after="0"/>
              <w:rPr>
                <w:sz w:val="20"/>
                <w:szCs w:val="20"/>
                <w:color w:val="auto"/>
              </w:rPr>
            </w:pPr>
            <w:r>
              <w:rPr>
                <w:rFonts w:ascii="Arial" w:cs="Arial" w:eastAsia="Arial" w:hAnsi="Arial"/>
                <w:sz w:val="18"/>
                <w:szCs w:val="18"/>
                <w:color w:val="auto"/>
                <w:w w:val="85"/>
              </w:rPr>
              <w:t>E020124</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SES-ASG-20140604-00496</w:t>
            </w:r>
          </w:p>
        </w:tc>
        <w:tc>
          <w:tcPr>
            <w:tcW w:w="5140" w:type="dxa"/>
            <w:vAlign w:val="bottom"/>
          </w:tcPr>
          <w:p>
            <w:pPr>
              <w:ind w:left="140"/>
              <w:spacing w:after="0"/>
              <w:rPr>
                <w:sz w:val="20"/>
                <w:szCs w:val="20"/>
                <w:color w:val="auto"/>
              </w:rPr>
            </w:pPr>
            <w:r>
              <w:rPr>
                <w:rFonts w:ascii="Arial" w:cs="Arial" w:eastAsia="Arial" w:hAnsi="Arial"/>
                <w:sz w:val="18"/>
                <w:szCs w:val="18"/>
                <w:color w:val="auto"/>
              </w:rPr>
              <w:t>Comcast of Indiana/Kentucky/Utah</w:t>
            </w:r>
          </w:p>
        </w:tc>
        <w:tc>
          <w:tcPr>
            <w:tcW w:w="2480" w:type="dxa"/>
            <w:vAlign w:val="bottom"/>
          </w:tcPr>
          <w:p>
            <w:pPr>
              <w:ind w:left="1840"/>
              <w:spacing w:after="0"/>
              <w:rPr>
                <w:sz w:val="20"/>
                <w:szCs w:val="20"/>
                <w:color w:val="auto"/>
              </w:rPr>
            </w:pPr>
            <w:r>
              <w:rPr>
                <w:rFonts w:ascii="Arial" w:cs="Arial" w:eastAsia="Arial" w:hAnsi="Arial"/>
                <w:sz w:val="18"/>
                <w:szCs w:val="18"/>
                <w:color w:val="auto"/>
                <w:w w:val="85"/>
              </w:rPr>
              <w:t>E920423</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SES-ASG-20140619-00534</w:t>
            </w:r>
          </w:p>
        </w:tc>
        <w:tc>
          <w:tcPr>
            <w:tcW w:w="5140" w:type="dxa"/>
            <w:vAlign w:val="bottom"/>
          </w:tcPr>
          <w:p>
            <w:pPr>
              <w:ind w:left="140"/>
              <w:spacing w:after="0"/>
              <w:rPr>
                <w:sz w:val="20"/>
                <w:szCs w:val="20"/>
                <w:color w:val="auto"/>
              </w:rPr>
            </w:pPr>
            <w:r>
              <w:rPr>
                <w:rFonts w:ascii="Arial" w:cs="Arial" w:eastAsia="Arial" w:hAnsi="Arial"/>
                <w:sz w:val="18"/>
                <w:szCs w:val="18"/>
                <w:color w:val="auto"/>
              </w:rPr>
              <w:t>Comcast of Michigan III, Inc.</w:t>
            </w:r>
          </w:p>
        </w:tc>
        <w:tc>
          <w:tcPr>
            <w:tcW w:w="2480" w:type="dxa"/>
            <w:vAlign w:val="bottom"/>
          </w:tcPr>
          <w:p>
            <w:pPr>
              <w:ind w:left="1840"/>
              <w:spacing w:after="0"/>
              <w:rPr>
                <w:sz w:val="20"/>
                <w:szCs w:val="20"/>
                <w:color w:val="auto"/>
              </w:rPr>
            </w:pPr>
            <w:r>
              <w:rPr>
                <w:rFonts w:ascii="Arial" w:cs="Arial" w:eastAsia="Arial" w:hAnsi="Arial"/>
                <w:sz w:val="18"/>
                <w:szCs w:val="18"/>
                <w:color w:val="auto"/>
              </w:rPr>
              <w:t>WE77</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SES-ASG-20140630-00549</w:t>
            </w:r>
          </w:p>
        </w:tc>
        <w:tc>
          <w:tcPr>
            <w:tcW w:w="5140" w:type="dxa"/>
            <w:vAlign w:val="bottom"/>
          </w:tcPr>
          <w:p>
            <w:pPr>
              <w:ind w:left="140"/>
              <w:spacing w:after="0"/>
              <w:rPr>
                <w:sz w:val="20"/>
                <w:szCs w:val="20"/>
                <w:color w:val="auto"/>
              </w:rPr>
            </w:pPr>
            <w:r>
              <w:rPr>
                <w:rFonts w:ascii="Arial" w:cs="Arial" w:eastAsia="Arial" w:hAnsi="Arial"/>
                <w:sz w:val="18"/>
                <w:szCs w:val="18"/>
                <w:color w:val="auto"/>
              </w:rPr>
              <w:t>Comcast of Michigan I, Inc.</w:t>
            </w:r>
          </w:p>
        </w:tc>
        <w:tc>
          <w:tcPr>
            <w:tcW w:w="2480" w:type="dxa"/>
            <w:vAlign w:val="bottom"/>
          </w:tcPr>
          <w:p>
            <w:pPr>
              <w:ind w:left="1840"/>
              <w:spacing w:after="0"/>
              <w:rPr>
                <w:sz w:val="20"/>
                <w:szCs w:val="20"/>
                <w:color w:val="auto"/>
              </w:rPr>
            </w:pPr>
            <w:r>
              <w:rPr>
                <w:rFonts w:ascii="Arial" w:cs="Arial" w:eastAsia="Arial" w:hAnsi="Arial"/>
                <w:sz w:val="18"/>
                <w:szCs w:val="18"/>
                <w:color w:val="auto"/>
              </w:rPr>
              <w:t>E6003</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rPr>
              <w:t>SES-T/C-20140604-00423</w:t>
            </w:r>
          </w:p>
        </w:tc>
        <w:tc>
          <w:tcPr>
            <w:tcW w:w="5140" w:type="dxa"/>
            <w:vAlign w:val="bottom"/>
          </w:tcPr>
          <w:p>
            <w:pPr>
              <w:ind w:left="140"/>
              <w:spacing w:after="0"/>
              <w:rPr>
                <w:sz w:val="20"/>
                <w:szCs w:val="20"/>
                <w:color w:val="auto"/>
              </w:rPr>
            </w:pPr>
            <w:r>
              <w:rPr>
                <w:rFonts w:ascii="Arial" w:cs="Arial" w:eastAsia="Arial" w:hAnsi="Arial"/>
                <w:sz w:val="18"/>
                <w:szCs w:val="18"/>
                <w:color w:val="auto"/>
              </w:rPr>
              <w:t>Comcast of Michigan, LLC</w:t>
            </w:r>
          </w:p>
        </w:tc>
        <w:tc>
          <w:tcPr>
            <w:tcW w:w="2480" w:type="dxa"/>
            <w:vAlign w:val="bottom"/>
          </w:tcPr>
          <w:p>
            <w:pPr>
              <w:ind w:left="1840"/>
              <w:spacing w:after="0"/>
              <w:rPr>
                <w:sz w:val="20"/>
                <w:szCs w:val="20"/>
                <w:color w:val="auto"/>
              </w:rPr>
            </w:pPr>
            <w:r>
              <w:rPr>
                <w:rFonts w:ascii="Arial" w:cs="Arial" w:eastAsia="Arial" w:hAnsi="Arial"/>
                <w:sz w:val="18"/>
                <w:szCs w:val="18"/>
                <w:color w:val="auto"/>
              </w:rPr>
              <w:t>WH97</w:t>
            </w:r>
          </w:p>
        </w:tc>
      </w:tr>
      <w:tr>
        <w:trPr>
          <w:trHeight w:val="230"/>
        </w:trPr>
        <w:tc>
          <w:tcPr>
            <w:tcW w:w="21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WT78</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rPr>
              <w:t>SES-T/C-20140604-00424</w:t>
            </w:r>
          </w:p>
        </w:tc>
        <w:tc>
          <w:tcPr>
            <w:tcW w:w="5140" w:type="dxa"/>
            <w:vAlign w:val="bottom"/>
          </w:tcPr>
          <w:p>
            <w:pPr>
              <w:ind w:left="140"/>
              <w:spacing w:after="0"/>
              <w:rPr>
                <w:sz w:val="20"/>
                <w:szCs w:val="20"/>
                <w:color w:val="auto"/>
              </w:rPr>
            </w:pPr>
            <w:r>
              <w:rPr>
                <w:rFonts w:ascii="Arial" w:cs="Arial" w:eastAsia="Arial" w:hAnsi="Arial"/>
                <w:sz w:val="18"/>
                <w:szCs w:val="18"/>
                <w:color w:val="auto"/>
              </w:rPr>
              <w:t>Comcast of Fort Wayne Limited Partnership</w:t>
            </w:r>
          </w:p>
        </w:tc>
        <w:tc>
          <w:tcPr>
            <w:tcW w:w="2480" w:type="dxa"/>
            <w:vAlign w:val="bottom"/>
          </w:tcPr>
          <w:p>
            <w:pPr>
              <w:ind w:left="1840"/>
              <w:spacing w:after="0"/>
              <w:rPr>
                <w:sz w:val="20"/>
                <w:szCs w:val="20"/>
                <w:color w:val="auto"/>
              </w:rPr>
            </w:pPr>
            <w:r>
              <w:rPr>
                <w:rFonts w:ascii="Arial" w:cs="Arial" w:eastAsia="Arial" w:hAnsi="Arial"/>
                <w:sz w:val="18"/>
                <w:szCs w:val="18"/>
                <w:color w:val="auto"/>
              </w:rPr>
              <w:t>E4367</w:t>
            </w:r>
          </w:p>
        </w:tc>
      </w:tr>
      <w:tr>
        <w:trPr>
          <w:trHeight w:val="216"/>
        </w:trPr>
        <w:tc>
          <w:tcPr>
            <w:tcW w:w="21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E4437</w:t>
            </w:r>
          </w:p>
        </w:tc>
      </w:tr>
      <w:tr>
        <w:trPr>
          <w:trHeight w:val="230"/>
        </w:trPr>
        <w:tc>
          <w:tcPr>
            <w:tcW w:w="21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WM32</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rPr>
              <w:t>SES-T/C-20140604-00426</w:t>
            </w:r>
          </w:p>
        </w:tc>
        <w:tc>
          <w:tcPr>
            <w:tcW w:w="5140" w:type="dxa"/>
            <w:vAlign w:val="bottom"/>
          </w:tcPr>
          <w:p>
            <w:pPr>
              <w:ind w:left="140"/>
              <w:spacing w:after="0"/>
              <w:rPr>
                <w:sz w:val="20"/>
                <w:szCs w:val="20"/>
                <w:color w:val="auto"/>
              </w:rPr>
            </w:pPr>
            <w:r>
              <w:rPr>
                <w:rFonts w:ascii="Arial" w:cs="Arial" w:eastAsia="Arial" w:hAnsi="Arial"/>
                <w:sz w:val="18"/>
                <w:szCs w:val="18"/>
                <w:color w:val="auto"/>
              </w:rPr>
              <w:t>Comcast of Indianapolis, L.P.</w:t>
            </w:r>
          </w:p>
        </w:tc>
        <w:tc>
          <w:tcPr>
            <w:tcW w:w="2480" w:type="dxa"/>
            <w:vAlign w:val="bottom"/>
          </w:tcPr>
          <w:p>
            <w:pPr>
              <w:ind w:left="1840"/>
              <w:spacing w:after="0"/>
              <w:rPr>
                <w:sz w:val="20"/>
                <w:szCs w:val="20"/>
                <w:color w:val="auto"/>
              </w:rPr>
            </w:pPr>
            <w:r>
              <w:rPr>
                <w:rFonts w:ascii="Arial" w:cs="Arial" w:eastAsia="Arial" w:hAnsi="Arial"/>
                <w:sz w:val="18"/>
                <w:szCs w:val="18"/>
                <w:color w:val="auto"/>
              </w:rPr>
              <w:t>E3025</w:t>
            </w:r>
          </w:p>
        </w:tc>
      </w:tr>
      <w:tr>
        <w:trPr>
          <w:trHeight w:val="216"/>
        </w:trPr>
        <w:tc>
          <w:tcPr>
            <w:tcW w:w="216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E3026</w:t>
            </w:r>
          </w:p>
        </w:tc>
      </w:tr>
      <w:tr>
        <w:trPr>
          <w:trHeight w:val="230"/>
        </w:trPr>
        <w:tc>
          <w:tcPr>
            <w:tcW w:w="2160" w:type="dxa"/>
            <w:vAlign w:val="bottom"/>
          </w:tcPr>
          <w:p>
            <w:pPr>
              <w:spacing w:after="0"/>
              <w:rPr>
                <w:sz w:val="20"/>
                <w:szCs w:val="20"/>
                <w:color w:val="auto"/>
              </w:rPr>
            </w:pPr>
          </w:p>
        </w:tc>
        <w:tc>
          <w:tcPr>
            <w:tcW w:w="5140" w:type="dxa"/>
            <w:vAlign w:val="bottom"/>
          </w:tcPr>
          <w:p>
            <w:pPr>
              <w:spacing w:after="0"/>
              <w:rPr>
                <w:sz w:val="20"/>
                <w:szCs w:val="20"/>
                <w:color w:val="auto"/>
              </w:rPr>
            </w:pPr>
          </w:p>
        </w:tc>
        <w:tc>
          <w:tcPr>
            <w:tcW w:w="2480" w:type="dxa"/>
            <w:vAlign w:val="bottom"/>
          </w:tcPr>
          <w:p>
            <w:pPr>
              <w:ind w:left="1840"/>
              <w:spacing w:after="0"/>
              <w:rPr>
                <w:sz w:val="20"/>
                <w:szCs w:val="20"/>
                <w:color w:val="auto"/>
              </w:rPr>
            </w:pPr>
            <w:r>
              <w:rPr>
                <w:rFonts w:ascii="Arial" w:cs="Arial" w:eastAsia="Arial" w:hAnsi="Arial"/>
                <w:sz w:val="18"/>
                <w:szCs w:val="18"/>
                <w:color w:val="auto"/>
              </w:rPr>
              <w:t>E3027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Listed below are Comcast registrations subject to applications for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restructuring: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3280" w:type="dxa"/>
            <w:vAlign w:val="bottom"/>
            <w:gridSpan w:val="3"/>
          </w:tcPr>
          <w:p>
            <w:pPr>
              <w:ind w:left="140"/>
              <w:spacing w:after="0"/>
              <w:rPr>
                <w:sz w:val="20"/>
                <w:szCs w:val="20"/>
                <w:color w:val="auto"/>
              </w:rPr>
            </w:pPr>
            <w:r>
              <w:rPr>
                <w:rFonts w:ascii="Arial" w:cs="Arial" w:eastAsia="Arial" w:hAnsi="Arial"/>
                <w:sz w:val="18"/>
                <w:szCs w:val="18"/>
                <w:b w:val="1"/>
                <w:bCs w:val="1"/>
                <w:color w:val="auto"/>
              </w:rPr>
              <w:t>Registration Holder</w:t>
            </w:r>
          </w:p>
        </w:tc>
        <w:tc>
          <w:tcPr>
            <w:tcW w:w="3700" w:type="dxa"/>
            <w:vAlign w:val="bottom"/>
          </w:tcPr>
          <w:p>
            <w:pPr>
              <w:spacing w:after="0"/>
              <w:rPr>
                <w:sz w:val="17"/>
                <w:szCs w:val="17"/>
                <w:color w:val="auto"/>
              </w:rPr>
            </w:pP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Call Sign</w:t>
            </w:r>
          </w:p>
        </w:tc>
      </w:tr>
      <w:tr>
        <w:trPr>
          <w:trHeight w:val="20"/>
        </w:trPr>
        <w:tc>
          <w:tcPr>
            <w:tcW w:w="60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22"/>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SES-ASG-20140604-00429</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Comcast of Missouri, Inc.</w:t>
            </w:r>
          </w:p>
        </w:tc>
        <w:tc>
          <w:tcPr>
            <w:tcW w:w="3700" w:type="dxa"/>
            <w:vAlign w:val="bottom"/>
          </w:tcPr>
          <w:p>
            <w:pPr>
              <w:spacing w:after="0"/>
              <w:rPr>
                <w:sz w:val="19"/>
                <w:szCs w:val="19"/>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E970151</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E970337</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KG58</w:t>
            </w:r>
          </w:p>
        </w:tc>
      </w:tr>
      <w:tr>
        <w:trPr>
          <w:trHeight w:val="378"/>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SES-ASG-20140604-00449</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Comcast of Arizona, Inc.</w:t>
            </w:r>
          </w:p>
        </w:tc>
        <w:tc>
          <w:tcPr>
            <w:tcW w:w="370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E010330</w:t>
            </w:r>
          </w:p>
        </w:tc>
      </w:tr>
      <w:tr>
        <w:trPr>
          <w:trHeight w:val="364"/>
        </w:trPr>
        <w:tc>
          <w:tcPr>
            <w:tcW w:w="5440" w:type="dxa"/>
            <w:vAlign w:val="bottom"/>
            <w:gridSpan w:val="5"/>
          </w:tcPr>
          <w:p>
            <w:pPr>
              <w:spacing w:after="0"/>
              <w:rPr>
                <w:sz w:val="20"/>
                <w:szCs w:val="20"/>
                <w:color w:val="auto"/>
              </w:rPr>
            </w:pPr>
            <w:r>
              <w:rPr>
                <w:rFonts w:ascii="Arial" w:cs="Arial" w:eastAsia="Arial" w:hAnsi="Arial"/>
                <w:sz w:val="18"/>
                <w:szCs w:val="18"/>
                <w:color w:val="auto"/>
                <w:w w:val="96"/>
              </w:rPr>
              <w:t>SES-ASG-20140604-00450   Comcast of Georgia/South Carolina, Inc.</w:t>
            </w:r>
          </w:p>
        </w:tc>
        <w:tc>
          <w:tcPr>
            <w:tcW w:w="370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E3565</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E3651</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E860298</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E9427</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E950125</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E960021</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WB89</w:t>
            </w:r>
          </w:p>
        </w:tc>
      </w:tr>
      <w:tr>
        <w:trPr>
          <w:trHeight w:val="364"/>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SES-ASG-20140604-00452</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Comcast of California/Massachusetts/</w:t>
            </w:r>
          </w:p>
        </w:tc>
        <w:tc>
          <w:tcPr>
            <w:tcW w:w="370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E950219</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Michigan/Utah, Inc.</w:t>
            </w:r>
          </w:p>
        </w:tc>
        <w:tc>
          <w:tcPr>
            <w:tcW w:w="37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64"/>
        </w:trPr>
        <w:tc>
          <w:tcPr>
            <w:tcW w:w="2160" w:type="dxa"/>
            <w:vAlign w:val="bottom"/>
            <w:gridSpan w:val="2"/>
          </w:tcPr>
          <w:p>
            <w:pPr>
              <w:spacing w:after="0"/>
              <w:rPr>
                <w:sz w:val="20"/>
                <w:szCs w:val="20"/>
                <w:color w:val="auto"/>
              </w:rPr>
            </w:pPr>
            <w:r>
              <w:rPr>
                <w:rFonts w:ascii="Arial" w:cs="Arial" w:eastAsia="Arial" w:hAnsi="Arial"/>
                <w:sz w:val="18"/>
                <w:szCs w:val="18"/>
                <w:color w:val="auto"/>
                <w:w w:val="96"/>
              </w:rPr>
              <w:t>SES-ASG-20140604-00453</w:t>
            </w:r>
          </w:p>
        </w:tc>
        <w:tc>
          <w:tcPr>
            <w:tcW w:w="3280" w:type="dxa"/>
            <w:vAlign w:val="bottom"/>
            <w:gridSpan w:val="3"/>
          </w:tcPr>
          <w:p>
            <w:pPr>
              <w:ind w:left="140"/>
              <w:spacing w:after="0"/>
              <w:rPr>
                <w:sz w:val="20"/>
                <w:szCs w:val="20"/>
                <w:color w:val="auto"/>
              </w:rPr>
            </w:pPr>
            <w:r>
              <w:rPr>
                <w:rFonts w:ascii="Arial" w:cs="Arial" w:eastAsia="Arial" w:hAnsi="Arial"/>
                <w:sz w:val="18"/>
                <w:szCs w:val="18"/>
                <w:color w:val="auto"/>
              </w:rPr>
              <w:t>Comcast of New Mexico, Inc.</w:t>
            </w:r>
          </w:p>
        </w:tc>
        <w:tc>
          <w:tcPr>
            <w:tcW w:w="3700" w:type="dxa"/>
            <w:vAlign w:val="bottom"/>
          </w:tcPr>
          <w:p>
            <w:pPr>
              <w:spacing w:after="0"/>
              <w:rPr>
                <w:sz w:val="24"/>
                <w:szCs w:val="24"/>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E8529</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E8918</w:t>
            </w:r>
          </w:p>
        </w:tc>
      </w:tr>
      <w:tr>
        <w:trPr>
          <w:trHeight w:val="216"/>
        </w:trPr>
        <w:tc>
          <w:tcPr>
            <w:tcW w:w="6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70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E990538</w:t>
            </w:r>
          </w:p>
        </w:tc>
      </w:tr>
      <w:tr>
        <w:trPr>
          <w:trHeight w:val="230"/>
        </w:trPr>
        <w:tc>
          <w:tcPr>
            <w:tcW w:w="6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KH33</w:t>
            </w:r>
          </w:p>
        </w:tc>
      </w:tr>
      <w:tr>
        <w:trPr>
          <w:trHeight w:val="932"/>
        </w:trPr>
        <w:tc>
          <w:tcPr>
            <w:tcW w:w="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3700" w:type="dxa"/>
            <w:vAlign w:val="bottom"/>
          </w:tcPr>
          <w:p>
            <w:pPr>
              <w:jc w:val="right"/>
              <w:ind w:right="3250"/>
              <w:spacing w:after="0"/>
              <w:rPr>
                <w:sz w:val="20"/>
                <w:szCs w:val="20"/>
                <w:color w:val="auto"/>
              </w:rPr>
            </w:pPr>
            <w:r>
              <w:rPr>
                <w:rFonts w:ascii="Arial" w:cs="Arial" w:eastAsia="Arial" w:hAnsi="Arial"/>
                <w:sz w:val="18"/>
                <w:szCs w:val="18"/>
                <w:color w:val="auto"/>
              </w:rPr>
              <w:t>27</w:t>
            </w:r>
          </w:p>
        </w:tc>
        <w:tc>
          <w:tcPr>
            <w:tcW w:w="70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18"/>
        </w:trPr>
        <w:tc>
          <w:tcPr>
            <w:tcW w:w="600" w:type="dxa"/>
            <w:vAlign w:val="bottom"/>
            <w:tcBorders>
              <w:bottom w:val="single" w:sz="8" w:color="808080"/>
            </w:tcBorders>
          </w:tcPr>
          <w:p>
            <w:pPr>
              <w:spacing w:after="0"/>
              <w:rPr>
                <w:sz w:val="10"/>
                <w:szCs w:val="10"/>
                <w:color w:val="auto"/>
              </w:rPr>
            </w:pPr>
          </w:p>
        </w:tc>
        <w:tc>
          <w:tcPr>
            <w:tcW w:w="156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520" w:type="dxa"/>
            <w:vAlign w:val="bottom"/>
            <w:tcBorders>
              <w:bottom w:val="single" w:sz="8" w:color="808080"/>
            </w:tcBorders>
          </w:tcPr>
          <w:p>
            <w:pPr>
              <w:spacing w:after="0"/>
              <w:rPr>
                <w:sz w:val="10"/>
                <w:szCs w:val="10"/>
                <w:color w:val="auto"/>
              </w:rPr>
            </w:pPr>
          </w:p>
        </w:tc>
        <w:tc>
          <w:tcPr>
            <w:tcW w:w="1620" w:type="dxa"/>
            <w:vAlign w:val="bottom"/>
            <w:tcBorders>
              <w:bottom w:val="single" w:sz="8" w:color="808080"/>
            </w:tcBorders>
          </w:tcPr>
          <w:p>
            <w:pPr>
              <w:spacing w:after="0"/>
              <w:rPr>
                <w:sz w:val="10"/>
                <w:szCs w:val="10"/>
                <w:color w:val="auto"/>
              </w:rPr>
            </w:pPr>
          </w:p>
        </w:tc>
        <w:tc>
          <w:tcPr>
            <w:tcW w:w="37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230"/>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SES-ASG-20140604-00454</w:t>
            </w:r>
          </w:p>
        </w:tc>
        <w:tc>
          <w:tcPr>
            <w:tcW w:w="5480" w:type="dxa"/>
            <w:vAlign w:val="bottom"/>
          </w:tcPr>
          <w:p>
            <w:pPr>
              <w:ind w:left="140"/>
              <w:spacing w:after="0"/>
              <w:rPr>
                <w:sz w:val="20"/>
                <w:szCs w:val="20"/>
                <w:color w:val="auto"/>
              </w:rPr>
            </w:pPr>
            <w:r>
              <w:rPr>
                <w:rFonts w:ascii="Arial" w:cs="Arial" w:eastAsia="Arial" w:hAnsi="Arial"/>
                <w:sz w:val="18"/>
                <w:szCs w:val="18"/>
                <w:color w:val="auto"/>
              </w:rPr>
              <w:t>Comcast MO Group, Inc.</w:t>
            </w:r>
          </w:p>
        </w:tc>
        <w:tc>
          <w:tcPr>
            <w:tcW w:w="2140" w:type="dxa"/>
            <w:vAlign w:val="bottom"/>
          </w:tcPr>
          <w:p>
            <w:pPr>
              <w:ind w:left="1500"/>
              <w:spacing w:after="0"/>
              <w:rPr>
                <w:sz w:val="20"/>
                <w:szCs w:val="20"/>
                <w:color w:val="auto"/>
              </w:rPr>
            </w:pPr>
            <w:r>
              <w:rPr>
                <w:rFonts w:ascii="Arial" w:cs="Arial" w:eastAsia="Arial" w:hAnsi="Arial"/>
                <w:sz w:val="18"/>
                <w:szCs w:val="18"/>
                <w:color w:val="auto"/>
              </w:rPr>
              <w:t>E3953</w:t>
            </w:r>
          </w:p>
        </w:tc>
      </w:tr>
      <w:tr>
        <w:trPr>
          <w:trHeight w:val="364"/>
        </w:trPr>
        <w:tc>
          <w:tcPr>
            <w:tcW w:w="7640" w:type="dxa"/>
            <w:vAlign w:val="bottom"/>
            <w:gridSpan w:val="2"/>
          </w:tcPr>
          <w:p>
            <w:pPr>
              <w:spacing w:after="0"/>
              <w:rPr>
                <w:sz w:val="20"/>
                <w:szCs w:val="20"/>
                <w:color w:val="auto"/>
              </w:rPr>
            </w:pPr>
            <w:r>
              <w:rPr>
                <w:rFonts w:ascii="Arial" w:cs="Arial" w:eastAsia="Arial" w:hAnsi="Arial"/>
                <w:sz w:val="18"/>
                <w:szCs w:val="18"/>
                <w:color w:val="auto"/>
              </w:rPr>
              <w:t>SES-ASG-20140604-00456   Comcast of Georgia/Virginia, Inc.</w:t>
            </w:r>
          </w:p>
        </w:tc>
        <w:tc>
          <w:tcPr>
            <w:tcW w:w="2140" w:type="dxa"/>
            <w:vAlign w:val="bottom"/>
          </w:tcPr>
          <w:p>
            <w:pPr>
              <w:ind w:left="1500"/>
              <w:spacing w:after="0"/>
              <w:rPr>
                <w:sz w:val="20"/>
                <w:szCs w:val="20"/>
                <w:color w:val="auto"/>
              </w:rPr>
            </w:pPr>
            <w:r>
              <w:rPr>
                <w:rFonts w:ascii="Arial" w:cs="Arial" w:eastAsia="Arial" w:hAnsi="Arial"/>
                <w:sz w:val="18"/>
                <w:szCs w:val="18"/>
                <w:color w:val="auto"/>
              </w:rPr>
              <w:t>E5908</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w w:val="85"/>
              </w:rPr>
              <w:t>E870846</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w w:val="85"/>
              </w:rPr>
              <w:t>E950482</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w w:val="85"/>
              </w:rPr>
              <w:t>E960093</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w w:val="85"/>
              </w:rPr>
              <w:t>E980300</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WL86</w:t>
            </w:r>
          </w:p>
        </w:tc>
      </w:tr>
      <w:tr>
        <w:trPr>
          <w:trHeight w:val="230"/>
        </w:trPr>
        <w:tc>
          <w:tcPr>
            <w:tcW w:w="21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WR87</w:t>
            </w:r>
          </w:p>
        </w:tc>
      </w:tr>
      <w:tr>
        <w:trPr>
          <w:trHeight w:val="364"/>
        </w:trPr>
        <w:tc>
          <w:tcPr>
            <w:tcW w:w="7640" w:type="dxa"/>
            <w:vAlign w:val="bottom"/>
            <w:gridSpan w:val="2"/>
          </w:tcPr>
          <w:p>
            <w:pPr>
              <w:spacing w:after="0"/>
              <w:rPr>
                <w:sz w:val="20"/>
                <w:szCs w:val="20"/>
                <w:color w:val="auto"/>
              </w:rPr>
            </w:pPr>
            <w:r>
              <w:rPr>
                <w:rFonts w:ascii="Arial" w:cs="Arial" w:eastAsia="Arial" w:hAnsi="Arial"/>
                <w:sz w:val="18"/>
                <w:szCs w:val="18"/>
                <w:color w:val="auto"/>
              </w:rPr>
              <w:t>SES-ASG-20140604-00475   Comcast of California/Colorado/Florida/Oregon, Inc.</w:t>
            </w:r>
          </w:p>
        </w:tc>
        <w:tc>
          <w:tcPr>
            <w:tcW w:w="2140" w:type="dxa"/>
            <w:vAlign w:val="bottom"/>
          </w:tcPr>
          <w:p>
            <w:pPr>
              <w:ind w:left="1500"/>
              <w:spacing w:after="0"/>
              <w:rPr>
                <w:sz w:val="20"/>
                <w:szCs w:val="20"/>
                <w:color w:val="auto"/>
              </w:rPr>
            </w:pPr>
            <w:r>
              <w:rPr>
                <w:rFonts w:ascii="Arial" w:cs="Arial" w:eastAsia="Arial" w:hAnsi="Arial"/>
                <w:sz w:val="18"/>
                <w:szCs w:val="18"/>
                <w:color w:val="auto"/>
                <w:w w:val="85"/>
              </w:rPr>
              <w:t>E920431</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WF81</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WT77</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WT94</w:t>
            </w:r>
          </w:p>
        </w:tc>
      </w:tr>
      <w:tr>
        <w:trPr>
          <w:trHeight w:val="230"/>
        </w:trPr>
        <w:tc>
          <w:tcPr>
            <w:tcW w:w="21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WU38</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SES-ASG-20140604-00476</w:t>
            </w:r>
          </w:p>
        </w:tc>
        <w:tc>
          <w:tcPr>
            <w:tcW w:w="5480" w:type="dxa"/>
            <w:vAlign w:val="bottom"/>
          </w:tcPr>
          <w:p>
            <w:pPr>
              <w:ind w:left="140"/>
              <w:spacing w:after="0"/>
              <w:rPr>
                <w:sz w:val="20"/>
                <w:szCs w:val="20"/>
                <w:color w:val="auto"/>
              </w:rPr>
            </w:pPr>
            <w:r>
              <w:rPr>
                <w:rFonts w:ascii="Arial" w:cs="Arial" w:eastAsia="Arial" w:hAnsi="Arial"/>
                <w:sz w:val="18"/>
                <w:szCs w:val="18"/>
                <w:color w:val="auto"/>
              </w:rPr>
              <w:t>Comcast of Arkansas/Florida/Louisiana/</w:t>
            </w:r>
          </w:p>
        </w:tc>
        <w:tc>
          <w:tcPr>
            <w:tcW w:w="2140" w:type="dxa"/>
            <w:vAlign w:val="bottom"/>
          </w:tcPr>
          <w:p>
            <w:pPr>
              <w:ind w:left="1500"/>
              <w:spacing w:after="0"/>
              <w:rPr>
                <w:sz w:val="20"/>
                <w:szCs w:val="20"/>
                <w:color w:val="auto"/>
              </w:rPr>
            </w:pPr>
            <w:r>
              <w:rPr>
                <w:rFonts w:ascii="Arial" w:cs="Arial" w:eastAsia="Arial" w:hAnsi="Arial"/>
                <w:sz w:val="18"/>
                <w:szCs w:val="18"/>
                <w:color w:val="auto"/>
              </w:rPr>
              <w:t>E2481</w:t>
            </w:r>
          </w:p>
        </w:tc>
      </w:tr>
      <w:tr>
        <w:trPr>
          <w:trHeight w:val="216"/>
        </w:trPr>
        <w:tc>
          <w:tcPr>
            <w:tcW w:w="2160" w:type="dxa"/>
            <w:vAlign w:val="bottom"/>
          </w:tcPr>
          <w:p>
            <w:pPr>
              <w:spacing w:after="0"/>
              <w:rPr>
                <w:sz w:val="18"/>
                <w:szCs w:val="18"/>
                <w:color w:val="auto"/>
              </w:rPr>
            </w:pPr>
          </w:p>
        </w:tc>
        <w:tc>
          <w:tcPr>
            <w:tcW w:w="5480" w:type="dxa"/>
            <w:vAlign w:val="bottom"/>
          </w:tcPr>
          <w:p>
            <w:pPr>
              <w:ind w:left="180"/>
              <w:spacing w:after="0"/>
              <w:rPr>
                <w:sz w:val="20"/>
                <w:szCs w:val="20"/>
                <w:color w:val="auto"/>
              </w:rPr>
            </w:pPr>
            <w:r>
              <w:rPr>
                <w:rFonts w:ascii="Arial" w:cs="Arial" w:eastAsia="Arial" w:hAnsi="Arial"/>
                <w:sz w:val="18"/>
                <w:szCs w:val="18"/>
                <w:color w:val="auto"/>
              </w:rPr>
              <w:t>Minnesota/Mississippi/Tennessee, Inc.</w:t>
            </w:r>
          </w:p>
        </w:tc>
        <w:tc>
          <w:tcPr>
            <w:tcW w:w="2140" w:type="dxa"/>
            <w:vAlign w:val="bottom"/>
          </w:tcPr>
          <w:p>
            <w:pPr>
              <w:ind w:left="1500"/>
              <w:spacing w:after="0"/>
              <w:rPr>
                <w:sz w:val="20"/>
                <w:szCs w:val="20"/>
                <w:color w:val="auto"/>
              </w:rPr>
            </w:pPr>
            <w:r>
              <w:rPr>
                <w:rFonts w:ascii="Arial" w:cs="Arial" w:eastAsia="Arial" w:hAnsi="Arial"/>
                <w:sz w:val="18"/>
                <w:szCs w:val="18"/>
                <w:color w:val="auto"/>
              </w:rPr>
              <w:t>E3561</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E4281</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E6144</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w w:val="85"/>
              </w:rPr>
              <w:t>E920573</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w w:val="85"/>
              </w:rPr>
              <w:t>E920598</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w w:val="85"/>
              </w:rPr>
              <w:t>E940517</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KD80</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KR31</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WL84</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WR53</w:t>
            </w:r>
          </w:p>
        </w:tc>
      </w:tr>
      <w:tr>
        <w:trPr>
          <w:trHeight w:val="230"/>
        </w:trPr>
        <w:tc>
          <w:tcPr>
            <w:tcW w:w="21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WZ34</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SES-ASG-20140604-00488</w:t>
            </w:r>
          </w:p>
        </w:tc>
        <w:tc>
          <w:tcPr>
            <w:tcW w:w="5480" w:type="dxa"/>
            <w:vAlign w:val="bottom"/>
          </w:tcPr>
          <w:p>
            <w:pPr>
              <w:ind w:left="140"/>
              <w:spacing w:after="0"/>
              <w:rPr>
                <w:sz w:val="20"/>
                <w:szCs w:val="20"/>
                <w:color w:val="auto"/>
              </w:rPr>
            </w:pPr>
            <w:r>
              <w:rPr>
                <w:rFonts w:ascii="Arial" w:cs="Arial" w:eastAsia="Arial" w:hAnsi="Arial"/>
                <w:sz w:val="18"/>
                <w:szCs w:val="18"/>
                <w:color w:val="auto"/>
              </w:rPr>
              <w:t>Comcast of Miami, Inc.</w:t>
            </w:r>
          </w:p>
        </w:tc>
        <w:tc>
          <w:tcPr>
            <w:tcW w:w="2140" w:type="dxa"/>
            <w:vAlign w:val="bottom"/>
          </w:tcPr>
          <w:p>
            <w:pPr>
              <w:ind w:left="1500"/>
              <w:spacing w:after="0"/>
              <w:rPr>
                <w:sz w:val="20"/>
                <w:szCs w:val="20"/>
                <w:color w:val="auto"/>
              </w:rPr>
            </w:pPr>
            <w:r>
              <w:rPr>
                <w:rFonts w:ascii="Arial" w:cs="Arial" w:eastAsia="Arial" w:hAnsi="Arial"/>
                <w:sz w:val="18"/>
                <w:szCs w:val="18"/>
                <w:color w:val="auto"/>
              </w:rPr>
              <w:t>E5845</w:t>
            </w:r>
          </w:p>
        </w:tc>
      </w:tr>
      <w:tr>
        <w:trPr>
          <w:trHeight w:val="378"/>
        </w:trPr>
        <w:tc>
          <w:tcPr>
            <w:tcW w:w="2160" w:type="dxa"/>
            <w:vAlign w:val="bottom"/>
          </w:tcPr>
          <w:p>
            <w:pPr>
              <w:spacing w:after="0"/>
              <w:rPr>
                <w:sz w:val="20"/>
                <w:szCs w:val="20"/>
                <w:color w:val="auto"/>
              </w:rPr>
            </w:pPr>
            <w:r>
              <w:rPr>
                <w:rFonts w:ascii="Arial" w:cs="Arial" w:eastAsia="Arial" w:hAnsi="Arial"/>
                <w:sz w:val="18"/>
                <w:szCs w:val="18"/>
                <w:color w:val="auto"/>
                <w:w w:val="96"/>
              </w:rPr>
              <w:t>SES-ASG-20140604-00489</w:t>
            </w:r>
          </w:p>
        </w:tc>
        <w:tc>
          <w:tcPr>
            <w:tcW w:w="5480" w:type="dxa"/>
            <w:vAlign w:val="bottom"/>
          </w:tcPr>
          <w:p>
            <w:pPr>
              <w:ind w:left="140"/>
              <w:spacing w:after="0"/>
              <w:rPr>
                <w:sz w:val="20"/>
                <w:szCs w:val="20"/>
                <w:color w:val="auto"/>
              </w:rPr>
            </w:pPr>
            <w:r>
              <w:rPr>
                <w:rFonts w:ascii="Arial" w:cs="Arial" w:eastAsia="Arial" w:hAnsi="Arial"/>
                <w:sz w:val="18"/>
                <w:szCs w:val="18"/>
                <w:color w:val="auto"/>
              </w:rPr>
              <w:t>Comcast of Georgia/Massachusetts, Inc.</w:t>
            </w:r>
          </w:p>
        </w:tc>
        <w:tc>
          <w:tcPr>
            <w:tcW w:w="2140" w:type="dxa"/>
            <w:vAlign w:val="bottom"/>
          </w:tcPr>
          <w:p>
            <w:pPr>
              <w:ind w:left="1500"/>
              <w:spacing w:after="0"/>
              <w:rPr>
                <w:sz w:val="20"/>
                <w:szCs w:val="20"/>
                <w:color w:val="auto"/>
              </w:rPr>
            </w:pPr>
            <w:r>
              <w:rPr>
                <w:rFonts w:ascii="Arial" w:cs="Arial" w:eastAsia="Arial" w:hAnsi="Arial"/>
                <w:sz w:val="18"/>
                <w:szCs w:val="18"/>
                <w:color w:val="auto"/>
              </w:rPr>
              <w:t>WJ82</w:t>
            </w:r>
          </w:p>
        </w:tc>
      </w:tr>
      <w:tr>
        <w:trPr>
          <w:trHeight w:val="526"/>
        </w:trPr>
        <w:tc>
          <w:tcPr>
            <w:tcW w:w="2160" w:type="dxa"/>
            <w:vAlign w:val="bottom"/>
          </w:tcPr>
          <w:p>
            <w:pPr>
              <w:spacing w:after="0"/>
              <w:rPr>
                <w:sz w:val="20"/>
                <w:szCs w:val="20"/>
                <w:color w:val="auto"/>
              </w:rPr>
            </w:pPr>
            <w:r>
              <w:rPr>
                <w:rFonts w:ascii="Arial" w:cs="Arial" w:eastAsia="Arial" w:hAnsi="Arial"/>
                <w:sz w:val="18"/>
                <w:szCs w:val="18"/>
                <w:color w:val="auto"/>
              </w:rPr>
              <w:t>SES-T/C-20140604-00401</w:t>
            </w:r>
          </w:p>
        </w:tc>
        <w:tc>
          <w:tcPr>
            <w:tcW w:w="5480" w:type="dxa"/>
            <w:vAlign w:val="bottom"/>
          </w:tcPr>
          <w:p>
            <w:pPr>
              <w:ind w:left="140"/>
              <w:spacing w:after="0"/>
              <w:rPr>
                <w:sz w:val="20"/>
                <w:szCs w:val="20"/>
                <w:color w:val="auto"/>
              </w:rPr>
            </w:pPr>
            <w:r>
              <w:rPr>
                <w:rFonts w:ascii="Arial" w:cs="Arial" w:eastAsia="Arial" w:hAnsi="Arial"/>
                <w:sz w:val="18"/>
                <w:szCs w:val="18"/>
                <w:color w:val="auto"/>
              </w:rPr>
              <w:t>Comcast of New Jersey II, LLC</w:t>
            </w:r>
          </w:p>
        </w:tc>
        <w:tc>
          <w:tcPr>
            <w:tcW w:w="2140" w:type="dxa"/>
            <w:vAlign w:val="bottom"/>
          </w:tcPr>
          <w:p>
            <w:pPr>
              <w:ind w:left="1500"/>
              <w:spacing w:after="0"/>
              <w:rPr>
                <w:sz w:val="20"/>
                <w:szCs w:val="20"/>
                <w:color w:val="auto"/>
              </w:rPr>
            </w:pPr>
            <w:r>
              <w:rPr>
                <w:rFonts w:ascii="Arial" w:cs="Arial" w:eastAsia="Arial" w:hAnsi="Arial"/>
                <w:sz w:val="18"/>
                <w:szCs w:val="18"/>
                <w:color w:val="auto"/>
                <w:w w:val="85"/>
              </w:rPr>
              <w:t>E860651</w:t>
            </w:r>
          </w:p>
        </w:tc>
      </w:tr>
      <w:tr>
        <w:trPr>
          <w:trHeight w:val="230"/>
        </w:trPr>
        <w:tc>
          <w:tcPr>
            <w:tcW w:w="21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w w:val="85"/>
              </w:rPr>
              <w:t>E890641</w:t>
            </w:r>
          </w:p>
        </w:tc>
      </w:tr>
      <w:tr>
        <w:trPr>
          <w:trHeight w:val="364"/>
        </w:trPr>
        <w:tc>
          <w:tcPr>
            <w:tcW w:w="2160" w:type="dxa"/>
            <w:vAlign w:val="bottom"/>
          </w:tcPr>
          <w:p>
            <w:pPr>
              <w:spacing w:after="0"/>
              <w:rPr>
                <w:sz w:val="20"/>
                <w:szCs w:val="20"/>
                <w:color w:val="auto"/>
              </w:rPr>
            </w:pPr>
            <w:r>
              <w:rPr>
                <w:rFonts w:ascii="Arial" w:cs="Arial" w:eastAsia="Arial" w:hAnsi="Arial"/>
                <w:sz w:val="18"/>
                <w:szCs w:val="18"/>
                <w:color w:val="auto"/>
              </w:rPr>
              <w:t>SES-T/C-20140604-00403</w:t>
            </w:r>
          </w:p>
        </w:tc>
        <w:tc>
          <w:tcPr>
            <w:tcW w:w="5480" w:type="dxa"/>
            <w:vAlign w:val="bottom"/>
          </w:tcPr>
          <w:p>
            <w:pPr>
              <w:ind w:left="140"/>
              <w:spacing w:after="0"/>
              <w:rPr>
                <w:sz w:val="20"/>
                <w:szCs w:val="20"/>
                <w:color w:val="auto"/>
              </w:rPr>
            </w:pPr>
            <w:r>
              <w:rPr>
                <w:rFonts w:ascii="Arial" w:cs="Arial" w:eastAsia="Arial" w:hAnsi="Arial"/>
                <w:sz w:val="18"/>
                <w:szCs w:val="18"/>
                <w:color w:val="auto"/>
              </w:rPr>
              <w:t>Comcast of Connecticut/Georgia/Massachusetts/</w:t>
            </w:r>
          </w:p>
        </w:tc>
        <w:tc>
          <w:tcPr>
            <w:tcW w:w="2140" w:type="dxa"/>
            <w:vAlign w:val="bottom"/>
          </w:tcPr>
          <w:p>
            <w:pPr>
              <w:ind w:left="1500"/>
              <w:spacing w:after="0"/>
              <w:rPr>
                <w:sz w:val="20"/>
                <w:szCs w:val="20"/>
                <w:color w:val="auto"/>
              </w:rPr>
            </w:pPr>
            <w:r>
              <w:rPr>
                <w:rFonts w:ascii="Arial" w:cs="Arial" w:eastAsia="Arial" w:hAnsi="Arial"/>
                <w:sz w:val="18"/>
                <w:szCs w:val="18"/>
                <w:color w:val="auto"/>
              </w:rPr>
              <w:t>E2364</w:t>
            </w:r>
          </w:p>
        </w:tc>
      </w:tr>
      <w:tr>
        <w:trPr>
          <w:trHeight w:val="216"/>
        </w:trPr>
        <w:tc>
          <w:tcPr>
            <w:tcW w:w="216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rPr>
              <w:t>New Hampshire/New York/North Carolina/</w:t>
            </w:r>
          </w:p>
        </w:tc>
        <w:tc>
          <w:tcPr>
            <w:tcW w:w="2140" w:type="dxa"/>
            <w:vAlign w:val="bottom"/>
          </w:tcPr>
          <w:p>
            <w:pPr>
              <w:ind w:left="1500"/>
              <w:spacing w:after="0"/>
              <w:rPr>
                <w:sz w:val="20"/>
                <w:szCs w:val="20"/>
                <w:color w:val="auto"/>
              </w:rPr>
            </w:pPr>
            <w:r>
              <w:rPr>
                <w:rFonts w:ascii="Arial" w:cs="Arial" w:eastAsia="Arial" w:hAnsi="Arial"/>
                <w:sz w:val="18"/>
                <w:szCs w:val="18"/>
                <w:color w:val="auto"/>
              </w:rPr>
              <w:t>E3193</w:t>
            </w:r>
          </w:p>
        </w:tc>
      </w:tr>
      <w:tr>
        <w:trPr>
          <w:trHeight w:val="216"/>
        </w:trPr>
        <w:tc>
          <w:tcPr>
            <w:tcW w:w="2160" w:type="dxa"/>
            <w:vAlign w:val="bottom"/>
          </w:tcPr>
          <w:p>
            <w:pPr>
              <w:spacing w:after="0"/>
              <w:rPr>
                <w:sz w:val="18"/>
                <w:szCs w:val="18"/>
                <w:color w:val="auto"/>
              </w:rPr>
            </w:pPr>
          </w:p>
        </w:tc>
        <w:tc>
          <w:tcPr>
            <w:tcW w:w="5480" w:type="dxa"/>
            <w:vAlign w:val="bottom"/>
          </w:tcPr>
          <w:p>
            <w:pPr>
              <w:ind w:left="140"/>
              <w:spacing w:after="0"/>
              <w:rPr>
                <w:sz w:val="20"/>
                <w:szCs w:val="20"/>
                <w:color w:val="auto"/>
              </w:rPr>
            </w:pPr>
            <w:r>
              <w:rPr>
                <w:rFonts w:ascii="Arial" w:cs="Arial" w:eastAsia="Arial" w:hAnsi="Arial"/>
                <w:sz w:val="18"/>
                <w:szCs w:val="18"/>
                <w:color w:val="auto"/>
              </w:rPr>
              <w:t>Virginia/Vermont, LLC</w:t>
            </w:r>
          </w:p>
        </w:tc>
        <w:tc>
          <w:tcPr>
            <w:tcW w:w="2140" w:type="dxa"/>
            <w:vAlign w:val="bottom"/>
          </w:tcPr>
          <w:p>
            <w:pPr>
              <w:ind w:left="1500"/>
              <w:spacing w:after="0"/>
              <w:rPr>
                <w:sz w:val="20"/>
                <w:szCs w:val="20"/>
                <w:color w:val="auto"/>
              </w:rPr>
            </w:pPr>
            <w:r>
              <w:rPr>
                <w:rFonts w:ascii="Arial" w:cs="Arial" w:eastAsia="Arial" w:hAnsi="Arial"/>
                <w:sz w:val="18"/>
                <w:szCs w:val="18"/>
                <w:color w:val="auto"/>
              </w:rPr>
              <w:t>E4438</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E4439</w:t>
            </w:r>
          </w:p>
        </w:tc>
      </w:tr>
      <w:tr>
        <w:trPr>
          <w:trHeight w:val="216"/>
        </w:trPr>
        <w:tc>
          <w:tcPr>
            <w:tcW w:w="216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E4853</w:t>
            </w:r>
          </w:p>
        </w:tc>
      </w:tr>
      <w:tr>
        <w:trPr>
          <w:trHeight w:val="230"/>
        </w:trPr>
        <w:tc>
          <w:tcPr>
            <w:tcW w:w="216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2140" w:type="dxa"/>
            <w:vAlign w:val="bottom"/>
          </w:tcPr>
          <w:p>
            <w:pPr>
              <w:ind w:left="1500"/>
              <w:spacing w:after="0"/>
              <w:rPr>
                <w:sz w:val="20"/>
                <w:szCs w:val="20"/>
                <w:color w:val="auto"/>
              </w:rPr>
            </w:pPr>
            <w:r>
              <w:rPr>
                <w:rFonts w:ascii="Arial" w:cs="Arial" w:eastAsia="Arial" w:hAnsi="Arial"/>
                <w:sz w:val="18"/>
                <w:szCs w:val="18"/>
                <w:color w:val="auto"/>
              </w:rPr>
              <w:t>E5674</w:t>
            </w:r>
          </w:p>
        </w:tc>
      </w:tr>
    </w:tbl>
    <w:p>
      <w:pPr>
        <w:ind w:left="9140"/>
        <w:spacing w:after="0"/>
        <w:rPr>
          <w:sz w:val="20"/>
          <w:szCs w:val="20"/>
          <w:color w:val="auto"/>
        </w:rPr>
      </w:pPr>
      <w:r>
        <w:rPr>
          <w:rFonts w:ascii="Arial" w:cs="Arial" w:eastAsia="Arial" w:hAnsi="Arial"/>
          <w:sz w:val="18"/>
          <w:szCs w:val="18"/>
          <w:color w:val="auto"/>
        </w:rPr>
        <w:t>E6301</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E6617</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E859862</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E860184</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E9003</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E9004</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E9005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E9032</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w w:val="85"/>
              </w:rPr>
              <w:t>E910437</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w w:val="85"/>
              </w:rPr>
              <w:t>E960172</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WF57</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WF73</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WH56</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WJ42</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WM93</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WR89</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WS39</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WT81</w:t>
            </w:r>
          </w:p>
        </w:tc>
      </w:tr>
      <w:tr>
        <w:trPr>
          <w:trHeight w:val="230"/>
        </w:trPr>
        <w:tc>
          <w:tcPr>
            <w:tcW w:w="2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WU55</w:t>
            </w:r>
          </w:p>
        </w:tc>
      </w:tr>
      <w:tr>
        <w:trPr>
          <w:trHeight w:val="364"/>
        </w:trPr>
        <w:tc>
          <w:tcPr>
            <w:tcW w:w="2120" w:type="dxa"/>
            <w:vAlign w:val="bottom"/>
          </w:tcPr>
          <w:p>
            <w:pPr>
              <w:spacing w:after="0"/>
              <w:rPr>
                <w:sz w:val="20"/>
                <w:szCs w:val="20"/>
                <w:color w:val="auto"/>
              </w:rPr>
            </w:pPr>
            <w:r>
              <w:rPr>
                <w:rFonts w:ascii="Arial" w:cs="Arial" w:eastAsia="Arial" w:hAnsi="Arial"/>
                <w:sz w:val="18"/>
                <w:szCs w:val="18"/>
                <w:color w:val="auto"/>
                <w:w w:val="98"/>
              </w:rPr>
              <w:t>SES-T/C-20140604-00404</w:t>
            </w:r>
          </w:p>
        </w:tc>
        <w:tc>
          <w:tcPr>
            <w:tcW w:w="5380" w:type="dxa"/>
            <w:vAlign w:val="bottom"/>
          </w:tcPr>
          <w:p>
            <w:pPr>
              <w:ind w:left="180"/>
              <w:spacing w:after="0"/>
              <w:rPr>
                <w:sz w:val="20"/>
                <w:szCs w:val="20"/>
                <w:color w:val="auto"/>
              </w:rPr>
            </w:pPr>
            <w:r>
              <w:rPr>
                <w:rFonts w:ascii="Arial" w:cs="Arial" w:eastAsia="Arial" w:hAnsi="Arial"/>
                <w:sz w:val="18"/>
                <w:szCs w:val="18"/>
                <w:color w:val="auto"/>
              </w:rPr>
              <w:t>Comcast of Boston, Inc.</w:t>
            </w:r>
          </w:p>
        </w:tc>
        <w:tc>
          <w:tcPr>
            <w:tcW w:w="2280" w:type="dxa"/>
            <w:vAlign w:val="bottom"/>
          </w:tcPr>
          <w:p>
            <w:pPr>
              <w:ind w:left="1640"/>
              <w:spacing w:after="0"/>
              <w:rPr>
                <w:sz w:val="20"/>
                <w:szCs w:val="20"/>
                <w:color w:val="auto"/>
              </w:rPr>
            </w:pPr>
            <w:r>
              <w:rPr>
                <w:rFonts w:ascii="Arial" w:cs="Arial" w:eastAsia="Arial" w:hAnsi="Arial"/>
                <w:sz w:val="18"/>
                <w:szCs w:val="18"/>
                <w:color w:val="auto"/>
              </w:rPr>
              <w:t>E6510</w:t>
            </w:r>
          </w:p>
        </w:tc>
      </w:tr>
      <w:tr>
        <w:trPr>
          <w:trHeight w:val="230"/>
        </w:trPr>
        <w:tc>
          <w:tcPr>
            <w:tcW w:w="2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E8220</w:t>
            </w:r>
          </w:p>
        </w:tc>
      </w:tr>
      <w:tr>
        <w:trPr>
          <w:trHeight w:val="364"/>
        </w:trPr>
        <w:tc>
          <w:tcPr>
            <w:tcW w:w="2120" w:type="dxa"/>
            <w:vAlign w:val="bottom"/>
          </w:tcPr>
          <w:p>
            <w:pPr>
              <w:spacing w:after="0"/>
              <w:rPr>
                <w:sz w:val="20"/>
                <w:szCs w:val="20"/>
                <w:color w:val="auto"/>
              </w:rPr>
            </w:pPr>
            <w:r>
              <w:rPr>
                <w:rFonts w:ascii="Arial" w:cs="Arial" w:eastAsia="Arial" w:hAnsi="Arial"/>
                <w:sz w:val="18"/>
                <w:szCs w:val="18"/>
                <w:color w:val="auto"/>
                <w:w w:val="98"/>
              </w:rPr>
              <w:t>SES-T/C-20140604-00405</w:t>
            </w:r>
          </w:p>
        </w:tc>
        <w:tc>
          <w:tcPr>
            <w:tcW w:w="5380" w:type="dxa"/>
            <w:vAlign w:val="bottom"/>
          </w:tcPr>
          <w:p>
            <w:pPr>
              <w:ind w:left="180"/>
              <w:spacing w:after="0"/>
              <w:rPr>
                <w:sz w:val="20"/>
                <w:szCs w:val="20"/>
                <w:color w:val="auto"/>
              </w:rPr>
            </w:pPr>
            <w:r>
              <w:rPr>
                <w:rFonts w:ascii="Arial" w:cs="Arial" w:eastAsia="Arial" w:hAnsi="Arial"/>
                <w:sz w:val="18"/>
                <w:szCs w:val="18"/>
                <w:color w:val="auto"/>
              </w:rPr>
              <w:t>Comcast of Fresno, Inc.</w:t>
            </w:r>
          </w:p>
        </w:tc>
        <w:tc>
          <w:tcPr>
            <w:tcW w:w="2280" w:type="dxa"/>
            <w:vAlign w:val="bottom"/>
          </w:tcPr>
          <w:p>
            <w:pPr>
              <w:ind w:left="1640"/>
              <w:spacing w:after="0"/>
              <w:rPr>
                <w:sz w:val="20"/>
                <w:szCs w:val="20"/>
                <w:color w:val="auto"/>
              </w:rPr>
            </w:pPr>
            <w:r>
              <w:rPr>
                <w:rFonts w:ascii="Arial" w:cs="Arial" w:eastAsia="Arial" w:hAnsi="Arial"/>
                <w:sz w:val="18"/>
                <w:szCs w:val="18"/>
                <w:color w:val="auto"/>
                <w:w w:val="85"/>
              </w:rPr>
              <w:t>E060385</w:t>
            </w:r>
          </w:p>
        </w:tc>
      </w:tr>
      <w:tr>
        <w:trPr>
          <w:trHeight w:val="230"/>
        </w:trPr>
        <w:tc>
          <w:tcPr>
            <w:tcW w:w="2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w w:val="85"/>
              </w:rPr>
              <w:t>E070090</w:t>
            </w:r>
          </w:p>
        </w:tc>
      </w:tr>
      <w:tr>
        <w:trPr>
          <w:trHeight w:val="378"/>
        </w:trPr>
        <w:tc>
          <w:tcPr>
            <w:tcW w:w="2120" w:type="dxa"/>
            <w:vAlign w:val="bottom"/>
          </w:tcPr>
          <w:p>
            <w:pPr>
              <w:spacing w:after="0"/>
              <w:rPr>
                <w:sz w:val="20"/>
                <w:szCs w:val="20"/>
                <w:color w:val="auto"/>
              </w:rPr>
            </w:pPr>
            <w:r>
              <w:rPr>
                <w:rFonts w:ascii="Arial" w:cs="Arial" w:eastAsia="Arial" w:hAnsi="Arial"/>
                <w:sz w:val="18"/>
                <w:szCs w:val="18"/>
                <w:color w:val="auto"/>
                <w:w w:val="98"/>
              </w:rPr>
              <w:t>SES-T/C-20140604-00406</w:t>
            </w:r>
          </w:p>
        </w:tc>
        <w:tc>
          <w:tcPr>
            <w:tcW w:w="5380" w:type="dxa"/>
            <w:vAlign w:val="bottom"/>
          </w:tcPr>
          <w:p>
            <w:pPr>
              <w:ind w:left="180"/>
              <w:spacing w:after="0"/>
              <w:rPr>
                <w:sz w:val="20"/>
                <w:szCs w:val="20"/>
                <w:color w:val="auto"/>
              </w:rPr>
            </w:pPr>
            <w:r>
              <w:rPr>
                <w:rFonts w:ascii="Arial" w:cs="Arial" w:eastAsia="Arial" w:hAnsi="Arial"/>
                <w:sz w:val="18"/>
                <w:szCs w:val="18"/>
                <w:color w:val="auto"/>
              </w:rPr>
              <w:t>Comcast of Brockton, Inc.</w:t>
            </w:r>
          </w:p>
        </w:tc>
        <w:tc>
          <w:tcPr>
            <w:tcW w:w="2280" w:type="dxa"/>
            <w:vAlign w:val="bottom"/>
          </w:tcPr>
          <w:p>
            <w:pPr>
              <w:ind w:left="1640"/>
              <w:spacing w:after="0"/>
              <w:rPr>
                <w:sz w:val="20"/>
                <w:szCs w:val="20"/>
                <w:color w:val="auto"/>
              </w:rPr>
            </w:pPr>
            <w:r>
              <w:rPr>
                <w:rFonts w:ascii="Arial" w:cs="Arial" w:eastAsia="Arial" w:hAnsi="Arial"/>
                <w:sz w:val="18"/>
                <w:szCs w:val="18"/>
                <w:color w:val="auto"/>
              </w:rPr>
              <w:t>E6064</w:t>
            </w:r>
          </w:p>
        </w:tc>
      </w:tr>
      <w:tr>
        <w:trPr>
          <w:trHeight w:val="378"/>
        </w:trPr>
        <w:tc>
          <w:tcPr>
            <w:tcW w:w="2120" w:type="dxa"/>
            <w:vAlign w:val="bottom"/>
          </w:tcPr>
          <w:p>
            <w:pPr>
              <w:spacing w:after="0"/>
              <w:rPr>
                <w:sz w:val="20"/>
                <w:szCs w:val="20"/>
                <w:color w:val="auto"/>
              </w:rPr>
            </w:pPr>
            <w:r>
              <w:rPr>
                <w:rFonts w:ascii="Arial" w:cs="Arial" w:eastAsia="Arial" w:hAnsi="Arial"/>
                <w:sz w:val="18"/>
                <w:szCs w:val="18"/>
                <w:color w:val="auto"/>
                <w:w w:val="98"/>
              </w:rPr>
              <w:t>SES-T/C-20140604-00407</w:t>
            </w:r>
          </w:p>
        </w:tc>
        <w:tc>
          <w:tcPr>
            <w:tcW w:w="5380" w:type="dxa"/>
            <w:vAlign w:val="bottom"/>
          </w:tcPr>
          <w:p>
            <w:pPr>
              <w:ind w:left="180"/>
              <w:spacing w:after="0"/>
              <w:rPr>
                <w:sz w:val="20"/>
                <w:szCs w:val="20"/>
                <w:color w:val="auto"/>
              </w:rPr>
            </w:pPr>
            <w:r>
              <w:rPr>
                <w:rFonts w:ascii="Arial" w:cs="Arial" w:eastAsia="Arial" w:hAnsi="Arial"/>
                <w:sz w:val="18"/>
                <w:szCs w:val="18"/>
                <w:color w:val="auto"/>
              </w:rPr>
              <w:t>Comcast of Maine/New Hampshire, Inc.</w:t>
            </w:r>
          </w:p>
        </w:tc>
        <w:tc>
          <w:tcPr>
            <w:tcW w:w="2280" w:type="dxa"/>
            <w:vAlign w:val="bottom"/>
          </w:tcPr>
          <w:p>
            <w:pPr>
              <w:ind w:left="1640"/>
              <w:spacing w:after="0"/>
              <w:rPr>
                <w:sz w:val="20"/>
                <w:szCs w:val="20"/>
                <w:color w:val="auto"/>
              </w:rPr>
            </w:pPr>
            <w:r>
              <w:rPr>
                <w:rFonts w:ascii="Arial" w:cs="Arial" w:eastAsia="Arial" w:hAnsi="Arial"/>
                <w:sz w:val="18"/>
                <w:szCs w:val="18"/>
                <w:color w:val="auto"/>
                <w:w w:val="85"/>
              </w:rPr>
              <w:t>E890810</w:t>
            </w:r>
          </w:p>
        </w:tc>
      </w:tr>
      <w:tr>
        <w:trPr>
          <w:trHeight w:val="364"/>
        </w:trPr>
        <w:tc>
          <w:tcPr>
            <w:tcW w:w="2120" w:type="dxa"/>
            <w:vAlign w:val="bottom"/>
          </w:tcPr>
          <w:p>
            <w:pPr>
              <w:spacing w:after="0"/>
              <w:rPr>
                <w:sz w:val="20"/>
                <w:szCs w:val="20"/>
                <w:color w:val="auto"/>
              </w:rPr>
            </w:pPr>
            <w:r>
              <w:rPr>
                <w:rFonts w:ascii="Arial" w:cs="Arial" w:eastAsia="Arial" w:hAnsi="Arial"/>
                <w:sz w:val="18"/>
                <w:szCs w:val="18"/>
                <w:color w:val="auto"/>
                <w:w w:val="98"/>
              </w:rPr>
              <w:t>SES-T/C-20140604-00408</w:t>
            </w:r>
          </w:p>
        </w:tc>
        <w:tc>
          <w:tcPr>
            <w:tcW w:w="5380" w:type="dxa"/>
            <w:vAlign w:val="bottom"/>
          </w:tcPr>
          <w:p>
            <w:pPr>
              <w:ind w:left="180"/>
              <w:spacing w:after="0"/>
              <w:rPr>
                <w:sz w:val="20"/>
                <w:szCs w:val="20"/>
                <w:color w:val="auto"/>
              </w:rPr>
            </w:pPr>
            <w:r>
              <w:rPr>
                <w:rFonts w:ascii="Arial" w:cs="Arial" w:eastAsia="Arial" w:hAnsi="Arial"/>
                <w:sz w:val="18"/>
                <w:szCs w:val="18"/>
                <w:color w:val="auto"/>
              </w:rPr>
              <w:t>Comcast of Massachusetts I, Inc.</w:t>
            </w:r>
          </w:p>
        </w:tc>
        <w:tc>
          <w:tcPr>
            <w:tcW w:w="2280" w:type="dxa"/>
            <w:vAlign w:val="bottom"/>
          </w:tcPr>
          <w:p>
            <w:pPr>
              <w:ind w:left="1640"/>
              <w:spacing w:after="0"/>
              <w:rPr>
                <w:sz w:val="20"/>
                <w:szCs w:val="20"/>
                <w:color w:val="auto"/>
              </w:rPr>
            </w:pPr>
            <w:r>
              <w:rPr>
                <w:rFonts w:ascii="Arial" w:cs="Arial" w:eastAsia="Arial" w:hAnsi="Arial"/>
                <w:sz w:val="18"/>
                <w:szCs w:val="18"/>
                <w:color w:val="auto"/>
              </w:rPr>
              <w:t>E5699</w:t>
            </w:r>
          </w:p>
        </w:tc>
      </w:tr>
      <w:tr>
        <w:trPr>
          <w:trHeight w:val="230"/>
        </w:trPr>
        <w:tc>
          <w:tcPr>
            <w:tcW w:w="2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WD52</w:t>
            </w:r>
          </w:p>
        </w:tc>
      </w:tr>
      <w:tr>
        <w:trPr>
          <w:trHeight w:val="378"/>
        </w:trPr>
        <w:tc>
          <w:tcPr>
            <w:tcW w:w="2120" w:type="dxa"/>
            <w:vAlign w:val="bottom"/>
          </w:tcPr>
          <w:p>
            <w:pPr>
              <w:spacing w:after="0"/>
              <w:rPr>
                <w:sz w:val="20"/>
                <w:szCs w:val="20"/>
                <w:color w:val="auto"/>
              </w:rPr>
            </w:pPr>
            <w:r>
              <w:rPr>
                <w:rFonts w:ascii="Arial" w:cs="Arial" w:eastAsia="Arial" w:hAnsi="Arial"/>
                <w:sz w:val="18"/>
                <w:szCs w:val="18"/>
                <w:color w:val="auto"/>
                <w:w w:val="98"/>
              </w:rPr>
              <w:t>SES-T/C-20140604-00409</w:t>
            </w:r>
          </w:p>
        </w:tc>
        <w:tc>
          <w:tcPr>
            <w:tcW w:w="5380" w:type="dxa"/>
            <w:vAlign w:val="bottom"/>
          </w:tcPr>
          <w:p>
            <w:pPr>
              <w:ind w:left="180"/>
              <w:spacing w:after="0"/>
              <w:rPr>
                <w:sz w:val="20"/>
                <w:szCs w:val="20"/>
                <w:color w:val="auto"/>
              </w:rPr>
            </w:pPr>
            <w:r>
              <w:rPr>
                <w:rFonts w:ascii="Arial" w:cs="Arial" w:eastAsia="Arial" w:hAnsi="Arial"/>
                <w:sz w:val="18"/>
                <w:szCs w:val="18"/>
                <w:color w:val="auto"/>
              </w:rPr>
              <w:t>Comcast of Massachusetts/New Hampshire, LLC</w:t>
            </w:r>
          </w:p>
        </w:tc>
        <w:tc>
          <w:tcPr>
            <w:tcW w:w="2280" w:type="dxa"/>
            <w:vAlign w:val="bottom"/>
          </w:tcPr>
          <w:p>
            <w:pPr>
              <w:ind w:left="1640"/>
              <w:spacing w:after="0"/>
              <w:rPr>
                <w:sz w:val="20"/>
                <w:szCs w:val="20"/>
                <w:color w:val="auto"/>
              </w:rPr>
            </w:pPr>
            <w:r>
              <w:rPr>
                <w:rFonts w:ascii="Arial" w:cs="Arial" w:eastAsia="Arial" w:hAnsi="Arial"/>
                <w:sz w:val="18"/>
                <w:szCs w:val="18"/>
                <w:color w:val="auto"/>
              </w:rPr>
              <w:t>E7227</w:t>
            </w:r>
          </w:p>
        </w:tc>
      </w:tr>
      <w:tr>
        <w:trPr>
          <w:trHeight w:val="364"/>
        </w:trPr>
        <w:tc>
          <w:tcPr>
            <w:tcW w:w="2120" w:type="dxa"/>
            <w:vAlign w:val="bottom"/>
          </w:tcPr>
          <w:p>
            <w:pPr>
              <w:spacing w:after="0"/>
              <w:rPr>
                <w:sz w:val="20"/>
                <w:szCs w:val="20"/>
                <w:color w:val="auto"/>
              </w:rPr>
            </w:pPr>
            <w:r>
              <w:rPr>
                <w:rFonts w:ascii="Arial" w:cs="Arial" w:eastAsia="Arial" w:hAnsi="Arial"/>
                <w:sz w:val="18"/>
                <w:szCs w:val="18"/>
                <w:color w:val="auto"/>
                <w:w w:val="98"/>
              </w:rPr>
              <w:t>SES-T/C-20140604-00410</w:t>
            </w:r>
          </w:p>
        </w:tc>
        <w:tc>
          <w:tcPr>
            <w:tcW w:w="5380" w:type="dxa"/>
            <w:vAlign w:val="bottom"/>
          </w:tcPr>
          <w:p>
            <w:pPr>
              <w:ind w:left="180"/>
              <w:spacing w:after="0"/>
              <w:rPr>
                <w:sz w:val="20"/>
                <w:szCs w:val="20"/>
                <w:color w:val="auto"/>
              </w:rPr>
            </w:pPr>
            <w:r>
              <w:rPr>
                <w:rFonts w:ascii="Arial" w:cs="Arial" w:eastAsia="Arial" w:hAnsi="Arial"/>
                <w:sz w:val="18"/>
                <w:szCs w:val="18"/>
                <w:color w:val="auto"/>
              </w:rPr>
              <w:t>Comcast of Massachusetts III, Inc.</w:t>
            </w:r>
          </w:p>
        </w:tc>
        <w:tc>
          <w:tcPr>
            <w:tcW w:w="2280" w:type="dxa"/>
            <w:vAlign w:val="bottom"/>
          </w:tcPr>
          <w:p>
            <w:pPr>
              <w:ind w:left="1640"/>
              <w:spacing w:after="0"/>
              <w:rPr>
                <w:sz w:val="20"/>
                <w:szCs w:val="20"/>
                <w:color w:val="auto"/>
              </w:rPr>
            </w:pPr>
            <w:r>
              <w:rPr>
                <w:rFonts w:ascii="Arial" w:cs="Arial" w:eastAsia="Arial" w:hAnsi="Arial"/>
                <w:sz w:val="18"/>
                <w:szCs w:val="18"/>
                <w:color w:val="auto"/>
                <w:w w:val="85"/>
              </w:rPr>
              <w:t>E070236</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w w:val="85"/>
              </w:rPr>
              <w:t>E920565</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w w:val="85"/>
              </w:rPr>
              <w:t>E920566</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w w:val="85"/>
              </w:rPr>
              <w:t>E920567</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w w:val="85"/>
              </w:rPr>
              <w:t>E920568</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w w:val="85"/>
              </w:rPr>
              <w:t>E920569</w:t>
            </w:r>
          </w:p>
        </w:tc>
      </w:tr>
      <w:tr>
        <w:trPr>
          <w:trHeight w:val="230"/>
        </w:trPr>
        <w:tc>
          <w:tcPr>
            <w:tcW w:w="2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w w:val="85"/>
              </w:rPr>
              <w:t>E920571</w:t>
            </w:r>
          </w:p>
        </w:tc>
      </w:tr>
      <w:tr>
        <w:trPr>
          <w:trHeight w:val="378"/>
        </w:trPr>
        <w:tc>
          <w:tcPr>
            <w:tcW w:w="2120" w:type="dxa"/>
            <w:vAlign w:val="bottom"/>
          </w:tcPr>
          <w:p>
            <w:pPr>
              <w:spacing w:after="0"/>
              <w:rPr>
                <w:sz w:val="20"/>
                <w:szCs w:val="20"/>
                <w:color w:val="auto"/>
              </w:rPr>
            </w:pPr>
            <w:r>
              <w:rPr>
                <w:rFonts w:ascii="Arial" w:cs="Arial" w:eastAsia="Arial" w:hAnsi="Arial"/>
                <w:sz w:val="18"/>
                <w:szCs w:val="18"/>
                <w:color w:val="auto"/>
                <w:w w:val="98"/>
              </w:rPr>
              <w:t>SES-T/C-20140604-00420</w:t>
            </w:r>
          </w:p>
        </w:tc>
        <w:tc>
          <w:tcPr>
            <w:tcW w:w="5380" w:type="dxa"/>
            <w:vAlign w:val="bottom"/>
          </w:tcPr>
          <w:p>
            <w:pPr>
              <w:ind w:left="180"/>
              <w:spacing w:after="0"/>
              <w:rPr>
                <w:sz w:val="20"/>
                <w:szCs w:val="20"/>
                <w:color w:val="auto"/>
              </w:rPr>
            </w:pPr>
            <w:r>
              <w:rPr>
                <w:rFonts w:ascii="Arial" w:cs="Arial" w:eastAsia="Arial" w:hAnsi="Arial"/>
                <w:sz w:val="18"/>
                <w:szCs w:val="18"/>
                <w:color w:val="auto"/>
              </w:rPr>
              <w:t>Comcast of Sacramento II, LLC</w:t>
            </w:r>
          </w:p>
        </w:tc>
        <w:tc>
          <w:tcPr>
            <w:tcW w:w="2280" w:type="dxa"/>
            <w:vAlign w:val="bottom"/>
          </w:tcPr>
          <w:p>
            <w:pPr>
              <w:ind w:left="1640"/>
              <w:spacing w:after="0"/>
              <w:rPr>
                <w:sz w:val="20"/>
                <w:szCs w:val="20"/>
                <w:color w:val="auto"/>
              </w:rPr>
            </w:pPr>
            <w:r>
              <w:rPr>
                <w:rFonts w:ascii="Arial" w:cs="Arial" w:eastAsia="Arial" w:hAnsi="Arial"/>
                <w:sz w:val="18"/>
                <w:szCs w:val="18"/>
                <w:color w:val="auto"/>
                <w:w w:val="85"/>
              </w:rPr>
              <w:t>E030056</w:t>
            </w:r>
          </w:p>
        </w:tc>
      </w:tr>
      <w:tr>
        <w:trPr>
          <w:trHeight w:val="378"/>
        </w:trPr>
        <w:tc>
          <w:tcPr>
            <w:tcW w:w="2120" w:type="dxa"/>
            <w:vAlign w:val="bottom"/>
          </w:tcPr>
          <w:p>
            <w:pPr>
              <w:spacing w:after="0"/>
              <w:rPr>
                <w:sz w:val="20"/>
                <w:szCs w:val="20"/>
                <w:color w:val="auto"/>
              </w:rPr>
            </w:pPr>
            <w:r>
              <w:rPr>
                <w:rFonts w:ascii="Arial" w:cs="Arial" w:eastAsia="Arial" w:hAnsi="Arial"/>
                <w:sz w:val="18"/>
                <w:szCs w:val="18"/>
                <w:color w:val="auto"/>
                <w:w w:val="98"/>
              </w:rPr>
              <w:t>SES-T/C-20140604-00421</w:t>
            </w:r>
          </w:p>
        </w:tc>
        <w:tc>
          <w:tcPr>
            <w:tcW w:w="5380" w:type="dxa"/>
            <w:vAlign w:val="bottom"/>
          </w:tcPr>
          <w:p>
            <w:pPr>
              <w:ind w:left="180"/>
              <w:spacing w:after="0"/>
              <w:rPr>
                <w:sz w:val="20"/>
                <w:szCs w:val="20"/>
                <w:color w:val="auto"/>
              </w:rPr>
            </w:pPr>
            <w:r>
              <w:rPr>
                <w:rFonts w:ascii="Arial" w:cs="Arial" w:eastAsia="Arial" w:hAnsi="Arial"/>
                <w:sz w:val="18"/>
                <w:szCs w:val="18"/>
                <w:color w:val="auto"/>
              </w:rPr>
              <w:t>Comcast of Southern New England, Inc.</w:t>
            </w:r>
          </w:p>
        </w:tc>
        <w:tc>
          <w:tcPr>
            <w:tcW w:w="2280" w:type="dxa"/>
            <w:vAlign w:val="bottom"/>
          </w:tcPr>
          <w:p>
            <w:pPr>
              <w:ind w:left="1640"/>
              <w:spacing w:after="0"/>
              <w:rPr>
                <w:sz w:val="20"/>
                <w:szCs w:val="20"/>
                <w:color w:val="auto"/>
              </w:rPr>
            </w:pPr>
            <w:r>
              <w:rPr>
                <w:rFonts w:ascii="Arial" w:cs="Arial" w:eastAsia="Arial" w:hAnsi="Arial"/>
                <w:sz w:val="18"/>
                <w:szCs w:val="18"/>
                <w:color w:val="auto"/>
              </w:rPr>
              <w:t>E7627</w:t>
            </w:r>
          </w:p>
        </w:tc>
      </w:tr>
      <w:tr>
        <w:trPr>
          <w:trHeight w:val="378"/>
        </w:trPr>
        <w:tc>
          <w:tcPr>
            <w:tcW w:w="2120" w:type="dxa"/>
            <w:vAlign w:val="bottom"/>
          </w:tcPr>
          <w:p>
            <w:pPr>
              <w:spacing w:after="0"/>
              <w:rPr>
                <w:sz w:val="20"/>
                <w:szCs w:val="20"/>
                <w:color w:val="auto"/>
              </w:rPr>
            </w:pPr>
            <w:r>
              <w:rPr>
                <w:rFonts w:ascii="Arial" w:cs="Arial" w:eastAsia="Arial" w:hAnsi="Arial"/>
                <w:sz w:val="18"/>
                <w:szCs w:val="18"/>
                <w:color w:val="auto"/>
                <w:w w:val="98"/>
              </w:rPr>
              <w:t>SES-T/C-20140604-00422</w:t>
            </w:r>
          </w:p>
        </w:tc>
        <w:tc>
          <w:tcPr>
            <w:tcW w:w="5380" w:type="dxa"/>
            <w:vAlign w:val="bottom"/>
          </w:tcPr>
          <w:p>
            <w:pPr>
              <w:ind w:left="180"/>
              <w:spacing w:after="0"/>
              <w:rPr>
                <w:sz w:val="20"/>
                <w:szCs w:val="20"/>
                <w:color w:val="auto"/>
              </w:rPr>
            </w:pPr>
            <w:r>
              <w:rPr>
                <w:rFonts w:ascii="Arial" w:cs="Arial" w:eastAsia="Arial" w:hAnsi="Arial"/>
                <w:sz w:val="18"/>
                <w:szCs w:val="18"/>
                <w:color w:val="auto"/>
              </w:rPr>
              <w:t>Comcast of California/Illinois, LP</w:t>
            </w:r>
          </w:p>
        </w:tc>
        <w:tc>
          <w:tcPr>
            <w:tcW w:w="2280" w:type="dxa"/>
            <w:vAlign w:val="bottom"/>
          </w:tcPr>
          <w:p>
            <w:pPr>
              <w:ind w:left="1640"/>
              <w:spacing w:after="0"/>
              <w:rPr>
                <w:sz w:val="20"/>
                <w:szCs w:val="20"/>
                <w:color w:val="auto"/>
              </w:rPr>
            </w:pPr>
            <w:r>
              <w:rPr>
                <w:rFonts w:ascii="Arial" w:cs="Arial" w:eastAsia="Arial" w:hAnsi="Arial"/>
                <w:sz w:val="18"/>
                <w:szCs w:val="18"/>
                <w:color w:val="auto"/>
              </w:rPr>
              <w:t>E4709</w:t>
            </w:r>
          </w:p>
        </w:tc>
      </w:tr>
      <w:tr>
        <w:trPr>
          <w:trHeight w:val="364"/>
        </w:trPr>
        <w:tc>
          <w:tcPr>
            <w:tcW w:w="2120" w:type="dxa"/>
            <w:vAlign w:val="bottom"/>
          </w:tcPr>
          <w:p>
            <w:pPr>
              <w:spacing w:after="0"/>
              <w:rPr>
                <w:sz w:val="20"/>
                <w:szCs w:val="20"/>
                <w:color w:val="auto"/>
              </w:rPr>
            </w:pPr>
            <w:r>
              <w:rPr>
                <w:rFonts w:ascii="Arial" w:cs="Arial" w:eastAsia="Arial" w:hAnsi="Arial"/>
                <w:sz w:val="18"/>
                <w:szCs w:val="18"/>
                <w:color w:val="auto"/>
                <w:w w:val="98"/>
              </w:rPr>
              <w:t>SES-T/C-20140604-00425</w:t>
            </w:r>
          </w:p>
        </w:tc>
        <w:tc>
          <w:tcPr>
            <w:tcW w:w="5380" w:type="dxa"/>
            <w:vAlign w:val="bottom"/>
          </w:tcPr>
          <w:p>
            <w:pPr>
              <w:ind w:left="180"/>
              <w:spacing w:after="0"/>
              <w:rPr>
                <w:sz w:val="20"/>
                <w:szCs w:val="20"/>
                <w:color w:val="auto"/>
              </w:rPr>
            </w:pPr>
            <w:r>
              <w:rPr>
                <w:rFonts w:ascii="Arial" w:cs="Arial" w:eastAsia="Arial" w:hAnsi="Arial"/>
                <w:sz w:val="18"/>
                <w:szCs w:val="18"/>
                <w:color w:val="auto"/>
              </w:rPr>
              <w:t>Comcast of Central NJ II, LLC</w:t>
            </w:r>
          </w:p>
        </w:tc>
        <w:tc>
          <w:tcPr>
            <w:tcW w:w="2280" w:type="dxa"/>
            <w:vAlign w:val="bottom"/>
          </w:tcPr>
          <w:p>
            <w:pPr>
              <w:ind w:left="1640"/>
              <w:spacing w:after="0"/>
              <w:rPr>
                <w:sz w:val="20"/>
                <w:szCs w:val="20"/>
                <w:color w:val="auto"/>
              </w:rPr>
            </w:pPr>
            <w:r>
              <w:rPr>
                <w:rFonts w:ascii="Arial" w:cs="Arial" w:eastAsia="Arial" w:hAnsi="Arial"/>
                <w:sz w:val="18"/>
                <w:szCs w:val="18"/>
                <w:color w:val="auto"/>
              </w:rPr>
              <w:t>E3130</w:t>
            </w:r>
          </w:p>
        </w:tc>
      </w:tr>
      <w:tr>
        <w:trPr>
          <w:trHeight w:val="216"/>
        </w:trPr>
        <w:tc>
          <w:tcPr>
            <w:tcW w:w="2120" w:type="dxa"/>
            <w:vAlign w:val="bottom"/>
          </w:tcPr>
          <w:p>
            <w:pPr>
              <w:spacing w:after="0"/>
              <w:rPr>
                <w:sz w:val="18"/>
                <w:szCs w:val="18"/>
                <w:color w:val="auto"/>
              </w:rPr>
            </w:pPr>
          </w:p>
        </w:tc>
        <w:tc>
          <w:tcPr>
            <w:tcW w:w="5380" w:type="dxa"/>
            <w:vAlign w:val="bottom"/>
          </w:tcPr>
          <w:p>
            <w:pPr>
              <w:spacing w:after="0"/>
              <w:rPr>
                <w:sz w:val="18"/>
                <w:szCs w:val="18"/>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E3712</w:t>
            </w:r>
          </w:p>
        </w:tc>
      </w:tr>
      <w:tr>
        <w:trPr>
          <w:trHeight w:val="230"/>
        </w:trPr>
        <w:tc>
          <w:tcPr>
            <w:tcW w:w="2120" w:type="dxa"/>
            <w:vAlign w:val="bottom"/>
          </w:tcPr>
          <w:p>
            <w:pPr>
              <w:spacing w:after="0"/>
              <w:rPr>
                <w:sz w:val="20"/>
                <w:szCs w:val="20"/>
                <w:color w:val="auto"/>
              </w:rPr>
            </w:pPr>
          </w:p>
        </w:tc>
        <w:tc>
          <w:tcPr>
            <w:tcW w:w="5380" w:type="dxa"/>
            <w:vAlign w:val="bottom"/>
          </w:tcPr>
          <w:p>
            <w:pPr>
              <w:spacing w:after="0"/>
              <w:rPr>
                <w:sz w:val="20"/>
                <w:szCs w:val="20"/>
                <w:color w:val="auto"/>
              </w:rPr>
            </w:pPr>
          </w:p>
        </w:tc>
        <w:tc>
          <w:tcPr>
            <w:tcW w:w="2280" w:type="dxa"/>
            <w:vAlign w:val="bottom"/>
          </w:tcPr>
          <w:p>
            <w:pPr>
              <w:ind w:left="1640"/>
              <w:spacing w:after="0"/>
              <w:rPr>
                <w:sz w:val="20"/>
                <w:szCs w:val="20"/>
                <w:color w:val="auto"/>
              </w:rPr>
            </w:pPr>
            <w:r>
              <w:rPr>
                <w:rFonts w:ascii="Arial" w:cs="Arial" w:eastAsia="Arial" w:hAnsi="Arial"/>
                <w:sz w:val="18"/>
                <w:szCs w:val="18"/>
                <w:color w:val="auto"/>
              </w:rPr>
              <w:t>E3727</w:t>
            </w:r>
          </w:p>
        </w:tc>
      </w:tr>
    </w:tbl>
    <w:p>
      <w:pPr>
        <w:ind w:left="9140"/>
        <w:spacing w:after="0"/>
        <w:rPr>
          <w:sz w:val="20"/>
          <w:szCs w:val="20"/>
          <w:color w:val="auto"/>
        </w:rPr>
      </w:pPr>
      <w:r>
        <w:rPr>
          <w:rFonts w:ascii="Arial" w:cs="Arial" w:eastAsia="Arial" w:hAnsi="Arial"/>
          <w:sz w:val="15"/>
          <w:szCs w:val="15"/>
          <w:color w:val="auto"/>
        </w:rPr>
        <w:t>E859857</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8"/>
          <w:szCs w:val="18"/>
          <w:color w:val="auto"/>
        </w:rPr>
        <w:t>E8685</w:t>
      </w:r>
    </w:p>
    <w:p>
      <w:pPr>
        <w:spacing w:after="0" w:line="9"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E890528</w:t>
      </w:r>
    </w:p>
    <w:p>
      <w:pPr>
        <w:spacing w:after="0" w:line="44" w:lineRule="exact"/>
        <w:rPr>
          <w:sz w:val="20"/>
          <w:szCs w:val="20"/>
          <w:color w:val="auto"/>
        </w:rPr>
      </w:pPr>
    </w:p>
    <w:p>
      <w:pPr>
        <w:ind w:left="9140"/>
        <w:spacing w:after="0"/>
        <w:rPr>
          <w:sz w:val="20"/>
          <w:szCs w:val="20"/>
          <w:color w:val="auto"/>
        </w:rPr>
      </w:pPr>
      <w:r>
        <w:rPr>
          <w:rFonts w:ascii="Arial" w:cs="Arial" w:eastAsia="Arial" w:hAnsi="Arial"/>
          <w:sz w:val="15"/>
          <w:szCs w:val="15"/>
          <w:color w:val="auto"/>
        </w:rPr>
        <w:t>E950465</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841" w:right="1440" w:bottom="1440" w:gutter="0" w:footer="0" w:header="0"/>
        </w:sectPr>
      </w:pPr>
    </w:p>
    <w:bookmarkStart w:id="30" w:name="page31"/>
    <w:bookmarkEnd w:id="30"/>
    <w:p>
      <w:pPr>
        <w:jc w:val="center"/>
        <w:ind w:right="-159"/>
        <w:spacing w:after="0"/>
        <w:rPr>
          <w:sz w:val="20"/>
          <w:szCs w:val="20"/>
          <w:color w:val="auto"/>
        </w:rPr>
      </w:pPr>
      <w:r>
        <w:rPr>
          <w:rFonts w:ascii="Arial" w:cs="Arial" w:eastAsia="Arial" w:hAnsi="Arial"/>
          <w:sz w:val="18"/>
          <w:szCs w:val="18"/>
          <w:b w:val="1"/>
          <w:bCs w:val="1"/>
          <w:color w:val="auto"/>
        </w:rPr>
        <w:t>Section 214 Authorizations</w:t>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63 – Domestic Section 214 Authority</w:t>
      </w:r>
    </w:p>
    <w:p>
      <w:pPr>
        <w:spacing w:after="0" w:line="283" w:lineRule="exact"/>
        <w:rPr>
          <w:sz w:val="20"/>
          <w:szCs w:val="20"/>
          <w:color w:val="auto"/>
        </w:rPr>
      </w:pPr>
    </w:p>
    <w:p>
      <w:pPr>
        <w:ind w:right="60" w:firstLine="972"/>
        <w:spacing w:after="0" w:line="233" w:lineRule="auto"/>
        <w:rPr>
          <w:sz w:val="20"/>
          <w:szCs w:val="20"/>
          <w:color w:val="auto"/>
        </w:rPr>
      </w:pPr>
      <w:r>
        <w:rPr>
          <w:rFonts w:ascii="Arial" w:cs="Arial" w:eastAsia="Arial" w:hAnsi="Arial"/>
          <w:sz w:val="18"/>
          <w:szCs w:val="18"/>
          <w:color w:val="auto"/>
        </w:rPr>
        <w:t>The Divestiture Applicants have filed applications for consent to the transfer of control of domestic section 214 authorities in connection with the Divestiture Transactions described above.</w:t>
      </w:r>
      <w:r>
        <w:rPr>
          <w:rFonts w:ascii="Arial" w:cs="Arial" w:eastAsia="Arial" w:hAnsi="Arial"/>
          <w:sz w:val="25"/>
          <w:szCs w:val="25"/>
          <w:color w:val="auto"/>
          <w:vertAlign w:val="superscript"/>
        </w:rPr>
        <w:t>67</w:t>
      </w:r>
      <w:r>
        <w:rPr>
          <w:rFonts w:ascii="Arial" w:cs="Arial" w:eastAsia="Arial" w:hAnsi="Arial"/>
          <w:sz w:val="18"/>
          <w:szCs w:val="18"/>
          <w:color w:val="auto"/>
        </w:rPr>
        <w:t xml:space="preserve"> Applicants do not request streamlined treatment for these applications under section 63.03(b) of the Commission’s rules.</w:t>
      </w:r>
      <w:r>
        <w:rPr>
          <w:rFonts w:ascii="Arial" w:cs="Arial" w:eastAsia="Arial" w:hAnsi="Arial"/>
          <w:sz w:val="25"/>
          <w:szCs w:val="25"/>
          <w:color w:val="auto"/>
          <w:vertAlign w:val="superscript"/>
        </w:rPr>
        <w:t>68</w:t>
      </w:r>
    </w:p>
    <w:p>
      <w:pPr>
        <w:spacing w:after="0" w:line="155" w:lineRule="exact"/>
        <w:rPr>
          <w:sz w:val="20"/>
          <w:szCs w:val="20"/>
          <w:color w:val="auto"/>
        </w:rPr>
      </w:pPr>
    </w:p>
    <w:p>
      <w:pPr>
        <w:ind w:left="4100"/>
        <w:spacing w:after="0"/>
        <w:rPr>
          <w:sz w:val="20"/>
          <w:szCs w:val="20"/>
          <w:color w:val="auto"/>
        </w:rPr>
      </w:pPr>
      <w:r>
        <w:rPr>
          <w:rFonts w:ascii="Arial" w:cs="Arial" w:eastAsia="Arial" w:hAnsi="Arial"/>
          <w:sz w:val="18"/>
          <w:szCs w:val="18"/>
          <w:b w:val="1"/>
          <w:bCs w:val="1"/>
          <w:color w:val="auto"/>
        </w:rPr>
        <w:t>Part 63 – International Section 214 Authorizations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authorizations requested for SpinCo:</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0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7040" w:type="dxa"/>
            <w:vAlign w:val="bottom"/>
            <w:gridSpan w:val="3"/>
          </w:tcPr>
          <w:p>
            <w:pPr>
              <w:ind w:left="200"/>
              <w:spacing w:after="0"/>
              <w:rPr>
                <w:sz w:val="20"/>
                <w:szCs w:val="20"/>
                <w:color w:val="auto"/>
              </w:rPr>
            </w:pPr>
            <w:r>
              <w:rPr>
                <w:rFonts w:ascii="Arial" w:cs="Arial" w:eastAsia="Arial" w:hAnsi="Arial"/>
                <w:sz w:val="18"/>
                <w:szCs w:val="18"/>
                <w:b w:val="1"/>
                <w:bCs w:val="1"/>
                <w:color w:val="auto"/>
              </w:rPr>
              <w:t>Authorization Holder</w:t>
            </w:r>
          </w:p>
        </w:tc>
        <w:tc>
          <w:tcPr>
            <w:tcW w:w="2120" w:type="dxa"/>
            <w:vAlign w:val="bottom"/>
            <w:gridSpan w:val="2"/>
          </w:tcPr>
          <w:p>
            <w:pPr>
              <w:spacing w:after="0"/>
              <w:rPr>
                <w:sz w:val="20"/>
                <w:szCs w:val="20"/>
                <w:color w:val="auto"/>
              </w:rPr>
            </w:pPr>
            <w:r>
              <w:rPr>
                <w:rFonts w:ascii="Arial" w:cs="Arial" w:eastAsia="Arial" w:hAnsi="Arial"/>
                <w:sz w:val="18"/>
                <w:szCs w:val="18"/>
                <w:b w:val="1"/>
                <w:bCs w:val="1"/>
                <w:color w:val="auto"/>
              </w:rPr>
              <w:t>Authorization Number</w:t>
            </w:r>
          </w:p>
        </w:tc>
      </w:tr>
      <w:tr>
        <w:trPr>
          <w:trHeight w:val="20"/>
        </w:trPr>
        <w:tc>
          <w:tcPr>
            <w:tcW w:w="60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22"/>
        </w:trPr>
        <w:tc>
          <w:tcPr>
            <w:tcW w:w="2100" w:type="dxa"/>
            <w:vAlign w:val="bottom"/>
            <w:gridSpan w:val="2"/>
          </w:tcPr>
          <w:p>
            <w:pPr>
              <w:spacing w:after="0"/>
              <w:rPr>
                <w:sz w:val="20"/>
                <w:szCs w:val="20"/>
                <w:color w:val="auto"/>
              </w:rPr>
            </w:pPr>
            <w:r>
              <w:rPr>
                <w:rFonts w:ascii="Arial" w:cs="Arial" w:eastAsia="Arial" w:hAnsi="Arial"/>
                <w:sz w:val="18"/>
                <w:szCs w:val="18"/>
                <w:color w:val="auto"/>
              </w:rPr>
              <w:t>ITC-214-20140604-00166</w:t>
            </w:r>
          </w:p>
        </w:tc>
        <w:tc>
          <w:tcPr>
            <w:tcW w:w="7040" w:type="dxa"/>
            <w:vAlign w:val="bottom"/>
            <w:gridSpan w:val="3"/>
          </w:tcPr>
          <w:p>
            <w:pPr>
              <w:ind w:left="200"/>
              <w:spacing w:after="0"/>
              <w:rPr>
                <w:sz w:val="20"/>
                <w:szCs w:val="20"/>
                <w:color w:val="auto"/>
              </w:rPr>
            </w:pPr>
            <w:r>
              <w:rPr>
                <w:rFonts w:ascii="Arial" w:cs="Arial" w:eastAsia="Arial" w:hAnsi="Arial"/>
                <w:sz w:val="18"/>
                <w:szCs w:val="18"/>
                <w:color w:val="auto"/>
              </w:rPr>
              <w:t>Midwest Cable Phone, LLC</w:t>
            </w:r>
          </w:p>
        </w:tc>
        <w:tc>
          <w:tcPr>
            <w:tcW w:w="2120" w:type="dxa"/>
            <w:vAlign w:val="bottom"/>
            <w:gridSpan w:val="2"/>
          </w:tcPr>
          <w:p>
            <w:pPr>
              <w:spacing w:after="0"/>
              <w:rPr>
                <w:sz w:val="20"/>
                <w:szCs w:val="20"/>
                <w:color w:val="auto"/>
              </w:rPr>
            </w:pPr>
            <w:r>
              <w:rPr>
                <w:rFonts w:ascii="Arial" w:cs="Arial" w:eastAsia="Arial" w:hAnsi="Arial"/>
                <w:sz w:val="18"/>
                <w:szCs w:val="18"/>
                <w:color w:val="auto"/>
                <w:w w:val="89"/>
              </w:rPr>
              <w:t>(Requesting new Section 214</w:t>
            </w:r>
          </w:p>
        </w:tc>
      </w:tr>
      <w:tr>
        <w:trPr>
          <w:trHeight w:val="230"/>
        </w:trPr>
        <w:tc>
          <w:tcPr>
            <w:tcW w:w="6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rPr>
              <w:t>authorization)</w:t>
            </w:r>
          </w:p>
        </w:tc>
      </w:tr>
    </w:tbl>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Parts 90 and 101 – Private Wireless Licenses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Charter licenses to be transferred to Comcast:</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7540" w:type="dxa"/>
            <w:vAlign w:val="bottom"/>
            <w:gridSpan w:val="3"/>
          </w:tcPr>
          <w:p>
            <w:pPr>
              <w:ind w:left="700"/>
              <w:spacing w:after="0"/>
              <w:rPr>
                <w:sz w:val="20"/>
                <w:szCs w:val="20"/>
                <w:color w:val="auto"/>
              </w:rPr>
            </w:pPr>
            <w:r>
              <w:rPr>
                <w:rFonts w:ascii="Arial" w:cs="Arial" w:eastAsia="Arial" w:hAnsi="Arial"/>
                <w:sz w:val="18"/>
                <w:szCs w:val="18"/>
                <w:b w:val="1"/>
                <w:bCs w:val="1"/>
                <w:color w:val="auto"/>
              </w:rPr>
              <w:t>Licensee</w:t>
            </w:r>
          </w:p>
        </w:tc>
        <w:tc>
          <w:tcPr>
            <w:tcW w:w="1140" w:type="dxa"/>
            <w:vAlign w:val="bottom"/>
          </w:tcPr>
          <w:p>
            <w:pPr>
              <w:spacing w:after="0"/>
              <w:rPr>
                <w:sz w:val="20"/>
                <w:szCs w:val="20"/>
                <w:color w:val="auto"/>
              </w:rPr>
            </w:pPr>
            <w:r>
              <w:rPr>
                <w:rFonts w:ascii="Arial" w:cs="Arial" w:eastAsia="Arial" w:hAnsi="Arial"/>
                <w:sz w:val="18"/>
                <w:szCs w:val="18"/>
                <w:b w:val="1"/>
                <w:bCs w:val="1"/>
                <w:color w:val="auto"/>
                <w:w w:val="90"/>
              </w:rPr>
              <w:t>Lead Call Sign</w:t>
            </w:r>
          </w:p>
        </w:tc>
      </w:tr>
      <w:tr>
        <w:trPr>
          <w:trHeight w:val="20"/>
        </w:trPr>
        <w:tc>
          <w:tcPr>
            <w:tcW w:w="6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22"/>
        </w:trPr>
        <w:tc>
          <w:tcPr>
            <w:tcW w:w="1600" w:type="dxa"/>
            <w:vAlign w:val="bottom"/>
            <w:gridSpan w:val="2"/>
          </w:tcPr>
          <w:p>
            <w:pPr>
              <w:spacing w:after="0"/>
              <w:rPr>
                <w:sz w:val="20"/>
                <w:szCs w:val="20"/>
                <w:color w:val="auto"/>
              </w:rPr>
            </w:pPr>
            <w:r>
              <w:rPr>
                <w:rFonts w:ascii="Arial" w:cs="Arial" w:eastAsia="Arial" w:hAnsi="Arial"/>
                <w:sz w:val="18"/>
                <w:szCs w:val="18"/>
                <w:color w:val="auto"/>
              </w:rPr>
              <w:t>0006307076</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CCO SoCal I, LLC</w:t>
            </w:r>
          </w:p>
        </w:tc>
        <w:tc>
          <w:tcPr>
            <w:tcW w:w="1140" w:type="dxa"/>
            <w:vAlign w:val="bottom"/>
          </w:tcPr>
          <w:p>
            <w:pPr>
              <w:spacing w:after="0"/>
              <w:rPr>
                <w:sz w:val="20"/>
                <w:szCs w:val="20"/>
                <w:color w:val="auto"/>
              </w:rPr>
            </w:pPr>
            <w:r>
              <w:rPr>
                <w:rFonts w:ascii="Arial" w:cs="Arial" w:eastAsia="Arial" w:hAnsi="Arial"/>
                <w:sz w:val="18"/>
                <w:szCs w:val="18"/>
                <w:color w:val="auto"/>
              </w:rPr>
              <w:t>WQKG921</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0006307974</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Charter Communications VI, LLC</w:t>
            </w:r>
          </w:p>
        </w:tc>
        <w:tc>
          <w:tcPr>
            <w:tcW w:w="1140" w:type="dxa"/>
            <w:vAlign w:val="bottom"/>
          </w:tcPr>
          <w:p>
            <w:pPr>
              <w:spacing w:after="0"/>
              <w:rPr>
                <w:sz w:val="20"/>
                <w:szCs w:val="20"/>
                <w:color w:val="auto"/>
              </w:rPr>
            </w:pPr>
            <w:r>
              <w:rPr>
                <w:rFonts w:ascii="Arial" w:cs="Arial" w:eastAsia="Arial" w:hAnsi="Arial"/>
                <w:sz w:val="18"/>
                <w:szCs w:val="18"/>
                <w:color w:val="auto"/>
              </w:rPr>
              <w:t>WQKG925</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0006307978</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Charter Communications, LLC</w:t>
            </w:r>
          </w:p>
        </w:tc>
        <w:tc>
          <w:tcPr>
            <w:tcW w:w="1140" w:type="dxa"/>
            <w:vAlign w:val="bottom"/>
          </w:tcPr>
          <w:p>
            <w:pPr>
              <w:spacing w:after="0"/>
              <w:rPr>
                <w:sz w:val="20"/>
                <w:szCs w:val="20"/>
                <w:color w:val="auto"/>
              </w:rPr>
            </w:pPr>
            <w:r>
              <w:rPr>
                <w:rFonts w:ascii="Arial" w:cs="Arial" w:eastAsia="Arial" w:hAnsi="Arial"/>
                <w:sz w:val="18"/>
                <w:szCs w:val="18"/>
                <w:color w:val="auto"/>
              </w:rPr>
              <w:t>KLP528</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0006306926</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Charter Communications, LLC</w:t>
            </w:r>
          </w:p>
        </w:tc>
        <w:tc>
          <w:tcPr>
            <w:tcW w:w="1140" w:type="dxa"/>
            <w:vAlign w:val="bottom"/>
          </w:tcPr>
          <w:p>
            <w:pPr>
              <w:spacing w:after="0"/>
              <w:rPr>
                <w:sz w:val="20"/>
                <w:szCs w:val="20"/>
                <w:color w:val="auto"/>
              </w:rPr>
            </w:pPr>
            <w:r>
              <w:rPr>
                <w:rFonts w:ascii="Arial" w:cs="Arial" w:eastAsia="Arial" w:hAnsi="Arial"/>
                <w:sz w:val="18"/>
                <w:szCs w:val="18"/>
                <w:color w:val="auto"/>
              </w:rPr>
              <w:t>WQSZ994</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0006307080</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Falcon Cable Systems Co. II, LP</w:t>
            </w:r>
          </w:p>
        </w:tc>
        <w:tc>
          <w:tcPr>
            <w:tcW w:w="1140" w:type="dxa"/>
            <w:vAlign w:val="bottom"/>
          </w:tcPr>
          <w:p>
            <w:pPr>
              <w:spacing w:after="0"/>
              <w:rPr>
                <w:sz w:val="20"/>
                <w:szCs w:val="20"/>
                <w:color w:val="auto"/>
              </w:rPr>
            </w:pPr>
            <w:r>
              <w:rPr>
                <w:rFonts w:ascii="Arial" w:cs="Arial" w:eastAsia="Arial" w:hAnsi="Arial"/>
                <w:sz w:val="18"/>
                <w:szCs w:val="18"/>
                <w:color w:val="auto"/>
              </w:rPr>
              <w:t>WQKG920</w:t>
            </w: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0006309990</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Plattsburgh Cablevision, Inc.</w:t>
            </w:r>
          </w:p>
        </w:tc>
        <w:tc>
          <w:tcPr>
            <w:tcW w:w="1140" w:type="dxa"/>
            <w:vAlign w:val="bottom"/>
          </w:tcPr>
          <w:p>
            <w:pPr>
              <w:spacing w:after="0"/>
              <w:rPr>
                <w:sz w:val="20"/>
                <w:szCs w:val="20"/>
                <w:color w:val="auto"/>
              </w:rPr>
            </w:pPr>
            <w:r>
              <w:rPr>
                <w:rFonts w:ascii="Arial" w:cs="Arial" w:eastAsia="Arial" w:hAnsi="Arial"/>
                <w:sz w:val="18"/>
                <w:szCs w:val="18"/>
                <w:color w:val="auto"/>
              </w:rPr>
              <w:t>KVE945</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Listed below are Comcast/TWC licenses subject to applications for assignment to Charter:</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7540" w:type="dxa"/>
            <w:vAlign w:val="bottom"/>
            <w:gridSpan w:val="3"/>
          </w:tcPr>
          <w:p>
            <w:pPr>
              <w:ind w:left="700"/>
              <w:spacing w:after="0"/>
              <w:rPr>
                <w:sz w:val="20"/>
                <w:szCs w:val="20"/>
                <w:color w:val="auto"/>
              </w:rPr>
            </w:pPr>
            <w:r>
              <w:rPr>
                <w:rFonts w:ascii="Arial" w:cs="Arial" w:eastAsia="Arial" w:hAnsi="Arial"/>
                <w:sz w:val="18"/>
                <w:szCs w:val="18"/>
                <w:b w:val="1"/>
                <w:bCs w:val="1"/>
                <w:color w:val="auto"/>
              </w:rPr>
              <w:t>Licensee</w:t>
            </w:r>
          </w:p>
        </w:tc>
        <w:tc>
          <w:tcPr>
            <w:tcW w:w="1140" w:type="dxa"/>
            <w:vAlign w:val="bottom"/>
          </w:tcPr>
          <w:p>
            <w:pPr>
              <w:spacing w:after="0"/>
              <w:rPr>
                <w:sz w:val="20"/>
                <w:szCs w:val="20"/>
                <w:color w:val="auto"/>
              </w:rPr>
            </w:pPr>
            <w:r>
              <w:rPr>
                <w:rFonts w:ascii="Arial" w:cs="Arial" w:eastAsia="Arial" w:hAnsi="Arial"/>
                <w:sz w:val="18"/>
                <w:szCs w:val="18"/>
                <w:b w:val="1"/>
                <w:bCs w:val="1"/>
                <w:color w:val="auto"/>
                <w:w w:val="90"/>
              </w:rPr>
              <w:t>Lead Call Sign</w:t>
            </w:r>
          </w:p>
        </w:tc>
      </w:tr>
      <w:tr>
        <w:trPr>
          <w:trHeight w:val="20"/>
        </w:trPr>
        <w:tc>
          <w:tcPr>
            <w:tcW w:w="6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22"/>
        </w:trPr>
        <w:tc>
          <w:tcPr>
            <w:tcW w:w="1600" w:type="dxa"/>
            <w:vAlign w:val="bottom"/>
            <w:gridSpan w:val="2"/>
          </w:tcPr>
          <w:p>
            <w:pPr>
              <w:spacing w:after="0"/>
              <w:rPr>
                <w:sz w:val="20"/>
                <w:szCs w:val="20"/>
                <w:color w:val="auto"/>
              </w:rPr>
            </w:pPr>
            <w:r>
              <w:rPr>
                <w:rFonts w:ascii="Arial" w:cs="Arial" w:eastAsia="Arial" w:hAnsi="Arial"/>
                <w:sz w:val="18"/>
                <w:szCs w:val="18"/>
                <w:color w:val="auto"/>
              </w:rPr>
              <w:t>0006309092</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Time Warner Cable Midwest LLC</w:t>
            </w:r>
          </w:p>
        </w:tc>
        <w:tc>
          <w:tcPr>
            <w:tcW w:w="1140" w:type="dxa"/>
            <w:vAlign w:val="bottom"/>
          </w:tcPr>
          <w:p>
            <w:pPr>
              <w:spacing w:after="0"/>
              <w:rPr>
                <w:sz w:val="20"/>
                <w:szCs w:val="20"/>
                <w:color w:val="auto"/>
              </w:rPr>
            </w:pPr>
            <w:r>
              <w:rPr>
                <w:rFonts w:ascii="Arial" w:cs="Arial" w:eastAsia="Arial" w:hAnsi="Arial"/>
                <w:sz w:val="18"/>
                <w:szCs w:val="18"/>
                <w:color w:val="auto"/>
              </w:rPr>
              <w:t>WNJQ722</w:t>
            </w: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0006309110</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Time Warner Cable Midwest LLC</w:t>
            </w:r>
          </w:p>
        </w:tc>
        <w:tc>
          <w:tcPr>
            <w:tcW w:w="1140" w:type="dxa"/>
            <w:vAlign w:val="bottom"/>
          </w:tcPr>
          <w:p>
            <w:pPr>
              <w:spacing w:after="0"/>
              <w:rPr>
                <w:sz w:val="20"/>
                <w:szCs w:val="20"/>
                <w:color w:val="auto"/>
              </w:rPr>
            </w:pPr>
            <w:r>
              <w:rPr>
                <w:rFonts w:ascii="Arial" w:cs="Arial" w:eastAsia="Arial" w:hAnsi="Arial"/>
                <w:sz w:val="18"/>
                <w:szCs w:val="18"/>
                <w:color w:val="auto"/>
              </w:rPr>
              <w:t>WQGH689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295910</wp:posOffset>
            </wp:positionV>
            <wp:extent cx="758825" cy="342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58825" cy="34290"/>
                    </a:xfrm>
                    <a:prstGeom prst="rect">
                      <a:avLst/>
                    </a:prstGeom>
                    <a:noFill/>
                  </pic:spPr>
                </pic:pic>
              </a:graphicData>
            </a:graphic>
          </wp:anchor>
        </w:drawing>
      </w:r>
    </w:p>
    <w:p>
      <w:pPr>
        <w:spacing w:after="0" w:line="200" w:lineRule="exact"/>
        <w:rPr>
          <w:sz w:val="20"/>
          <w:szCs w:val="20"/>
          <w:color w:val="auto"/>
        </w:rPr>
      </w:pPr>
    </w:p>
    <w:p>
      <w:pPr>
        <w:spacing w:after="0" w:line="373" w:lineRule="exact"/>
        <w:rPr>
          <w:sz w:val="20"/>
          <w:szCs w:val="20"/>
          <w:color w:val="auto"/>
        </w:rPr>
      </w:pPr>
    </w:p>
    <w:p>
      <w:pPr>
        <w:ind w:right="20" w:firstLine="8"/>
        <w:spacing w:after="0" w:line="293" w:lineRule="auto"/>
        <w:tabs>
          <w:tab w:leader="none" w:pos="171" w:val="left"/>
        </w:tabs>
        <w:numPr>
          <w:ilvl w:val="0"/>
          <w:numId w:val="29"/>
        </w:numPr>
        <w:rPr>
          <w:rFonts w:ascii="Arial" w:cs="Arial" w:eastAsia="Arial" w:hAnsi="Arial"/>
          <w:sz w:val="21"/>
          <w:szCs w:val="21"/>
          <w:color w:val="auto"/>
          <w:vertAlign w:val="superscript"/>
        </w:rPr>
      </w:pPr>
      <w:r>
        <w:rPr>
          <w:rFonts w:ascii="Arial" w:cs="Arial" w:eastAsia="Arial" w:hAnsi="Arial"/>
          <w:sz w:val="15"/>
          <w:szCs w:val="15"/>
          <w:i w:val="1"/>
          <w:iCs w:val="1"/>
          <w:color w:val="auto"/>
        </w:rPr>
        <w:t>Application of Charter Communications, Inc., Transferor, and Comcast Corporation, Transferee, for Consent to Transfer Control of Domestic Authority Pursuant to Section 214 of the Communications Act of 1934, as Amended</w:t>
      </w:r>
      <w:r>
        <w:rPr>
          <w:rFonts w:ascii="Arial" w:cs="Arial" w:eastAsia="Arial" w:hAnsi="Arial"/>
          <w:sz w:val="15"/>
          <w:szCs w:val="15"/>
          <w:color w:val="auto"/>
        </w:rPr>
        <w:t>, MB Docket No. 14-57 (filed June 5, 2014);</w:t>
      </w:r>
      <w:r>
        <w:rPr>
          <w:rFonts w:ascii="Arial" w:cs="Arial" w:eastAsia="Arial" w:hAnsi="Arial"/>
          <w:sz w:val="15"/>
          <w:szCs w:val="15"/>
          <w:i w:val="1"/>
          <w:iCs w:val="1"/>
          <w:color w:val="auto"/>
        </w:rPr>
        <w:t xml:space="preserve"> Application of Comcast Corporation, Transferor, and Charter Communications, Inc., Transferee, for Consent to Transfer Control of Domestic Authority Pursuant to Section 214 of the Communications Act of 1934, as Amended</w:t>
      </w:r>
      <w:r>
        <w:rPr>
          <w:rFonts w:ascii="Arial" w:cs="Arial" w:eastAsia="Arial" w:hAnsi="Arial"/>
          <w:sz w:val="15"/>
          <w:szCs w:val="15"/>
          <w:color w:val="auto"/>
        </w:rPr>
        <w:t>, MB Docket No. 14-57 (filed June 5, 2014);</w:t>
      </w:r>
      <w:r>
        <w:rPr>
          <w:rFonts w:ascii="Arial" w:cs="Arial" w:eastAsia="Arial" w:hAnsi="Arial"/>
          <w:sz w:val="15"/>
          <w:szCs w:val="15"/>
          <w:i w:val="1"/>
          <w:iCs w:val="1"/>
          <w:color w:val="auto"/>
        </w:rPr>
        <w:t xml:space="preserve"> Application of Comcast Corporation, for Itself and Its Subsidiaries, Assignors, and Midwest Cable, Inc. for Itself and Its Subsidiaries, Assignees, for Consent to the Assignment of Certain Customers and Assets of Authorized Domestic Carriers Pursuant to Section 214 of the Communications Act of 1934, as Amended</w:t>
      </w:r>
      <w:r>
        <w:rPr>
          <w:rFonts w:ascii="Arial" w:cs="Arial" w:eastAsia="Arial" w:hAnsi="Arial"/>
          <w:sz w:val="15"/>
          <w:szCs w:val="15"/>
          <w:color w:val="auto"/>
        </w:rPr>
        <w:t>, MB Docket No. 14-57 (filed June 5, 2014).</w:t>
      </w:r>
    </w:p>
    <w:p>
      <w:pPr>
        <w:spacing w:after="0" w:line="184" w:lineRule="exact"/>
        <w:rPr>
          <w:rFonts w:ascii="Arial" w:cs="Arial" w:eastAsia="Arial" w:hAnsi="Arial"/>
          <w:sz w:val="21"/>
          <w:szCs w:val="21"/>
          <w:color w:val="auto"/>
          <w:vertAlign w:val="superscript"/>
        </w:rPr>
      </w:pPr>
    </w:p>
    <w:p>
      <w:pPr>
        <w:ind w:left="180" w:hanging="172"/>
        <w:spacing w:after="0"/>
        <w:tabs>
          <w:tab w:leader="none" w:pos="180" w:val="left"/>
        </w:tabs>
        <w:numPr>
          <w:ilvl w:val="0"/>
          <w:numId w:val="29"/>
        </w:numPr>
        <w:rPr>
          <w:rFonts w:ascii="Arial" w:cs="Arial" w:eastAsia="Arial" w:hAnsi="Arial"/>
          <w:sz w:val="23"/>
          <w:szCs w:val="23"/>
          <w:color w:val="auto"/>
          <w:vertAlign w:val="superscript"/>
        </w:rPr>
      </w:pPr>
      <w:r>
        <w:rPr>
          <w:rFonts w:ascii="Arial" w:cs="Arial" w:eastAsia="Arial" w:hAnsi="Arial"/>
          <w:sz w:val="17"/>
          <w:szCs w:val="17"/>
          <w:color w:val="auto"/>
        </w:rPr>
        <w:t>47 C.F.R. § 63.03(b).</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837" w:right="39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 xml:space="preserve">Listed below are Charter licenses subject to applications for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restructuring: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7540" w:type="dxa"/>
            <w:vAlign w:val="bottom"/>
            <w:gridSpan w:val="3"/>
          </w:tcPr>
          <w:p>
            <w:pPr>
              <w:ind w:left="700"/>
              <w:spacing w:after="0"/>
              <w:rPr>
                <w:sz w:val="20"/>
                <w:szCs w:val="20"/>
                <w:color w:val="auto"/>
              </w:rPr>
            </w:pPr>
            <w:r>
              <w:rPr>
                <w:rFonts w:ascii="Arial" w:cs="Arial" w:eastAsia="Arial" w:hAnsi="Arial"/>
                <w:sz w:val="18"/>
                <w:szCs w:val="18"/>
                <w:b w:val="1"/>
                <w:bCs w:val="1"/>
                <w:color w:val="auto"/>
              </w:rPr>
              <w:t>Licensee</w:t>
            </w:r>
          </w:p>
        </w:tc>
        <w:tc>
          <w:tcPr>
            <w:tcW w:w="1140" w:type="dxa"/>
            <w:vAlign w:val="bottom"/>
          </w:tcPr>
          <w:p>
            <w:pPr>
              <w:spacing w:after="0"/>
              <w:rPr>
                <w:sz w:val="20"/>
                <w:szCs w:val="20"/>
                <w:color w:val="auto"/>
              </w:rPr>
            </w:pPr>
            <w:r>
              <w:rPr>
                <w:rFonts w:ascii="Arial" w:cs="Arial" w:eastAsia="Arial" w:hAnsi="Arial"/>
                <w:sz w:val="18"/>
                <w:szCs w:val="18"/>
                <w:b w:val="1"/>
                <w:bCs w:val="1"/>
                <w:color w:val="auto"/>
                <w:w w:val="90"/>
              </w:rPr>
              <w:t>Lead Call Sign</w:t>
            </w:r>
          </w:p>
        </w:tc>
      </w:tr>
      <w:tr>
        <w:trPr>
          <w:trHeight w:val="20"/>
        </w:trPr>
        <w:tc>
          <w:tcPr>
            <w:tcW w:w="6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r>
      <w:tr>
        <w:trPr>
          <w:trHeight w:val="222"/>
        </w:trPr>
        <w:tc>
          <w:tcPr>
            <w:tcW w:w="1600" w:type="dxa"/>
            <w:vAlign w:val="bottom"/>
            <w:gridSpan w:val="2"/>
          </w:tcPr>
          <w:p>
            <w:pPr>
              <w:spacing w:after="0"/>
              <w:rPr>
                <w:sz w:val="20"/>
                <w:szCs w:val="20"/>
                <w:color w:val="auto"/>
              </w:rPr>
            </w:pPr>
            <w:r>
              <w:rPr>
                <w:rFonts w:ascii="Arial" w:cs="Arial" w:eastAsia="Arial" w:hAnsi="Arial"/>
                <w:sz w:val="18"/>
                <w:szCs w:val="18"/>
                <w:color w:val="auto"/>
              </w:rPr>
              <w:t>0006309479</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Charter Communications Operating, LLC</w:t>
            </w:r>
          </w:p>
        </w:tc>
        <w:tc>
          <w:tcPr>
            <w:tcW w:w="1140" w:type="dxa"/>
            <w:vAlign w:val="bottom"/>
          </w:tcPr>
          <w:p>
            <w:pPr>
              <w:spacing w:after="0"/>
              <w:rPr>
                <w:sz w:val="20"/>
                <w:szCs w:val="20"/>
                <w:color w:val="auto"/>
              </w:rPr>
            </w:pPr>
            <w:r>
              <w:rPr>
                <w:rFonts w:ascii="Arial" w:cs="Arial" w:eastAsia="Arial" w:hAnsi="Arial"/>
                <w:sz w:val="18"/>
                <w:szCs w:val="18"/>
                <w:color w:val="auto"/>
              </w:rPr>
              <w:t>WQRJ762</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0006309529</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Bresnan Communications, LLC</w:t>
            </w:r>
          </w:p>
        </w:tc>
        <w:tc>
          <w:tcPr>
            <w:tcW w:w="1140" w:type="dxa"/>
            <w:vAlign w:val="bottom"/>
          </w:tcPr>
          <w:p>
            <w:pPr>
              <w:spacing w:after="0"/>
              <w:rPr>
                <w:sz w:val="20"/>
                <w:szCs w:val="20"/>
                <w:color w:val="auto"/>
              </w:rPr>
            </w:pPr>
            <w:r>
              <w:rPr>
                <w:rFonts w:ascii="Arial" w:cs="Arial" w:eastAsia="Arial" w:hAnsi="Arial"/>
                <w:sz w:val="18"/>
                <w:szCs w:val="18"/>
                <w:color w:val="auto"/>
              </w:rPr>
              <w:t>WNKK403</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0006309555</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CC Michigan, LLC</w:t>
            </w:r>
          </w:p>
        </w:tc>
        <w:tc>
          <w:tcPr>
            <w:tcW w:w="1140" w:type="dxa"/>
            <w:vAlign w:val="bottom"/>
          </w:tcPr>
          <w:p>
            <w:pPr>
              <w:spacing w:after="0"/>
              <w:rPr>
                <w:sz w:val="20"/>
                <w:szCs w:val="20"/>
                <w:color w:val="auto"/>
              </w:rPr>
            </w:pPr>
            <w:r>
              <w:rPr>
                <w:rFonts w:ascii="Arial" w:cs="Arial" w:eastAsia="Arial" w:hAnsi="Arial"/>
                <w:sz w:val="18"/>
                <w:szCs w:val="18"/>
                <w:color w:val="auto"/>
              </w:rPr>
              <w:t>WQLA501</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0006309577</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Charter Communications, LLC</w:t>
            </w:r>
          </w:p>
        </w:tc>
        <w:tc>
          <w:tcPr>
            <w:tcW w:w="1140" w:type="dxa"/>
            <w:vAlign w:val="bottom"/>
          </w:tcPr>
          <w:p>
            <w:pPr>
              <w:spacing w:after="0"/>
              <w:rPr>
                <w:sz w:val="20"/>
                <w:szCs w:val="20"/>
                <w:color w:val="auto"/>
              </w:rPr>
            </w:pPr>
            <w:r>
              <w:rPr>
                <w:rFonts w:ascii="Arial" w:cs="Arial" w:eastAsia="Arial" w:hAnsi="Arial"/>
                <w:sz w:val="18"/>
                <w:szCs w:val="18"/>
                <w:color w:val="auto"/>
              </w:rPr>
              <w:t>WQLA212</w:t>
            </w: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0006309579</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CC VIII Operating, LLC</w:t>
            </w:r>
          </w:p>
        </w:tc>
        <w:tc>
          <w:tcPr>
            <w:tcW w:w="1140" w:type="dxa"/>
            <w:vAlign w:val="bottom"/>
          </w:tcPr>
          <w:p>
            <w:pPr>
              <w:spacing w:after="0"/>
              <w:rPr>
                <w:sz w:val="20"/>
                <w:szCs w:val="20"/>
                <w:color w:val="auto"/>
              </w:rPr>
            </w:pPr>
            <w:r>
              <w:rPr>
                <w:rFonts w:ascii="Arial" w:cs="Arial" w:eastAsia="Arial" w:hAnsi="Arial"/>
                <w:sz w:val="18"/>
                <w:szCs w:val="18"/>
                <w:color w:val="auto"/>
              </w:rPr>
              <w:t>WQMP777</w:t>
            </w: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Listed below are Comcast licenses subject to applications for </w:t>
      </w:r>
      <w:r>
        <w:rPr>
          <w:rFonts w:ascii="Arial" w:cs="Arial" w:eastAsia="Arial" w:hAnsi="Arial"/>
          <w:sz w:val="18"/>
          <w:szCs w:val="18"/>
          <w:i w:val="1"/>
          <w:iCs w:val="1"/>
          <w:color w:val="auto"/>
        </w:rPr>
        <w:t>pro forma</w:t>
      </w:r>
      <w:r>
        <w:rPr>
          <w:rFonts w:ascii="Arial" w:cs="Arial" w:eastAsia="Arial" w:hAnsi="Arial"/>
          <w:sz w:val="18"/>
          <w:szCs w:val="18"/>
          <w:color w:val="auto"/>
        </w:rPr>
        <w:t xml:space="preserve"> restructuring:</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0" w:type="dxa"/>
            <w:vAlign w:val="bottom"/>
            <w:gridSpan w:val="2"/>
          </w:tcPr>
          <w:p>
            <w:pPr>
              <w:spacing w:after="0"/>
              <w:rPr>
                <w:sz w:val="20"/>
                <w:szCs w:val="20"/>
                <w:color w:val="auto"/>
              </w:rPr>
            </w:pPr>
            <w:r>
              <w:rPr>
                <w:rFonts w:ascii="Arial" w:cs="Arial" w:eastAsia="Arial" w:hAnsi="Arial"/>
                <w:sz w:val="18"/>
                <w:szCs w:val="18"/>
                <w:b w:val="1"/>
                <w:bCs w:val="1"/>
                <w:color w:val="auto"/>
              </w:rPr>
              <w:t>File No.</w:t>
            </w:r>
          </w:p>
        </w:tc>
        <w:tc>
          <w:tcPr>
            <w:tcW w:w="7540" w:type="dxa"/>
            <w:vAlign w:val="bottom"/>
            <w:gridSpan w:val="3"/>
          </w:tcPr>
          <w:p>
            <w:pPr>
              <w:ind w:left="700"/>
              <w:spacing w:after="0"/>
              <w:rPr>
                <w:sz w:val="20"/>
                <w:szCs w:val="20"/>
                <w:color w:val="auto"/>
              </w:rPr>
            </w:pPr>
            <w:r>
              <w:rPr>
                <w:rFonts w:ascii="Arial" w:cs="Arial" w:eastAsia="Arial" w:hAnsi="Arial"/>
                <w:sz w:val="18"/>
                <w:szCs w:val="18"/>
                <w:b w:val="1"/>
                <w:bCs w:val="1"/>
                <w:color w:val="auto"/>
              </w:rPr>
              <w:t>Licensee</w:t>
            </w:r>
          </w:p>
        </w:tc>
        <w:tc>
          <w:tcPr>
            <w:tcW w:w="2280" w:type="dxa"/>
            <w:vAlign w:val="bottom"/>
            <w:gridSpan w:val="2"/>
          </w:tcPr>
          <w:p>
            <w:pPr>
              <w:spacing w:after="0"/>
              <w:rPr>
                <w:sz w:val="20"/>
                <w:szCs w:val="20"/>
                <w:color w:val="auto"/>
              </w:rPr>
            </w:pPr>
            <w:r>
              <w:rPr>
                <w:rFonts w:ascii="Arial" w:cs="Arial" w:eastAsia="Arial" w:hAnsi="Arial"/>
                <w:sz w:val="18"/>
                <w:szCs w:val="18"/>
                <w:b w:val="1"/>
                <w:bCs w:val="1"/>
                <w:color w:val="auto"/>
              </w:rPr>
              <w:t>Lead Call Sign</w:t>
            </w:r>
          </w:p>
        </w:tc>
      </w:tr>
      <w:tr>
        <w:trPr>
          <w:trHeight w:val="20"/>
        </w:trPr>
        <w:tc>
          <w:tcPr>
            <w:tcW w:w="6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22"/>
        </w:trPr>
        <w:tc>
          <w:tcPr>
            <w:tcW w:w="1600" w:type="dxa"/>
            <w:vAlign w:val="bottom"/>
            <w:gridSpan w:val="2"/>
          </w:tcPr>
          <w:p>
            <w:pPr>
              <w:spacing w:after="0"/>
              <w:rPr>
                <w:sz w:val="20"/>
                <w:szCs w:val="20"/>
                <w:color w:val="auto"/>
              </w:rPr>
            </w:pPr>
            <w:r>
              <w:rPr>
                <w:rFonts w:ascii="Arial" w:cs="Arial" w:eastAsia="Arial" w:hAnsi="Arial"/>
                <w:sz w:val="18"/>
                <w:szCs w:val="18"/>
                <w:color w:val="auto"/>
              </w:rPr>
              <w:t>0006313774</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Comcast of California/Massachusetts/Michigan/Utah, Inc.</w:t>
            </w:r>
          </w:p>
        </w:tc>
        <w:tc>
          <w:tcPr>
            <w:tcW w:w="2280" w:type="dxa"/>
            <w:vAlign w:val="bottom"/>
            <w:gridSpan w:val="2"/>
          </w:tcPr>
          <w:p>
            <w:pPr>
              <w:spacing w:after="0"/>
              <w:rPr>
                <w:sz w:val="20"/>
                <w:szCs w:val="20"/>
                <w:color w:val="auto"/>
              </w:rPr>
            </w:pPr>
            <w:r>
              <w:rPr>
                <w:rFonts w:ascii="Arial" w:cs="Arial" w:eastAsia="Arial" w:hAnsi="Arial"/>
                <w:sz w:val="18"/>
                <w:szCs w:val="18"/>
                <w:color w:val="auto"/>
              </w:rPr>
              <w:t>WQQU401</w:t>
            </w:r>
          </w:p>
        </w:tc>
      </w:tr>
      <w:tr>
        <w:trPr>
          <w:trHeight w:val="216"/>
        </w:trPr>
        <w:tc>
          <w:tcPr>
            <w:tcW w:w="1600" w:type="dxa"/>
            <w:vAlign w:val="bottom"/>
            <w:gridSpan w:val="2"/>
          </w:tcPr>
          <w:p>
            <w:pPr>
              <w:spacing w:after="0"/>
              <w:rPr>
                <w:sz w:val="20"/>
                <w:szCs w:val="20"/>
                <w:color w:val="auto"/>
              </w:rPr>
            </w:pPr>
            <w:r>
              <w:rPr>
                <w:rFonts w:ascii="Arial" w:cs="Arial" w:eastAsia="Arial" w:hAnsi="Arial"/>
                <w:sz w:val="18"/>
                <w:szCs w:val="18"/>
                <w:color w:val="auto"/>
              </w:rPr>
              <w:t>0006313789</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Comcast of Georgia/Virginia, Inc.</w:t>
            </w:r>
          </w:p>
        </w:tc>
        <w:tc>
          <w:tcPr>
            <w:tcW w:w="2280" w:type="dxa"/>
            <w:vAlign w:val="bottom"/>
            <w:gridSpan w:val="2"/>
          </w:tcPr>
          <w:p>
            <w:pPr>
              <w:spacing w:after="0"/>
              <w:rPr>
                <w:sz w:val="20"/>
                <w:szCs w:val="20"/>
                <w:color w:val="auto"/>
              </w:rPr>
            </w:pPr>
            <w:r>
              <w:rPr>
                <w:rFonts w:ascii="Arial" w:cs="Arial" w:eastAsia="Arial" w:hAnsi="Arial"/>
                <w:sz w:val="18"/>
                <w:szCs w:val="18"/>
                <w:color w:val="auto"/>
              </w:rPr>
              <w:t>WNES554</w:t>
            </w:r>
          </w:p>
        </w:tc>
      </w:tr>
      <w:tr>
        <w:trPr>
          <w:trHeight w:val="230"/>
        </w:trPr>
        <w:tc>
          <w:tcPr>
            <w:tcW w:w="1600" w:type="dxa"/>
            <w:vAlign w:val="bottom"/>
            <w:gridSpan w:val="2"/>
          </w:tcPr>
          <w:p>
            <w:pPr>
              <w:spacing w:after="0"/>
              <w:rPr>
                <w:sz w:val="20"/>
                <w:szCs w:val="20"/>
                <w:color w:val="auto"/>
              </w:rPr>
            </w:pPr>
            <w:r>
              <w:rPr>
                <w:rFonts w:ascii="Arial" w:cs="Arial" w:eastAsia="Arial" w:hAnsi="Arial"/>
                <w:sz w:val="18"/>
                <w:szCs w:val="18"/>
                <w:color w:val="auto"/>
              </w:rPr>
              <w:t>0006307815</w:t>
            </w:r>
          </w:p>
        </w:tc>
        <w:tc>
          <w:tcPr>
            <w:tcW w:w="7540" w:type="dxa"/>
            <w:vAlign w:val="bottom"/>
            <w:gridSpan w:val="3"/>
          </w:tcPr>
          <w:p>
            <w:pPr>
              <w:ind w:left="700"/>
              <w:spacing w:after="0"/>
              <w:rPr>
                <w:sz w:val="20"/>
                <w:szCs w:val="20"/>
                <w:color w:val="auto"/>
              </w:rPr>
            </w:pPr>
            <w:r>
              <w:rPr>
                <w:rFonts w:ascii="Arial" w:cs="Arial" w:eastAsia="Arial" w:hAnsi="Arial"/>
                <w:sz w:val="18"/>
                <w:szCs w:val="18"/>
                <w:color w:val="auto"/>
              </w:rPr>
              <w:t>Comcast of Massachusetts I, Inc.</w:t>
            </w:r>
          </w:p>
        </w:tc>
        <w:tc>
          <w:tcPr>
            <w:tcW w:w="2280" w:type="dxa"/>
            <w:vAlign w:val="bottom"/>
            <w:gridSpan w:val="2"/>
          </w:tcPr>
          <w:p>
            <w:pPr>
              <w:spacing w:after="0"/>
              <w:rPr>
                <w:sz w:val="20"/>
                <w:szCs w:val="20"/>
                <w:color w:val="auto"/>
              </w:rPr>
            </w:pPr>
            <w:r>
              <w:rPr>
                <w:rFonts w:ascii="Arial" w:cs="Arial" w:eastAsia="Arial" w:hAnsi="Arial"/>
                <w:sz w:val="18"/>
                <w:szCs w:val="18"/>
                <w:color w:val="auto"/>
              </w:rPr>
              <w:t>WQPZ810</w:t>
            </w:r>
          </w:p>
        </w:tc>
      </w:tr>
      <w:tr>
        <w:trPr>
          <w:trHeight w:val="932"/>
        </w:trPr>
        <w:tc>
          <w:tcPr>
            <w:tcW w:w="6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7540" w:type="dxa"/>
            <w:vAlign w:val="bottom"/>
            <w:gridSpan w:val="3"/>
          </w:tcPr>
          <w:p>
            <w:pPr>
              <w:ind w:left="4020"/>
              <w:spacing w:after="0"/>
              <w:rPr>
                <w:sz w:val="20"/>
                <w:szCs w:val="20"/>
                <w:color w:val="auto"/>
              </w:rPr>
            </w:pPr>
            <w:r>
              <w:rPr>
                <w:rFonts w:ascii="Arial" w:cs="Arial" w:eastAsia="Arial" w:hAnsi="Arial"/>
                <w:sz w:val="18"/>
                <w:szCs w:val="18"/>
                <w:color w:val="auto"/>
              </w:rPr>
              <w:t>31</w:t>
            </w:r>
          </w:p>
        </w:tc>
        <w:tc>
          <w:tcPr>
            <w:tcW w:w="11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18"/>
        </w:trPr>
        <w:tc>
          <w:tcPr>
            <w:tcW w:w="600" w:type="dxa"/>
            <w:vAlign w:val="bottom"/>
            <w:tcBorders>
              <w:bottom w:val="single" w:sz="8" w:color="808080"/>
            </w:tcBorders>
          </w:tcPr>
          <w:p>
            <w:pPr>
              <w:spacing w:after="0"/>
              <w:rPr>
                <w:sz w:val="10"/>
                <w:szCs w:val="10"/>
                <w:color w:val="auto"/>
              </w:rPr>
            </w:pPr>
          </w:p>
        </w:tc>
        <w:tc>
          <w:tcPr>
            <w:tcW w:w="1000" w:type="dxa"/>
            <w:vAlign w:val="bottom"/>
            <w:tcBorders>
              <w:bottom w:val="single" w:sz="8" w:color="808080"/>
            </w:tcBorders>
          </w:tcPr>
          <w:p>
            <w:pPr>
              <w:spacing w:after="0"/>
              <w:rPr>
                <w:sz w:val="10"/>
                <w:szCs w:val="10"/>
                <w:color w:val="auto"/>
              </w:rPr>
            </w:pPr>
          </w:p>
        </w:tc>
        <w:tc>
          <w:tcPr>
            <w:tcW w:w="700" w:type="dxa"/>
            <w:vAlign w:val="bottom"/>
            <w:tcBorders>
              <w:bottom w:val="single" w:sz="8" w:color="808080"/>
            </w:tcBorders>
          </w:tcPr>
          <w:p>
            <w:pPr>
              <w:spacing w:after="0"/>
              <w:rPr>
                <w:sz w:val="10"/>
                <w:szCs w:val="10"/>
                <w:color w:val="auto"/>
              </w:rPr>
            </w:pPr>
          </w:p>
        </w:tc>
        <w:tc>
          <w:tcPr>
            <w:tcW w:w="660" w:type="dxa"/>
            <w:vAlign w:val="bottom"/>
            <w:tcBorders>
              <w:bottom w:val="single" w:sz="8" w:color="808080"/>
            </w:tcBorders>
          </w:tcPr>
          <w:p>
            <w:pPr>
              <w:spacing w:after="0"/>
              <w:rPr>
                <w:sz w:val="10"/>
                <w:szCs w:val="10"/>
                <w:color w:val="auto"/>
              </w:rPr>
            </w:pPr>
          </w:p>
        </w:tc>
        <w:tc>
          <w:tcPr>
            <w:tcW w:w="618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c>
          <w:tcPr>
            <w:tcW w:w="1140" w:type="dxa"/>
            <w:vAlign w:val="bottom"/>
            <w:tcBorders>
              <w:bottom w:val="single" w:sz="8" w:color="808080"/>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4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11"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6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56"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30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690245</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724" w:right="259" w:bottom="1440" w:gutter="0" w:footer="0" w:header="0"/>
        </w:sectPr>
      </w:pPr>
    </w:p>
    <w:bookmarkStart w:id="33" w:name="page34"/>
    <w:bookmarkEnd w:id="33"/>
    <w:p>
      <w:pPr>
        <w:spacing w:after="0" w:line="252" w:lineRule="auto"/>
        <w:rPr>
          <w:sz w:val="20"/>
          <w:szCs w:val="20"/>
          <w:color w:val="auto"/>
        </w:rPr>
      </w:pPr>
      <w:r>
        <w:rPr>
          <w:rFonts w:ascii="Arial" w:cs="Arial" w:eastAsia="Arial" w:hAnsi="Arial"/>
          <w:sz w:val="18"/>
          <w:szCs w:val="18"/>
          <w:color w:val="auto"/>
        </w:rPr>
        <w:t>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 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541020</wp:posOffset>
            </wp:positionV>
            <wp:extent cx="7267575"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74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bullet"/>
      <w:start w:val="1"/>
    </w:lvl>
  </w:abstractNum>
  <w:abstractNum w:abstractNumId="1">
    <w:nsid w:val="41A7C4C9"/>
    <w:multiLevelType w:val="hybridMultilevel"/>
    <w:lvl w:ilvl="0">
      <w:lvlJc w:val="left"/>
      <w:lvlText w:val="2"/>
      <w:numFmt w:val="bullet"/>
      <w:start w:val="1"/>
    </w:lvl>
  </w:abstractNum>
  <w:abstractNum w:abstractNumId="2">
    <w:nsid w:val="6B68079A"/>
    <w:multiLevelType w:val="hybridMultilevel"/>
    <w:lvl w:ilvl="0">
      <w:lvlJc w:val="left"/>
      <w:lvlText w:val="3"/>
      <w:numFmt w:val="bullet"/>
      <w:start w:val="1"/>
    </w:lvl>
  </w:abstractNum>
  <w:abstractNum w:abstractNumId="3">
    <w:nsid w:val="4E6AFB66"/>
    <w:multiLevelType w:val="hybridMultilevel"/>
    <w:lvl w:ilvl="0">
      <w:lvlJc w:val="left"/>
      <w:lvlText w:val="4"/>
      <w:numFmt w:val="bullet"/>
      <w:start w:val="1"/>
    </w:lvl>
  </w:abstractNum>
  <w:abstractNum w:abstractNumId="4">
    <w:nsid w:val="25E45D32"/>
    <w:multiLevelType w:val="hybridMultilevel"/>
    <w:lvl w:ilvl="0">
      <w:lvlJc w:val="left"/>
      <w:lvlText w:val="5"/>
      <w:numFmt w:val="bullet"/>
      <w:start w:val="1"/>
    </w:lvl>
  </w:abstractNum>
  <w:abstractNum w:abstractNumId="5">
    <w:nsid w:val="519B500D"/>
    <w:multiLevelType w:val="hybridMultilevel"/>
    <w:lvl w:ilvl="0">
      <w:lvlJc w:val="left"/>
      <w:lvlText w:val="6"/>
      <w:numFmt w:val="bullet"/>
      <w:start w:val="1"/>
    </w:lvl>
  </w:abstractNum>
  <w:abstractNum w:abstractNumId="6">
    <w:nsid w:val="431BD7B7"/>
    <w:multiLevelType w:val="hybridMultilevel"/>
    <w:lvl w:ilvl="0">
      <w:lvlJc w:val="left"/>
      <w:lvlText w:val="7"/>
      <w:numFmt w:val="bullet"/>
      <w:start w:val="1"/>
    </w:lvl>
  </w:abstractNum>
  <w:abstractNum w:abstractNumId="7">
    <w:nsid w:val="3F2DBA31"/>
    <w:multiLevelType w:val="hybridMultilevel"/>
    <w:lvl w:ilvl="0">
      <w:lvlJc w:val="left"/>
      <w:lvlText w:val="8"/>
      <w:numFmt w:val="bullet"/>
      <w:start w:val="1"/>
    </w:lvl>
  </w:abstractNum>
  <w:abstractNum w:abstractNumId="8">
    <w:nsid w:val="7C83E458"/>
    <w:multiLevelType w:val="hybridMultilevel"/>
    <w:lvl w:ilvl="0">
      <w:lvlJc w:val="left"/>
      <w:lvlText w:val="9"/>
      <w:numFmt w:val="bullet"/>
      <w:start w:val="1"/>
    </w:lvl>
  </w:abstractNum>
  <w:abstractNum w:abstractNumId="9">
    <w:nsid w:val="257130A3"/>
    <w:multiLevelType w:val="hybridMultilevel"/>
    <w:lvl w:ilvl="0">
      <w:lvlJc w:val="left"/>
      <w:lvlText w:val="%1"/>
      <w:numFmt w:val="decimal"/>
      <w:start w:val="10"/>
    </w:lvl>
  </w:abstractNum>
  <w:abstractNum w:abstractNumId="10">
    <w:nsid w:val="62BBD95A"/>
    <w:multiLevelType w:val="hybridMultilevel"/>
    <w:lvl w:ilvl="0">
      <w:lvlJc w:val="left"/>
      <w:lvlText w:val="%1."/>
      <w:numFmt w:val="decimal"/>
      <w:start w:val="14"/>
    </w:lvl>
  </w:abstractNum>
  <w:abstractNum w:abstractNumId="11">
    <w:nsid w:val="436C6125"/>
    <w:multiLevelType w:val="hybridMultilevel"/>
    <w:lvl w:ilvl="0">
      <w:lvlJc w:val="left"/>
      <w:lvlText w:val="%1"/>
      <w:numFmt w:val="decimal"/>
      <w:start w:val="13"/>
    </w:lvl>
  </w:abstractNum>
  <w:abstractNum w:abstractNumId="12">
    <w:nsid w:val="628C895D"/>
    <w:multiLevelType w:val="hybridMultilevel"/>
    <w:lvl w:ilvl="0">
      <w:lvlJc w:val="left"/>
      <w:lvlText w:val="%1"/>
      <w:numFmt w:val="decimal"/>
      <w:start w:val="15"/>
    </w:lvl>
  </w:abstractNum>
  <w:abstractNum w:abstractNumId="13">
    <w:nsid w:val="333AB105"/>
    <w:multiLevelType w:val="hybridMultilevel"/>
    <w:lvl w:ilvl="0">
      <w:lvlJc w:val="left"/>
      <w:lvlText w:val="%1"/>
      <w:numFmt w:val="decimal"/>
      <w:start w:val="26"/>
    </w:lvl>
  </w:abstractNum>
  <w:abstractNum w:abstractNumId="14">
    <w:nsid w:val="721DA317"/>
    <w:multiLevelType w:val="hybridMultilevel"/>
    <w:lvl w:ilvl="0">
      <w:lvlJc w:val="left"/>
      <w:lvlText w:val="%1"/>
      <w:numFmt w:val="decimal"/>
      <w:start w:val="35"/>
    </w:lvl>
  </w:abstractNum>
  <w:abstractNum w:abstractNumId="15">
    <w:nsid w:val="2443A858"/>
    <w:multiLevelType w:val="hybridMultilevel"/>
    <w:lvl w:ilvl="0">
      <w:lvlJc w:val="left"/>
      <w:lvlText w:val="\emdash "/>
      <w:numFmt w:val="bullet"/>
      <w:start w:val="1"/>
    </w:lvl>
  </w:abstractNum>
  <w:abstractNum w:abstractNumId="16">
    <w:nsid w:val="2D1D5AE9"/>
    <w:multiLevelType w:val="hybridMultilevel"/>
    <w:lvl w:ilvl="0">
      <w:lvlJc w:val="left"/>
      <w:lvlText w:val="%1"/>
      <w:numFmt w:val="decimal"/>
      <w:start w:val="43"/>
    </w:lvl>
  </w:abstractNum>
  <w:abstractNum w:abstractNumId="17">
    <w:nsid w:val="6763845E"/>
    <w:multiLevelType w:val="hybridMultilevel"/>
    <w:lvl w:ilvl="0">
      <w:lvlJc w:val="left"/>
      <w:lvlText w:val="%1"/>
      <w:numFmt w:val="decimal"/>
      <w:start w:val="50"/>
    </w:lvl>
  </w:abstractNum>
  <w:abstractNum w:abstractNumId="18">
    <w:nsid w:val="75A2A8D4"/>
    <w:multiLevelType w:val="hybridMultilevel"/>
    <w:lvl w:ilvl="0">
      <w:lvlJc w:val="left"/>
      <w:lvlText w:val="%1"/>
      <w:numFmt w:val="decimal"/>
      <w:start w:val="57"/>
    </w:lvl>
  </w:abstractNum>
  <w:abstractNum w:abstractNumId="19">
    <w:nsid w:val="8EDBDAB"/>
    <w:multiLevelType w:val="hybridMultilevel"/>
    <w:lvl w:ilvl="0">
      <w:lvlJc w:val="left"/>
      <w:lvlText w:val="%1"/>
      <w:numFmt w:val="decimal"/>
      <w:start w:val="29"/>
    </w:lvl>
  </w:abstractNum>
  <w:abstractNum w:abstractNumId="20">
    <w:nsid w:val="79838CB2"/>
    <w:multiLevelType w:val="hybridMultilevel"/>
    <w:lvl w:ilvl="0">
      <w:lvlJc w:val="left"/>
      <w:lvlText w:val="%1"/>
      <w:numFmt w:val="decimal"/>
      <w:start w:val="60"/>
    </w:lvl>
  </w:abstractNum>
  <w:abstractNum w:abstractNumId="21">
    <w:nsid w:val="4353D0CD"/>
    <w:multiLevelType w:val="hybridMultilevel"/>
    <w:lvl w:ilvl="0">
      <w:lvlJc w:val="left"/>
      <w:lvlText w:val="§"/>
      <w:numFmt w:val="bullet"/>
      <w:start w:val="1"/>
    </w:lvl>
    <w:lvl w:ilvl="1">
      <w:lvlJc w:val="left"/>
      <w:lvlText w:val="§"/>
      <w:numFmt w:val="bullet"/>
      <w:start w:val="1"/>
    </w:lvl>
  </w:abstractNum>
  <w:abstractNum w:abstractNumId="22">
    <w:nsid w:val="B03E0C6"/>
    <w:multiLevelType w:val="hybridMultilevel"/>
    <w:lvl w:ilvl="0">
      <w:lvlJc w:val="left"/>
      <w:lvlText w:val="%1"/>
      <w:numFmt w:val="decimal"/>
      <w:start w:val="62"/>
    </w:lvl>
  </w:abstractNum>
  <w:abstractNum w:abstractNumId="23">
    <w:nsid w:val="189A769B"/>
    <w:multiLevelType w:val="hybridMultilevel"/>
    <w:lvl w:ilvl="0">
      <w:lvlJc w:val="left"/>
      <w:lvlText w:val="%1"/>
      <w:numFmt w:val="decimal"/>
      <w:start w:val="48"/>
    </w:lvl>
  </w:abstractNum>
  <w:abstractNum w:abstractNumId="24">
    <w:nsid w:val="54E49EB4"/>
    <w:multiLevelType w:val="hybridMultilevel"/>
    <w:lvl w:ilvl="0">
      <w:lvlJc w:val="left"/>
      <w:lvlText w:val="%1"/>
      <w:numFmt w:val="decimal"/>
      <w:start w:val="64"/>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decimal"/>
      <w:start w:val="1"/>
    </w:lvl>
  </w:abstractNum>
  <w:abstractNum w:abstractNumId="27">
    <w:nsid w:val="836C40E"/>
    <w:multiLevelType w:val="hybridMultilevel"/>
    <w:lvl w:ilvl="0">
      <w:lvlJc w:val="left"/>
      <w:lvlText w:val="%1"/>
      <w:numFmt w:val="decimal"/>
      <w:start w:val="65"/>
    </w:lvl>
  </w:abstractNum>
  <w:abstractNum w:abstractNumId="28">
    <w:nsid w:val="2901D82"/>
    <w:multiLevelType w:val="hybridMultilevel"/>
    <w:lvl w:ilvl="0">
      <w:lvlJc w:val="left"/>
      <w:lvlText w:val="%1"/>
      <w:numFmt w:val="decimal"/>
      <w:start w:val="6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2019-12-16T10:21:20Z</dcterms:created>
  <dcterms:modified xsi:type="dcterms:W3CDTF">2019-12-16T10:21:20Z</dcterms:modified>
</cp:coreProperties>
</file>