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UNITED STATES</w:t>
      </w:r>
    </w:p>
    <w:p>
      <w:pPr>
        <w:spacing w:after="0" w:line="4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WASHINGTON, DC 20549</w:t>
      </w:r>
    </w:p>
    <w:p>
      <w:pPr>
        <w:spacing w:after="0" w:line="26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303"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CURRENT REPORT</w:t>
      </w:r>
    </w:p>
    <w:p>
      <w:pPr>
        <w:spacing w:after="0" w:line="49"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Pursuant To Section 13 or 15(d) of the</w:t>
      </w:r>
    </w:p>
    <w:p>
      <w:pPr>
        <w:spacing w:after="0" w:line="18"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Securities Exchange Act of 1934</w:t>
      </w:r>
    </w:p>
    <w:p>
      <w:pPr>
        <w:spacing w:after="0" w:line="262"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Date of report (Date of earliest event reported): February 12, 2013</w:t>
      </w:r>
    </w:p>
    <w:p>
      <w:pPr>
        <w:spacing w:after="0" w:line="15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29"/>
          <w:szCs w:val="29"/>
          <w:b w:val="1"/>
          <w:bCs w:val="1"/>
          <w:color w:val="auto"/>
        </w:rPr>
        <w:t>Comcast Corporation</w:t>
      </w:r>
    </w:p>
    <w:p>
      <w:pPr>
        <w:spacing w:after="0" w:line="44" w:lineRule="exact"/>
        <w:rPr>
          <w:sz w:val="24"/>
          <w:szCs w:val="24"/>
          <w:color w:val="auto"/>
        </w:rPr>
      </w:pPr>
    </w:p>
    <w:p>
      <w:pPr>
        <w:ind w:left="3880"/>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0" w:lineRule="exact"/>
        <w:rPr>
          <w:sz w:val="24"/>
          <w:szCs w:val="24"/>
          <w:color w:val="auto"/>
        </w:rPr>
      </w:pPr>
    </w:p>
    <w:p>
      <w:pPr>
        <w:spacing w:after="0" w:line="231" w:lineRule="exact"/>
        <w:rPr>
          <w:sz w:val="24"/>
          <w:szCs w:val="24"/>
          <w:color w:val="auto"/>
        </w:rPr>
      </w:pPr>
    </w:p>
    <w:tbl>
      <w:tblPr>
        <w:tblLayout w:type="fixed"/>
        <w:tblInd w:w="880" w:type="dxa"/>
        <w:tblCellMar>
          <w:top w:w="0" w:type="dxa"/>
          <w:left w:w="0" w:type="dxa"/>
          <w:bottom w:w="0" w:type="dxa"/>
          <w:right w:w="0" w:type="dxa"/>
        </w:tblCellMar>
      </w:tblPr>
      <w:tr>
        <w:trPr>
          <w:trHeight w:val="220"/>
        </w:trPr>
        <w:tc>
          <w:tcPr>
            <w:tcW w:w="216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Pennsylvania</w:t>
            </w:r>
          </w:p>
        </w:tc>
        <w:tc>
          <w:tcPr>
            <w:tcW w:w="548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9"/>
              </w:rPr>
              <w:t>001-32871</w:t>
            </w:r>
          </w:p>
        </w:tc>
        <w:tc>
          <w:tcPr>
            <w:tcW w:w="1660" w:type="dxa"/>
            <w:vAlign w:val="bottom"/>
          </w:tcPr>
          <w:p>
            <w:pPr>
              <w:jc w:val="center"/>
              <w:ind w:left="210"/>
              <w:spacing w:after="0"/>
              <w:rPr>
                <w:sz w:val="20"/>
                <w:szCs w:val="20"/>
                <w:color w:val="auto"/>
              </w:rPr>
            </w:pPr>
            <w:r>
              <w:rPr>
                <w:rFonts w:ascii="Times New Roman" w:cs="Times New Roman" w:eastAsia="Times New Roman" w:hAnsi="Times New Roman"/>
                <w:sz w:val="18"/>
                <w:szCs w:val="18"/>
                <w:b w:val="1"/>
                <w:bCs w:val="1"/>
                <w:color w:val="auto"/>
              </w:rPr>
              <w:t>27-0000798</w:t>
            </w:r>
          </w:p>
        </w:tc>
      </w:tr>
      <w:tr>
        <w:trPr>
          <w:trHeight w:val="216"/>
        </w:trPr>
        <w:tc>
          <w:tcPr>
            <w:tcW w:w="2160" w:type="dxa"/>
            <w:vAlign w:val="bottom"/>
          </w:tcPr>
          <w:p>
            <w:pPr>
              <w:jc w:val="center"/>
              <w:ind w:right="110"/>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5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(Commission</w:t>
            </w:r>
          </w:p>
        </w:tc>
        <w:tc>
          <w:tcPr>
            <w:tcW w:w="1660" w:type="dxa"/>
            <w:vAlign w:val="bottom"/>
          </w:tcPr>
          <w:p>
            <w:pPr>
              <w:jc w:val="center"/>
              <w:ind w:left="190"/>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6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548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File Number)</w:t>
            </w:r>
          </w:p>
        </w:tc>
        <w:tc>
          <w:tcPr>
            <w:tcW w:w="1660" w:type="dxa"/>
            <w:vAlign w:val="bottom"/>
          </w:tcPr>
          <w:p>
            <w:pPr>
              <w:jc w:val="center"/>
              <w:ind w:left="23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342"/>
        </w:trPr>
        <w:tc>
          <w:tcPr>
            <w:tcW w:w="2160" w:type="dxa"/>
            <w:vAlign w:val="bottom"/>
          </w:tcPr>
          <w:p>
            <w:pPr>
              <w:spacing w:after="0"/>
              <w:rPr>
                <w:sz w:val="24"/>
                <w:szCs w:val="24"/>
                <w:color w:val="auto"/>
              </w:rPr>
            </w:pP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One Comcast Center</w:t>
            </w:r>
          </w:p>
        </w:tc>
        <w:tc>
          <w:tcPr>
            <w:tcW w:w="1660" w:type="dxa"/>
            <w:vAlign w:val="bottom"/>
          </w:tcPr>
          <w:p>
            <w:pPr>
              <w:spacing w:after="0"/>
              <w:rPr>
                <w:sz w:val="24"/>
                <w:szCs w:val="24"/>
                <w:color w:val="auto"/>
              </w:rPr>
            </w:pPr>
          </w:p>
        </w:tc>
      </w:tr>
      <w:tr>
        <w:trPr>
          <w:trHeight w:val="220"/>
        </w:trPr>
        <w:tc>
          <w:tcPr>
            <w:tcW w:w="2160" w:type="dxa"/>
            <w:vAlign w:val="bottom"/>
          </w:tcPr>
          <w:p>
            <w:pPr>
              <w:spacing w:after="0"/>
              <w:rPr>
                <w:sz w:val="19"/>
                <w:szCs w:val="19"/>
                <w:color w:val="auto"/>
              </w:rPr>
            </w:pP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Philadelphia, PA 19103</w:t>
            </w:r>
          </w:p>
        </w:tc>
        <w:tc>
          <w:tcPr>
            <w:tcW w:w="1660" w:type="dxa"/>
            <w:vAlign w:val="bottom"/>
          </w:tcPr>
          <w:p>
            <w:pPr>
              <w:spacing w:after="0"/>
              <w:rPr>
                <w:sz w:val="19"/>
                <w:szCs w:val="19"/>
                <w:color w:val="auto"/>
              </w:rPr>
            </w:pPr>
          </w:p>
        </w:tc>
      </w:tr>
      <w:tr>
        <w:trPr>
          <w:trHeight w:val="234"/>
        </w:trPr>
        <w:tc>
          <w:tcPr>
            <w:tcW w:w="2160" w:type="dxa"/>
            <w:vAlign w:val="bottom"/>
          </w:tcPr>
          <w:p>
            <w:pPr>
              <w:spacing w:after="0"/>
              <w:rPr>
                <w:sz w:val="20"/>
                <w:szCs w:val="20"/>
                <w:color w:val="auto"/>
              </w:rPr>
            </w:pPr>
          </w:p>
        </w:tc>
        <w:tc>
          <w:tcPr>
            <w:tcW w:w="5480" w:type="dxa"/>
            <w:vAlign w:val="bottom"/>
          </w:tcPr>
          <w:p>
            <w:pPr>
              <w:jc w:val="center"/>
              <w:ind w:right="5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1660" w:type="dxa"/>
            <w:vAlign w:val="bottom"/>
          </w:tcPr>
          <w:p>
            <w:pPr>
              <w:spacing w:after="0"/>
              <w:rPr>
                <w:sz w:val="20"/>
                <w:szCs w:val="20"/>
                <w:color w:val="auto"/>
              </w:rPr>
            </w:pPr>
          </w:p>
        </w:tc>
      </w:tr>
      <w:tr>
        <w:trPr>
          <w:trHeight w:val="365"/>
        </w:trPr>
        <w:tc>
          <w:tcPr>
            <w:tcW w:w="2160" w:type="dxa"/>
            <w:vAlign w:val="bottom"/>
          </w:tcPr>
          <w:p>
            <w:pPr>
              <w:spacing w:after="0"/>
              <w:rPr>
                <w:sz w:val="24"/>
                <w:szCs w:val="24"/>
                <w:color w:val="auto"/>
              </w:rPr>
            </w:pPr>
          </w:p>
        </w:tc>
        <w:tc>
          <w:tcPr>
            <w:tcW w:w="548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(215) 286-1700</w:t>
            </w:r>
          </w:p>
        </w:tc>
        <w:tc>
          <w:tcPr>
            <w:tcW w:w="1660" w:type="dxa"/>
            <w:vAlign w:val="bottom"/>
          </w:tcPr>
          <w:p>
            <w:pPr>
              <w:spacing w:after="0"/>
              <w:rPr>
                <w:sz w:val="24"/>
                <w:szCs w:val="24"/>
                <w:color w:val="auto"/>
              </w:rPr>
            </w:pPr>
          </w:p>
        </w:tc>
      </w:tr>
    </w:tbl>
    <w:p>
      <w:pPr>
        <w:spacing w:after="0" w:line="126"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2354580</wp:posOffset>
            </wp:positionH>
            <wp:positionV relativeFrom="paragraph">
              <wp:posOffset>66040</wp:posOffset>
            </wp:positionV>
            <wp:extent cx="254698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46985" cy="8890"/>
                    </a:xfrm>
                    <a:prstGeom prst="rect">
                      <a:avLst/>
                    </a:prstGeom>
                    <a:noFill/>
                  </pic:spPr>
                </pic:pic>
              </a:graphicData>
            </a:graphic>
          </wp:anchor>
        </w:drawing>
      </w:r>
    </w:p>
    <w:p>
      <w:pPr>
        <w:spacing w:after="0" w:line="200" w:lineRule="exact"/>
        <w:rPr>
          <w:sz w:val="24"/>
          <w:szCs w:val="24"/>
          <w:color w:val="auto"/>
        </w:rPr>
      </w:pPr>
    </w:p>
    <w:p>
      <w:pPr>
        <w:spacing w:after="0" w:line="257" w:lineRule="exact"/>
        <w:rPr>
          <w:sz w:val="24"/>
          <w:szCs w:val="24"/>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216"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79" w:lineRule="exact"/>
        <w:rPr>
          <w:rFonts w:ascii="MS PGothic" w:cs="MS PGothic" w:eastAsia="MS PGothic" w:hAnsi="MS PGothic"/>
          <w:sz w:val="18"/>
          <w:szCs w:val="18"/>
          <w:color w:val="auto"/>
        </w:rPr>
      </w:pPr>
    </w:p>
    <w:p>
      <w:pPr>
        <w:ind w:left="660" w:hanging="328"/>
        <w:spacing w:after="0"/>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443865</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223" w:right="779" w:bottom="1440" w:gutter="0" w:footer="0" w:header="0"/>
        </w:sectPr>
      </w:pPr>
    </w:p>
    <w:bookmarkStart w:id="1" w:name="page2"/>
    <w:bookmarkEnd w:id="1"/>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1.01.</w:t>
      </w:r>
      <w:r>
        <w:rPr>
          <w:sz w:val="20"/>
          <w:szCs w:val="20"/>
          <w:color w:val="auto"/>
        </w:rPr>
        <w:tab/>
      </w:r>
      <w:r>
        <w:rPr>
          <w:rFonts w:ascii="Times New Roman" w:cs="Times New Roman" w:eastAsia="Times New Roman" w:hAnsi="Times New Roman"/>
          <w:sz w:val="18"/>
          <w:szCs w:val="18"/>
          <w:b w:val="1"/>
          <w:bCs w:val="1"/>
          <w:color w:val="auto"/>
        </w:rPr>
        <w:t>Entry into a Material Definitive Agreement.</w:t>
      </w:r>
    </w:p>
    <w:p>
      <w:pPr>
        <w:spacing w:after="0" w:line="279" w:lineRule="exact"/>
        <w:rPr>
          <w:sz w:val="20"/>
          <w:szCs w:val="20"/>
          <w:color w:val="auto"/>
        </w:rPr>
      </w:pPr>
    </w:p>
    <w:p>
      <w:pPr>
        <w:jc w:val="both"/>
        <w:ind w:right="420" w:firstLine="648"/>
        <w:spacing w:after="0" w:line="268" w:lineRule="auto"/>
        <w:rPr>
          <w:sz w:val="20"/>
          <w:szCs w:val="20"/>
          <w:color w:val="auto"/>
        </w:rPr>
      </w:pPr>
      <w:r>
        <w:rPr>
          <w:rFonts w:ascii="Times New Roman" w:cs="Times New Roman" w:eastAsia="Times New Roman" w:hAnsi="Times New Roman"/>
          <w:sz w:val="18"/>
          <w:szCs w:val="18"/>
          <w:color w:val="auto"/>
        </w:rPr>
        <w:t>On February 12, 2013, Comcast Corporation (“</w:t>
      </w:r>
      <w:r>
        <w:rPr>
          <w:rFonts w:ascii="Times New Roman" w:cs="Times New Roman" w:eastAsia="Times New Roman" w:hAnsi="Times New Roman"/>
          <w:sz w:val="18"/>
          <w:szCs w:val="18"/>
          <w:b w:val="1"/>
          <w:bCs w:val="1"/>
          <w:color w:val="auto"/>
        </w:rPr>
        <w:t>Comcast</w:t>
      </w:r>
      <w:r>
        <w:rPr>
          <w:rFonts w:ascii="Times New Roman" w:cs="Times New Roman" w:eastAsia="Times New Roman" w:hAnsi="Times New Roman"/>
          <w:sz w:val="18"/>
          <w:szCs w:val="18"/>
          <w:color w:val="auto"/>
        </w:rPr>
        <w:t>”) entered into a Transaction Agreement (the “</w:t>
      </w:r>
      <w:r>
        <w:rPr>
          <w:rFonts w:ascii="Times New Roman" w:cs="Times New Roman" w:eastAsia="Times New Roman" w:hAnsi="Times New Roman"/>
          <w:sz w:val="18"/>
          <w:szCs w:val="18"/>
          <w:b w:val="1"/>
          <w:bCs w:val="1"/>
          <w:color w:val="auto"/>
        </w:rPr>
        <w:t>Transaction Agreement</w:t>
      </w:r>
      <w:r>
        <w:rPr>
          <w:rFonts w:ascii="Times New Roman" w:cs="Times New Roman" w:eastAsia="Times New Roman" w:hAnsi="Times New Roman"/>
          <w:sz w:val="18"/>
          <w:szCs w:val="18"/>
          <w:color w:val="auto"/>
        </w:rPr>
        <w:t>”) with General Electric Company (“</w:t>
      </w:r>
      <w:r>
        <w:rPr>
          <w:rFonts w:ascii="Times New Roman" w:cs="Times New Roman" w:eastAsia="Times New Roman" w:hAnsi="Times New Roman"/>
          <w:sz w:val="18"/>
          <w:szCs w:val="18"/>
          <w:b w:val="1"/>
          <w:bCs w:val="1"/>
          <w:color w:val="auto"/>
        </w:rPr>
        <w:t>GE</w:t>
      </w:r>
      <w:r>
        <w:rPr>
          <w:rFonts w:ascii="Times New Roman" w:cs="Times New Roman" w:eastAsia="Times New Roman" w:hAnsi="Times New Roman"/>
          <w:sz w:val="18"/>
          <w:szCs w:val="18"/>
          <w:color w:val="auto"/>
        </w:rPr>
        <w:t>”), Navy Holdings, Inc. (“</w:t>
      </w:r>
      <w:r>
        <w:rPr>
          <w:rFonts w:ascii="Times New Roman" w:cs="Times New Roman" w:eastAsia="Times New Roman" w:hAnsi="Times New Roman"/>
          <w:sz w:val="18"/>
          <w:szCs w:val="18"/>
          <w:b w:val="1"/>
          <w:bCs w:val="1"/>
          <w:color w:val="auto"/>
        </w:rPr>
        <w:t>HoldCo</w:t>
      </w:r>
      <w:r>
        <w:rPr>
          <w:rFonts w:ascii="Times New Roman" w:cs="Times New Roman" w:eastAsia="Times New Roman" w:hAnsi="Times New Roman"/>
          <w:sz w:val="18"/>
          <w:szCs w:val="18"/>
          <w:color w:val="auto"/>
        </w:rPr>
        <w:t>”), National Broadcast Company Holding, Inc., NBCUniversal, LLC (“</w:t>
      </w:r>
      <w:r>
        <w:rPr>
          <w:rFonts w:ascii="Times New Roman" w:cs="Times New Roman" w:eastAsia="Times New Roman" w:hAnsi="Times New Roman"/>
          <w:sz w:val="18"/>
          <w:szCs w:val="18"/>
          <w:b w:val="1"/>
          <w:bCs w:val="1"/>
          <w:color w:val="auto"/>
        </w:rPr>
        <w:t>NBCUniversal</w:t>
      </w:r>
      <w:r>
        <w:rPr>
          <w:rFonts w:ascii="Times New Roman" w:cs="Times New Roman" w:eastAsia="Times New Roman" w:hAnsi="Times New Roman"/>
          <w:sz w:val="18"/>
          <w:szCs w:val="18"/>
          <w:color w:val="auto"/>
        </w:rPr>
        <w:t>”) and NBCUniversal Media, LLC (“</w:t>
      </w:r>
      <w:r>
        <w:rPr>
          <w:rFonts w:ascii="Times New Roman" w:cs="Times New Roman" w:eastAsia="Times New Roman" w:hAnsi="Times New Roman"/>
          <w:sz w:val="18"/>
          <w:szCs w:val="18"/>
          <w:b w:val="1"/>
          <w:bCs w:val="1"/>
          <w:color w:val="auto"/>
        </w:rPr>
        <w:t>NBCUniversal Media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Under the Transaction Agreement, Comcast has agreed to acquire (the “</w:t>
      </w:r>
      <w:r>
        <w:rPr>
          <w:rFonts w:ascii="Times New Roman" w:cs="Times New Roman" w:eastAsia="Times New Roman" w:hAnsi="Times New Roman"/>
          <w:sz w:val="18"/>
          <w:szCs w:val="18"/>
          <w:b w:val="1"/>
          <w:bCs w:val="1"/>
          <w:color w:val="auto"/>
        </w:rPr>
        <w:t>Redemption Transactions</w:t>
      </w:r>
      <w:r>
        <w:rPr>
          <w:rFonts w:ascii="Times New Roman" w:cs="Times New Roman" w:eastAsia="Times New Roman" w:hAnsi="Times New Roman"/>
          <w:sz w:val="18"/>
          <w:szCs w:val="18"/>
          <w:color w:val="auto"/>
        </w:rPr>
        <w:t>”), directly or indirectly, GE’s 49% common equity interest in NBCUniversal for approximately $16.7 billion. In addition, pursuant to separate agreements entered into on February 12, 2013, NBCUniversal agreed to purchase from GE the properties occupied by NBCUniversal at 30 Rockefeller Plaza and CNBC’s headquarters in Englewood Cliffs, New Jersey for approximately $1.4 billion.</w:t>
      </w:r>
    </w:p>
    <w:p>
      <w:pPr>
        <w:spacing w:after="0" w:line="235"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The consideration will consist of $11.4 billion of cash on hand; $4.0 billion of senior unsecured debt securities issued by HoldCo, a holding company whose sole asset is its interests in NBCUniversal; $2.0 billion of cash funded through a combination of Comcast’s existing credit facility and NBCUniversal Media’s credit facility, which is expected to be amended, among other things, to substitute HoldCo as the sole borrower; and $725 million of HoldCo preferred stock. The interest rate on the HoldCo senior unsecured debt securities and the dividend rate on the HoldCo preferred stock will be determined prior to the closing of the Redemption Transactions (the “</w:t>
      </w:r>
      <w:r>
        <w:rPr>
          <w:rFonts w:ascii="Times New Roman" w:cs="Times New Roman" w:eastAsia="Times New Roman" w:hAnsi="Times New Roman"/>
          <w:sz w:val="18"/>
          <w:szCs w:val="18"/>
          <w:b w:val="1"/>
          <w:bCs w:val="1"/>
          <w:color w:val="auto"/>
        </w:rPr>
        <w:t>Closing</w:t>
      </w:r>
      <w:r>
        <w:rPr>
          <w:rFonts w:ascii="Times New Roman" w:cs="Times New Roman" w:eastAsia="Times New Roman" w:hAnsi="Times New Roman"/>
          <w:sz w:val="18"/>
          <w:szCs w:val="18"/>
          <w:color w:val="auto"/>
        </w:rPr>
        <w:t>”).</w:t>
      </w:r>
    </w:p>
    <w:p>
      <w:pPr>
        <w:spacing w:after="0" w:line="238" w:lineRule="exact"/>
        <w:rPr>
          <w:sz w:val="20"/>
          <w:szCs w:val="20"/>
          <w:color w:val="auto"/>
        </w:rPr>
      </w:pPr>
    </w:p>
    <w:p>
      <w:pPr>
        <w:ind w:right="220" w:firstLine="648"/>
        <w:spacing w:after="0" w:line="256" w:lineRule="auto"/>
        <w:rPr>
          <w:sz w:val="20"/>
          <w:szCs w:val="20"/>
          <w:color w:val="auto"/>
        </w:rPr>
      </w:pPr>
      <w:r>
        <w:rPr>
          <w:rFonts w:ascii="Times New Roman" w:cs="Times New Roman" w:eastAsia="Times New Roman" w:hAnsi="Times New Roman"/>
          <w:sz w:val="18"/>
          <w:szCs w:val="18"/>
          <w:color w:val="auto"/>
        </w:rPr>
        <w:t>After the Closing, Comcast will control and consolidate HoldCo and own all of its capital stock other than the preferred stock. HoldCo’s debt securities and credit facility will be guaranteed by Comcast and the cable holding company subsidiaries that guarantee Comcast’s senior indebtedness. The preferred stock will pay dividends at a fixed rate and shares of preferred stock can be put to HoldCo for redemption at par on the later of seven years following the issuance of the preferred stock and three years following the sale by GE of such shares to unaffiliated third parties, and thereafter, every third anniversary of such date (a “</w:t>
      </w:r>
      <w:r>
        <w:rPr>
          <w:rFonts w:ascii="Times New Roman" w:cs="Times New Roman" w:eastAsia="Times New Roman" w:hAnsi="Times New Roman"/>
          <w:sz w:val="18"/>
          <w:szCs w:val="18"/>
          <w:b w:val="1"/>
          <w:bCs w:val="1"/>
          <w:color w:val="auto"/>
        </w:rPr>
        <w:t>Put Date</w:t>
      </w:r>
      <w:r>
        <w:rPr>
          <w:rFonts w:ascii="Times New Roman" w:cs="Times New Roman" w:eastAsia="Times New Roman" w:hAnsi="Times New Roman"/>
          <w:sz w:val="18"/>
          <w:szCs w:val="18"/>
          <w:color w:val="auto"/>
        </w:rPr>
        <w:t>”). Shares of preferred stock can be called for redemption by HoldCo at par one year following each Put Date applicable to such shares.</w:t>
      </w:r>
    </w:p>
    <w:p>
      <w:pPr>
        <w:spacing w:after="0" w:line="242" w:lineRule="exact"/>
        <w:rPr>
          <w:sz w:val="20"/>
          <w:szCs w:val="20"/>
          <w:color w:val="auto"/>
        </w:rPr>
      </w:pPr>
    </w:p>
    <w:p>
      <w:pPr>
        <w:ind w:right="160" w:firstLine="648"/>
        <w:spacing w:after="0" w:line="282" w:lineRule="auto"/>
        <w:rPr>
          <w:sz w:val="20"/>
          <w:szCs w:val="20"/>
          <w:color w:val="auto"/>
        </w:rPr>
      </w:pPr>
      <w:r>
        <w:rPr>
          <w:rFonts w:ascii="Times New Roman" w:cs="Times New Roman" w:eastAsia="Times New Roman" w:hAnsi="Times New Roman"/>
          <w:sz w:val="18"/>
          <w:szCs w:val="18"/>
          <w:color w:val="auto"/>
        </w:rPr>
        <w:t>The consummation of the Redemption Transactions is subject to customary closing conditions, but it is not subject to any financing condition. The Transaction Agreement includes representations and warranties and covenants of each party that are customary for transactions of this nature.</w:t>
      </w:r>
    </w:p>
    <w:p>
      <w:pPr>
        <w:spacing w:after="0" w:line="216" w:lineRule="exact"/>
        <w:rPr>
          <w:sz w:val="20"/>
          <w:szCs w:val="20"/>
          <w:color w:val="auto"/>
        </w:rPr>
      </w:pPr>
    </w:p>
    <w:p>
      <w:pPr>
        <w:ind w:right="120" w:firstLine="648"/>
        <w:spacing w:after="0" w:line="282" w:lineRule="auto"/>
        <w:rPr>
          <w:sz w:val="20"/>
          <w:szCs w:val="20"/>
          <w:color w:val="auto"/>
        </w:rPr>
      </w:pPr>
      <w:r>
        <w:rPr>
          <w:rFonts w:ascii="Times New Roman" w:cs="Times New Roman" w:eastAsia="Times New Roman" w:hAnsi="Times New Roman"/>
          <w:sz w:val="18"/>
          <w:szCs w:val="18"/>
          <w:color w:val="auto"/>
        </w:rPr>
        <w:t>The Transaction Agreement may be terminated under certain circumstances, including by mutual agreement of Comcast and GE and by either party if the Redemption Transactions have not been consummated on or before March 27, 2013.</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7.01. Regulation FD Disclosure.</w:t>
      </w:r>
    </w:p>
    <w:p>
      <w:pPr>
        <w:spacing w:after="0" w:line="279"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color w:val="auto"/>
        </w:rPr>
        <w:t>After the Closing, Comcast and NBCUniversal Media, along with Comcast’s existing cable holding company guarantors (the “</w:t>
      </w:r>
      <w:r>
        <w:rPr>
          <w:rFonts w:ascii="Times New Roman" w:cs="Times New Roman" w:eastAsia="Times New Roman" w:hAnsi="Times New Roman"/>
          <w:sz w:val="18"/>
          <w:szCs w:val="18"/>
          <w:b w:val="1"/>
          <w:bCs w:val="1"/>
          <w:color w:val="auto"/>
        </w:rPr>
        <w:t>Cable Guarantors</w:t>
      </w:r>
      <w:r>
        <w:rPr>
          <w:rFonts w:ascii="Times New Roman" w:cs="Times New Roman" w:eastAsia="Times New Roman" w:hAnsi="Times New Roman"/>
          <w:sz w:val="18"/>
          <w:szCs w:val="18"/>
          <w:color w:val="auto"/>
        </w:rPr>
        <w:t>”), expect to guarantee each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427990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36" w:right="239" w:bottom="1440" w:gutter="0" w:footer="0" w:header="0"/>
        </w:sectPr>
      </w:pPr>
    </w:p>
    <w:bookmarkStart w:id="2" w:name="page3"/>
    <w:bookmarkEnd w:id="2"/>
    <w:p>
      <w:pPr>
        <w:ind w:right="100"/>
        <w:spacing w:after="0" w:line="282" w:lineRule="auto"/>
        <w:rPr>
          <w:sz w:val="20"/>
          <w:szCs w:val="20"/>
          <w:color w:val="auto"/>
        </w:rPr>
      </w:pPr>
      <w:r>
        <w:rPr>
          <w:rFonts w:ascii="Times New Roman" w:cs="Times New Roman" w:eastAsia="Times New Roman" w:hAnsi="Times New Roman"/>
          <w:sz w:val="18"/>
          <w:szCs w:val="18"/>
          <w:color w:val="auto"/>
        </w:rPr>
        <w:t>publicly traded debt securities. In addition, NBCUniversal Media expects to guarantee the $6.25 billion revolving credit facility due June 2017 that Comcast and Comcast Cable Communications, LLC entered into in June 2012, which is already guaranteed by the Cable Guarantors.</w:t>
      </w:r>
    </w:p>
    <w:p>
      <w:pPr>
        <w:spacing w:after="0" w:line="216"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 current Cable Guarantors are Comcast Cable Communications, LLC, Comcast MO Group, Inc., Comcast Cable Holdings, LLC and Comcast MO of Delaware, LLC.</w:t>
      </w:r>
    </w:p>
    <w:p>
      <w:pPr>
        <w:spacing w:after="0" w:line="216" w:lineRule="exact"/>
        <w:rPr>
          <w:sz w:val="20"/>
          <w:szCs w:val="20"/>
          <w:color w:val="auto"/>
        </w:rPr>
      </w:pPr>
    </w:p>
    <w:p>
      <w:pPr>
        <w:ind w:right="520" w:firstLine="648"/>
        <w:spacing w:after="0" w:line="282" w:lineRule="auto"/>
        <w:rPr>
          <w:sz w:val="20"/>
          <w:szCs w:val="20"/>
          <w:color w:val="auto"/>
        </w:rPr>
      </w:pPr>
      <w:r>
        <w:rPr>
          <w:rFonts w:ascii="Times New Roman" w:cs="Times New Roman" w:eastAsia="Times New Roman" w:hAnsi="Times New Roman"/>
          <w:sz w:val="18"/>
          <w:szCs w:val="18"/>
          <w:color w:val="auto"/>
        </w:rPr>
        <w:t>A copy of the press release announcing the entry into the Transaction Agreement is attached hereto as Exhibit 99.1 and incorporated herein by reference.</w:t>
      </w:r>
    </w:p>
    <w:p>
      <w:pPr>
        <w:spacing w:after="0" w:line="200" w:lineRule="exact"/>
        <w:rPr>
          <w:sz w:val="20"/>
          <w:szCs w:val="20"/>
          <w:color w:val="auto"/>
        </w:rPr>
      </w:pPr>
    </w:p>
    <w:p>
      <w:pPr>
        <w:spacing w:after="0" w:line="228"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83"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8"/>
          <w:szCs w:val="18"/>
          <w:color w:val="auto"/>
        </w:rPr>
        <w:t>Press Release dated February 12, 2013.</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83820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640"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39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COMCAST CORPORATION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tabs>
          <w:tab w:leader="none" w:pos="860" w:val="left"/>
          <w:tab w:leader="none" w:pos="5680" w:val="left"/>
          <w:tab w:leader="none" w:pos="62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February 12, 2013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Arthur R. Block</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880" w:type="dxa"/>
            <w:vAlign w:val="bottom"/>
          </w:tcPr>
          <w:p>
            <w:pPr>
              <w:spacing w:after="0"/>
              <w:rPr>
                <w:sz w:val="17"/>
                <w:szCs w:val="17"/>
                <w:color w:val="auto"/>
              </w:rPr>
            </w:pPr>
          </w:p>
        </w:tc>
        <w:tc>
          <w:tcPr>
            <w:tcW w:w="3080" w:type="dxa"/>
            <w:vAlign w:val="bottom"/>
            <w:tcBorders>
              <w:top w:val="single" w:sz="8" w:color="auto"/>
            </w:tcBorders>
          </w:tcPr>
          <w:p>
            <w:pPr>
              <w:spacing w:after="0"/>
              <w:rPr>
                <w:sz w:val="17"/>
                <w:szCs w:val="17"/>
                <w:color w:val="auto"/>
              </w:rPr>
            </w:pPr>
          </w:p>
        </w:tc>
        <w:tc>
          <w:tcPr>
            <w:tcW w:w="2320" w:type="dxa"/>
            <w:vAlign w:val="bottom"/>
          </w:tcPr>
          <w:p>
            <w:pPr>
              <w:spacing w:after="0"/>
              <w:rPr>
                <w:sz w:val="17"/>
                <w:szCs w:val="17"/>
                <w:color w:val="auto"/>
              </w:rPr>
            </w:pPr>
          </w:p>
        </w:tc>
        <w:tc>
          <w:tcPr>
            <w:tcW w:w="660" w:type="dxa"/>
            <w:vAlign w:val="bottom"/>
            <w:tcBorders>
              <w:top w:val="single" w:sz="8" w:color="auto"/>
            </w:tcBorders>
          </w:tcPr>
          <w:p>
            <w:pPr>
              <w:spacing w:after="0" w:line="205" w:lineRule="exact"/>
              <w:rPr>
                <w:sz w:val="20"/>
                <w:szCs w:val="20"/>
                <w:color w:val="auto"/>
              </w:rPr>
            </w:pPr>
            <w:r>
              <w:rPr>
                <w:rFonts w:ascii="Times New Roman" w:cs="Times New Roman" w:eastAsia="Times New Roman" w:hAnsi="Times New Roman"/>
                <w:sz w:val="18"/>
                <w:szCs w:val="18"/>
                <w:color w:val="auto"/>
              </w:rPr>
              <w:t>Name:</w:t>
            </w:r>
          </w:p>
        </w:tc>
        <w:tc>
          <w:tcPr>
            <w:tcW w:w="4480" w:type="dxa"/>
            <w:vAlign w:val="bottom"/>
            <w:tcBorders>
              <w:top w:val="single" w:sz="8" w:color="auto"/>
            </w:tcBorders>
          </w:tcPr>
          <w:p>
            <w:pPr>
              <w:ind w:left="200"/>
              <w:spacing w:after="0" w:line="205" w:lineRule="exact"/>
              <w:rPr>
                <w:sz w:val="20"/>
                <w:szCs w:val="20"/>
                <w:color w:val="auto"/>
              </w:rPr>
            </w:pPr>
            <w:r>
              <w:rPr>
                <w:rFonts w:ascii="Times New Roman" w:cs="Times New Roman" w:eastAsia="Times New Roman" w:hAnsi="Times New Roman"/>
                <w:sz w:val="18"/>
                <w:szCs w:val="18"/>
                <w:color w:val="auto"/>
              </w:rPr>
              <w:t>Arthur R. Block</w:t>
            </w:r>
          </w:p>
        </w:tc>
      </w:tr>
      <w:tr>
        <w:trPr>
          <w:trHeight w:val="234"/>
        </w:trPr>
        <w:tc>
          <w:tcPr>
            <w:tcW w:w="8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66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Senior Vice President, General Counsel and Secretary</w:t>
            </w:r>
          </w:p>
        </w:tc>
      </w:tr>
      <w:tr>
        <w:trPr>
          <w:trHeight w:val="632"/>
        </w:trPr>
        <w:tc>
          <w:tcPr>
            <w:tcW w:w="880" w:type="dxa"/>
            <w:vAlign w:val="bottom"/>
            <w:tcBorders>
              <w:bottom w:val="single" w:sz="8" w:color="808080"/>
            </w:tcBorders>
          </w:tcPr>
          <w:p>
            <w:pPr>
              <w:spacing w:after="0"/>
              <w:rPr>
                <w:sz w:val="24"/>
                <w:szCs w:val="24"/>
                <w:color w:val="auto"/>
              </w:rPr>
            </w:pPr>
          </w:p>
        </w:tc>
        <w:tc>
          <w:tcPr>
            <w:tcW w:w="308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82" w:right="2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INDEX TO EXHIBITS</w:t>
      </w:r>
    </w:p>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45"/>
        </w:trPr>
        <w:tc>
          <w:tcPr>
            <w:tcW w:w="2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Exhibit Number</w:t>
            </w:r>
          </w:p>
        </w:tc>
        <w:tc>
          <w:tcPr>
            <w:tcW w:w="420" w:type="dxa"/>
            <w:vAlign w:val="bottom"/>
          </w:tcPr>
          <w:p>
            <w:pPr>
              <w:spacing w:after="0"/>
              <w:rPr>
                <w:sz w:val="21"/>
                <w:szCs w:val="21"/>
                <w:color w:val="auto"/>
              </w:rPr>
            </w:pPr>
          </w:p>
        </w:tc>
        <w:tc>
          <w:tcPr>
            <w:tcW w:w="8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34"/>
        </w:trPr>
        <w:tc>
          <w:tcPr>
            <w:tcW w:w="214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99.1</w:t>
            </w:r>
          </w:p>
        </w:tc>
        <w:tc>
          <w:tcPr>
            <w:tcW w:w="420" w:type="dxa"/>
            <w:vAlign w:val="bottom"/>
          </w:tcPr>
          <w:p>
            <w:pPr>
              <w:spacing w:after="0"/>
              <w:rPr>
                <w:sz w:val="20"/>
                <w:szCs w:val="20"/>
                <w:color w:val="auto"/>
              </w:rPr>
            </w:pPr>
          </w:p>
        </w:tc>
        <w:tc>
          <w:tcPr>
            <w:tcW w:w="8860" w:type="dxa"/>
            <w:vAlign w:val="bottom"/>
          </w:tcPr>
          <w:p>
            <w:pPr>
              <w:spacing w:after="0"/>
              <w:rPr>
                <w:sz w:val="20"/>
                <w:szCs w:val="20"/>
                <w:color w:val="auto"/>
              </w:rPr>
            </w:pPr>
            <w:r>
              <w:rPr>
                <w:rFonts w:ascii="Times New Roman" w:cs="Times New Roman" w:eastAsia="Times New Roman" w:hAnsi="Times New Roman"/>
                <w:sz w:val="18"/>
                <w:szCs w:val="18"/>
                <w:color w:val="auto"/>
              </w:rPr>
              <w:t>Press Release dated February 12, 2013</w:t>
            </w:r>
          </w:p>
        </w:tc>
      </w:tr>
    </w:tbl>
    <w:p>
      <w:pPr>
        <w:sectPr>
          <w:pgSz w:w="11900" w:h="16838" w:orient="portrait"/>
          <w:cols w:equalWidth="0" w:num="1">
            <w:col w:w="11420"/>
          </w:cols>
          <w:pgMar w:left="240" w:top="482" w:right="239" w:bottom="1440" w:gutter="0" w:footer="0" w:header="0"/>
        </w:sectPr>
      </w:pPr>
    </w:p>
    <w:bookmarkStart w:id="5" w:name="page6"/>
    <w:bookmarkEnd w:id="5"/>
    <w:p>
      <w:pPr>
        <w:ind w:left="10660"/>
        <w:spacing w:after="0"/>
        <w:rPr>
          <w:sz w:val="20"/>
          <w:szCs w:val="20"/>
          <w:color w:val="auto"/>
        </w:rPr>
      </w:pPr>
      <w:r>
        <w:rPr>
          <w:rFonts w:ascii="Times New Roman" w:cs="Times New Roman" w:eastAsia="Times New Roman" w:hAnsi="Times New Roman"/>
          <w:sz w:val="21"/>
          <w:szCs w:val="21"/>
          <w:b w:val="1"/>
          <w:bCs w:val="1"/>
          <w:color w:val="auto"/>
        </w:rPr>
        <w:t>EX-99.1</w:t>
      </w:r>
    </w:p>
    <w:p>
      <w:pPr>
        <w:spacing w:after="0" w:line="278" w:lineRule="exact"/>
        <w:rPr>
          <w:sz w:val="20"/>
          <w:szCs w:val="20"/>
          <w:color w:val="auto"/>
        </w:rPr>
      </w:pPr>
    </w:p>
    <w:p>
      <w:pPr>
        <w:ind w:left="8580"/>
        <w:spacing w:after="0"/>
        <w:rPr>
          <w:sz w:val="20"/>
          <w:szCs w:val="20"/>
          <w:color w:val="auto"/>
        </w:rPr>
      </w:pPr>
      <w:r>
        <w:rPr>
          <w:rFonts w:ascii="Arial" w:cs="Arial" w:eastAsia="Arial" w:hAnsi="Arial"/>
          <w:sz w:val="18"/>
          <w:szCs w:val="18"/>
          <w:b w:val="1"/>
          <w:bCs w:val="1"/>
          <w:color w:val="auto"/>
        </w:rPr>
        <w:t>PRESS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-114935</wp:posOffset>
            </wp:positionV>
            <wp:extent cx="1337945" cy="4889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37945" cy="488950"/>
                    </a:xfrm>
                    <a:prstGeom prst="rect">
                      <a:avLst/>
                    </a:prstGeom>
                    <a:noFill/>
                  </pic:spPr>
                </pic:pic>
              </a:graphicData>
            </a:graphic>
          </wp:anchor>
        </w:drawing>
      </w:r>
    </w:p>
    <w:p>
      <w:pPr>
        <w:spacing w:after="0" w:line="13"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Comcast</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One Comcast Center</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Philadelphia, PA 19103</w:t>
      </w:r>
    </w:p>
    <w:p>
      <w:pPr>
        <w:spacing w:after="0" w:line="9" w:lineRule="exact"/>
        <w:rPr>
          <w:sz w:val="20"/>
          <w:szCs w:val="20"/>
          <w:color w:val="auto"/>
        </w:rPr>
      </w:pPr>
    </w:p>
    <w:p>
      <w:pPr>
        <w:ind w:left="8580"/>
        <w:spacing w:after="0"/>
        <w:rPr>
          <w:sz w:val="20"/>
          <w:szCs w:val="20"/>
          <w:color w:val="auto"/>
        </w:rPr>
      </w:pPr>
      <w:r>
        <w:rPr>
          <w:rFonts w:ascii="Arial" w:cs="Arial" w:eastAsia="Arial" w:hAnsi="Arial"/>
          <w:sz w:val="18"/>
          <w:szCs w:val="18"/>
          <w:color w:val="697375"/>
        </w:rPr>
        <w:t>www.comcastcorporation.com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72466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697375"/>
        </w:rPr>
        <w:t>FOR IMMEDIATE RELEASE</w:t>
      </w:r>
    </w:p>
    <w:p>
      <w:pPr>
        <w:sectPr>
          <w:pgSz w:w="11900" w:h="16838" w:orient="portrait"/>
          <w:cols w:equalWidth="0" w:num="1">
            <w:col w:w="11440"/>
          </w:cols>
          <w:pgMar w:left="240" w:top="351" w:right="219" w:bottom="1440" w:gutter="0" w:footer="0" w:header="0"/>
        </w:sect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Investor Contacts: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Marlene S. Dooner (215) 286-7392</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Jane B. Kearns (215) 286-4794</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Press Contacts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D’Arcy Rudnay (215) 286-8582</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Jennifer Khoury (215) 286-7408</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John Demming (215) 286-8011</w:t>
      </w:r>
    </w:p>
    <w:p>
      <w:pPr>
        <w:spacing w:after="0" w:line="200" w:lineRule="exact"/>
        <w:rPr>
          <w:sz w:val="20"/>
          <w:szCs w:val="20"/>
          <w:color w:val="auto"/>
        </w:rPr>
      </w:pPr>
    </w:p>
    <w:p>
      <w:pPr>
        <w:sectPr>
          <w:pgSz w:w="11900" w:h="16838" w:orient="portrait"/>
          <w:cols w:equalWidth="0" w:num="2">
            <w:col w:w="6720" w:space="720"/>
            <w:col w:w="4000"/>
          </w:cols>
          <w:pgMar w:left="240" w:top="351" w:right="219" w:bottom="1440" w:gutter="0" w:footer="0" w:header="0"/>
          <w:type w:val="continuous"/>
        </w:sectPr>
      </w:pPr>
    </w:p>
    <w:p>
      <w:pPr>
        <w:spacing w:after="0" w:line="5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COMCAST TO ACQUIRE GENERAL ELECTRIC’S 49%</w:t>
      </w:r>
    </w:p>
    <w:p>
      <w:pPr>
        <w:spacing w:after="0" w:line="3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COMMON EQUITY OWNERSHIP INTEREST IN NBCUNIVERSAL</w:t>
      </w:r>
    </w:p>
    <w:p>
      <w:pPr>
        <w:sectPr>
          <w:pgSz w:w="11900" w:h="16838" w:orient="portrait"/>
          <w:cols w:equalWidth="0" w:num="1">
            <w:col w:w="11440"/>
          </w:cols>
          <w:pgMar w:left="240" w:top="351" w:right="219" w:bottom="1440" w:gutter="0" w:footer="0" w:header="0"/>
          <w:type w:val="continuous"/>
        </w:sectPr>
      </w:pPr>
    </w:p>
    <w:p>
      <w:pPr>
        <w:spacing w:after="0" w:line="25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color w:val="auto"/>
        </w:rPr>
        <w:t xml:space="preserve">PHILADELPHIA – February 12, 2013 – </w:t>
      </w:r>
      <w:r>
        <w:rPr>
          <w:rFonts w:ascii="Arial" w:cs="Arial" w:eastAsia="Arial" w:hAnsi="Arial"/>
          <w:sz w:val="18"/>
          <w:szCs w:val="18"/>
          <w:color w:val="auto"/>
        </w:rPr>
        <w:t>Comcast Corporation (Nasdaq: CMCSA, CMCSK) announced today it will acquire GE’s entire 49%</w:t>
      </w:r>
      <w:r>
        <w:rPr>
          <w:rFonts w:ascii="Arial" w:cs="Arial" w:eastAsia="Arial" w:hAnsi="Arial"/>
          <w:sz w:val="18"/>
          <w:szCs w:val="18"/>
          <w:b w:val="1"/>
          <w:bCs w:val="1"/>
          <w:color w:val="auto"/>
        </w:rPr>
        <w:t xml:space="preserve"> </w:t>
      </w:r>
      <w:r>
        <w:rPr>
          <w:rFonts w:ascii="Arial" w:cs="Arial" w:eastAsia="Arial" w:hAnsi="Arial"/>
          <w:sz w:val="18"/>
          <w:szCs w:val="18"/>
          <w:color w:val="auto"/>
        </w:rPr>
        <w:t>common equity stake in the NBCUniversal joint venture for approximately $16.7 billion. Also, NBCUniversal will purchase from GE the properties used by NBCUniversal at 30 Rockefeller Plaza and CNBC’s headquarters in Englewood Cliffs, NJ for approximately $1.4 billion. The acquisition accelerates GE's divestiture ahead of a redemption period that would have begun in July 2014 and solidifies Comcast’s position as a leading media and technology company. The transaction is subject to customary closing conditions and is expected to close by the end of the first quarter of this year.</w:t>
      </w:r>
    </w:p>
    <w:p>
      <w:pPr>
        <w:spacing w:after="0" w:line="228"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“This is an exciting day for Comcast as we have agreed to accelerate the purchase of NBCUniversal. The management team at GE has been a wonderful partner during the past two years and their support has been very valuable. Our decision to acquire GE's ownership is driven by our sense of optimism for the future prospects of NBCUniversal and our desire to capture future value that we hope to create for our shareholders,” said Brian L. Roberts, Chairman and CEO, Comcast Corporation. “We believe the terms of the transaction are attractive and have planned for this event by taking a number of financial steps to prepare our balance sheet. We believe we are in a strong and unique position to continue to grow and build value in our combined company.”</w:t>
      </w:r>
    </w:p>
    <w:p>
      <w:pPr>
        <w:spacing w:after="0" w:line="232" w:lineRule="exact"/>
        <w:rPr>
          <w:sz w:val="20"/>
          <w:szCs w:val="20"/>
          <w:color w:val="auto"/>
        </w:rPr>
      </w:pPr>
    </w:p>
    <w:p>
      <w:pPr>
        <w:jc w:val="both"/>
        <w:ind w:right="280"/>
        <w:spacing w:after="0" w:line="292" w:lineRule="auto"/>
        <w:rPr>
          <w:sz w:val="20"/>
          <w:szCs w:val="20"/>
          <w:color w:val="auto"/>
        </w:rPr>
      </w:pPr>
      <w:r>
        <w:rPr>
          <w:rFonts w:ascii="Arial" w:cs="Arial" w:eastAsia="Arial" w:hAnsi="Arial"/>
          <w:sz w:val="18"/>
          <w:szCs w:val="18"/>
          <w:color w:val="auto"/>
        </w:rPr>
        <w:t>The transactions will be funded with $11.4 billion of cash on hand, $4.0 billion of subsidiary senior unsecured notes to be issued to GE, $2.0 billion of borrowings under Comcast and/or subsidiary bank credit facilities and $725 million of subsidiary preferred stock to be issued to GE.</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color w:val="auto"/>
        </w:rPr>
        <w:t>Morgan Stanley was financial advisor to Comcast and Davis Polk &amp; Wardwell LLP was the Company’s legal advisor.</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Comcast Corporation</w:t>
      </w:r>
    </w:p>
    <w:p>
      <w:pPr>
        <w:spacing w:after="0" w:line="33" w:lineRule="exact"/>
        <w:rPr>
          <w:sz w:val="20"/>
          <w:szCs w:val="20"/>
          <w:color w:val="auto"/>
        </w:rPr>
      </w:pPr>
    </w:p>
    <w:p>
      <w:pPr>
        <w:jc w:val="both"/>
        <w:ind w:right="360"/>
        <w:spacing w:after="0" w:line="250" w:lineRule="auto"/>
        <w:rPr>
          <w:sz w:val="20"/>
          <w:szCs w:val="20"/>
          <w:color w:val="auto"/>
        </w:rPr>
      </w:pPr>
      <w:r>
        <w:rPr>
          <w:rFonts w:ascii="Arial" w:cs="Arial" w:eastAsia="Arial" w:hAnsi="Arial"/>
          <w:sz w:val="18"/>
          <w:szCs w:val="18"/>
          <w:color w:val="auto"/>
        </w:rPr>
        <w:t>Comcast Corporation (Nasdaq: CMCSA, CMCSK) is a global media and technology company with two primary businesses, Comcast Cable and NBCUniversal. Comcast Cable is the nation's largest video, high-speed Internet and phone provider to residential customers under the XFINITY brand and also provides these services to businesses. NBCUniversal operates 30 news and entertainment cable networks,</w:t>
      </w:r>
    </w:p>
    <w:p>
      <w:pPr>
        <w:spacing w:after="0" w:line="1" w:lineRule="exact"/>
        <w:rPr>
          <w:sz w:val="20"/>
          <w:szCs w:val="20"/>
          <w:color w:val="auto"/>
        </w:rPr>
      </w:pPr>
    </w:p>
    <w:p>
      <w:pPr>
        <w:ind w:right="500"/>
        <w:spacing w:after="0" w:line="266" w:lineRule="auto"/>
        <w:rPr>
          <w:sz w:val="20"/>
          <w:szCs w:val="20"/>
          <w:color w:val="auto"/>
        </w:rPr>
      </w:pPr>
      <w:r>
        <w:rPr>
          <w:rFonts w:ascii="Arial" w:cs="Arial" w:eastAsia="Arial" w:hAnsi="Arial"/>
          <w:sz w:val="18"/>
          <w:szCs w:val="18"/>
          <w:color w:val="auto"/>
        </w:rPr>
        <w:t xml:space="preserve">the NBC and Telemundo broadcast networks, television production operations, television station groups, Universal Pictures and Universal Parks and Resorts. Visit </w:t>
      </w:r>
      <w:r>
        <w:rPr>
          <w:rFonts w:ascii="Arial" w:cs="Arial" w:eastAsia="Arial" w:hAnsi="Arial"/>
          <w:sz w:val="18"/>
          <w:szCs w:val="18"/>
          <w:u w:val="single" w:color="auto"/>
          <w:color w:val="auto"/>
        </w:rPr>
        <w:t>www.comcastcorporation.com</w:t>
      </w:r>
      <w:r>
        <w:rPr>
          <w:rFonts w:ascii="Arial" w:cs="Arial" w:eastAsia="Arial" w:hAnsi="Arial"/>
          <w:sz w:val="18"/>
          <w:szCs w:val="18"/>
          <w:color w:val="auto"/>
        </w:rPr>
        <w:t xml:space="preserve"> for more information.</w:t>
      </w:r>
    </w:p>
    <w:sectPr>
      <w:pgSz w:w="11900" w:h="16838" w:orient="portrait"/>
      <w:cols w:equalWidth="0" w:num="1">
        <w:col w:w="11440"/>
      </w:cols>
      <w:pgMar w:left="240" w:top="351" w:right="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2019-12-07T03:22:46Z</dcterms:created>
  <dcterms:modified xsi:type="dcterms:W3CDTF">2019-12-07T03:22:46Z</dcterms:modified>
</cp:coreProperties>
</file>