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FORM 10-Q</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1800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CMCS32A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CMCS36A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CMCS40A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April 15, 2026, there were 3,562,784,182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168910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8"/>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10"/>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6: Significant Transactions</w:t>
            </w:r>
          </w:p>
        </w:tc>
        <w:tc>
          <w:tcPr>
            <w:tcW w:w="3700" w:type="dxa"/>
            <w:vAlign w:val="bottom"/>
            <w:gridSpan w:val="1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7: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 8: Goodwill and Intangible Assets</w:t>
            </w: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9: Equity and Share-Based Compensation</w:t>
            </w:r>
          </w:p>
        </w:tc>
        <w:tc>
          <w:tcPr>
            <w:tcW w:w="2620" w:type="dxa"/>
            <w:vAlign w:val="bottom"/>
            <w:gridSpan w:val="10"/>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Note 10: Supplemental Financial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30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11: Commitments and Contingencies</w:t>
            </w:r>
          </w:p>
        </w:tc>
        <w:tc>
          <w:tcPr>
            <w:tcW w:w="200" w:type="dxa"/>
            <w:vAlign w:val="bottom"/>
            <w:tcBorders>
              <w:top w:val="single" w:sz="8" w:color="0000FF"/>
            </w:tcBorders>
            <w:gridSpan w:val="2"/>
          </w:tcPr>
          <w:p>
            <w:pPr>
              <w:spacing w:after="0"/>
              <w:rPr>
                <w:sz w:val="18"/>
                <w:szCs w:val="18"/>
                <w:color w:val="auto"/>
              </w:rPr>
            </w:pPr>
          </w:p>
        </w:tc>
        <w:tc>
          <w:tcPr>
            <w:tcW w:w="276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11"/>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21"/>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8"/>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months ended March 31, 2026.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“would,” “will,” “continue,” “will likely result” and similar expressions. In evaluating these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or results of operations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Separation does not qualify as non-taxable, we and/or holders of our common stock could be subject to significant tax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Co-CEO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2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20" w:type="dxa"/>
            <w:vAlign w:val="bottom"/>
            <w:tcBorders>
              <w:bottom w:val="single" w:sz="8" w:color="auto"/>
            </w:tcBorders>
          </w:tcPr>
          <w:p>
            <w:pPr>
              <w:spacing w:after="0"/>
              <w:rPr>
                <w:sz w:val="16"/>
                <w:szCs w:val="16"/>
                <w:color w:val="auto"/>
              </w:rPr>
            </w:pPr>
          </w:p>
        </w:tc>
      </w:tr>
      <w:tr>
        <w:trPr>
          <w:trHeight w:val="19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31,457</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10,884</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r>
      <w:tr>
        <w:trPr>
          <w:trHeight w:val="229"/>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2,164</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29"/>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10,408</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30"/>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2,333</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9"/>
        </w:trPr>
        <w:tc>
          <w:tcPr>
            <w:tcW w:w="8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1,533</w:t>
            </w: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3"/>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27,321</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24,228</w:t>
            </w: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4,135</w:t>
            </w: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(1,094)</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w:t>
            </w: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2,733</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29"/>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(706)</w:t>
            </w: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30"/>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w:t>
            </w:r>
          </w:p>
        </w:tc>
        <w:tc>
          <w:tcPr>
            <w:tcW w:w="6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2,174</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3,375</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0.60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r>
      <w:tr>
        <w:trPr>
          <w:trHeight w:val="23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0.60</w:t>
            </w:r>
          </w:p>
        </w:tc>
        <w:tc>
          <w:tcPr>
            <w:tcW w:w="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9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660" w:type="dxa"/>
            <w:vAlign w:val="bottom"/>
            <w:tcBorders>
              <w:bottom w:val="single" w:sz="8" w:color="auto"/>
            </w:tcBorders>
          </w:tcPr>
          <w:p>
            <w:pPr>
              <w:spacing w:after="0"/>
              <w:rPr>
                <w:sz w:val="17"/>
                <w:szCs w:val="17"/>
                <w:color w:val="auto"/>
              </w:rPr>
            </w:pPr>
          </w:p>
        </w:tc>
      </w:tr>
      <w:tr>
        <w:trPr>
          <w:trHeight w:val="196"/>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9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$(31) and $74</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9"/>
        </w:trPr>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9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gains (losses), net of deferred taxes of $(2) and $1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$(2) and $5</w:t>
            </w:r>
          </w:p>
        </w:tc>
        <w:tc>
          <w:tcPr>
            <w:tcW w:w="220" w:type="dxa"/>
            <w:vAlign w:val="bottom"/>
          </w:tcPr>
          <w:p>
            <w:pPr>
              <w:spacing w:after="0"/>
              <w:rPr>
                <w:sz w:val="19"/>
                <w:szCs w:val="19"/>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$6 and $18</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(389)</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1,638</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9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1,783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3,865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730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375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1,119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(673)</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6,891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276</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(2,919)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1,990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(3,182)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transferred to Versant, net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(316)</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(5,008)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(4,075)</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10,559</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9,517</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8,652</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80" w:type="dxa"/>
            <w:vAlign w:val="bottom"/>
          </w:tcPr>
          <w:p>
            <w:pPr>
              <w:spacing w:after="0"/>
              <w:rPr>
                <w:sz w:val="13"/>
                <w:szCs w:val="13"/>
                <w:color w:val="auto"/>
              </w:rPr>
            </w:pPr>
          </w:p>
        </w:tc>
        <w:tc>
          <w:tcPr>
            <w:tcW w:w="126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9,468</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14,078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5,275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28,822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11,047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7,450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$61,274 and $60,754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65,472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53,374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$31,234 and $39,362</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20,418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14,054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260,002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272,631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11,977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4,006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11,932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5,394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33,308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33,524</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89,218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28,227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20,708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4,486,450,788 and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4,513,794,607; outstanding, 3,567,424,433 and 3,594,768,252</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37,543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58,602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66,675</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919,026,355 Class A common shares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88,274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88,335</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260,002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272,631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000" w:type="dxa"/>
            <w:vAlign w:val="bottom"/>
            <w:tcBorders>
              <w:bottom w:val="single" w:sz="8" w:color="auto"/>
            </w:tcBorders>
          </w:tcPr>
          <w:p>
            <w:pPr>
              <w:spacing w:after="0"/>
              <w:rPr>
                <w:sz w:val="17"/>
                <w:szCs w:val="17"/>
                <w:color w:val="auto"/>
              </w:rPr>
            </w:pPr>
          </w:p>
        </w:tc>
      </w:tr>
      <w:tr>
        <w:trPr>
          <w:trHeight w:val="19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5"/>
        </w:trPr>
        <w:tc>
          <w:tcPr>
            <w:tcW w:w="8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r>
      <w:tr>
        <w:trPr>
          <w:trHeight w:val="230"/>
        </w:trPr>
        <w:tc>
          <w:tcPr>
            <w:tcW w:w="8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34"/>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62"/>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8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w:t>
            </w:r>
          </w:p>
        </w:tc>
      </w:tr>
      <w:tr>
        <w:trPr>
          <w:trHeight w:val="230"/>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37,543</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37,832</w:t>
            </w:r>
          </w:p>
        </w:tc>
      </w:tr>
      <w:tr>
        <w:trPr>
          <w:trHeight w:val="34"/>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66,675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29"/>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Separation of Versant (see Note 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23"/>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58,602</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57,473</w:t>
            </w:r>
          </w:p>
        </w:tc>
      </w:tr>
      <w:tr>
        <w:trPr>
          <w:trHeight w:val="34"/>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9"/>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230"/>
        </w:trPr>
        <w:tc>
          <w:tcPr>
            <w:tcW w:w="8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2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30"/>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3"/>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r>
      <w:tr>
        <w:trPr>
          <w:trHeight w:val="34"/>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Separation of Versant (see Note 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8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r>
      <w:tr>
        <w:trPr>
          <w:trHeight w:val="21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88,335</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87,056</w:t>
            </w:r>
          </w:p>
        </w:tc>
      </w:tr>
      <w:tr>
        <w:trPr>
          <w:trHeight w:val="236"/>
        </w:trPr>
        <w:tc>
          <w:tcPr>
            <w:tcW w:w="8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2025 Annual Report on Form 10-K.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(the “Separation date”), we completed the previously announced separation of Versant Media Group, Inc. (“Versant”) into an independent publicly traded company comprised of select cable television networks and complementary digital platforms through a tax-free spin-off (the “Separation”). The Separation did not meet the criteria to be presented as a discontinued operation, and Versant’s results are included in our results of operations for the three months ended March 31, 2025. See Note 6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See Note 2 for a discussion of the changes in our presentation of segment operating results. See Note 3 for a discussion of the changes in our presentation of disaggregated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with our Annual Report on Form 10-K for the year ending December 31, 2027. We are currently evaluating the impact the adoption of the new accounting guidance will have on our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updated the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 We are currently in the process of determining the impact that the updated accounting guidance will have on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currently in the process of determining the impact that the updated accounting guidance will have on our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Reporting</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as of January 1, 2028, and early adoption is permitted. We are currently evaluating the impact the adoption of the new accounting guidance will have on our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 Beginning in the first quarter of 2026, we updated the composition of our segments to align with the segment-level information that is regularly provided to our Co-Chief Executive Officers, who are the chief operating decision maker, including (1) adjusting the Media segment to exclude the historical results of Versant; (2) reclassifying the results of our regional sports networks to Corporate and other from the Media segment; (3) reclassifying the results of Xumo, our streaming platform joint venture with Charter Communications, to the Residential Connectivity &amp; Platforms segment from Corporate and other; (4) reclassifying certain shared expenses into the related Media, Studios and Theme Parks segments from Media, Studios and Theme Parks headquarters and other; and (5) adjusting the Media segment and Versant for the effects of the commercial services agreement (see Note 6).</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Transactions between our segments and other businesses generally include intercompany profit consistent with third-party transactions. The Residential Connectivity &amp; Platforms and the Business Services Connectivity segments use certain shared infrastructure, including our network in the United States, and each segment is presented with its direct costs and an allocation of shared costs, as well as revenue from its customers.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and has been updated to reflect the change in our segment composition. We do not present asset information for our segments as this information is not used to allocate resources.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Three Months Ended March 31, 2026</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Media</w:t>
            </w:r>
          </w:p>
        </w:tc>
        <w:tc>
          <w:tcPr>
            <w:tcW w:w="28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180"/>
              <w:spacing w:after="0" w:line="237"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79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Versant revenue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0" w:type="dxa"/>
            <w:vAlign w:val="bottom"/>
          </w:tcPr>
          <w:p>
            <w:pPr>
              <w:spacing w:after="0"/>
              <w:rPr>
                <w:sz w:val="1"/>
                <w:szCs w:val="1"/>
                <w:color w:val="auto"/>
              </w:rPr>
            </w:pPr>
          </w:p>
        </w:tc>
      </w:tr>
      <w:tr>
        <w:trPr>
          <w:trHeight w:val="129"/>
        </w:trPr>
        <w:tc>
          <w:tcPr>
            <w:tcW w:w="3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r>
        <w:trPr>
          <w:trHeight w:val="128"/>
        </w:trPr>
        <w:tc>
          <w:tcPr>
            <w:tcW w:w="3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Versant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40" w:hanging="332"/>
        <w:spacing w:after="0" w:line="275"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 Amounts in 2025 also include intersegment revenue transactions between our segments and Versant.</w:t>
      </w:r>
    </w:p>
    <w:p>
      <w:pPr>
        <w:jc w:val="both"/>
        <w:ind w:left="340" w:hanging="332"/>
        <w:spacing w:after="0" w:line="275"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the results of our regional sports networks; and Comcast Spectacor, which owns the Philadelphia Flyers and the Xfinity Mobile Arena in Philadelphia, Pennsylvania. Corporate and other also includes overhead and personnel costs for Corporate. The three months ended March 31, 2026 and 2025 include $51 million and $22 million, respectively, of transaction and transaction-related costs associated with the Separation.</w:t>
      </w:r>
    </w:p>
    <w:p>
      <w:pPr>
        <w:ind w:left="340" w:hanging="332"/>
        <w:spacing w:after="0" w:line="291"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expenses; direct product costs; marketing and promotion expenses; customer service expenses; administrative personnel costs; franchise and other regulatory fees; fees paid to third parties where we are acting as the principal in the advertising representation arrangement;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9"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41" w:lineRule="exact"/>
        <w:rPr>
          <w:rFonts w:ascii="Times New Roman" w:cs="Times New Roman" w:eastAsia="Times New Roman" w:hAnsi="Times New Roman"/>
          <w:sz w:val="14"/>
          <w:szCs w:val="14"/>
          <w:color w:val="auto"/>
        </w:rPr>
      </w:pPr>
    </w:p>
    <w:p>
      <w:pPr>
        <w:ind w:left="3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jc w:val="both"/>
        <w:ind w:left="340" w:hanging="332"/>
        <w:spacing w:after="0" w:line="246" w:lineRule="auto"/>
        <w:tabs>
          <w:tab w:leader="none" w:pos="33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For each of our segments, our chief operating decision maker uses Adjusted EBITDA to measure operational strength and performance, assist in the evaluation of underlying trends, and allocate resources in the annual budget and forecasting process. Adjusted EBITDA is also a significant performance measure in our annual incentive compensation programs. From time to time, we may report the impact of certain events, gains, losses or other charges related to our segments within Corporate and other.</w:t>
      </w:r>
    </w:p>
    <w:p>
      <w:pPr>
        <w:spacing w:after="0" w:line="2"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r>
      <w:tr>
        <w:trPr>
          <w:trHeight w:val="203"/>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line="202" w:lineRule="exact"/>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8"/>
                <w:szCs w:val="18"/>
                <w:color w:val="auto"/>
                <w:vertAlign w:val="superscript"/>
              </w:rPr>
              <w:t>(a)</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broadband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6,338</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wireless service</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977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wireless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1,240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6,256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951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1,143</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17,323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w:t>
            </w:r>
          </w:p>
        </w:tc>
      </w:tr>
      <w:tr>
        <w:trPr>
          <w:trHeight w:val="108"/>
        </w:trPr>
        <w:tc>
          <w:tcPr>
            <w:tcW w:w="8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2,640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108"/>
        </w:trPr>
        <w:tc>
          <w:tcPr>
            <w:tcW w:w="8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3,453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2,283</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1,291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8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253</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7,280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108"/>
        </w:trPr>
        <w:tc>
          <w:tcPr>
            <w:tcW w:w="8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2,973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336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3,426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108"/>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2,331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108"/>
        </w:trPr>
        <w:tc>
          <w:tcPr>
            <w:tcW w:w="8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Versant revenue</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Pr>
          <w:p>
            <w:pPr>
              <w:spacing w:after="0"/>
              <w:rPr>
                <w:sz w:val="19"/>
                <w:szCs w:val="19"/>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auto"/>
              </w:rPr>
              <w:t>1,021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30"/>
        </w:trPr>
        <w:tc>
          <w:tcPr>
            <w:tcW w:w="82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(2,562)</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30"/>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31,457</w:t>
            </w:r>
          </w:p>
        </w:tc>
        <w:tc>
          <w:tcPr>
            <w:tcW w:w="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29,887</w:t>
            </w:r>
          </w:p>
        </w:tc>
      </w:tr>
    </w:tbl>
    <w:p>
      <w:pPr>
        <w:spacing w:after="0" w:line="72" w:lineRule="exact"/>
        <w:rPr>
          <w:sz w:val="20"/>
          <w:szCs w:val="20"/>
          <w:color w:val="auto"/>
        </w:rPr>
      </w:pPr>
    </w:p>
    <w:p>
      <w:pPr>
        <w:jc w:val="both"/>
        <w:ind w:firstLine="8"/>
        <w:spacing w:after="0" w:line="271" w:lineRule="auto"/>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2026, commission revenue from the sale of certain direct to consumer (“DTC”) streaming services is presented in broadband revenue or video revenue based on whether a customer is entitled to receive the DTC streaming service through a broadband or video service offering. Broadband revenue also includes revenue from streaming devices available to our broadband customers. Previously, all of these amounts were in video revenue. Prior periods have been reclassified to reflect the current year presentation.</w:t>
      </w:r>
    </w:p>
    <w:p>
      <w:pPr>
        <w:spacing w:after="0" w:line="75" w:lineRule="exact"/>
        <w:rPr>
          <w:rFonts w:ascii="Times New Roman" w:cs="Times New Roman" w:eastAsia="Times New Roman" w:hAnsi="Times New Roman"/>
          <w:sz w:val="14"/>
          <w:szCs w:val="14"/>
          <w:color w:val="auto"/>
        </w:rPr>
      </w:pPr>
    </w:p>
    <w:p>
      <w:pPr>
        <w:ind w:firstLine="8"/>
        <w:spacing w:after="0" w:line="302" w:lineRule="auto"/>
        <w:tabs>
          <w:tab w:leader="none" w:pos="20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historical results of operations of the Versant business, primarily including domestic distribution revenue, domestic advertising revenue and other revenue generated from digital properties.</w:t>
      </w:r>
    </w:p>
    <w:p>
      <w:pPr>
        <w:spacing w:after="0" w:line="53"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additional information on intersegment revenue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and other balances that are not separately presented in our condensed consolidated balance sheets that relate to the recognition of revenue and collection of the related cash.</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2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14,775</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14,582</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697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14,078</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13,869</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2,240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660</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6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auto"/>
            </w:tcBorders>
            <w:vMerge w:val="continue"/>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2,045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1,434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3,479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w w:val="99"/>
              </w:rPr>
              <w:t>2025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2,381</w:t>
            </w:r>
          </w:p>
        </w:tc>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1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2,561</w:t>
            </w:r>
          </w:p>
        </w:tc>
        <w:tc>
          <w:tcPr>
            <w:tcW w:w="6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r>
      <w:tr>
        <w:trPr>
          <w:trHeight w:val="230"/>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2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5,589</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352</w:t>
            </w:r>
          </w:p>
        </w:tc>
        <w:tc>
          <w:tcPr>
            <w:tcW w:w="6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10,884</w:t>
            </w: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8,415</w:t>
            </w:r>
          </w:p>
        </w:tc>
      </w:tr>
    </w:tbl>
    <w:p>
      <w:pPr>
        <w:spacing w:after="0" w:line="180" w:lineRule="exact"/>
        <w:rPr>
          <w:sz w:val="20"/>
          <w:szCs w:val="20"/>
          <w:color w:val="auto"/>
        </w:rPr>
      </w:pPr>
    </w:p>
    <w:p>
      <w:pPr>
        <w:ind w:right="36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$2.0 billion and $2.2 billion for the three months ended March 31, 2026 and 2025, respectively, as well as participations and residuals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2,830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4,215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7,277</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3,770</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11,047</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debt had a carrying value of $94.6 billion and an estimated fair value of $84.6 billion. As of December 31, 2025, our debt had a carrying value of $98.9 billion and an estimated fair value of $90.3 billion. The estimated fair value of our publicly traded debt was primarily based on Level 1 inputs that use quoted market prices for the debt. The estimated fair value of debt for which there are no quoted market prices was based on Level 2 inputs that use interest rates available to us for debt with similar terms and remaining maturities.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Versant</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2026, we completed the previously announced separation of Versant into an independent, publicly traded company with its Class A common stock listed on The Nasdaq Stock Market under the ticker symbol “VSNT.” The Versant business is comprised of select cable television networks, including MS NOW, CNBC, USA Network, Golf Channel, E!, SYFY and Oxygen, and complementary digital platforms, including GolfNow, Fandango, Rotten Tomatoes and SportsEngine.</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Separation was structured to qualify as a tax-free spin-off for U.S. federal income tax purposes and achieved through the transfer of assets and liabilities comprising the Versant business to Versant and its subsidiaries, followed by the distribution on January 2, 2026 of 100% of the shares of Versant common stock to Comcast shareholders in which each Comcast shareholder received 1 share of Versant common stock for every 25 shares of Comcast common stock owned as of the close of business on the record date of December 16, 2025 (the “Distribution”). Because the Versant business was not historically operated as a distinct business unit or division of Comcast, we undertook a series of corporate reorganization transactions in anticipation of the Separation. Assets of approximately $12.5 billion, including approximately $7.7 billion of goodwill and $1.4 billion of other intangible assets, net of accumulated amortization, and liabilities of approximately $4.3 billion, including $3.0 billion of indebtedness from the issuance of certain notes and borrowings from a Term A loan facility and Term B loan facility, associated with the Versant business were distributed through retained earnings as of the Separation date. Following the Separation, we do not beneficially own any equity interest in Versant and no longer consolidate the results of the Versant business into our consolidated financial results.</w:t>
      </w:r>
    </w:p>
    <w:p>
      <w:pPr>
        <w:spacing w:after="0" w:line="1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Separation date, Versant distributed to us $2.25 billion of cash, which was funded by the $3.0 billion of prior indebtedness, resulting in a net cash distribution of $750 million to Versant in the first quarter of 2026. The proceeds from the $2.25 billion distribution, together with cash on hand, were used for the redemption on January 15, 2026 of all outstanding amounts of our 3.15% Notes due March 2026, including accrued and unpaid interest, totaling approximately $2.1 billion and all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amounts of our 5.35% Notes due November 2027, including accrued and unpaid interest, totaling approximately $650 million.</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Separation, we entered into a Separation and Distribution Agreement, a Tax Matters Agreement, a Transition Services Agreement, an Employee Matters Agreement and several other agreements with Versant to effect the Separation and provide a framework for our relationship with Versant after the Separation. Pursuant to a commercial services agreement with Versant, we will sell domestic linear and related digital advertising inventory on their behalf for approximately two years, and we record net commission revenue as earned.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we entered into an agreement with RTL Group to sell our Sky operations in Germany, subject to various conditions and approvals, and we expect the sale to be completed in 2026. The related assets and liabilities continue to be presented as held for sale, consisting of $863 million of assets and $784 million of liabilities as of March 31, 2026 and $892 million of assets and $848 million of liabilities as of December 31, 2025, which are included in other current assets and accrued expenses and other current liabilities within our condensed consolidated balance sheet. The fair value less cost to sell exceeded the carrying value of the assets and liabilities held for sale as of March 31, 2026 and December 31, 2025.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(391)</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(309)</w:t>
            </w:r>
          </w:p>
        </w:tc>
        <w:tc>
          <w:tcPr>
            <w:tcW w:w="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net recognized for the three months ended March 31, 2026 and 2025 that related to equity securities still held as of the end of each reporting period was $(11) million and $(30)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6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vMerge w:val="continue"/>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6,491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1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817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16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7,467</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7,450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7,952</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three months ended March 31, 2026 and 2025 was $35 million and $27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three months ended March 31, 2026 and 2025, we made cash capital contributions totaling $116 million and $13 million, respectively, to Atairos. As of March 31, 2026 and December 31, 2025, our investment, inclusive of advances classified within other investments, was $4.5 billion and $4.7 billion, respectively. As of March 31, 2026, our remaining unfunded capital commitment was $1.2 billion.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March 31, 2026 and December 31, 2025, Universal Beijing Resort had $3.6 billion of debt outstanding, including $3.2 billion principal amount of a term loan outstanding under the debt financing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our condensed consolidated balance sheet included assets and liabilities of Universal Beijing Resort totaling $7.6 billion and $7.6 billion, respectively. As of December 31, 2025, our condensed consolidated balance sheet included assets and liabilities of Universal Beijing Resort totaling $7.4 billion and $7.3 billion, respectively. The assets and liabilities of Universal Beijing Resort primarily consist of property and equipment, operating lease assets and liabilities, and debt.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for the three months ended March 31, 2026 are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3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 &amp;</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Theme</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8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Platforms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Connectivity</w:t>
            </w:r>
          </w:p>
        </w:tc>
        <w:tc>
          <w:tcPr>
            <w:tcW w:w="440" w:type="dxa"/>
            <w:vAlign w:val="bottom"/>
          </w:tcPr>
          <w:p>
            <w:pPr>
              <w:spacing w:after="0"/>
              <w:rPr>
                <w:sz w:val="17"/>
                <w:szCs w:val="17"/>
                <w:color w:val="auto"/>
              </w:rPr>
            </w:pPr>
          </w:p>
        </w:tc>
        <w:tc>
          <w:tcPr>
            <w:tcW w:w="7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Media</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Studios</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Parks</w:t>
            </w:r>
          </w:p>
        </w:tc>
        <w:tc>
          <w:tcPr>
            <w:tcW w:w="440" w:type="dxa"/>
            <w:vAlign w:val="bottom"/>
          </w:tcPr>
          <w:p>
            <w:pPr>
              <w:spacing w:after="0"/>
              <w:rPr>
                <w:sz w:val="17"/>
                <w:szCs w:val="17"/>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4"/>
              </w:rPr>
              <w:t>Total</w:t>
            </w:r>
          </w:p>
        </w:tc>
      </w:tr>
      <w:tr>
        <w:trPr>
          <w:trHeight w:val="23"/>
        </w:trPr>
        <w:tc>
          <w:tcPr>
            <w:tcW w:w="3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22.4</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70.6</w:t>
            </w:r>
          </w:p>
        </w:tc>
      </w:tr>
      <w:tr>
        <w:trPr>
          <w:trHeight w:val="229"/>
        </w:trPr>
        <w:tc>
          <w:tcPr>
            <w:tcW w:w="3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8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(2.4)</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(9.0)</w:t>
            </w:r>
          </w:p>
        </w:tc>
      </w:tr>
      <w:tr>
        <w:trPr>
          <w:trHeight w:val="223"/>
        </w:trPr>
        <w:tc>
          <w:tcPr>
            <w:tcW w:w="3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61.5</w:t>
            </w: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Separation of Versant (see Note 6)</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(7.7)</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(7.7)</w:t>
            </w:r>
          </w:p>
        </w:tc>
      </w:tr>
      <w:tr>
        <w:trPr>
          <w:trHeight w:val="229"/>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(0.1)</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(0.4)</w:t>
            </w:r>
          </w:p>
        </w:tc>
      </w:tr>
      <w:tr>
        <w:trPr>
          <w:trHeight w:val="22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8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13.7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61.4</w:t>
            </w:r>
          </w:p>
        </w:tc>
      </w:tr>
      <w:tr>
        <w:trPr>
          <w:trHeight w:val="230"/>
        </w:trPr>
        <w:tc>
          <w:tcPr>
            <w:tcW w:w="3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 impairment losses</w:t>
            </w:r>
          </w:p>
        </w:tc>
        <w:tc>
          <w:tcPr>
            <w:tcW w:w="8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(1.4)</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(8.0)</w:t>
            </w:r>
          </w:p>
        </w:tc>
      </w:tr>
      <w:tr>
        <w:trPr>
          <w:trHeight w:val="223"/>
        </w:trPr>
        <w:tc>
          <w:tcPr>
            <w:tcW w:w="3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12.3</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53.4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customer relationships decreased by a gross carrying amount of $9.0 billion and related accumulated amortization of $7.9 billion and other agreements and rights decreased by a gross carrying amount of $0.7 billion and related accumulated amortization of $0.5 billion.</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presents the estimated amortization expense of our customer relationships and other agreements and rights, including trade names, intellectual property rights and certain Federal Communications Commission (“FCC”) broadcast licenses. Beginning in the first quarter of 2026, we began amortizing certain FCC broadcast licenses with a gross carrying value of $0.6 billion, which were previously accounted for as indefinite-lived intangible assets.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Estimated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billions)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nine months of 2026</w:t>
            </w:r>
          </w:p>
        </w:tc>
        <w:tc>
          <w:tcPr>
            <w:tcW w:w="650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5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50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776"/>
        </w:trPr>
        <w:tc>
          <w:tcPr>
            <w:tcW w:w="3940" w:type="dxa"/>
            <w:vAlign w:val="bottom"/>
          </w:tcPr>
          <w:p>
            <w:pPr>
              <w:spacing w:after="0"/>
              <w:rPr>
                <w:sz w:val="24"/>
                <w:szCs w:val="24"/>
                <w:color w:val="auto"/>
              </w:rPr>
            </w:pPr>
          </w:p>
        </w:tc>
        <w:tc>
          <w:tcPr>
            <w:tcW w:w="65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Pr>
          <w:p>
            <w:pPr>
              <w:spacing w:after="0"/>
              <w:rPr>
                <w:sz w:val="24"/>
                <w:szCs w:val="24"/>
                <w:color w:val="auto"/>
              </w:rPr>
            </w:pPr>
          </w:p>
        </w:tc>
      </w:tr>
      <w:tr>
        <w:trPr>
          <w:trHeight w:val="223"/>
        </w:trPr>
        <w:tc>
          <w:tcPr>
            <w:tcW w:w="3940" w:type="dxa"/>
            <w:vAlign w:val="bottom"/>
            <w:tcBorders>
              <w:bottom w:val="single" w:sz="8" w:color="9A9A9A"/>
            </w:tcBorders>
          </w:tcPr>
          <w:p>
            <w:pPr>
              <w:spacing w:after="0"/>
              <w:rPr>
                <w:sz w:val="19"/>
                <w:szCs w:val="19"/>
                <w:color w:val="auto"/>
              </w:rPr>
            </w:pPr>
          </w:p>
        </w:tc>
        <w:tc>
          <w:tcPr>
            <w:tcW w:w="65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2580" w:type="dxa"/>
            <w:vAlign w:val="bottom"/>
            <w:gridSpan w:val="2"/>
          </w:tcPr>
          <w:p>
            <w:pPr>
              <w:jc w:val="right"/>
              <w:ind w:right="594"/>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2"/>
        </w:trPr>
        <w:tc>
          <w:tcPr>
            <w:tcW w:w="8660" w:type="dxa"/>
            <w:vAlign w:val="bottom"/>
          </w:tcPr>
          <w:p>
            <w:pPr>
              <w:spacing w:after="0"/>
              <w:rPr>
                <w:sz w:val="16"/>
                <w:szCs w:val="16"/>
                <w:color w:val="auto"/>
              </w:rPr>
            </w:pPr>
          </w:p>
        </w:tc>
        <w:tc>
          <w:tcPr>
            <w:tcW w:w="17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4"/>
                <w:szCs w:val="14"/>
                <w:color w:val="auto"/>
              </w:rPr>
              <w:t>2026</w:t>
            </w: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72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3,597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r>
      <w:tr>
        <w:trPr>
          <w:trHeight w:val="230"/>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7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72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rPr>
              <w:t>3,617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23"/>
        </w:trPr>
        <w:tc>
          <w:tcPr>
            <w:tcW w:w="8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17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color w:val="auto"/>
              </w:rPr>
              <w:t>247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3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(653)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2380" w:type="dxa"/>
            <w:vAlign w:val="bottom"/>
          </w:tcPr>
          <w:p>
            <w:pPr>
              <w:spacing w:after="0"/>
              <w:rPr>
                <w:sz w:val="19"/>
                <w:szCs w:val="19"/>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23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23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(399)</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prior to 2026, the plans had included grants of stock options, to certain employees and directors as part of our long-term incentive compensation structure. RSUs granted during 2026 generally vest over a period of 3 years and RSUs granted prior to 2026 generally vest over a period of 5 years. Additionally, through our employee stock purchase plans, employees are able to purchase shares of our common stock at a discount through payroll deductions.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we granted 49 million RSUs under our annual management awards program. The weighted-average fair value associated with these grants was $29.60 per RSU. During the three months ended March 31, 2026 and 2025, share-based compensation expense recognized in our condensed consolidated statements of income was $377 million and $321 million, respectively. As of March 31, 2026, we had unrecognized pre-tax compensation expense of $3.1 billion related to unvested RSUs and unvested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727</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249</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26" w:lineRule="exact"/>
        <w:rPr>
          <w:sz w:val="20"/>
          <w:szCs w:val="20"/>
          <w:color w:val="auto"/>
        </w:rPr>
      </w:pPr>
    </w:p>
    <w:p>
      <w:pPr>
        <w:ind w:right="360" w:firstLine="8"/>
        <w:spacing w:after="0" w:line="30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payments for income taxes for the three months ended March 31, 2026 and 2025 include $52 million and $220 million related to the purchase of third-party transferable tax credits, respectively.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w:t>
      </w:r>
    </w:p>
    <w:p>
      <w:pPr>
        <w:spacing w:after="0" w:line="7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right="2400" w:firstLine="332"/>
        <w:spacing w:after="0" w:line="328"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paid in April 2026 During the three months ended March 31, 2025:</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paid in April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2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9,468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r>
              <w:rPr>
                <w:rFonts w:ascii="Times New Roman" w:cs="Times New Roman" w:eastAsia="Times New Roman" w:hAnsi="Times New Roman"/>
                <w:sz w:val="23"/>
                <w:szCs w:val="23"/>
                <w:color w:val="auto"/>
                <w:vertAlign w:val="superscript"/>
              </w:rPr>
              <w:t>(a)</w:t>
            </w:r>
          </w:p>
        </w:tc>
        <w:tc>
          <w:tcPr>
            <w:tcW w:w="1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9,517</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80" w:hanging="252"/>
        <w:spacing w:after="0" w:line="271"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in other current assets as of December 31, 2025 includes the net proceeds from Versant’s issuance of $1.0 billion aggregate principal amount of 7.25% senior secured notes, plus accrued and unpaid interest, which were held in an escrow account due to a special mandatory redemption if the Separation did not consummate by March 2, 2026. These funds were transferred to Versant on the Separation date (see Note 6).</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2025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ind w:firstLine="8"/>
        <w:spacing w:after="0" w:line="260"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&amp; Experiences business in three segments: Media, Studios and Theme Parks. Refer to Note 2 for information on our segments, including a description of the segment composition change implemented in the first quarter of 2026. All amounts are presented under the updated segment structure.</w:t>
      </w:r>
    </w:p>
    <w:p>
      <w:pPr>
        <w:spacing w:after="0" w:line="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Separation of Versant occurred on January 2, 2026. The results of Versant are included in our consolidated results of operations for the three months ended March 31, 2025 and are excluded from our segment operating results (see Note 2).</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2025</w:t>
            </w:r>
          </w:p>
        </w:tc>
        <w:tc>
          <w:tcPr>
            <w:tcW w:w="12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29,887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8,415</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40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2,071</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9,893</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40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2,231</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1,618</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24,228</w:t>
            </w:r>
          </w:p>
        </w:tc>
        <w:tc>
          <w:tcPr>
            <w:tcW w:w="12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5,658</w:t>
            </w:r>
          </w:p>
        </w:tc>
        <w:tc>
          <w:tcPr>
            <w:tcW w:w="12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00" w:type="dxa"/>
            <w:vAlign w:val="bottom"/>
          </w:tcPr>
          <w:p>
            <w:pPr>
              <w:spacing w:after="0"/>
              <w:rPr>
                <w:sz w:val="19"/>
                <w:szCs w:val="19"/>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(1,050)</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(116)</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40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4,492</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(1,196)</w:t>
            </w: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3,296</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(79)</w:t>
            </w: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3,375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0.89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3,768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3,784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75"/>
        </w:trPr>
        <w:tc>
          <w:tcPr>
            <w:tcW w:w="73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7,929</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9,532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60" w:hanging="252"/>
        <w:spacing w:after="0" w:line="302"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25 for additional information, including our definition and our use of Adjusted EBITDA, and for a reconciliation from net income attributable to Comcast Corporation to Adjusted EBITDA.</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increased for the three months ended March 31, 2026 compared to the same period in 2025 primarily due to increases in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Content &amp; Experiences business and in Corporate and Other, partially offset by a decrease due to the Separation in 2026 and a decrease in the Connectivity</w:t>
      </w:r>
    </w:p>
    <w:p>
      <w:pPr>
        <w:spacing w:after="0" w:line="1" w:lineRule="exact"/>
        <w:rPr>
          <w:sz w:val="20"/>
          <w:szCs w:val="20"/>
          <w:color w:val="auto"/>
        </w:rPr>
      </w:pPr>
    </w:p>
    <w:p>
      <w:pPr>
        <w:ind w:firstLine="8"/>
        <w:spacing w:after="0" w:line="260" w:lineRule="auto"/>
        <w:tabs>
          <w:tab w:leader="none" w:pos="1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Platforms business. Consolidated revenue for the three months ended March 31, 2025 includes the results of Versant. Revenue for our segments and other businesses is discussed separately below under the heading “Segment Operating Results.”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increased for the three months ended March 31, 2026 compared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to the same period in 2025 primarily due to increases in the Content &amp; Experiences business, in Corporate and Other and in the Connectivity and Platforms business, partially offset by a decrease due to the Separation in 2026. Consolidated costs and expenses for the three months ended March 31, 2025 includes the results of Versant.</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for our segments and our corporate operations and other businesses are discussed separately below under the heading “Segment Operating Results.”</w:t>
      </w:r>
    </w:p>
    <w:p>
      <w:pPr>
        <w:spacing w:after="0" w:line="53"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remained consistent with the prior year period for the three months ended March 31, 2026</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primarily driven by increased depreciation due to the opening of Epic Universe in May 2025 and impairments of certain long-lived assets in the current year period, partially offset by lower amortization of customer relationships and other agreements and rights due to the Separation.</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$528 million and $789 million for the three months ended March 31, 2026 and 2025, respectively. Amounts primarily relate to intangible assets, including customer relationships and other agreements and rights, recorded in connection with the Sky transaction in 2018 and the NBCUniversal transaction in 2011.</w:t>
      </w:r>
    </w:p>
    <w:p>
      <w:pPr>
        <w:spacing w:after="0" w:line="67"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for the three months ended March 31, 2026 compared to the same period in 2025 primarily due to decreases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capitalized interest driven by the opening of Epic Universe.</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decreased for the three months ended March 31, 2026 compared to the same period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3"/>
          </w:tcPr>
          <w:p>
            <w:pPr>
              <w:jc w:val="right"/>
              <w:ind w:right="614"/>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(391)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0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(309)</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for the three months ended March 31, 2026 compared to the same period in 2025 was primarily due to our investment in Atairos. The income (losses) at Atairos were driven by fair value adjustments on its underlying investments with income (loss) of $(335) million and $(169) million for the three months ended March 31, 2026 and 2025,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March 31, 2026 was primarily due to higher net unrealized losses on nonmarketable securities in the prior year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for the three months ended March 31, 2026 primarily resulted from foreign exchange remeasurement gains in the prior year period.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months ended March 31, 2026 and 2025 reflects an effective income tax rate that differs from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federal statutory rate due to state and foreign income taxes and adjustments associated with uncertain tax positions. The decrease in income tax expense for the three months ended March 31, 2026 compared to the same period in 2025 was primarily driven by lower domestic income before income taxes.</w:t>
      </w:r>
    </w:p>
    <w:p>
      <w:pPr>
        <w:spacing w:after="0" w:line="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changed for the three months ended March 31, 2026 compared to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same period in 2025 primarily due to our regional sports networks and Universal Beijing Resort.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gridSpan w:val="3"/>
          </w:tcPr>
          <w:p>
            <w:pPr>
              <w:jc w:val="right"/>
              <w:ind w:right="732"/>
              <w:spacing w:after="0"/>
              <w:rPr>
                <w:sz w:val="20"/>
                <w:szCs w:val="20"/>
                <w:color w:val="auto"/>
              </w:rPr>
            </w:pPr>
            <w:r>
              <w:rPr>
                <w:rFonts w:ascii="Times New Roman" w:cs="Times New Roman" w:eastAsia="Times New Roman" w:hAnsi="Times New Roman"/>
                <w:sz w:val="14"/>
                <w:szCs w:val="14"/>
                <w:color w:val="auto"/>
              </w:rPr>
              <w:t>Three Months Ended</w:t>
            </w:r>
          </w:p>
        </w:tc>
        <w:tc>
          <w:tcPr>
            <w:tcW w:w="11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Change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6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(b)</w:t>
            </w:r>
          </w:p>
        </w:tc>
        <w:tc>
          <w:tcPr>
            <w:tcW w:w="0" w:type="dxa"/>
            <w:vAlign w:val="bottom"/>
          </w:tcPr>
          <w:p>
            <w:pPr>
              <w:spacing w:after="0"/>
              <w:rPr>
                <w:sz w:val="1"/>
                <w:szCs w:val="1"/>
                <w:color w:val="auto"/>
              </w:rPr>
            </w:pPr>
          </w:p>
        </w:tc>
      </w:tr>
      <w:tr>
        <w:trPr>
          <w:trHeight w:val="190"/>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17,323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17,665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2,640</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2,496</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19,962</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20,161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6,434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6,842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1,476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1,422</w:t>
            </w:r>
          </w:p>
        </w:tc>
        <w:tc>
          <w:tcPr>
            <w:tcW w:w="11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7,910</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8,264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37.1 %</w:t>
            </w:r>
          </w:p>
        </w:tc>
        <w:tc>
          <w:tcPr>
            <w:tcW w:w="360" w:type="dxa"/>
            <w:vAlign w:val="bottom"/>
          </w:tcPr>
          <w:p>
            <w:pPr>
              <w:spacing w:after="0"/>
              <w:rPr>
                <w:sz w:val="19"/>
                <w:szCs w:val="19"/>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38.7 %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bps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bps</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55.9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57.0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bps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bps</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w w:val="99"/>
              </w:rPr>
              <w:t>39.6 %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41.0 %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 bps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bps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25 for additional information, including our definition and our use of constant currency, and for a reconciliation of constant currency amounts.</w:t>
      </w: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residential and business passings. Our customer relationship additions/(losses) continue to be negatively impacted by an increasingly competitive environment. We are focused on increasing our residential connectivity revenue. In 2025, we simplified our broadband pricing structure and began offering a free wireless line for one year to new and existing domestic broadband customers, which we expect will improve customer retention and strengthen our ability to compete for new customers, but will negatively impact average domestic broadband revenue per customer. We also expect continued declines in video revenue as a result of domestic customer net losses due to shifting video consumption patterns and the competitive environment, although customer net losses typically mitigate the impact of continued rate increases on programming expenses, as well as continued declines in other revenue related to declines in wireline voice revenue. We are also focused on growing our Business Services Connectivity segment revenue by offering competitive services, including enterprise solutions, and driving higher adoption of our advanced solutions.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Net Additions / (Losses)</w:t>
            </w: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880" w:type="dxa"/>
            <w:vAlign w:val="bottom"/>
          </w:tcPr>
          <w:p>
            <w:pPr>
              <w:spacing w:after="0"/>
              <w:rPr>
                <w:sz w:val="11"/>
                <w:szCs w:val="1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00" w:type="dxa"/>
            <w:vAlign w:val="bottom"/>
          </w:tcPr>
          <w:p>
            <w:pPr>
              <w:spacing w:after="0"/>
              <w:rPr>
                <w:sz w:val="11"/>
                <w:szCs w:val="11"/>
                <w:color w:val="auto"/>
              </w:rPr>
            </w:pPr>
          </w:p>
        </w:tc>
        <w:tc>
          <w:tcPr>
            <w:tcW w:w="20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2"/>
        </w:trPr>
        <w:tc>
          <w:tcPr>
            <w:tcW w:w="688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4"/>
                <w:szCs w:val="14"/>
                <w:color w:val="auto"/>
              </w:rPr>
              <w:t>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rPr>
              <w:t>2026</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13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2026</w:t>
            </w:r>
          </w:p>
        </w:tc>
        <w:tc>
          <w:tcPr>
            <w:tcW w:w="6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Residential Connectivity &amp; Platforms Customer Relationships</w:t>
            </w:r>
            <w:r>
              <w:rPr>
                <w:rFonts w:ascii="Times New Roman" w:cs="Times New Roman" w:eastAsia="Times New Roman" w:hAnsi="Times New Roman"/>
                <w:sz w:val="23"/>
                <w:szCs w:val="23"/>
                <w:b w:val="1"/>
                <w:bCs w:val="1"/>
                <w:color w:val="auto"/>
                <w:vertAlign w:val="superscript"/>
              </w:rPr>
              <w:t>(a)</w:t>
            </w: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Residential Connectivity &amp; Platforms customer relationships</w:t>
            </w: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30,345</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30,969</w:t>
            </w: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 relationships</w:t>
            </w:r>
            <w:r>
              <w:rPr>
                <w:rFonts w:ascii="Times New Roman" w:cs="Times New Roman" w:eastAsia="Times New Roman" w:hAnsi="Times New Roman"/>
                <w:sz w:val="23"/>
                <w:szCs w:val="23"/>
                <w:color w:val="auto"/>
                <w:vertAlign w:val="superscript"/>
              </w:rPr>
              <w:t>(b)</w:t>
            </w:r>
          </w:p>
        </w:tc>
        <w:tc>
          <w:tcPr>
            <w:tcW w:w="154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17,603</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17,674</w:t>
            </w:r>
          </w:p>
        </w:tc>
        <w:tc>
          <w:tcPr>
            <w:tcW w:w="13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Residential Connectivity &amp; Platforms customer relationships</w:t>
            </w:r>
            <w:r>
              <w:rPr>
                <w:rFonts w:ascii="Times New Roman" w:cs="Times New Roman" w:eastAsia="Times New Roman" w:hAnsi="Times New Roman"/>
                <w:sz w:val="23"/>
                <w:szCs w:val="23"/>
                <w:color w:val="auto"/>
                <w:vertAlign w:val="superscript"/>
              </w:rPr>
              <w:t>(b)</w:t>
            </w: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47,948</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48,643</w:t>
            </w:r>
          </w:p>
        </w:tc>
        <w:tc>
          <w:tcPr>
            <w:tcW w:w="13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Residential Broadband</w:t>
            </w: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broadband residential customers</w:t>
            </w: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28,654</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29,190</w:t>
            </w: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Domestic residential passings</w:t>
            </w:r>
            <w:r>
              <w:rPr>
                <w:rFonts w:ascii="Times New Roman" w:cs="Times New Roman" w:eastAsia="Times New Roman" w:hAnsi="Times New Roman"/>
                <w:sz w:val="23"/>
                <w:szCs w:val="23"/>
                <w:color w:val="auto"/>
                <w:vertAlign w:val="superscript"/>
              </w:rPr>
              <w:t>(c)</w:t>
            </w:r>
          </w:p>
        </w:tc>
        <w:tc>
          <w:tcPr>
            <w:tcW w:w="154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59,164</w:t>
            </w:r>
          </w:p>
        </w:tc>
        <w:tc>
          <w:tcPr>
            <w:tcW w:w="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58,063</w:t>
            </w: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Domestic broadband residential penetration of residential passings</w:t>
            </w:r>
            <w:r>
              <w:rPr>
                <w:rFonts w:ascii="Times New Roman" w:cs="Times New Roman" w:eastAsia="Times New Roman" w:hAnsi="Times New Roman"/>
                <w:sz w:val="23"/>
                <w:szCs w:val="23"/>
                <w:color w:val="auto"/>
                <w:vertAlign w:val="superscript"/>
              </w:rPr>
              <w:t>(d)</w:t>
            </w:r>
          </w:p>
        </w:tc>
        <w:tc>
          <w:tcPr>
            <w:tcW w:w="15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48.4 %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Domestic wireless lines</w:t>
            </w:r>
            <w:r>
              <w:rPr>
                <w:rFonts w:ascii="Times New Roman" w:cs="Times New Roman" w:eastAsia="Times New Roman" w:hAnsi="Times New Roman"/>
                <w:sz w:val="23"/>
                <w:szCs w:val="23"/>
                <w:color w:val="auto"/>
                <w:vertAlign w:val="superscript"/>
              </w:rPr>
              <w:t>(e)</w:t>
            </w: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9,739</w:t>
            </w: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8,148</w:t>
            </w:r>
          </w:p>
        </w:tc>
        <w:tc>
          <w:tcPr>
            <w:tcW w:w="13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435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Domestic video customers</w:t>
            </w:r>
          </w:p>
        </w:tc>
        <w:tc>
          <w:tcPr>
            <w:tcW w:w="15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10,948</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12,096</w:t>
            </w:r>
          </w:p>
        </w:tc>
        <w:tc>
          <w:tcPr>
            <w:tcW w:w="13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8"/>
                <w:szCs w:val="18"/>
                <w:color w:val="auto"/>
              </w:rPr>
              <w:t>(322)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81"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reflect a mix of customers at various tiers.</w:t>
      </w:r>
    </w:p>
    <w:p>
      <w:pPr>
        <w:spacing w:after="0" w:line="42" w:lineRule="exact"/>
        <w:rPr>
          <w:sz w:val="20"/>
          <w:szCs w:val="20"/>
          <w:color w:val="auto"/>
        </w:rPr>
      </w:pPr>
    </w:p>
    <w:p>
      <w:pPr>
        <w:jc w:val="both"/>
        <w:ind w:left="260" w:hanging="252"/>
        <w:spacing w:after="0" w:line="295" w:lineRule="auto"/>
        <w:tabs>
          <w:tab w:leader="none" w:pos="25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Residential Connectivity &amp; Platforms customer relationships and International Residential Connectivity &amp; Platforms customer relationships were updated in the first quarter of 2026 due to a conforming change in methodology, resulting in a decrease of 125,000 customers. There was no impact to net additions and information for the prior period has been recast on a comparable basis.</w:t>
      </w:r>
    </w:p>
    <w:p>
      <w:pPr>
        <w:spacing w:after="0" w:line="171" w:lineRule="exact"/>
        <w:rPr>
          <w:rFonts w:ascii="Times New Roman" w:cs="Times New Roman" w:eastAsia="Times New Roman" w:hAnsi="Times New Roman"/>
          <w:sz w:val="14"/>
          <w:szCs w:val="14"/>
          <w:color w:val="auto"/>
        </w:rPr>
      </w:pPr>
    </w:p>
    <w:p>
      <w:pPr>
        <w:ind w:left="260" w:hanging="252"/>
        <w:spacing w:after="0" w:line="281"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residential passings are considered passed if we can connect them to our network in the United States without further extending the transmission lines. The number of residential passings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broadband residential customers located within our network by the number of domestic residential passings.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4"/>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08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Change</w:t>
            </w:r>
          </w:p>
        </w:tc>
        <w:tc>
          <w:tcPr>
            <w:tcW w:w="94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Change</w:t>
            </w:r>
            <w:r>
              <w:rPr>
                <w:rFonts w:ascii="Times New Roman" w:cs="Times New Roman" w:eastAsia="Times New Roman" w:hAnsi="Times New Roman"/>
                <w:sz w:val="9"/>
                <w:szCs w:val="9"/>
                <w:color w:val="auto"/>
              </w:rPr>
              <w:t>(g)</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3,787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4,107</w:t>
            </w: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(7.8)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1,968</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1,935</w:t>
            </w:r>
          </w:p>
        </w:tc>
        <w:tc>
          <w:tcPr>
            <w:tcW w:w="1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1,962</w:t>
            </w:r>
          </w:p>
        </w:tc>
        <w:tc>
          <w:tcPr>
            <w:tcW w:w="3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1,625</w:t>
            </w: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20.7</w:t>
            </w: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1,337</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1,242</w:t>
            </w:r>
          </w:p>
        </w:tc>
        <w:tc>
          <w:tcPr>
            <w:tcW w:w="10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0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676</w:t>
            </w:r>
          </w:p>
        </w:tc>
        <w:tc>
          <w:tcPr>
            <w:tcW w:w="360" w:type="dxa"/>
            <w:vAlign w:val="bottom"/>
          </w:tcPr>
          <w:p>
            <w:pPr>
              <w:spacing w:after="0"/>
              <w:rPr>
                <w:sz w:val="19"/>
                <w:szCs w:val="19"/>
                <w:color w:val="auto"/>
              </w:rPr>
            </w:pP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682</w:t>
            </w:r>
          </w:p>
        </w:tc>
        <w:tc>
          <w:tcPr>
            <w:tcW w:w="1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2,323</w:t>
            </w: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2,305</w:t>
            </w:r>
          </w:p>
        </w:tc>
        <w:tc>
          <w:tcPr>
            <w:tcW w:w="10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12,052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11,897</w:t>
            </w: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1.3 %</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1"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spacing w:after="0" w:line="8" w:lineRule="exact"/>
        <w:rPr>
          <w:rFonts w:ascii="Times New Roman" w:cs="Times New Roman" w:eastAsia="Times New Roman" w:hAnsi="Times New Roman"/>
          <w:sz w:val="14"/>
          <w:szCs w:val="14"/>
          <w:color w:val="auto"/>
        </w:rPr>
      </w:pPr>
    </w:p>
    <w:p>
      <w:pPr>
        <w:ind w:left="260" w:hanging="252"/>
        <w:spacing w:after="0" w:line="281"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81" w:lineRule="auto"/>
        <w:tabs>
          <w:tab w:leader="none" w:pos="2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 of the costs associated with attracting new customers and promoting our service offerings.</w:t>
      </w:r>
    </w:p>
    <w:p>
      <w:pPr>
        <w:spacing w:after="0" w:line="55"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 of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jc w:val="both"/>
        <w:ind w:left="260" w:hanging="252"/>
        <w:spacing w:after="0" w:line="275" w:lineRule="auto"/>
        <w:tabs>
          <w:tab w:leader="none" w:pos="2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 of administrative personnel costs; franchise and other regulatory fees; fees paid to third parties where we are acting as the principal in the advertising representation arrangement; bad debt; building and office expenses, taxes and billing costs; and other business, headquarters and support costs necessary to operate the Connectivity &amp; Platforms business.</w:t>
      </w:r>
    </w:p>
    <w:p>
      <w:pPr>
        <w:ind w:left="260" w:hanging="252"/>
        <w:spacing w:after="0" w:line="302" w:lineRule="auto"/>
        <w:tabs>
          <w:tab w:leader="none" w:pos="2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25 for additional information, including our definition and our use of constant currency, and for a reconciliation of constant currency amounts.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vMerge w:val="restart"/>
          </w:tcPr>
          <w:p>
            <w:pPr>
              <w:jc w:val="right"/>
              <w:ind w:right="472"/>
              <w:spacing w:after="0"/>
              <w:rPr>
                <w:sz w:val="20"/>
                <w:szCs w:val="20"/>
                <w:color w:val="auto"/>
              </w:rPr>
            </w:pPr>
            <w:r>
              <w:rPr>
                <w:rFonts w:ascii="Times New Roman" w:cs="Times New Roman" w:eastAsia="Times New Roman" w:hAnsi="Times New Roman"/>
                <w:sz w:val="14"/>
                <w:szCs w:val="14"/>
                <w:color w:val="auto"/>
              </w:rPr>
              <w:t>Three Months Ended</w:t>
            </w:r>
          </w:p>
        </w:tc>
        <w:tc>
          <w:tcPr>
            <w:tcW w:w="1100" w:type="dxa"/>
            <w:vAlign w:val="bottom"/>
          </w:tcPr>
          <w:p>
            <w:pPr>
              <w:spacing w:after="0"/>
              <w:rPr>
                <w:sz w:val="13"/>
                <w:szCs w:val="13"/>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4"/>
                <w:szCs w:val="14"/>
                <w:color w:val="auto"/>
              </w:rPr>
              <w:t>Constant</w:t>
            </w:r>
          </w:p>
        </w:tc>
        <w:tc>
          <w:tcPr>
            <w:tcW w:w="0" w:type="dxa"/>
            <w:vAlign w:val="bottom"/>
          </w:tcPr>
          <w:p>
            <w:pPr>
              <w:spacing w:after="0"/>
              <w:rPr>
                <w:sz w:val="1"/>
                <w:szCs w:val="1"/>
                <w:color w:val="auto"/>
              </w:rPr>
            </w:pPr>
          </w:p>
        </w:tc>
      </w:tr>
      <w:tr>
        <w:trPr>
          <w:trHeight w:val="145"/>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1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color w:val="auto"/>
              </w:rPr>
              <w:t>Change</w:t>
            </w:r>
          </w:p>
        </w:tc>
        <w:tc>
          <w:tcPr>
            <w:tcW w:w="98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4"/>
                <w:szCs w:val="14"/>
                <w:color w:val="auto"/>
              </w:rPr>
              <w:t>Currency</w:t>
            </w: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tcPr>
          <w:p>
            <w:pPr>
              <w:jc w:val="center"/>
              <w:ind w:right="34"/>
              <w:spacing w:after="0" w:line="201"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2"/>
              <w:spacing w:after="0" w:line="196" w:lineRule="exact"/>
              <w:rPr>
                <w:sz w:val="20"/>
                <w:szCs w:val="20"/>
                <w:color w:val="auto"/>
              </w:rPr>
            </w:pPr>
            <w:r>
              <w:rPr>
                <w:rFonts w:ascii="Times New Roman" w:cs="Times New Roman" w:eastAsia="Times New Roman" w:hAnsi="Times New Roman"/>
                <w:sz w:val="14"/>
                <w:szCs w:val="14"/>
                <w:color w:val="auto"/>
                <w:w w:val="95"/>
              </w:rPr>
              <w:t>2025</w:t>
            </w:r>
            <w:r>
              <w:rPr>
                <w:rFonts w:ascii="Times New Roman" w:cs="Times New Roman" w:eastAsia="Times New Roman" w:hAnsi="Times New Roman"/>
                <w:sz w:val="18"/>
                <w:szCs w:val="18"/>
                <w:color w:val="auto"/>
                <w:w w:val="95"/>
                <w:vertAlign w:val="superscript"/>
              </w:rPr>
              <w:t>(b)</w:t>
            </w: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6,338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6,679</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 service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977</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6"/>
                <w:szCs w:val="16"/>
                <w:color w:val="auto"/>
              </w:rPr>
              <w:t>850</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convergence revenue</w:t>
            </w:r>
          </w:p>
        </w:tc>
        <w:tc>
          <w:tcPr>
            <w:tcW w:w="2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7,315</w:t>
            </w:r>
          </w:p>
        </w:tc>
        <w:tc>
          <w:tcPr>
            <w:tcW w:w="3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7,529</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 equipment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273</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52.9</w:t>
            </w:r>
          </w:p>
        </w:tc>
        <w:tc>
          <w:tcPr>
            <w:tcW w:w="9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1,240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1,132</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8,973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8,933</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2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6,256</w:t>
            </w:r>
          </w:p>
        </w:tc>
        <w:tc>
          <w:tcPr>
            <w:tcW w:w="340" w:type="dxa"/>
            <w:vAlign w:val="bottom"/>
          </w:tcPr>
          <w:p>
            <w:pPr>
              <w:spacing w:after="0"/>
              <w:rPr>
                <w:sz w:val="19"/>
                <w:szCs w:val="19"/>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6,600</w:t>
            </w:r>
          </w:p>
        </w:tc>
        <w:tc>
          <w:tcPr>
            <w:tcW w:w="1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899</w:t>
            </w:r>
          </w:p>
        </w:tc>
        <w:tc>
          <w:tcPr>
            <w:tcW w:w="11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5.8</w:t>
            </w:r>
          </w:p>
        </w:tc>
        <w:tc>
          <w:tcPr>
            <w:tcW w:w="9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1,233</w:t>
            </w: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17,323</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17,665</w:t>
            </w: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(1.9)</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4,107</w:t>
            </w:r>
          </w:p>
        </w:tc>
        <w:tc>
          <w:tcPr>
            <w:tcW w:w="1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7,102</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6,716</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5.7</w:t>
            </w:r>
          </w:p>
        </w:tc>
        <w:tc>
          <w:tcPr>
            <w:tcW w:w="9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10,889</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10,823</w:t>
            </w: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6,434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6,842</w:t>
            </w: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(6.0)%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0" w:hanging="252"/>
        <w:spacing w:after="0" w:line="281" w:lineRule="auto"/>
        <w:tabs>
          <w:tab w:leader="none" w:pos="25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25 for additional information, including our definition and our use of constant currency, and for a reconciliation of constant currency amounts.</w:t>
      </w:r>
    </w:p>
    <w:p>
      <w:pPr>
        <w:spacing w:after="0" w:line="1" w:lineRule="exact"/>
        <w:rPr>
          <w:rFonts w:ascii="Times New Roman" w:cs="Times New Roman" w:eastAsia="Times New Roman" w:hAnsi="Times New Roman"/>
          <w:sz w:val="14"/>
          <w:szCs w:val="14"/>
          <w:color w:val="auto"/>
        </w:rPr>
      </w:pPr>
    </w:p>
    <w:p>
      <w:pPr>
        <w:jc w:val="both"/>
        <w:ind w:left="260" w:hanging="252"/>
        <w:spacing w:after="0" w:line="281" w:lineRule="auto"/>
        <w:tabs>
          <w:tab w:leader="none" w:pos="25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2026, commission revenue from the sale of certain DTC streaming services is presented in domestic broadband revenue or video revenue based on whether a customer is entitled to receive the DTC streaming service through a broadband or video service offering. Domestic broadband revenue also includes revenue from streaming devices available to our broadband customers. Previously, all of these amounts were in video revenue. Prior periods have been reclassified to reflect the current year presentation.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primarily consists of revenue from sales of broadband services to residential customers in the United States, including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equipment and installation sales. Domestic broadband revenue also includes commission revenue from the sale of DTC streaming services that a customer is entitled to receive through a broadband service offering, as well as revenue from streaming devices available to our broadband customers.</w:t>
      </w:r>
    </w:p>
    <w:p>
      <w:pPr>
        <w:spacing w:after="0" w:line="1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Domestic broadband revenue decreased for the three months ended March 31, 2026 compared to the same period in 2025 due to a decrease in average rates and a decline in the number of domestic broadband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Domestic wireless service revenue </w:t>
      </w:r>
      <w:r>
        <w:rPr>
          <w:rFonts w:ascii="Times New Roman" w:cs="Times New Roman" w:eastAsia="Times New Roman" w:hAnsi="Times New Roman"/>
          <w:sz w:val="18"/>
          <w:szCs w:val="18"/>
          <w:color w:val="auto"/>
        </w:rPr>
        <w:t>primarily consists of revenue from sales of wireless services to residential customers in the United States.</w:t>
      </w:r>
    </w:p>
    <w:p>
      <w:pPr>
        <w:spacing w:after="0" w:line="6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Domestic wireless service revenue increased for the three months ended March 31, 2026 compared to the same period in 2025 due to an increase in the number of customer lines.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Domestic wireless equipment revenue </w:t>
      </w:r>
      <w:r>
        <w:rPr>
          <w:rFonts w:ascii="Times New Roman" w:cs="Times New Roman" w:eastAsia="Times New Roman" w:hAnsi="Times New Roman"/>
          <w:sz w:val="18"/>
          <w:szCs w:val="18"/>
          <w:color w:val="auto"/>
        </w:rPr>
        <w:t>primarily consists of revenue from sales of wireless devices, including handsets, tablets and smart watches,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customers in the United States.</w:t>
      </w:r>
    </w:p>
    <w:p>
      <w:pPr>
        <w:spacing w:after="0" w:line="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Domestic wireless equipment revenue increased for the three months ended March 31, 2026 compared to the same period in 2025 due to an increase in the number of device sales.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primarily consists of revenue from sales of broadband services, including equipment and installation services,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wireless services and wireless devices to residential customers in the United Kingdom and Italy.</w:t>
      </w:r>
    </w:p>
    <w:p>
      <w:pPr>
        <w:spacing w:after="0" w:line="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connectivity revenue increased for the three months ended March 31, 2026 compared to the same period in 2025 primarily due to the positive impact of foreign currency and an increase in broadband revenue resulting from an increase in average rates.</w:t>
      </w:r>
    </w:p>
    <w:p>
      <w:pPr>
        <w:spacing w:after="0" w:line="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primarily consists of revenue from sales of video services to residential and business customers across the Connectivity &amp; Platforms</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markets, including equipment and installation services. Video revenue includes pay-per-view and other transactional revenue and franchise fees, and revenue from sales of certain hardware, including Sky Glass smart televisions. Video revenue also includes commission revenue from the sale of DTC streaming services that a customer is entitled to receive through a video service offering.</w:t>
      </w:r>
    </w:p>
    <w:p>
      <w:pPr>
        <w:spacing w:after="0" w:line="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 decreased for the three months ended March 31, 2026 compared to the same period in 2025 primarily due to a decline in the overall number of video customers, partially offset by the positive impact of foreign currency.</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primarily consists of revenue from the sale of advertising across our platforms in the Connectivity &amp; Platforms markets, including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advertising as part of our distribution agreements with cable networks in the United States, and advertising on Sky-branded entertainment television networks and on our digital properties. Advertising also includes revenue where we enter into representation agreements under which we sell advertising on behalf of third parties and from our advanced advertising businesses.</w:t>
      </w:r>
    </w:p>
    <w:p>
      <w:pPr>
        <w:spacing w:after="0" w:line="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revenue increased for the three months ended March 31, 2026 compared to the same period in 2025 primarily due to an increase in revenue from our advanced advertising business, the positive impact from foreign currency and higher domestic political advertising.</w:t>
      </w:r>
    </w:p>
    <w:p>
      <w:pPr>
        <w:spacing w:after="0" w:line="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primarily consists of revenue in the Connectivity &amp; Platforms markets from sales of wireline voice services to residential customers; our</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residential security and automation services businesses; the licensing of our technology platforms to other multichannel video providers; the distribution of certain of our Sky-branded entertainment television networks to third-party video service providers; commissions from electronic retailing networks; and certain billing and collection fees.</w:t>
      </w:r>
    </w:p>
    <w:p>
      <w:pPr>
        <w:spacing w:after="0" w:line="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decreased for the three months ended March 31, 2026 compared to the same period in 2025 primarily due to a decrease in residential wireline voice revenue driven by a decline in the number of customers.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months ended March 31, 2026 compared to the same period in 2025 primarily due to a decline in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domestic video subscribers, partially offset by the impact of foreign currency.</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increased for the three months ended March 31, 2026 compared to the same period in 2025 primarily due to increased direct product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the impact of foreign currency and increased spending on marketing and promotion.</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color w:val="auto"/>
              </w:rPr>
              <w:t>Three Months Ended</w:t>
            </w:r>
          </w:p>
        </w:tc>
        <w:tc>
          <w:tcPr>
            <w:tcW w:w="11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2,640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2,496</w:t>
            </w:r>
          </w:p>
        </w:tc>
        <w:tc>
          <w:tcPr>
            <w:tcW w:w="1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1,163</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1,074</w:t>
            </w:r>
          </w:p>
        </w:tc>
        <w:tc>
          <w:tcPr>
            <w:tcW w:w="1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1,476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1,422</w:t>
            </w:r>
          </w:p>
        </w:tc>
        <w:tc>
          <w:tcPr>
            <w:tcW w:w="11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3.8 %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months ended March 31, 2026 compared to the same period in 2025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an increase in revenue from enterprise solutions offerings, including the results from Nitel, which was acquired in April 2025.</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months ended March 31, 2026 compared to the same period in 2025</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direct product costs, which include the results from Nitel, and an increase in marketing and promotion expenses.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color w:val="auto"/>
              </w:rPr>
              <w:t>2025</w:t>
            </w: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4,527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2,826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8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1,876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(694)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11,940</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8,546</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39.7 %</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8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413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614</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both paid subscribers and advertising revenue at Peacock. We expect to continue to incur significant costs related to content and marketing at Peacock. Revenue and programming expenses are also impacted by the timing of certain sporting events, including the Milan Cortina Olympics and Super Bowl in the first quarter of 2026 and the NBA season beginning in the fourth quarter of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the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opened in May 2025, as well as in new destinations and experiences, including a Universal theme park and resort in the United Kingdom with a projected opening date in 2031, subject to various approvals.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1,667</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4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1,148</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244</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7,280</w:t>
            </w:r>
          </w:p>
        </w:tc>
        <w:tc>
          <w:tcPr>
            <w:tcW w:w="4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4,527</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60.8</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40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3,283</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306</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830</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4,420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107</w:t>
            </w: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for the three months ended March 31, 2026 compared to the same period in 2025 primarily due to the Milan Cortina Olympics and Super Bowl in the first quarter of 2026. Excluding incremental revenue associated with these events, revenue for the three months ended March 31, 2026 increased primarily due to increases in domestic distribution, international networks and domestic advertising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4,527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60.8 %</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 and Super Bowl</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34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revenue, excluding Olympics and Super Bowl</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5,102</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4,527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12.7 %</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domestic advertising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1,468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135.3 %</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Olympics and Super Bowl</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advertising revenue, excluding Olympics and Super Bowl</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1,536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1,468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4.7 %</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distribution 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2,283</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1,667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37.0 %</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Olympics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4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Domestic distribution revenue, excluding Olympics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2,021</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1,667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21.3 %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7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primarily consists of revenue generated from sales of advertising on our linear television networks operating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predominantly in the United States and on Peacock.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Domestic advertising revenue increased for the three months ended March 31, 2026 compared to the same period in 2025 primarily due to the Milan Cortina Olympics and Super Bowl in the first quarter of 2026. Excluding the incremental revenue associated with these events, domestic advertising revenue increased for the three months ended March 31, 2026 primarily due to an increase in revenue at Peacock, partially offset by a decrease in revenue at our linear television networks.</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primarily consists of revenue generated from Peacock subscription fees and from the distribution of our television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networks operating predominantly in the United States to traditional and virtual multichannel video providers, and from NBC-affiliated and Telemundo-affiliated local broadcast television stations.</w:t>
      </w:r>
    </w:p>
    <w:p>
      <w:pPr>
        <w:spacing w:after="0" w:line="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Domestic distribution revenue increased for the three months ended March 31, 2026 compared to the same period in 2025, including the impact of the Milan Cortina Olympics in the first quarter of 2026. Excluding the incremental revenue associated with this event, domestic distribution revenue increased for the three months ended March 31, 2026 primarily due to an increase in revenue at Peacock driven by an increase in paid subscribers and higher average rates compared to the prior year period, partially offset by a decrease in revenue at our linear television networks. The decrease at our linear television networks was primarily due to a decline in the number of subscribers, partially offset by contractual rate increases.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primarily consists of revenue generated by our networks operating predominantly outside the United States, including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Sky Sports networks in the United Kingdom and Italy. This revenue primarily results from the distribution of our television networks to traditional and virtual multichannel video providers and other platforms, as well as sales of advertising. A significant portion of this revenue comes from the Residential Connectivity &amp; Platforms segment.</w:t>
      </w:r>
    </w:p>
    <w:p>
      <w:pPr>
        <w:spacing w:after="0" w:line="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International networks revenue increased for the three months ended March 31, 2026 compared to the same period in 2025 primarily due to the positive impact of foreign currency.</w:t>
      </w:r>
    </w:p>
    <w:p>
      <w:pPr>
        <w:spacing w:after="0" w:line="5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primarily consists of revenue generated from the licensing of our owned content and revenue generated from the commission earned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our commercial services agreement with Versant.</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Media segment total revenue included $2.1 billion related to Peacock for the three months ended March 31, 2026, including amounts related to the Milan Cortina Olympics and Super Bowl. Media segment total revenue included $1.2 billion related to Peacock for the three months ended March 31, 2025. Peacock revenue includes advertising, distribution and other revenue for our Peacock DTC streaming service, as well as distribution and advertising revenue from NBC Sports Network due to shared programming. We had 46 million and 41 million paid subscribers of Peacock as of March 31, 2026 and 2025, respectively. Peacock paid subscribers represent customers from which we recognize distribution revenue from the Peacock service,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primarily consists of the amortization of owned and licensed content, including sports rights, direct production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costs, production overhead, on-air talent costs and costs associated with the distribution of our television networks to multichannel video providers.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increased for the three months ended March 31, 2026 compared to the same period in 2025 primarily due to costs associated with the Milan Cortina Olympics and Super Bowl and an increase due to the impact of NBA rights in the current year period.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primarily consists of the costs associated with promoting Peacock and our television networks.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Marketing and promotion expenses increased for the three months ended March 31, 2026 compared to the same period in 2025 primarily due to higher costs related to marketing for Peacock and higher costs associated with the Milan Cortina Olympics.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primarily consists of salaries, employee benefits, rent and other overhead expenses.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increased for the three months ended March 31, 2026 compared to the same period in 2025 primarily due to an increase in costs related to the Milan Cortina Olympics and Super Bowl and an increase in costs related to Peacock.</w:t>
      </w:r>
    </w:p>
    <w:p>
      <w:pPr>
        <w:spacing w:after="0" w:line="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Media segment total costs and expenses included $2.5 billion related to Peacock for the three months ended March 31, 2026, including amounts related to the Milan Cortina Olympics and Super Bowl. Media segment total costs and expenses included $1.4 billion related to Peacock for the three months ended March 31, 2025.</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2025</w:t>
            </w: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2,174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286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366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2,826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2,552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274</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increased for the three months ended March 31, 2026 compared to the same period in 2025 primarily due to the timing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when content was made available by our television studios under licensing agreements, mostly driven by a renewed licensing agreement for content exclusively available for streaming on Peacock in the current year period.</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decreased for the three months ended March 31, 2026 compared to the same period in 2025 primarily due to higher revenue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releases impacting the prior year period, including </w:t>
      </w:r>
      <w:r>
        <w:rPr>
          <w:rFonts w:ascii="Times New Roman" w:cs="Times New Roman" w:eastAsia="Times New Roman" w:hAnsi="Times New Roman"/>
          <w:sz w:val="18"/>
          <w:szCs w:val="18"/>
          <w:i w:val="1"/>
          <w:iCs w:val="1"/>
          <w:color w:val="auto"/>
        </w:rPr>
        <w:t>Dog 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Nosferatu</w:t>
      </w:r>
      <w:r>
        <w:rPr>
          <w:rFonts w:ascii="Times New Roman" w:cs="Times New Roman" w:eastAsia="Times New Roman" w:hAnsi="Times New Roman"/>
          <w:sz w:val="18"/>
          <w:szCs w:val="18"/>
          <w:color w:val="auto"/>
        </w:rPr>
        <w:t>, compared to revenue from recent releases impacting the current year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months ended March 31, 2026 compared to the same period in 2025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costs associated with the renewed licensing agreement for content exclusively available for streaming on Peacock.</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months ended March 31, 2026 compared to the same period in 2025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decreased spending on recent and upcoming theatrical film releases in the current year period.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1,876</w:t>
            </w:r>
          </w:p>
        </w:tc>
        <w:tc>
          <w:tcPr>
            <w:tcW w:w="1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1,463</w:t>
            </w:r>
          </w:p>
        </w:tc>
        <w:tc>
          <w:tcPr>
            <w:tcW w:w="10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413</w:t>
            </w:r>
          </w:p>
        </w:tc>
        <w:tc>
          <w:tcPr>
            <w:tcW w:w="1200" w:type="dxa"/>
            <w:vAlign w:val="bottom"/>
            <w:tcBorders>
              <w:bottom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33.3 %</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increased for the three months ended March 31, 2026 compared to the same period in 2025 due to higher revenue at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our theme parks in Orlando driven by the opening of Epic Universe in May 2025.</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increased for the three months ended March 31, 2026 compared to the same period in 2025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due to operating costs associated with Epic Universe.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206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(195)</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395" w:lineRule="auto"/>
        <w:rPr>
          <w:sz w:val="20"/>
          <w:szCs w:val="20"/>
          <w:color w:val="auto"/>
        </w:rPr>
      </w:pPr>
      <w:r>
        <w:rPr>
          <w:rFonts w:ascii="Times New Roman" w:cs="Times New Roman" w:eastAsia="Times New Roman" w:hAnsi="Times New Roman"/>
          <w:sz w:val="18"/>
          <w:szCs w:val="18"/>
          <w:color w:val="auto"/>
        </w:rPr>
        <w:t xml:space="preserve">Headquarters and Other expenses primarily consist of overhead, personnel and other costs necessary to operate the Content &amp; Experiences business. </w:t>
      </w:r>
      <w:r>
        <w:rPr>
          <w:rFonts w:ascii="Arial" w:cs="Arial" w:eastAsia="Arial" w:hAnsi="Arial"/>
          <w:sz w:val="18"/>
          <w:szCs w:val="18"/>
          <w:b w:val="1"/>
          <w:bCs w:val="1"/>
          <w:color w:val="auto"/>
        </w:rPr>
        <w:t>Eliminations</w:t>
      </w:r>
    </w:p>
    <w:tbl>
      <w:tblPr>
        <w:tblLayout w:type="fixed"/>
        <w:tblInd w:w="0" w:type="dxa"/>
        <w:tblCellMar>
          <w:top w:w="0" w:type="dxa"/>
          <w:left w:w="0" w:type="dxa"/>
          <w:bottom w:w="0" w:type="dxa"/>
          <w:right w:w="0" w:type="dxa"/>
        </w:tblCellMar>
      </w:tblPr>
      <w:tr>
        <w:trPr>
          <w:trHeight w:val="146"/>
        </w:trPr>
        <w:tc>
          <w:tcPr>
            <w:tcW w:w="7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3"/>
          </w:tcPr>
          <w:p>
            <w:pPr>
              <w:jc w:val="right"/>
              <w:ind w:right="775"/>
              <w:spacing w:after="0" w:line="146" w:lineRule="exact"/>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(694)</w:t>
            </w: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(708)</w:t>
            </w:r>
          </w:p>
        </w:tc>
        <w:tc>
          <w:tcPr>
            <w:tcW w:w="11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14</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 Current year period amounts include the impact of a renewed licensing agreement for content exclusively available for streaming on Peacock.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906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1,105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(198)</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our regional sports networks; and Comcast Spectacor, which owns the Philadelphia Flyers and the Xfinity Mobile Arena in Philadelphia, Pennsylvania.</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increased for the three months ended March 31, 2026 compared to the same period in 2025 primarily driven by an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increase from Sky operations in Germany primarily due to the positive impact of foreign currency, partially offset by a decrease from our regional sports networks.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increased for the three months ended March 31, 2026 compared to the same period in 2025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driven by higher costs related to Sky operations in Germany, which include the impact of foreign currency and an underlying increase in costs and expenses, as well as higher costs related to our corporate functions, which include marketing associated with the Milan Cortina Olympics.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2026</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(1,244)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(1,256)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12</w:t>
            </w:r>
          </w:p>
        </w:tc>
        <w:tc>
          <w:tcPr>
            <w:tcW w:w="118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segment and the Residential Connectivity &amp; Platforms segment. Eliminations of transactions between segments within Content &amp; Experiences are presented separately. Amounts are affected by the periodic broadcast of the Olympic Games, including the Milan Cortina Olympics in 2026.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2,174</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3,375</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706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1,094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309</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2,333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1,533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(123)</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7,929</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9,532</w:t>
            </w:r>
          </w:p>
        </w:tc>
      </w:tr>
    </w:tbl>
    <w:p>
      <w:pPr>
        <w:spacing w:after="0" w:line="85" w:lineRule="exact"/>
        <w:rPr>
          <w:sz w:val="20"/>
          <w:szCs w:val="20"/>
          <w:color w:val="auto"/>
        </w:rPr>
      </w:pPr>
    </w:p>
    <w:p>
      <w:pPr>
        <w:jc w:val="both"/>
        <w:ind w:left="260" w:hanging="252"/>
        <w:spacing w:after="0" w:line="268" w:lineRule="auto"/>
        <w:tabs>
          <w:tab w:leader="none" w:pos="25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costs are incremental costs directly related to effectuating the Separation and primarily include advisory, legal and audit fees, as well as legal entity separation costs. Transaction-related costs are incremental costs incurred related to the Separation, including costs that reflect strategic decisions about how the standalone Versant business will be structured or operated, which may be different than if it remained part of Comcast. Transaction-related costs primarily include certain separation-related employee compensation, severance and retention bonuses; IT separation and implementation costs; and other one-time costs.</w:t>
      </w:r>
    </w:p>
    <w:p>
      <w:pPr>
        <w:spacing w:after="0" w:line="77" w:lineRule="exact"/>
        <w:rPr>
          <w:rFonts w:ascii="Times New Roman" w:cs="Times New Roman" w:eastAsia="Times New Roman" w:hAnsi="Times New Roman"/>
          <w:sz w:val="14"/>
          <w:szCs w:val="14"/>
          <w:color w:val="auto"/>
        </w:rPr>
      </w:pPr>
    </w:p>
    <w:p>
      <w:pPr>
        <w:jc w:val="both"/>
        <w:ind w:left="260" w:hanging="252"/>
        <w:spacing w:after="0" w:line="281" w:lineRule="auto"/>
        <w:tabs>
          <w:tab w:leader="none" w:pos="25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other events, gains, losses or other charges that are excluded from Adjusted EBITDA. The three months ended March 31, 2026 includes a gain related to a legal settlement, certain share-based compensation expenses and costs related to our investment portfolio. The three months ended March 31, 2025 includes certain costs related to our investment portfolio.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gridSpan w:val="5"/>
          </w:tcPr>
          <w:p>
            <w:pPr>
              <w:jc w:val="center"/>
              <w:ind w:right="135"/>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1"/>
                <w:szCs w:val="11"/>
                <w:color w:val="auto"/>
              </w:rPr>
            </w:pPr>
          </w:p>
        </w:tc>
        <w:tc>
          <w:tcPr>
            <w:tcW w:w="108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color w:val="auto"/>
              </w:rPr>
              <w:t>As Reported</w:t>
            </w:r>
          </w:p>
        </w:tc>
        <w:tc>
          <w:tcPr>
            <w:tcW w:w="1300" w:type="dxa"/>
            <w:vAlign w:val="bottom"/>
            <w:gridSpan w:val="2"/>
          </w:tcPr>
          <w:p>
            <w:pPr>
              <w:jc w:val="center"/>
              <w:ind w:left="54"/>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80" w:type="dxa"/>
            <w:vAlign w:val="bottom"/>
          </w:tcPr>
          <w:p>
            <w:pPr>
              <w:spacing w:after="0"/>
              <w:rPr>
                <w:sz w:val="11"/>
                <w:szCs w:val="11"/>
                <w:color w:val="auto"/>
              </w:rPr>
            </w:pPr>
          </w:p>
        </w:tc>
        <w:tc>
          <w:tcPr>
            <w:tcW w:w="1260" w:type="dxa"/>
            <w:vAlign w:val="bottom"/>
          </w:tcPr>
          <w:p>
            <w:pPr>
              <w:jc w:val="right"/>
              <w:ind w:right="75"/>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color w:val="auto"/>
                <w:w w:val="99"/>
              </w:rPr>
              <w:t>Currency</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17,665</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2,496</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20,161</w:t>
            </w:r>
          </w:p>
        </w:tc>
        <w:tc>
          <w:tcPr>
            <w:tcW w:w="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20,464</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6,842</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1,422</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3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8,264</w:t>
            </w:r>
          </w:p>
        </w:tc>
        <w:tc>
          <w:tcPr>
            <w:tcW w:w="3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8,301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33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38.7</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(40) bps</w:t>
            </w:r>
          </w:p>
        </w:tc>
        <w:tc>
          <w:tcPr>
            <w:tcW w:w="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3360" w:type="dxa"/>
            <w:vAlign w:val="bottom"/>
            <w:tcBorders>
              <w:bottom w:val="single" w:sz="8" w:color="auto"/>
            </w:tcBorders>
            <w:shd w:val="clear" w:color="auto" w:fill="CCEEFF"/>
          </w:tcPr>
          <w:p>
            <w:pPr>
              <w:ind w:left="3000"/>
              <w:spacing w:after="0"/>
              <w:rPr>
                <w:sz w:val="20"/>
                <w:szCs w:val="20"/>
                <w:color w:val="auto"/>
              </w:rPr>
            </w:pPr>
            <w:r>
              <w:rPr>
                <w:rFonts w:ascii="Times New Roman" w:cs="Times New Roman" w:eastAsia="Times New Roman" w:hAnsi="Times New Roman"/>
                <w:sz w:val="18"/>
                <w:szCs w:val="18"/>
                <w:color w:val="auto"/>
              </w:rPr>
              <w:t>57.0</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 bps</w:t>
            </w:r>
          </w:p>
        </w:tc>
        <w:tc>
          <w:tcPr>
            <w:tcW w:w="8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Borders>
              <w:bottom w:val="single" w:sz="8" w:color="auto"/>
            </w:tcBorders>
            <w:shd w:val="clear" w:color="auto" w:fill="CCEEFF"/>
          </w:tcPr>
          <w:p>
            <w:pPr>
              <w:spacing w:after="0"/>
              <w:rPr>
                <w:sz w:val="19"/>
                <w:szCs w:val="19"/>
                <w:color w:val="auto"/>
              </w:rPr>
            </w:pPr>
          </w:p>
        </w:tc>
      </w:tr>
      <w:tr>
        <w:trPr>
          <w:trHeight w:val="223"/>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3860" w:type="dxa"/>
            <w:vAlign w:val="bottom"/>
            <w:tcBorders>
              <w:bottom w:val="single" w:sz="8" w:color="auto"/>
            </w:tcBorders>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41.0 %</w:t>
            </w:r>
          </w:p>
        </w:tc>
        <w:tc>
          <w:tcPr>
            <w:tcW w:w="13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(40) bps</w:t>
            </w:r>
          </w:p>
        </w:tc>
        <w:tc>
          <w:tcPr>
            <w:tcW w:w="10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40.6 %</w:t>
            </w:r>
          </w:p>
        </w:tc>
      </w:tr>
      <w:tr>
        <w:trPr>
          <w:trHeight w:val="911"/>
        </w:trPr>
        <w:tc>
          <w:tcPr>
            <w:tcW w:w="5040" w:type="dxa"/>
            <w:vAlign w:val="bottom"/>
          </w:tcPr>
          <w:p>
            <w:pPr>
              <w:spacing w:after="0"/>
              <w:rPr>
                <w:sz w:val="24"/>
                <w:szCs w:val="24"/>
                <w:color w:val="auto"/>
              </w:rPr>
            </w:pPr>
          </w:p>
        </w:tc>
        <w:tc>
          <w:tcPr>
            <w:tcW w:w="336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504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11,897</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12,163</w:t>
            </w:r>
          </w:p>
        </w:tc>
        <w:tc>
          <w:tcPr>
            <w:tcW w:w="0" w:type="dxa"/>
            <w:vAlign w:val="bottom"/>
          </w:tcPr>
          <w:p>
            <w:pPr>
              <w:spacing w:after="0"/>
              <w:rPr>
                <w:sz w:val="1"/>
                <w:szCs w:val="1"/>
                <w:color w:val="auto"/>
              </w:rPr>
            </w:pPr>
          </w:p>
        </w:tc>
      </w:tr>
      <w:tr>
        <w:trPr>
          <w:trHeight w:val="438"/>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color w:val="auto"/>
              </w:rPr>
              <w:t>Currency</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Domestic wireless service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convergence revenue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 equipment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0" w:type="dxa"/>
            <w:vAlign w:val="bottom"/>
          </w:tcPr>
          <w:p>
            <w:pPr>
              <w:spacing w:after="0"/>
              <w:rPr>
                <w:sz w:val="1"/>
                <w:szCs w:val="1"/>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17,966</w:t>
            </w:r>
          </w:p>
        </w:tc>
        <w:tc>
          <w:tcPr>
            <w:tcW w:w="0" w:type="dxa"/>
            <w:vAlign w:val="bottom"/>
          </w:tcPr>
          <w:p>
            <w:pPr>
              <w:spacing w:after="0"/>
              <w:rPr>
                <w:sz w:val="1"/>
                <w:szCs w:val="1"/>
                <w:color w:val="auto"/>
              </w:rPr>
            </w:pPr>
          </w:p>
        </w:tc>
      </w:tr>
      <w:tr>
        <w:trPr>
          <w:trHeight w:val="230"/>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March 31,</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2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22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22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222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57"/>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00" w:type="dxa"/>
            <w:vAlign w:val="bottom"/>
            <w:tcBorders>
              <w:bottom w:val="single" w:sz="8" w:color="auto"/>
            </w:tcBorders>
            <w:vMerge w:val="continue"/>
          </w:tcPr>
          <w:p>
            <w:pPr>
              <w:spacing w:after="0"/>
              <w:rPr>
                <w:sz w:val="16"/>
                <w:szCs w:val="16"/>
                <w:color w:val="auto"/>
              </w:rPr>
            </w:pPr>
          </w:p>
        </w:tc>
        <w:tc>
          <w:tcPr>
            <w:tcW w:w="2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2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222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22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March 31, 2026,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facility contains a financial covenant pertaining to leverage, which is the ratio of debt to EBITDA, as defined in the agreement. Compliance with this financial covenant is tested on a quarterly basis. As of March 31, 2026, we met this financial covenant, and we expect to remain in compliance with this financial covenant.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2026</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4,135</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3,865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427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(727)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6,891</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8,294</w:t>
            </w:r>
          </w:p>
        </w:tc>
      </w:tr>
    </w:tbl>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three months ended March 31, 2026 compared to the same period in 2025 was primarily related to the timing of amortization and related payments for our film and television costs, including the timing of sports, partially offset by increases in accounts receivable and decreases in deferred revenue, which included the impacts of our broadcasts of the Olympics and Super Bowl.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of interest increased for the three months ended March 31, 2026 compared to the same period in 2025 primarily due to decreased capitalized interest driven by the opening of Epic Universe.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of income taxes decreased for the three months ended March 31, 2026 compared to the same period in 2025 primarily due to decreased third-party transferable tax credits purchased in the current year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Legislation signed into law in 2025 in the United States is expected to significantly reduce our payments of income taxes over the next several years, with variability across the years, primarily due to additional depreciation deductions.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investments and other decreased for the three months ended March 31, 2026 compared to the same period in 2025 primarily due to a gain on a legal settlement in the current year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for the three months ended March 31, 2026 compared to the same period in 2025 primarily due to proceeds from a legal settlement and cash from derivative settlements in the current year period, partially offset by an increase in capital expenditures and an increase in purchases of investments. Capital expenditures increased for the three months ended March 31, 2026 compared to the same period in 2025 primarily due to increased spending by the Connectivity &amp; Platforms businesses primarily on customer premise equipment, scalable infrastructure and support capital, partially offset by decreased spending driven by the opening of Epic Universe in 2025.</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2025, we entered into an agreement with RTL Group to sell our Sky operations in Germany, subject to various conditions and approvals, and we expect the sale to be completed in 2026. The related assets and liabilities are presented as held for sale as of March 31, 2026 and December 31, 2025 (see Note 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three months ended March 31, 2026 compared to the same period in 2025 primarily due to higher repurchases and repayments of debt, partially offset by impacts from the Versant transaction and lower repurchases of common stock under our share repurchase program and employee plans in the current year period.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2025, Versant incurred $1.0 billion of indebtedness from the issuance of certain notes and on January 2, 2026, before the Distribution, Versant borrowed $2.0 billion of indebtedness from certain credit facilities. Versant’s $3.0 billion aggregate principal amount of indebtedness ceased to be consolidated indebtedness of Comcast in connection with the Separation. On the Separation date, Versant distributed to us $2.25 billion of cash, which was funded by the $3.0 billion of prior indebtedness, resulting in a net cash distribution of $750 million to Versant in the first quarter of 2026.</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made debt repayments of $3.2 billion, including $2.1 billion of 3.150% Notes due March 2026 and $629 million of 5.350% Notes due November 2027, which were paid using the proceeds from the distribution from Versant, together with cash on hand. We also made debt repayments of $418 million principal amount of notes due at maturity.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our Board of Directors terminated the existing share repurchase program authorization and approved a new share repurchase program authorization of $15.0 billion, which has no expiration date. During the three months ended March 31, 2026, we repurchased a total of 42 million shares of our Class A common stock for $1.3 billion under this share repurchase program. We did not purchase any shares outside of this program. As of March 31, 2026, we had $7.6 billion remaining under the authorization. We expect to repurchase additional shares of our Class A common stock under this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$242 million and $219 million for the three months ended March 31, 2026 and 2025, respectively, related to employee taxes associated with the administration of our share-based compensation plans.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2026, our Board of Directors approved a dividend consistent with the prior year of $1.32 per share on an annualized basis and approved our first quarter dividend of $0.33 per share, which was paid in April 2026. During the three months ended March 31, 2026, we paid dividends of $1.2 billion.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80" w:type="dxa"/>
            <w:vAlign w:val="bottom"/>
          </w:tcPr>
          <w:p>
            <w:pPr>
              <w:spacing w:after="0"/>
              <w:rPr>
                <w:sz w:val="13"/>
                <w:szCs w:val="13"/>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6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(c)</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2025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22" w:lineRule="exact"/>
        <w:rPr>
          <w:rFonts w:ascii="Times New Roman" w:cs="Times New Roman" w:eastAsia="Times New Roman" w:hAnsi="Times New Roman"/>
          <w:sz w:val="14"/>
          <w:szCs w:val="14"/>
          <w:color w:val="auto"/>
        </w:rPr>
      </w:pPr>
    </w:p>
    <w:p>
      <w:pPr>
        <w:ind w:left="340" w:hanging="332"/>
        <w:spacing w:after="0" w:line="302" w:lineRule="auto"/>
        <w:tabs>
          <w:tab w:leader="none" w:pos="33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as of December 31, 2025 includes $1.0 billion aggregate principal amount of 7.25% fixed-rate senior secured notes due January 2031 issued by Versant which was secured by the assets of Versant. Subsequent to December 31, 2025, the notes ceased to be our contractual obligation due to the completion of the Separation.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combined Guarantors have noncurrent notes payable to non-guarantor subsidiaries of $112 billion and $107 billion, respectively, and noncurrent notes receivable from non-guarantor subsidiaries of $15 billion and $14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32%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2026 and December 31, 2025, Comcast and Comcast Holdings, the combined issuer and guarantor of the guaranteed subordinated debt, have noncurrent senior notes payable to non-guarantor subsidiaries of $76 billion and $71 billion, respectively, and noncurrent notes receivable from non-guarantor subsidiaries of $11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are critical in the preparation of our consolidated financial statements. We assessed goodwill for impairment in connection with the Separation and our change in segment composition in the first quarter of 2026. Based on our assessment, no impairment was required, and the estimated fair values of our reporting units substantially exceeded their carrying values.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2025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2025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2025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March 31, 2026.</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92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2026</w:t>
            </w:r>
          </w:p>
        </w:tc>
        <w:tc>
          <w:tcPr>
            <w:tcW w:w="1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13,290,646</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28.59</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13,290,646</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380,016,602</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8,486,251,152</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1-28, 2026</w:t>
            </w:r>
          </w:p>
        </w:tc>
        <w:tc>
          <w:tcPr>
            <w:tcW w:w="1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12,149,783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31.28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12,149,783</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380,000,287</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8,106,250,866</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2026</w:t>
            </w:r>
          </w:p>
        </w:tc>
        <w:tc>
          <w:tcPr>
            <w:tcW w:w="1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16,672,330</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29.96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16,672,330</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499,581,496</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7,606,669,370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42,112,759</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29.91</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42,112,759</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1,259,598,384</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7,606,669,370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302"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of 2025, our Board of Directors approved a new share repurchase authorization of $15 billion, which has no expiration date. We expect to repurchase additional shares of our Class A common stock under this authorization, in the open market or in private transactions, subject to market and other conditions.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900" w:hanging="874"/>
        <w:spacing w:after="0"/>
        <w:tabs>
          <w:tab w:leader="none" w:pos="900"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Co-Chief Executive Officers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2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Co-Chief Executive Officers and Chief Financial Officer pursuant to Section 906 of the Sarbanes-Oxley Act of 2002.</w:t>
      </w:r>
    </w:p>
    <w:p>
      <w:pPr>
        <w:spacing w:after="0" w:line="23" w:lineRule="exact"/>
        <w:rPr>
          <w:sz w:val="20"/>
          <w:szCs w:val="20"/>
          <w:color w:val="auto"/>
        </w:rPr>
      </w:pPr>
    </w:p>
    <w:p>
      <w:pPr>
        <w:jc w:val="both"/>
        <w:ind w:left="900" w:right="20" w:hanging="874"/>
        <w:spacing w:after="0" w:line="220"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three months ended March 31, 2026, filed with the Securities and Exchange Commission on April 23, 2026, formatted in Inline Extensible Business Reporting Language (iXBRL):</w:t>
      </w:r>
    </w:p>
    <w:p>
      <w:pPr>
        <w:jc w:val="both"/>
        <w:ind w:left="900" w:right="20" w:firstLine="3"/>
        <w:spacing w:after="0" w:line="218" w:lineRule="auto"/>
        <w:tabs>
          <w:tab w:leader="none" w:pos="115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10" w:lineRule="exact"/>
        <w:rPr>
          <w:sz w:val="20"/>
          <w:szCs w:val="20"/>
          <w:color w:val="auto"/>
        </w:rPr>
      </w:pPr>
    </w:p>
    <w:p>
      <w:pPr>
        <w:ind w:left="900" w:hanging="87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7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Title: Co-Chief Executive Officer</w:t>
      </w:r>
    </w:p>
    <w:p>
      <w:pPr>
        <w:sectPr>
          <w:pgSz w:w="11900" w:h="16838" w:orient="portrait"/>
          <w:cols w:equalWidth="0" w:num="1">
            <w:col w:w="11240"/>
          </w:cols>
          <w:pgMar w:left="320" w:top="36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180" w:hanging="644"/>
        <w:spacing w:after="0" w:line="312" w:lineRule="auto"/>
        <w:tabs>
          <w:tab w:leader="none" w:pos="12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0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5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Title: Co-Chief Executive Officer</w:t>
      </w:r>
    </w:p>
    <w:p>
      <w:pPr>
        <w:sectPr>
          <w:pgSz w:w="11900" w:h="16838" w:orient="portrait"/>
          <w:cols w:equalWidth="0" w:num="1">
            <w:col w:w="11200"/>
          </w:cols>
          <w:pgMar w:left="320" w:top="94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180" w:hanging="644"/>
        <w:spacing w:after="0" w:line="312" w:lineRule="auto"/>
        <w:tabs>
          <w:tab w:leader="none" w:pos="12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00"/>
          </w:cols>
          <w:pgMar w:left="320" w:top="1134"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Brian L. Roberts and Michael J. Cavanagh, the Co-Chief Executive Officers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0" w:lineRule="exact"/>
        <w:rPr>
          <w:sz w:val="20"/>
          <w:szCs w:val="20"/>
          <w:color w:val="auto"/>
        </w:rPr>
      </w:pPr>
    </w:p>
    <w:p>
      <w:pPr>
        <w:spacing w:after="0" w:line="35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1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Name: Michael J. Cavanagh</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decimal"/>
      <w:start w:val="2"/>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amp;"/>
      <w:numFmt w:val="bullet"/>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decimal"/>
      <w:start w:val="31"/>
    </w:lvl>
  </w:abstractNum>
  <w:abstractNum w:abstractNumId="21">
    <w:nsid w:val="8EDBDAB"/>
    <w:multiLevelType w:val="hybridMultilevel"/>
    <w:lvl w:ilvl="0">
      <w:lvlJc w:val="left"/>
      <w:lvlText w:val="%1"/>
      <w:numFmt w:val="decimal"/>
      <w:start w:val="101"/>
    </w:lvl>
    <w:lvl w:ilvl="1">
      <w:lvlJc w:val="left"/>
      <w:lvlText w:val="(%2)"/>
      <w:numFmt w:val="lowerRoman"/>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2026-04-23T14:34:50Z</dcterms:created>
  <dcterms:modified xsi:type="dcterms:W3CDTF">2026-04-23T14:34:50Z</dcterms:modified>
</cp:coreProperties>
</file>