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As filed with the Securities and Exchange Commission on April 27, 2009</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4"/>
          <w:szCs w:val="24"/>
          <w:color w:val="auto"/>
        </w:rPr>
      </w:pPr>
    </w:p>
    <w:p>
      <w:pPr>
        <w:jc w:val="center"/>
        <w:ind w:right="-539"/>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24"/>
          <w:szCs w:val="24"/>
          <w:b w:val="1"/>
          <w:bCs w:val="1"/>
          <w:color w:val="auto"/>
        </w:rPr>
        <w:t>FORM S-3</w:t>
      </w:r>
    </w:p>
    <w:p>
      <w:pPr>
        <w:spacing w:after="0" w:line="23"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REGISTRATION STATEMENT</w:t>
      </w:r>
    </w:p>
    <w:p>
      <w:pPr>
        <w:jc w:val="center"/>
        <w:ind w:right="-539"/>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9"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Comcast Cable Communications, LLC</w:t>
      </w:r>
    </w:p>
    <w:p>
      <w:pPr>
        <w:spacing w:after="0" w:line="1"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Comcast Cable Communications Holdings, Inc.</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Comcast Cable Holdings, LLC</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Comcast MO Group, Inc.</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Comcast MO of Delaware, LLC</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(Exact Name of Registrants as Specified in Their Charters)</w:t>
      </w:r>
    </w:p>
    <w:p>
      <w:pPr>
        <w:spacing w:after="0" w:line="178" w:lineRule="exact"/>
        <w:rPr>
          <w:sz w:val="24"/>
          <w:szCs w:val="24"/>
          <w:color w:val="auto"/>
        </w:rPr>
      </w:pPr>
    </w:p>
    <w:tbl>
      <w:tblPr>
        <w:tblLayout w:type="fixed"/>
        <w:tblInd w:w="1560" w:type="dxa"/>
        <w:tblCellMar>
          <w:top w:w="0" w:type="dxa"/>
          <w:left w:w="0" w:type="dxa"/>
          <w:bottom w:w="0" w:type="dxa"/>
          <w:right w:w="0" w:type="dxa"/>
        </w:tblCellMar>
      </w:tblPr>
      <w:tr>
        <w:trPr>
          <w:trHeight w:val="216"/>
        </w:trPr>
        <w:tc>
          <w:tcPr>
            <w:tcW w:w="4280" w:type="dxa"/>
            <w:vAlign w:val="bottom"/>
          </w:tcPr>
          <w:p>
            <w:pPr>
              <w:jc w:val="center"/>
              <w:ind w:right="1597"/>
              <w:spacing w:after="0"/>
              <w:rPr>
                <w:sz w:val="20"/>
                <w:szCs w:val="20"/>
                <w:color w:val="auto"/>
              </w:rPr>
            </w:pPr>
            <w:r>
              <w:rPr>
                <w:rFonts w:ascii="Arial" w:cs="Arial" w:eastAsia="Arial" w:hAnsi="Arial"/>
                <w:sz w:val="18"/>
                <w:szCs w:val="18"/>
                <w:b w:val="1"/>
                <w:bCs w:val="1"/>
                <w:color w:val="auto"/>
                <w:w w:val="86"/>
              </w:rPr>
              <w:t>Pennsylvania</w:t>
            </w:r>
          </w:p>
        </w:tc>
        <w:tc>
          <w:tcPr>
            <w:tcW w:w="4020" w:type="dxa"/>
            <w:vAlign w:val="bottom"/>
          </w:tcPr>
          <w:p>
            <w:pPr>
              <w:jc w:val="center"/>
              <w:ind w:left="1575"/>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280" w:type="dxa"/>
            <w:vAlign w:val="bottom"/>
          </w:tcPr>
          <w:p>
            <w:pPr>
              <w:jc w:val="center"/>
              <w:ind w:right="1577"/>
              <w:spacing w:after="0"/>
              <w:rPr>
                <w:sz w:val="20"/>
                <w:szCs w:val="20"/>
                <w:color w:val="auto"/>
              </w:rPr>
            </w:pPr>
            <w:r>
              <w:rPr>
                <w:rFonts w:ascii="Arial" w:cs="Arial" w:eastAsia="Arial" w:hAnsi="Arial"/>
                <w:sz w:val="18"/>
                <w:szCs w:val="18"/>
                <w:b w:val="1"/>
                <w:bCs w:val="1"/>
                <w:color w:val="auto"/>
                <w:w w:val="88"/>
              </w:rPr>
              <w:t>Delaware</w:t>
            </w:r>
          </w:p>
        </w:tc>
        <w:tc>
          <w:tcPr>
            <w:tcW w:w="4020" w:type="dxa"/>
            <w:vAlign w:val="bottom"/>
          </w:tcPr>
          <w:p>
            <w:pPr>
              <w:jc w:val="center"/>
              <w:ind w:left="1575"/>
              <w:spacing w:after="0"/>
              <w:rPr>
                <w:sz w:val="20"/>
                <w:szCs w:val="20"/>
                <w:color w:val="auto"/>
              </w:rPr>
            </w:pPr>
            <w:r>
              <w:rPr>
                <w:rFonts w:ascii="Arial" w:cs="Arial" w:eastAsia="Arial" w:hAnsi="Arial"/>
                <w:sz w:val="18"/>
                <w:szCs w:val="18"/>
                <w:b w:val="1"/>
                <w:bCs w:val="1"/>
                <w:color w:val="auto"/>
                <w:w w:val="87"/>
              </w:rPr>
              <w:t>23-2175755</w:t>
            </w:r>
          </w:p>
        </w:tc>
      </w:tr>
      <w:tr>
        <w:trPr>
          <w:trHeight w:val="216"/>
        </w:trPr>
        <w:tc>
          <w:tcPr>
            <w:tcW w:w="4280" w:type="dxa"/>
            <w:vAlign w:val="bottom"/>
          </w:tcPr>
          <w:p>
            <w:pPr>
              <w:jc w:val="center"/>
              <w:ind w:right="1577"/>
              <w:spacing w:after="0"/>
              <w:rPr>
                <w:sz w:val="20"/>
                <w:szCs w:val="20"/>
                <w:color w:val="auto"/>
              </w:rPr>
            </w:pPr>
            <w:r>
              <w:rPr>
                <w:rFonts w:ascii="Arial" w:cs="Arial" w:eastAsia="Arial" w:hAnsi="Arial"/>
                <w:sz w:val="18"/>
                <w:szCs w:val="18"/>
                <w:b w:val="1"/>
                <w:bCs w:val="1"/>
                <w:color w:val="auto"/>
                <w:w w:val="88"/>
              </w:rPr>
              <w:t>Delaware</w:t>
            </w:r>
          </w:p>
        </w:tc>
        <w:tc>
          <w:tcPr>
            <w:tcW w:w="4020" w:type="dxa"/>
            <w:vAlign w:val="bottom"/>
          </w:tcPr>
          <w:p>
            <w:pPr>
              <w:jc w:val="center"/>
              <w:ind w:left="1575"/>
              <w:spacing w:after="0"/>
              <w:rPr>
                <w:sz w:val="20"/>
                <w:szCs w:val="20"/>
                <w:color w:val="auto"/>
              </w:rPr>
            </w:pPr>
            <w:r>
              <w:rPr>
                <w:rFonts w:ascii="Arial" w:cs="Arial" w:eastAsia="Arial" w:hAnsi="Arial"/>
                <w:sz w:val="18"/>
                <w:szCs w:val="18"/>
                <w:b w:val="1"/>
                <w:bCs w:val="1"/>
                <w:color w:val="auto"/>
                <w:w w:val="87"/>
              </w:rPr>
              <w:t>04-3592397</w:t>
            </w:r>
          </w:p>
        </w:tc>
      </w:tr>
      <w:tr>
        <w:trPr>
          <w:trHeight w:val="216"/>
        </w:trPr>
        <w:tc>
          <w:tcPr>
            <w:tcW w:w="4280" w:type="dxa"/>
            <w:vAlign w:val="bottom"/>
          </w:tcPr>
          <w:p>
            <w:pPr>
              <w:jc w:val="center"/>
              <w:ind w:right="1577"/>
              <w:spacing w:after="0"/>
              <w:rPr>
                <w:sz w:val="20"/>
                <w:szCs w:val="20"/>
                <w:color w:val="auto"/>
              </w:rPr>
            </w:pPr>
            <w:r>
              <w:rPr>
                <w:rFonts w:ascii="Arial" w:cs="Arial" w:eastAsia="Arial" w:hAnsi="Arial"/>
                <w:sz w:val="18"/>
                <w:szCs w:val="18"/>
                <w:b w:val="1"/>
                <w:bCs w:val="1"/>
                <w:color w:val="auto"/>
                <w:w w:val="88"/>
              </w:rPr>
              <w:t>Delaware</w:t>
            </w:r>
          </w:p>
        </w:tc>
        <w:tc>
          <w:tcPr>
            <w:tcW w:w="4020" w:type="dxa"/>
            <w:vAlign w:val="bottom"/>
          </w:tcPr>
          <w:p>
            <w:pPr>
              <w:jc w:val="center"/>
              <w:ind w:left="1575"/>
              <w:spacing w:after="0"/>
              <w:rPr>
                <w:sz w:val="20"/>
                <w:szCs w:val="20"/>
                <w:color w:val="auto"/>
              </w:rPr>
            </w:pPr>
            <w:r>
              <w:rPr>
                <w:rFonts w:ascii="Arial" w:cs="Arial" w:eastAsia="Arial" w:hAnsi="Arial"/>
                <w:sz w:val="18"/>
                <w:szCs w:val="18"/>
                <w:b w:val="1"/>
                <w:bCs w:val="1"/>
                <w:color w:val="auto"/>
                <w:w w:val="87"/>
              </w:rPr>
              <w:t>84-1260157</w:t>
            </w:r>
          </w:p>
        </w:tc>
      </w:tr>
      <w:tr>
        <w:trPr>
          <w:trHeight w:val="216"/>
        </w:trPr>
        <w:tc>
          <w:tcPr>
            <w:tcW w:w="4280" w:type="dxa"/>
            <w:vAlign w:val="bottom"/>
          </w:tcPr>
          <w:p>
            <w:pPr>
              <w:jc w:val="center"/>
              <w:ind w:right="1577"/>
              <w:spacing w:after="0"/>
              <w:rPr>
                <w:sz w:val="20"/>
                <w:szCs w:val="20"/>
                <w:color w:val="auto"/>
              </w:rPr>
            </w:pPr>
            <w:r>
              <w:rPr>
                <w:rFonts w:ascii="Arial" w:cs="Arial" w:eastAsia="Arial" w:hAnsi="Arial"/>
                <w:sz w:val="18"/>
                <w:szCs w:val="18"/>
                <w:b w:val="1"/>
                <w:bCs w:val="1"/>
                <w:color w:val="auto"/>
                <w:w w:val="88"/>
              </w:rPr>
              <w:t>Delaware</w:t>
            </w:r>
          </w:p>
        </w:tc>
        <w:tc>
          <w:tcPr>
            <w:tcW w:w="4020" w:type="dxa"/>
            <w:vAlign w:val="bottom"/>
          </w:tcPr>
          <w:p>
            <w:pPr>
              <w:jc w:val="center"/>
              <w:ind w:left="1575"/>
              <w:spacing w:after="0"/>
              <w:rPr>
                <w:sz w:val="20"/>
                <w:szCs w:val="20"/>
                <w:color w:val="auto"/>
              </w:rPr>
            </w:pPr>
            <w:r>
              <w:rPr>
                <w:rFonts w:ascii="Arial" w:cs="Arial" w:eastAsia="Arial" w:hAnsi="Arial"/>
                <w:sz w:val="18"/>
                <w:szCs w:val="18"/>
                <w:b w:val="1"/>
                <w:bCs w:val="1"/>
                <w:color w:val="auto"/>
                <w:w w:val="87"/>
              </w:rPr>
              <w:t>91-2047743</w:t>
            </w:r>
          </w:p>
        </w:tc>
      </w:tr>
      <w:tr>
        <w:trPr>
          <w:trHeight w:val="218"/>
        </w:trPr>
        <w:tc>
          <w:tcPr>
            <w:tcW w:w="4280" w:type="dxa"/>
            <w:vAlign w:val="bottom"/>
          </w:tcPr>
          <w:p>
            <w:pPr>
              <w:jc w:val="center"/>
              <w:ind w:right="1577"/>
              <w:spacing w:after="0"/>
              <w:rPr>
                <w:sz w:val="20"/>
                <w:szCs w:val="20"/>
                <w:color w:val="auto"/>
              </w:rPr>
            </w:pPr>
            <w:r>
              <w:rPr>
                <w:rFonts w:ascii="Arial" w:cs="Arial" w:eastAsia="Arial" w:hAnsi="Arial"/>
                <w:sz w:val="18"/>
                <w:szCs w:val="18"/>
                <w:b w:val="1"/>
                <w:bCs w:val="1"/>
                <w:color w:val="auto"/>
                <w:w w:val="88"/>
              </w:rPr>
              <w:t>Delaware</w:t>
            </w:r>
          </w:p>
        </w:tc>
        <w:tc>
          <w:tcPr>
            <w:tcW w:w="4020" w:type="dxa"/>
            <w:vAlign w:val="bottom"/>
          </w:tcPr>
          <w:p>
            <w:pPr>
              <w:jc w:val="center"/>
              <w:ind w:left="1575"/>
              <w:spacing w:after="0"/>
              <w:rPr>
                <w:sz w:val="20"/>
                <w:szCs w:val="20"/>
                <w:color w:val="auto"/>
              </w:rPr>
            </w:pPr>
            <w:r>
              <w:rPr>
                <w:rFonts w:ascii="Arial" w:cs="Arial" w:eastAsia="Arial" w:hAnsi="Arial"/>
                <w:sz w:val="18"/>
                <w:szCs w:val="18"/>
                <w:b w:val="1"/>
                <w:bCs w:val="1"/>
                <w:color w:val="auto"/>
                <w:w w:val="87"/>
              </w:rPr>
              <w:t>84-1372033</w:t>
            </w:r>
          </w:p>
        </w:tc>
      </w:tr>
      <w:tr>
        <w:trPr>
          <w:trHeight w:val="149"/>
        </w:trPr>
        <w:tc>
          <w:tcPr>
            <w:tcW w:w="4280" w:type="dxa"/>
            <w:vAlign w:val="bottom"/>
          </w:tcPr>
          <w:p>
            <w:pPr>
              <w:jc w:val="center"/>
              <w:ind w:right="1597"/>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4020" w:type="dxa"/>
            <w:vAlign w:val="bottom"/>
          </w:tcPr>
          <w:p>
            <w:pPr>
              <w:jc w:val="center"/>
              <w:ind w:left="1595"/>
              <w:spacing w:after="0" w:line="149" w:lineRule="exact"/>
              <w:rPr>
                <w:sz w:val="20"/>
                <w:szCs w:val="20"/>
                <w:color w:val="auto"/>
              </w:rPr>
            </w:pPr>
            <w:r>
              <w:rPr>
                <w:rFonts w:ascii="Arial" w:cs="Arial" w:eastAsia="Arial" w:hAnsi="Arial"/>
                <w:sz w:val="14"/>
                <w:szCs w:val="14"/>
                <w:b w:val="1"/>
                <w:bCs w:val="1"/>
                <w:color w:val="auto"/>
                <w:w w:val="90"/>
              </w:rPr>
              <w:t>(I.R.S. Employer Identification Number)</w:t>
            </w:r>
          </w:p>
        </w:tc>
      </w:tr>
      <w:tr>
        <w:trPr>
          <w:trHeight w:val="174"/>
        </w:trPr>
        <w:tc>
          <w:tcPr>
            <w:tcW w:w="4280" w:type="dxa"/>
            <w:vAlign w:val="bottom"/>
          </w:tcPr>
          <w:p>
            <w:pPr>
              <w:jc w:val="center"/>
              <w:ind w:right="1577"/>
              <w:spacing w:after="0"/>
              <w:rPr>
                <w:sz w:val="20"/>
                <w:szCs w:val="20"/>
                <w:color w:val="auto"/>
              </w:rPr>
            </w:pPr>
            <w:r>
              <w:rPr>
                <w:rFonts w:ascii="Arial" w:cs="Arial" w:eastAsia="Arial" w:hAnsi="Arial"/>
                <w:sz w:val="14"/>
                <w:szCs w:val="14"/>
                <w:b w:val="1"/>
                <w:bCs w:val="1"/>
                <w:color w:val="auto"/>
                <w:w w:val="90"/>
              </w:rPr>
              <w:t>or Organization)</w:t>
            </w:r>
          </w:p>
        </w:tc>
        <w:tc>
          <w:tcPr>
            <w:tcW w:w="4020" w:type="dxa"/>
            <w:vAlign w:val="bottom"/>
          </w:tcPr>
          <w:p>
            <w:pPr>
              <w:spacing w:after="0"/>
              <w:rPr>
                <w:sz w:val="15"/>
                <w:szCs w:val="15"/>
                <w:color w:val="auto"/>
              </w:rPr>
            </w:pPr>
          </w:p>
        </w:tc>
      </w:tr>
    </w:tbl>
    <w:p>
      <w:pPr>
        <w:spacing w:after="0" w:line="13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One Comcast Center</w:t>
      </w:r>
    </w:p>
    <w:p>
      <w:pPr>
        <w:spacing w:after="0" w:line="21"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(215) 286-1700</w:t>
      </w:r>
    </w:p>
    <w:p>
      <w:pPr>
        <w:spacing w:after="0" w:line="9" w:lineRule="exact"/>
        <w:rPr>
          <w:sz w:val="24"/>
          <w:szCs w:val="24"/>
          <w:color w:val="auto"/>
        </w:rPr>
      </w:pPr>
    </w:p>
    <w:p>
      <w:pPr>
        <w:ind w:left="224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Arthur R. Block, Esq.</w:t>
      </w:r>
    </w:p>
    <w:p>
      <w:pPr>
        <w:spacing w:after="0" w:line="21"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(215) 286-1700</w:t>
      </w:r>
    </w:p>
    <w:p>
      <w:pPr>
        <w:spacing w:after="0" w:line="9" w:lineRule="exact"/>
        <w:rPr>
          <w:sz w:val="24"/>
          <w:szCs w:val="24"/>
          <w:color w:val="auto"/>
        </w:rPr>
      </w:pPr>
    </w:p>
    <w:p>
      <w:pPr>
        <w:ind w:left="266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i w:val="1"/>
          <w:iCs w:val="1"/>
          <w:color w:val="auto"/>
        </w:rPr>
        <w:t>Copy to:</w:t>
      </w:r>
    </w:p>
    <w:p>
      <w:pPr>
        <w:spacing w:after="0" w:line="84"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Bruce K. Dallas, Esq.</w:t>
      </w:r>
    </w:p>
    <w:p>
      <w:pPr>
        <w:spacing w:after="0" w:line="21"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Davis Polk &amp; Wardwell</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1600 El Camino Real</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(650) 752-2000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this Registration Statement becomes effective.</w:t>
      </w:r>
    </w:p>
    <w:p>
      <w:pPr>
        <w:spacing w:after="0" w:line="200" w:lineRule="exact"/>
        <w:rPr>
          <w:sz w:val="24"/>
          <w:szCs w:val="24"/>
          <w:color w:val="auto"/>
        </w:rPr>
      </w:pPr>
    </w:p>
    <w:p>
      <w:pPr>
        <w:ind w:right="8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ectPr>
          <w:pgSz w:w="11900" w:h="16838" w:orient="portrait"/>
          <w:cols w:equalWidth="0" w:num="1">
            <w:col w:w="10900"/>
          </w:cols>
          <w:pgMar w:left="240" w:top="230" w:right="759" w:bottom="1440" w:gutter="0" w:footer="0" w:header="0"/>
        </w:sectPr>
      </w:pPr>
    </w:p>
    <w:bookmarkStart w:id="1" w:name="page2"/>
    <w:bookmarkEnd w:id="1"/>
    <w:p>
      <w:pPr>
        <w:ind w:right="26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380"/>
          </w:cols>
          <w:pgMar w:left="240" w:top="131"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0"/>
          <w:szCs w:val="20"/>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0"/>
          <w:szCs w:val="20"/>
          <w:color w:val="auto"/>
        </w:rPr>
      </w:pPr>
    </w:p>
    <w:p>
      <w:pPr>
        <w:ind w:right="4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229"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113665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25" w:lineRule="exact"/>
        <w:rPr>
          <w:sz w:val="20"/>
          <w:szCs w:val="20"/>
          <w:color w:val="auto"/>
        </w:rPr>
      </w:pPr>
    </w:p>
    <w:p>
      <w:pPr>
        <w:sectPr>
          <w:pgSz w:w="11900" w:h="16838" w:orient="portrait"/>
          <w:cols w:equalWidth="0" w:num="7">
            <w:col w:w="2040" w:space="100"/>
            <w:col w:w="560" w:space="720"/>
            <w:col w:w="1180" w:space="80"/>
            <w:col w:w="560" w:space="720"/>
            <w:col w:w="1820" w:space="660"/>
            <w:col w:w="1940" w:space="80"/>
            <w:col w:w="960"/>
          </w:cols>
          <w:pgMar w:left="240" w:top="459" w:right="239" w:bottom="1440" w:gutter="0" w:footer="0" w:header="0"/>
          <w:type w:val="continuous"/>
        </w:sectPr>
      </w:pP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82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14"/>
              <w:spacing w:after="0" w:line="117"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56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61"/>
        </w:trPr>
        <w:tc>
          <w:tcPr>
            <w:tcW w:w="20" w:type="dxa"/>
            <w:vAlign w:val="bottom"/>
          </w:tcPr>
          <w:p>
            <w:pPr>
              <w:spacing w:after="0"/>
              <w:rPr>
                <w:sz w:val="14"/>
                <w:szCs w:val="14"/>
                <w:color w:val="auto"/>
              </w:rPr>
            </w:pPr>
          </w:p>
        </w:tc>
        <w:tc>
          <w:tcPr>
            <w:tcW w:w="8240" w:type="dxa"/>
            <w:vAlign w:val="bottom"/>
            <w:tcBorders>
              <w:bottom w:val="single" w:sz="8" w:color="auto"/>
              <w:right w:val="single" w:sz="8" w:color="auto"/>
            </w:tcBorders>
          </w:tcPr>
          <w:p>
            <w:pPr>
              <w:ind w:left="270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Price(1)</w:t>
            </w:r>
          </w:p>
        </w:tc>
        <w:tc>
          <w:tcPr>
            <w:tcW w:w="156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6"/>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Senior debt securities and subordinated debt securities (collectively, “Debt Securities”)</w:t>
            </w: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stock, without par value</w:t>
            </w: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Depositary shares representing preferred stock</w:t>
            </w: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A common stock, $0.01 par value (2)</w:t>
            </w: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A Special common stock, $0.01 par value (2)</w:t>
            </w: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Warrants</w:t>
            </w: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Purchase Contracts</w:t>
            </w: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Units</w:t>
            </w: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Guarantees of Debt Securities, Warrants, Purchase Contracts and Units</w:t>
            </w: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460" w:right="22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indeterminate amount of securities to be offered at indeterminate prices is being registered pursuant to this registration statement. The Registrants are deferring payment of the registration fee pursuant to Rule 456(b) and are omitting this information in reliance on Rule 456(b) and Rule 457(r). These securities may also be sold separately, together or as units with other securities registered hereunder.</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rights to be issued under Comcast Corporation’s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118110</wp:posOffset>
            </wp:positionV>
            <wp:extent cx="1423670"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67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140" w:type="dxa"/>
            <w:vAlign w:val="bottom"/>
          </w:tcPr>
          <w:p>
            <w:pPr>
              <w:ind w:left="180"/>
              <w:spacing w:after="0"/>
              <w:rPr>
                <w:sz w:val="20"/>
                <w:szCs w:val="20"/>
                <w:color w:val="auto"/>
              </w:rPr>
            </w:pPr>
            <w:r>
              <w:rPr>
                <w:rFonts w:ascii="Arial" w:cs="Arial" w:eastAsia="Arial" w:hAnsi="Arial"/>
                <w:sz w:val="18"/>
                <w:szCs w:val="18"/>
                <w:color w:val="auto"/>
              </w:rPr>
              <w:t>Unsecured senior debt securities</w:t>
            </w:r>
          </w:p>
        </w:tc>
        <w:tc>
          <w:tcPr>
            <w:tcW w:w="1420" w:type="dxa"/>
            <w:vAlign w:val="bottom"/>
          </w:tcPr>
          <w:p>
            <w:pPr>
              <w:ind w:left="1200"/>
              <w:spacing w:after="0"/>
              <w:rPr>
                <w:sz w:val="20"/>
                <w:szCs w:val="20"/>
                <w:color w:val="auto"/>
              </w:rPr>
            </w:pPr>
            <w:r>
              <w:rPr>
                <w:rFonts w:ascii="Arial" w:cs="Arial" w:eastAsia="Arial" w:hAnsi="Arial"/>
                <w:sz w:val="18"/>
                <w:szCs w:val="18"/>
                <w:color w:val="auto"/>
              </w:rPr>
              <w:t>•</w:t>
            </w:r>
          </w:p>
        </w:tc>
        <w:tc>
          <w:tcPr>
            <w:tcW w:w="2360" w:type="dxa"/>
            <w:vAlign w:val="bottom"/>
          </w:tcPr>
          <w:p>
            <w:pPr>
              <w:ind w:left="180"/>
              <w:spacing w:after="0"/>
              <w:rPr>
                <w:sz w:val="20"/>
                <w:szCs w:val="20"/>
                <w:color w:val="auto"/>
              </w:rPr>
            </w:pPr>
            <w:r>
              <w:rPr>
                <w:rFonts w:ascii="Arial" w:cs="Arial" w:eastAsia="Arial" w:hAnsi="Arial"/>
                <w:sz w:val="18"/>
                <w:szCs w:val="18"/>
                <w:color w:val="auto"/>
              </w:rPr>
              <w:t>Preferred stock</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140" w:type="dxa"/>
            <w:vAlign w:val="bottom"/>
          </w:tcPr>
          <w:p>
            <w:pPr>
              <w:ind w:left="180"/>
              <w:spacing w:after="0"/>
              <w:rPr>
                <w:sz w:val="20"/>
                <w:szCs w:val="20"/>
                <w:color w:val="auto"/>
              </w:rPr>
            </w:pPr>
            <w:r>
              <w:rPr>
                <w:rFonts w:ascii="Arial" w:cs="Arial" w:eastAsia="Arial" w:hAnsi="Arial"/>
                <w:sz w:val="18"/>
                <w:szCs w:val="18"/>
                <w:color w:val="auto"/>
              </w:rPr>
              <w:t>Unsecured subordinated debt securities</w:t>
            </w:r>
          </w:p>
        </w:tc>
        <w:tc>
          <w:tcPr>
            <w:tcW w:w="1420" w:type="dxa"/>
            <w:vAlign w:val="bottom"/>
          </w:tcPr>
          <w:p>
            <w:pPr>
              <w:ind w:left="1200"/>
              <w:spacing w:after="0"/>
              <w:rPr>
                <w:sz w:val="20"/>
                <w:szCs w:val="20"/>
                <w:color w:val="auto"/>
              </w:rPr>
            </w:pPr>
            <w:r>
              <w:rPr>
                <w:rFonts w:ascii="Arial" w:cs="Arial" w:eastAsia="Arial" w:hAnsi="Arial"/>
                <w:sz w:val="18"/>
                <w:szCs w:val="18"/>
                <w:color w:val="auto"/>
              </w:rPr>
              <w:t>•</w:t>
            </w:r>
          </w:p>
        </w:tc>
        <w:tc>
          <w:tcPr>
            <w:tcW w:w="2360" w:type="dxa"/>
            <w:vAlign w:val="bottom"/>
          </w:tcPr>
          <w:p>
            <w:pPr>
              <w:ind w:left="180"/>
              <w:spacing w:after="0"/>
              <w:rPr>
                <w:sz w:val="20"/>
                <w:szCs w:val="20"/>
                <w:color w:val="auto"/>
              </w:rPr>
            </w:pPr>
            <w:r>
              <w:rPr>
                <w:rFonts w:ascii="Arial" w:cs="Arial" w:eastAsia="Arial" w:hAnsi="Arial"/>
                <w:sz w:val="18"/>
                <w:szCs w:val="18"/>
                <w:color w:val="auto"/>
              </w:rPr>
              <w:t>Depositary shares</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1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420" w:type="dxa"/>
            <w:vAlign w:val="bottom"/>
          </w:tcPr>
          <w:p>
            <w:pPr>
              <w:ind w:left="1200"/>
              <w:spacing w:after="0"/>
              <w:rPr>
                <w:sz w:val="20"/>
                <w:szCs w:val="20"/>
                <w:color w:val="auto"/>
              </w:rPr>
            </w:pPr>
            <w:r>
              <w:rPr>
                <w:rFonts w:ascii="Arial" w:cs="Arial" w:eastAsia="Arial" w:hAnsi="Arial"/>
                <w:sz w:val="18"/>
                <w:szCs w:val="18"/>
                <w:color w:val="auto"/>
              </w:rPr>
              <w:t>•</w:t>
            </w:r>
          </w:p>
        </w:tc>
        <w:tc>
          <w:tcPr>
            <w:tcW w:w="2360" w:type="dxa"/>
            <w:vAlign w:val="bottom"/>
          </w:tcPr>
          <w:p>
            <w:pPr>
              <w:ind w:left="180"/>
              <w:spacing w:after="0"/>
              <w:rPr>
                <w:sz w:val="20"/>
                <w:szCs w:val="20"/>
                <w:color w:val="auto"/>
              </w:rPr>
            </w:pPr>
            <w:r>
              <w:rPr>
                <w:rFonts w:ascii="Arial" w:cs="Arial" w:eastAsia="Arial" w:hAnsi="Arial"/>
                <w:sz w:val="18"/>
                <w:szCs w:val="18"/>
                <w:color w:val="auto"/>
              </w:rPr>
              <w:t>Class A common stock</w:t>
            </w:r>
          </w:p>
        </w:tc>
      </w:t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140" w:type="dxa"/>
            <w:vAlign w:val="bottom"/>
          </w:tcPr>
          <w:p>
            <w:pPr>
              <w:ind w:left="180"/>
              <w:spacing w:after="0"/>
              <w:rPr>
                <w:sz w:val="20"/>
                <w:szCs w:val="20"/>
                <w:color w:val="auto"/>
              </w:rPr>
            </w:pPr>
            <w:r>
              <w:rPr>
                <w:rFonts w:ascii="Arial" w:cs="Arial" w:eastAsia="Arial" w:hAnsi="Arial"/>
                <w:sz w:val="18"/>
                <w:szCs w:val="18"/>
                <w:color w:val="auto"/>
              </w:rPr>
              <w:t>Purchase contracts</w:t>
            </w:r>
          </w:p>
        </w:tc>
        <w:tc>
          <w:tcPr>
            <w:tcW w:w="1420" w:type="dxa"/>
            <w:vAlign w:val="bottom"/>
          </w:tcPr>
          <w:p>
            <w:pPr>
              <w:ind w:left="1200"/>
              <w:spacing w:after="0"/>
              <w:rPr>
                <w:sz w:val="20"/>
                <w:szCs w:val="20"/>
                <w:color w:val="auto"/>
              </w:rPr>
            </w:pPr>
            <w:r>
              <w:rPr>
                <w:rFonts w:ascii="Arial" w:cs="Arial" w:eastAsia="Arial" w:hAnsi="Arial"/>
                <w:sz w:val="18"/>
                <w:szCs w:val="18"/>
                <w:color w:val="auto"/>
              </w:rPr>
              <w:t>•</w:t>
            </w:r>
          </w:p>
        </w:tc>
        <w:tc>
          <w:tcPr>
            <w:tcW w:w="2360" w:type="dxa"/>
            <w:vAlign w:val="bottom"/>
          </w:tcPr>
          <w:p>
            <w:pPr>
              <w:ind w:left="180"/>
              <w:spacing w:after="0"/>
              <w:rPr>
                <w:sz w:val="20"/>
                <w:szCs w:val="20"/>
                <w:color w:val="auto"/>
              </w:rPr>
            </w:pPr>
            <w:r>
              <w:rPr>
                <w:rFonts w:ascii="Arial" w:cs="Arial" w:eastAsia="Arial" w:hAnsi="Arial"/>
                <w:sz w:val="18"/>
                <w:szCs w:val="18"/>
                <w:color w:val="auto"/>
                <w:w w:val="87"/>
              </w:rPr>
              <w:t>Class A Special common stock</w:t>
            </w:r>
          </w:p>
        </w:tc>
      </w:tr>
    </w:tbl>
    <w:p>
      <w:pPr>
        <w:ind w:left="880" w:hanging="413"/>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Units</w:t>
      </w:r>
    </w:p>
    <w:p>
      <w:pPr>
        <w:spacing w:after="0" w:line="16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cable subsidiaries named in this prospectus.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April 24, 2009, the reported last sale prices on the Nasdaq Global Select Market for our Class A common stock and our Class A Special common stock were $13.89 and $12.99,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Maturity</w:t>
            </w:r>
          </w:p>
        </w:tc>
        <w:tc>
          <w:tcPr>
            <w:tcW w:w="1180" w:type="dxa"/>
            <w:vAlign w:val="bottom"/>
          </w:tcPr>
          <w:p>
            <w:pPr>
              <w:ind w:left="960"/>
              <w:spacing w:after="0"/>
              <w:rPr>
                <w:sz w:val="20"/>
                <w:szCs w:val="20"/>
                <w:color w:val="auto"/>
              </w:rPr>
            </w:pPr>
            <w:r>
              <w:rPr>
                <w:rFonts w:ascii="Arial" w:cs="Arial" w:eastAsia="Arial" w:hAnsi="Arial"/>
                <w:sz w:val="18"/>
                <w:szCs w:val="18"/>
                <w:color w:val="auto"/>
              </w:rPr>
              <w:t>•</w:t>
            </w:r>
          </w:p>
        </w:tc>
        <w:tc>
          <w:tcPr>
            <w:tcW w:w="284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2320" w:type="dxa"/>
            <w:vAlign w:val="bottom"/>
          </w:tcPr>
          <w:p>
            <w:pPr>
              <w:ind w:left="16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1180" w:type="dxa"/>
            <w:vAlign w:val="bottom"/>
          </w:tcPr>
          <w:p>
            <w:pPr>
              <w:ind w:left="960"/>
              <w:spacing w:after="0"/>
              <w:rPr>
                <w:sz w:val="20"/>
                <w:szCs w:val="20"/>
                <w:color w:val="auto"/>
              </w:rPr>
            </w:pPr>
            <w:r>
              <w:rPr>
                <w:rFonts w:ascii="Arial" w:cs="Arial" w:eastAsia="Arial" w:hAnsi="Arial"/>
                <w:sz w:val="18"/>
                <w:szCs w:val="18"/>
                <w:color w:val="auto"/>
              </w:rPr>
              <w:t>•</w:t>
            </w:r>
          </w:p>
        </w:tc>
        <w:tc>
          <w:tcPr>
            <w:tcW w:w="2840" w:type="dxa"/>
            <w:vAlign w:val="bottom"/>
          </w:tcPr>
          <w:p>
            <w:pPr>
              <w:ind w:left="180"/>
              <w:spacing w:after="0"/>
              <w:rPr>
                <w:sz w:val="20"/>
                <w:szCs w:val="20"/>
                <w:color w:val="auto"/>
              </w:rPr>
            </w:pPr>
            <w:r>
              <w:rPr>
                <w:rFonts w:ascii="Arial" w:cs="Arial" w:eastAsia="Arial" w:hAnsi="Arial"/>
                <w:sz w:val="18"/>
                <w:szCs w:val="18"/>
                <w:color w:val="auto"/>
              </w:rPr>
              <w:t>Redemption terms</w:t>
            </w: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2320" w:type="dxa"/>
            <w:vAlign w:val="bottom"/>
          </w:tcPr>
          <w:p>
            <w:pPr>
              <w:ind w:left="160"/>
              <w:spacing w:after="0"/>
              <w:rPr>
                <w:sz w:val="20"/>
                <w:szCs w:val="20"/>
                <w:color w:val="auto"/>
              </w:rPr>
            </w:pPr>
            <w:r>
              <w:rPr>
                <w:rFonts w:ascii="Arial" w:cs="Arial" w:eastAsia="Arial" w:hAnsi="Arial"/>
                <w:sz w:val="18"/>
                <w:szCs w:val="18"/>
                <w:color w:val="auto"/>
              </w:rPr>
              <w:t>Liquidation amount</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Sinking fund terms</w:t>
            </w:r>
          </w:p>
        </w:tc>
        <w:tc>
          <w:tcPr>
            <w:tcW w:w="1180" w:type="dxa"/>
            <w:vAlign w:val="bottom"/>
          </w:tcPr>
          <w:p>
            <w:pPr>
              <w:ind w:left="960"/>
              <w:spacing w:after="0"/>
              <w:rPr>
                <w:sz w:val="20"/>
                <w:szCs w:val="20"/>
                <w:color w:val="auto"/>
              </w:rPr>
            </w:pPr>
            <w:r>
              <w:rPr>
                <w:rFonts w:ascii="Arial" w:cs="Arial" w:eastAsia="Arial" w:hAnsi="Arial"/>
                <w:sz w:val="18"/>
                <w:szCs w:val="18"/>
                <w:color w:val="auto"/>
              </w:rPr>
              <w:t>•</w:t>
            </w:r>
          </w:p>
        </w:tc>
        <w:tc>
          <w:tcPr>
            <w:tcW w:w="2840" w:type="dxa"/>
            <w:vAlign w:val="bottom"/>
          </w:tcPr>
          <w:p>
            <w:pPr>
              <w:ind w:left="180"/>
              <w:spacing w:after="0"/>
              <w:rPr>
                <w:sz w:val="20"/>
                <w:szCs w:val="20"/>
                <w:color w:val="auto"/>
              </w:rPr>
            </w:pPr>
            <w:r>
              <w:rPr>
                <w:rFonts w:ascii="Arial" w:cs="Arial" w:eastAsia="Arial" w:hAnsi="Arial"/>
                <w:sz w:val="18"/>
                <w:szCs w:val="18"/>
                <w:color w:val="auto"/>
              </w:rPr>
              <w:t>Listing on a securities exchange</w:t>
            </w: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2320" w:type="dxa"/>
            <w:vAlign w:val="bottom"/>
          </w:tcPr>
          <w:p>
            <w:pPr>
              <w:ind w:left="160"/>
              <w:spacing w:after="0"/>
              <w:rPr>
                <w:sz w:val="20"/>
                <w:szCs w:val="20"/>
                <w:color w:val="auto"/>
              </w:rPr>
            </w:pPr>
            <w:r>
              <w:rPr>
                <w:rFonts w:ascii="Arial" w:cs="Arial" w:eastAsia="Arial" w:hAnsi="Arial"/>
                <w:sz w:val="18"/>
                <w:szCs w:val="18"/>
                <w:color w:val="auto"/>
              </w:rPr>
              <w:t>Subsidiary guarantees</w:t>
            </w:r>
          </w:p>
        </w:tc>
      </w:t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Currency of payments</w:t>
            </w:r>
          </w:p>
        </w:tc>
        <w:tc>
          <w:tcPr>
            <w:tcW w:w="1180" w:type="dxa"/>
            <w:vAlign w:val="bottom"/>
          </w:tcPr>
          <w:p>
            <w:pPr>
              <w:ind w:left="960"/>
              <w:spacing w:after="0"/>
              <w:rPr>
                <w:sz w:val="20"/>
                <w:szCs w:val="20"/>
                <w:color w:val="auto"/>
              </w:rPr>
            </w:pPr>
            <w:r>
              <w:rPr>
                <w:rFonts w:ascii="Arial" w:cs="Arial" w:eastAsia="Arial" w:hAnsi="Arial"/>
                <w:sz w:val="18"/>
                <w:szCs w:val="18"/>
                <w:color w:val="auto"/>
              </w:rPr>
              <w:t>•</w:t>
            </w:r>
          </w:p>
        </w:tc>
        <w:tc>
          <w:tcPr>
            <w:tcW w:w="2840" w:type="dxa"/>
            <w:vAlign w:val="bottom"/>
          </w:tcPr>
          <w:p>
            <w:pPr>
              <w:ind w:left="180"/>
              <w:spacing w:after="0"/>
              <w:rPr>
                <w:sz w:val="20"/>
                <w:szCs w:val="20"/>
                <w:color w:val="auto"/>
              </w:rPr>
            </w:pPr>
            <w:r>
              <w:rPr>
                <w:rFonts w:ascii="Arial" w:cs="Arial" w:eastAsia="Arial" w:hAnsi="Arial"/>
                <w:sz w:val="18"/>
                <w:szCs w:val="18"/>
                <w:color w:val="auto"/>
              </w:rPr>
              <w:t>Amount payable at maturity</w:t>
            </w:r>
          </w:p>
        </w:tc>
        <w:tc>
          <w:tcPr>
            <w:tcW w:w="640" w:type="dxa"/>
            <w:vAlign w:val="bottom"/>
          </w:tcPr>
          <w:p>
            <w:pPr>
              <w:spacing w:after="0"/>
              <w:rPr>
                <w:sz w:val="19"/>
                <w:szCs w:val="19"/>
                <w:color w:val="auto"/>
              </w:rPr>
            </w:pPr>
          </w:p>
        </w:tc>
        <w:tc>
          <w:tcPr>
            <w:tcW w:w="2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13 of our annual report on Form 10-K for the year ended December 31, 2008,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April 27, 2009</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2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The Companies</w:t>
              </w:r>
            </w:hyperlink>
          </w:p>
        </w:tc>
        <w:tc>
          <w:tcPr>
            <w:tcW w:w="10020" w:type="dxa"/>
            <w:vAlign w:val="bottom"/>
            <w:gridSpan w:val="10"/>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10020" w:type="dxa"/>
            <w:vAlign w:val="bottom"/>
            <w:gridSpan w:val="10"/>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Caution Concerning Forward-Looking Statements</w:t>
              </w:r>
            </w:hyperlink>
          </w:p>
        </w:tc>
        <w:tc>
          <w:tcPr>
            <w:tcW w:w="76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140" w:type="dxa"/>
            <w:vAlign w:val="bottom"/>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Dividend Policy</w:t>
              </w:r>
            </w:hyperlink>
          </w:p>
        </w:tc>
        <w:tc>
          <w:tcPr>
            <w:tcW w:w="998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140" w:type="dxa"/>
            <w:vAlign w:val="bottom"/>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Ratios of Earnings to Fixed Charges and of Earnings to Combined Fixed Charges and Preferred Dividends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Debt Securities and Cable Guarantees</w:t>
              </w:r>
            </w:hyperlink>
          </w:p>
        </w:tc>
        <w:tc>
          <w:tcPr>
            <w:tcW w:w="36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Global Securities</w:t>
              </w:r>
            </w:hyperlink>
          </w:p>
        </w:tc>
        <w:tc>
          <w:tcPr>
            <w:tcW w:w="74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Description of Capital Stock</w:t>
              </w:r>
            </w:hyperlink>
          </w:p>
        </w:tc>
        <w:tc>
          <w:tcPr>
            <w:tcW w:w="912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140" w:type="dxa"/>
            <w:vAlign w:val="bottom"/>
            <w:gridSpan w:val="1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Legal Matters</w:t>
              </w:r>
            </w:hyperlink>
          </w:p>
        </w:tc>
        <w:tc>
          <w:tcPr>
            <w:tcW w:w="974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101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Available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Incorporation of Certain Documents by Reference</w:t>
              </w:r>
            </w:hyperlink>
          </w:p>
        </w:tc>
        <w:tc>
          <w:tcPr>
            <w:tcW w:w="76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refer to Comcast Corporation in this prospectus as “Comcast” or “we,” “us,” “our” or comparable terms and to Comcast Holdings Corporation as “Comcast Holdings.” We refer to Comcast Cable Communications, LLC as “Comcast Cable,” Comcast Cable Communications Holdings, Inc. as “Comcast Cable Communications Holdings,” Comcast MO Group, Inc. as “Comcast MO Group,” Comcast Cable Holdings, LLC as “Comcast Cable Holdings,” Comcast MO of Delaware, LLC as “Comcast MO of Delaware,” and all of them collectively as the “Cable Guarantors.”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are the nation’s leading provider of cable services, offering a variety of entertainment, information and communications services to residential and commercial customers. As of December 31, 2008, our cable systems served approximately 24.2 million video customers, 14.9 million high-speed Internet customers and 6.5 million phone customers and passed over 50.6 million homes in 39 states and the District of Columbia. We report the results of these operations as our Cable segment, which generates approximately 95% of our consolidated revenue. Our Cable segment also includes the operations of our regional sports networks. Our other reportable segment, Programming, consists primarily of our national programming networks, including E!, Golf Channel, VERSUS, G4 and Style. We were incorporated under the laws of Pennsylvania in December 2001. Through our predecessors, we have developed, managed and operated cable systems since 1963.</w:t>
      </w:r>
    </w:p>
    <w:p>
      <w:pPr>
        <w:spacing w:after="0" w:line="14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other business interests include Comcast Interactive Media and Comcast Spectacor. Comcast Interactive Media develops and operates Comcast’s Internet businesses focused on entertainment, information and communication, including Comcast.net, Fancast, thePlatform, Fandango, Plaxo and DailyCandy. Comcast Spectacor owns two professional sports teams and two large, multipurpose arenas, and manages other facilities for sporting events, concerts and other events.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6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Comcast Cable Communications Holdings is a Delaware corporation (formerly known as AT&amp;T Broadband Corp.) incorporated in 2001 and a wholly owned subsidiary of ours.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 owned subsidiary of Comcast Cable Communications Holdings.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 owned subsidiary of Comcast Cable Communications Holdings.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 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principal executive offices are located at One Comcast Center, Philadelphia, Pennsylvania 19103-2838, and our telephone number is (215) 286-1700. We maintain a Web site at http://www.comcast.com where general information about us is available. We are not incorporating the contents of the Web site into this prospectus.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120" w:firstLine="2664"/>
        <w:spacing w:after="0" w:line="394" w:lineRule="auto"/>
        <w:rPr>
          <w:sz w:val="20"/>
          <w:szCs w:val="20"/>
          <w:color w:val="auto"/>
        </w:rPr>
      </w:pPr>
      <w:r>
        <w:rPr>
          <w:rFonts w:ascii="Arial" w:cs="Arial" w:eastAsia="Arial" w:hAnsi="Arial"/>
          <w:sz w:val="18"/>
          <w:szCs w:val="18"/>
          <w:b w:val="1"/>
          <w:bCs w:val="1"/>
          <w:color w:val="auto"/>
        </w:rPr>
        <w:t xml:space="preserve">CAUTION CONCERNING FORWARD-LOOKING STATEMENTS </w:t>
      </w:r>
      <w:r>
        <w:rPr>
          <w:rFonts w:ascii="Arial" w:cs="Arial" w:eastAsia="Arial" w:hAnsi="Arial"/>
          <w:sz w:val="18"/>
          <w:szCs w:val="18"/>
          <w:color w:val="auto"/>
        </w:rPr>
        <w:t>Our businesses may be affected by, among other things, the following:</w:t>
      </w:r>
    </w:p>
    <w:p>
      <w:pPr>
        <w:spacing w:after="0" w:line="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of the services offered by our cable systems face a wide range of competition that could adversely affect our future results of operations;</w:t>
      </w:r>
    </w:p>
    <w:p>
      <w:pPr>
        <w:spacing w:after="0" w:line="113"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additional costs and restrictions;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weakening economic conditions may have a negative impact on our results of operations and financial condition;</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technology, and a disruption or failure of such networks, systems or technology may disrupt our business;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 and</w:t>
      </w:r>
    </w:p>
    <w:p>
      <w:pPr>
        <w:spacing w:after="0" w:line="50"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2008 incorporated herein by reference. Actual events or our actual results may differ materially from any of our forward-looking statements. We undertake no obligation to update any forward-looking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intend to pay quarterly dividends at an annual rate currently of $0.27 per share. Our Board of Directors retains the right to change our dividend policy at any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For the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3"/>
              </w:rPr>
              <w:t>2008</w:t>
            </w:r>
          </w:p>
        </w:tc>
        <w:tc>
          <w:tcPr>
            <w:tcW w:w="20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4"/>
                <w:szCs w:val="14"/>
                <w:b w:val="1"/>
                <w:bCs w:val="1"/>
                <w:color w:val="auto"/>
                <w:w w:val="83"/>
              </w:rPr>
              <w:t>2007</w:t>
            </w:r>
          </w:p>
        </w:tc>
        <w:tc>
          <w:tcPr>
            <w:tcW w:w="1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4"/>
                <w:szCs w:val="14"/>
                <w:b w:val="1"/>
                <w:bCs w:val="1"/>
                <w:color w:val="auto"/>
                <w:w w:val="83"/>
              </w:rPr>
              <w:t>2006</w:t>
            </w:r>
          </w:p>
        </w:tc>
        <w:tc>
          <w:tcPr>
            <w:tcW w:w="1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4"/>
                <w:szCs w:val="14"/>
                <w:b w:val="1"/>
                <w:bCs w:val="1"/>
                <w:color w:val="auto"/>
                <w:w w:val="76"/>
              </w:rPr>
              <w:t>2005</w:t>
            </w:r>
          </w:p>
        </w:tc>
        <w:tc>
          <w:tcPr>
            <w:tcW w:w="1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900"/>
              <w:spacing w:after="0" w:line="143" w:lineRule="exact"/>
              <w:rPr>
                <w:sz w:val="20"/>
                <w:szCs w:val="20"/>
                <w:color w:val="auto"/>
              </w:rPr>
            </w:pPr>
            <w:r>
              <w:rPr>
                <w:rFonts w:ascii="Arial" w:cs="Arial" w:eastAsia="Arial" w:hAnsi="Arial"/>
                <w:sz w:val="14"/>
                <w:szCs w:val="14"/>
                <w:b w:val="1"/>
                <w:bCs w:val="1"/>
                <w:color w:val="auto"/>
                <w:w w:val="83"/>
              </w:rPr>
              <w:t>2004</w:t>
            </w:r>
          </w:p>
        </w:tc>
        <w:tc>
          <w:tcPr>
            <w:tcW w:w="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320" w:type="dxa"/>
            <w:vAlign w:val="bottom"/>
            <w:gridSpan w:val="3"/>
          </w:tcPr>
          <w:p>
            <w:pPr>
              <w:ind w:left="420"/>
              <w:spacing w:after="0"/>
              <w:rPr>
                <w:sz w:val="20"/>
                <w:szCs w:val="20"/>
                <w:color w:val="auto"/>
              </w:rPr>
            </w:pPr>
            <w:r>
              <w:rPr>
                <w:rFonts w:ascii="Arial" w:cs="Arial" w:eastAsia="Arial" w:hAnsi="Arial"/>
                <w:sz w:val="18"/>
                <w:szCs w:val="18"/>
                <w:color w:val="auto"/>
              </w:rPr>
              <w:t>2.59x</w:t>
            </w:r>
          </w:p>
        </w:tc>
        <w:tc>
          <w:tcPr>
            <w:tcW w:w="2400" w:type="dxa"/>
            <w:vAlign w:val="bottom"/>
            <w:gridSpan w:val="3"/>
          </w:tcPr>
          <w:p>
            <w:pPr>
              <w:ind w:left="780"/>
              <w:spacing w:after="0"/>
              <w:rPr>
                <w:sz w:val="20"/>
                <w:szCs w:val="20"/>
                <w:color w:val="auto"/>
              </w:rPr>
            </w:pPr>
            <w:r>
              <w:rPr>
                <w:rFonts w:ascii="Arial" w:cs="Arial" w:eastAsia="Arial" w:hAnsi="Arial"/>
                <w:sz w:val="18"/>
                <w:szCs w:val="18"/>
                <w:color w:val="auto"/>
              </w:rPr>
              <w:t>2.85x</w:t>
            </w:r>
          </w:p>
        </w:tc>
        <w:tc>
          <w:tcPr>
            <w:tcW w:w="1940" w:type="dxa"/>
            <w:vAlign w:val="bottom"/>
            <w:gridSpan w:val="3"/>
          </w:tcPr>
          <w:p>
            <w:pPr>
              <w:ind w:left="540"/>
              <w:spacing w:after="0"/>
              <w:rPr>
                <w:sz w:val="20"/>
                <w:szCs w:val="20"/>
                <w:color w:val="auto"/>
              </w:rPr>
            </w:pPr>
            <w:r>
              <w:rPr>
                <w:rFonts w:ascii="Arial" w:cs="Arial" w:eastAsia="Arial" w:hAnsi="Arial"/>
                <w:sz w:val="18"/>
                <w:szCs w:val="18"/>
                <w:color w:val="auto"/>
              </w:rPr>
              <w:t>2.72x</w:t>
            </w:r>
            <w:r>
              <w:rPr>
                <w:rFonts w:ascii="Arial" w:cs="Arial" w:eastAsia="Arial" w:hAnsi="Arial"/>
                <w:sz w:val="22"/>
                <w:szCs w:val="22"/>
                <w:color w:val="auto"/>
                <w:vertAlign w:val="superscript"/>
              </w:rPr>
              <w:t>(1)</w:t>
            </w:r>
          </w:p>
        </w:tc>
        <w:tc>
          <w:tcPr>
            <w:tcW w:w="2320" w:type="dxa"/>
            <w:vAlign w:val="bottom"/>
            <w:gridSpan w:val="3"/>
          </w:tcPr>
          <w:p>
            <w:pPr>
              <w:ind w:left="900"/>
              <w:spacing w:after="0"/>
              <w:rPr>
                <w:sz w:val="20"/>
                <w:szCs w:val="20"/>
                <w:color w:val="auto"/>
              </w:rPr>
            </w:pPr>
            <w:r>
              <w:rPr>
                <w:rFonts w:ascii="Arial" w:cs="Arial" w:eastAsia="Arial" w:hAnsi="Arial"/>
                <w:sz w:val="18"/>
                <w:szCs w:val="18"/>
                <w:color w:val="auto"/>
              </w:rPr>
              <w:t>1.92x</w:t>
            </w:r>
            <w:r>
              <w:rPr>
                <w:rFonts w:ascii="Arial" w:cs="Arial" w:eastAsia="Arial" w:hAnsi="Arial"/>
                <w:sz w:val="22"/>
                <w:szCs w:val="22"/>
                <w:color w:val="auto"/>
                <w:vertAlign w:val="superscript"/>
              </w:rPr>
              <w:t>(1)</w:t>
            </w:r>
          </w:p>
        </w:tc>
        <w:tc>
          <w:tcPr>
            <w:tcW w:w="1420" w:type="dxa"/>
            <w:vAlign w:val="bottom"/>
            <w:gridSpan w:val="4"/>
          </w:tcPr>
          <w:p>
            <w:pPr>
              <w:ind w:left="880"/>
              <w:spacing w:after="0"/>
              <w:rPr>
                <w:sz w:val="20"/>
                <w:szCs w:val="20"/>
                <w:color w:val="auto"/>
              </w:rPr>
            </w:pPr>
            <w:r>
              <w:rPr>
                <w:rFonts w:ascii="Arial" w:cs="Arial" w:eastAsia="Arial" w:hAnsi="Arial"/>
                <w:sz w:val="18"/>
                <w:szCs w:val="18"/>
                <w:color w:val="auto"/>
                <w:w w:val="83"/>
              </w:rPr>
              <w:t>1.94x</w:t>
            </w:r>
            <w:r>
              <w:rPr>
                <w:rFonts w:ascii="Arial" w:cs="Arial" w:eastAsia="Arial" w:hAnsi="Arial"/>
                <w:sz w:val="22"/>
                <w:szCs w:val="22"/>
                <w:color w:val="auto"/>
                <w:w w:val="83"/>
                <w:vertAlign w:val="superscript"/>
              </w:rPr>
              <w:t>(1)</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w w:val="95"/>
              </w:rPr>
              <w:t>Ratio of earnings to combined fixed charges and preferred dividends: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320" w:type="dxa"/>
            <w:vAlign w:val="bottom"/>
            <w:gridSpan w:val="3"/>
          </w:tcPr>
          <w:p>
            <w:pPr>
              <w:ind w:left="420"/>
              <w:spacing w:after="0"/>
              <w:rPr>
                <w:sz w:val="20"/>
                <w:szCs w:val="20"/>
                <w:color w:val="auto"/>
              </w:rPr>
            </w:pPr>
            <w:r>
              <w:rPr>
                <w:rFonts w:ascii="Arial" w:cs="Arial" w:eastAsia="Arial" w:hAnsi="Arial"/>
                <w:sz w:val="18"/>
                <w:szCs w:val="18"/>
                <w:color w:val="auto"/>
              </w:rPr>
              <w:t>2.59x</w:t>
            </w:r>
          </w:p>
        </w:tc>
        <w:tc>
          <w:tcPr>
            <w:tcW w:w="2400" w:type="dxa"/>
            <w:vAlign w:val="bottom"/>
            <w:gridSpan w:val="3"/>
          </w:tcPr>
          <w:p>
            <w:pPr>
              <w:ind w:left="780"/>
              <w:spacing w:after="0"/>
              <w:rPr>
                <w:sz w:val="20"/>
                <w:szCs w:val="20"/>
                <w:color w:val="auto"/>
              </w:rPr>
            </w:pPr>
            <w:r>
              <w:rPr>
                <w:rFonts w:ascii="Arial" w:cs="Arial" w:eastAsia="Arial" w:hAnsi="Arial"/>
                <w:sz w:val="18"/>
                <w:szCs w:val="18"/>
                <w:color w:val="auto"/>
              </w:rPr>
              <w:t>2.84x</w:t>
            </w:r>
          </w:p>
        </w:tc>
        <w:tc>
          <w:tcPr>
            <w:tcW w:w="1940" w:type="dxa"/>
            <w:vAlign w:val="bottom"/>
            <w:gridSpan w:val="3"/>
          </w:tcPr>
          <w:p>
            <w:pPr>
              <w:ind w:left="540"/>
              <w:spacing w:after="0"/>
              <w:rPr>
                <w:sz w:val="20"/>
                <w:szCs w:val="20"/>
                <w:color w:val="auto"/>
              </w:rPr>
            </w:pPr>
            <w:r>
              <w:rPr>
                <w:rFonts w:ascii="Arial" w:cs="Arial" w:eastAsia="Arial" w:hAnsi="Arial"/>
                <w:sz w:val="18"/>
                <w:szCs w:val="18"/>
                <w:color w:val="auto"/>
              </w:rPr>
              <w:t>2.72x</w:t>
            </w:r>
            <w:r>
              <w:rPr>
                <w:rFonts w:ascii="Arial" w:cs="Arial" w:eastAsia="Arial" w:hAnsi="Arial"/>
                <w:sz w:val="22"/>
                <w:szCs w:val="22"/>
                <w:color w:val="auto"/>
                <w:vertAlign w:val="superscript"/>
              </w:rPr>
              <w:t>(1)</w:t>
            </w:r>
          </w:p>
        </w:tc>
        <w:tc>
          <w:tcPr>
            <w:tcW w:w="2320" w:type="dxa"/>
            <w:vAlign w:val="bottom"/>
            <w:gridSpan w:val="3"/>
          </w:tcPr>
          <w:p>
            <w:pPr>
              <w:ind w:left="900"/>
              <w:spacing w:after="0"/>
              <w:rPr>
                <w:sz w:val="20"/>
                <w:szCs w:val="20"/>
                <w:color w:val="auto"/>
              </w:rPr>
            </w:pPr>
            <w:r>
              <w:rPr>
                <w:rFonts w:ascii="Arial" w:cs="Arial" w:eastAsia="Arial" w:hAnsi="Arial"/>
                <w:sz w:val="18"/>
                <w:szCs w:val="18"/>
                <w:color w:val="auto"/>
              </w:rPr>
              <w:t>1.92x</w:t>
            </w:r>
            <w:r>
              <w:rPr>
                <w:rFonts w:ascii="Arial" w:cs="Arial" w:eastAsia="Arial" w:hAnsi="Arial"/>
                <w:sz w:val="22"/>
                <w:szCs w:val="22"/>
                <w:color w:val="auto"/>
                <w:vertAlign w:val="superscript"/>
              </w:rPr>
              <w:t>(1)</w:t>
            </w:r>
          </w:p>
        </w:tc>
        <w:tc>
          <w:tcPr>
            <w:tcW w:w="1420" w:type="dxa"/>
            <w:vAlign w:val="bottom"/>
            <w:gridSpan w:val="4"/>
          </w:tcPr>
          <w:p>
            <w:pPr>
              <w:ind w:left="880"/>
              <w:spacing w:after="0"/>
              <w:rPr>
                <w:sz w:val="20"/>
                <w:szCs w:val="20"/>
                <w:color w:val="auto"/>
              </w:rPr>
            </w:pPr>
            <w:r>
              <w:rPr>
                <w:rFonts w:ascii="Arial" w:cs="Arial" w:eastAsia="Arial" w:hAnsi="Arial"/>
                <w:sz w:val="18"/>
                <w:szCs w:val="18"/>
                <w:color w:val="auto"/>
                <w:w w:val="83"/>
              </w:rPr>
              <w:t>1.94x</w:t>
            </w:r>
            <w:r>
              <w:rPr>
                <w:rFonts w:ascii="Arial" w:cs="Arial" w:eastAsia="Arial" w:hAnsi="Arial"/>
                <w:sz w:val="22"/>
                <w:szCs w:val="22"/>
                <w:color w:val="auto"/>
                <w:w w:val="83"/>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right="8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July 2006, in connection with certain transactions with Adelphia and Time Warner, we transferred our previously owned cable systems located in Los Angeles, Cleveland and Dallas to Time Warner Cable. These cable systems are presented as discontinued operations for the years ended on or before December 31, 2006. Accordingly, we have adjusted the ratio of earnings to fixed charges and the ratio of earnings to combined fixed charges and preferred dividends to reflect the impact of discontinued operations. Prior to this adjustment, the ratio of earnings to fixed charges for the years ended December 31, 2005 and 2004 was 2.01x and 1.97x, respectively, and the ratio of earnings to combined fixed charges and preferred dividends for the years ended December 31, 2005 and 2004 was 2.01x and 1.97x, respectively.</w:t>
      </w:r>
    </w:p>
    <w:p>
      <w:pPr>
        <w:spacing w:after="0" w:line="12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w:t>
      </w:r>
    </w:p>
    <w:p>
      <w:pPr>
        <w:spacing w:after="0" w:line="2" w:lineRule="exact"/>
        <w:rPr>
          <w:sz w:val="20"/>
          <w:szCs w:val="20"/>
          <w:color w:val="auto"/>
        </w:rPr>
      </w:pPr>
    </w:p>
    <w:p>
      <w:pPr>
        <w:ind w:right="100" w:firstLine="8"/>
        <w:spacing w:after="0" w:line="302"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 purposes of calculating the ratio of earnings to combined fixed charges and preferred dividends, earnings is the amount resulting from (1) adding</w:t>
      </w:r>
    </w:p>
    <w:p>
      <w:pPr>
        <w:spacing w:after="0" w:line="38"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pretax income from continuing operations before adjustment for noncontrolling interests in consolidated subsidiaries or income or loss from equity investees,</w:t>
      </w:r>
    </w:p>
    <w:p>
      <w:pPr>
        <w:spacing w:after="0" w:line="32" w:lineRule="exact"/>
        <w:rPr>
          <w:rFonts w:ascii="Arial" w:cs="Arial" w:eastAsia="Arial" w:hAnsi="Arial"/>
          <w:sz w:val="16"/>
          <w:szCs w:val="16"/>
          <w:color w:val="auto"/>
        </w:rPr>
      </w:pPr>
    </w:p>
    <w:p>
      <w:pPr>
        <w:ind w:firstLine="8"/>
        <w:spacing w:after="0" w:line="281"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w:t>
      </w:r>
    </w:p>
    <w:p>
      <w:pPr>
        <w:spacing w:after="0" w:line="2" w:lineRule="exact"/>
        <w:rPr>
          <w:rFonts w:ascii="Arial" w:cs="Arial" w:eastAsia="Arial" w:hAnsi="Arial"/>
          <w:sz w:val="16"/>
          <w:szCs w:val="16"/>
          <w:color w:val="auto"/>
        </w:rPr>
      </w:pPr>
    </w:p>
    <w:p>
      <w:pPr>
        <w:ind w:right="200" w:firstLine="8"/>
        <w:spacing w:after="0" w:line="254" w:lineRule="auto"/>
        <w:tabs>
          <w:tab w:leader="none" w:pos="28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w:t>
      </w:r>
    </w:p>
    <w:p>
      <w:pPr>
        <w:spacing w:after="0" w:line="113" w:lineRule="exact"/>
        <w:rPr>
          <w:sz w:val="20"/>
          <w:szCs w:val="20"/>
          <w:color w:val="auto"/>
        </w:rPr>
      </w:pPr>
    </w:p>
    <w:p>
      <w:pPr>
        <w:ind w:left="900" w:right="8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case of senior debt securities, under a senior indenture dated January 7, 2003, as amended by a supplemental indenture dated March 25, 2003, entered into among us, the cable guarantors and The Bank of New York Mellon, formerly known as The Bank of New York, as trustee; and</w:t>
      </w:r>
    </w:p>
    <w:p>
      <w:pPr>
        <w:spacing w:after="0" w:line="4"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Mellon, as trustee.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Capital Stock,” the terms “we,” “us” and “our” refer solely to Comcast Corporation and such references do not include any subsidiaries of Comcast Corporation.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price) at which the debt securities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59" w:lineRule="exact"/>
        <w:rPr>
          <w:rFonts w:ascii="Arial" w:cs="Arial" w:eastAsia="Arial" w:hAnsi="Arial"/>
          <w:sz w:val="18"/>
          <w:szCs w:val="18"/>
          <w:color w:val="auto"/>
        </w:rPr>
      </w:pPr>
    </w:p>
    <w:p>
      <w:pPr>
        <w:ind w:left="1460" w:right="100" w:hanging="547"/>
        <w:spacing w:after="0" w:line="268"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50" w:lineRule="exact"/>
        <w:rPr>
          <w:rFonts w:ascii="Arial" w:cs="Arial" w:eastAsia="Arial" w:hAnsi="Arial"/>
          <w:sz w:val="18"/>
          <w:szCs w:val="18"/>
          <w:color w:val="auto"/>
        </w:rPr>
      </w:pPr>
    </w:p>
    <w:p>
      <w:pPr>
        <w:ind w:left="1460" w:right="80" w:hanging="547"/>
        <w:spacing w:after="0" w:line="268"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32"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capital stock or other ownership interests, whether outstanding as of, or issued after, the date of the senior indenture, including, without limitation, all common stock and preferred stock.</w:t>
      </w:r>
    </w:p>
    <w:p>
      <w:pPr>
        <w:spacing w:after="0" w:line="13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against the fluctuation in currency values.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139" w:lineRule="exact"/>
        <w:rPr>
          <w:sz w:val="20"/>
          <w:szCs w:val="20"/>
          <w:color w:val="auto"/>
        </w:rPr>
      </w:pPr>
    </w:p>
    <w:p>
      <w:pPr>
        <w:ind w:right="140" w:firstLine="456"/>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 w:lineRule="exact"/>
        <w:rPr>
          <w:sz w:val="20"/>
          <w:szCs w:val="20"/>
          <w:color w:val="auto"/>
        </w:rPr>
      </w:pPr>
    </w:p>
    <w:p>
      <w:pPr>
        <w:ind w:left="900" w:right="1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at any date of determination (without duplication):</w:t>
      </w:r>
    </w:p>
    <w:p>
      <w:pPr>
        <w:spacing w:after="0" w:line="9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113"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fair market value of such asset at such date of determination;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amount of such Indebtedness;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4" w:lineRule="exact"/>
        <w:rPr>
          <w:sz w:val="20"/>
          <w:szCs w:val="20"/>
          <w:color w:val="auto"/>
        </w:rPr>
      </w:pPr>
    </w:p>
    <w:p>
      <w:pPr>
        <w:ind w:left="900" w:right="400" w:hanging="446"/>
        <w:spacing w:after="0" w:line="357" w:lineRule="auto"/>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6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Agreements</w:t>
      </w:r>
      <w:r>
        <w:rPr>
          <w:rFonts w:ascii="Arial" w:cs="Arial" w:eastAsia="Arial" w:hAnsi="Arial"/>
          <w:sz w:val="16"/>
          <w:szCs w:val="16"/>
          <w:color w:val="auto"/>
        </w:rPr>
        <w:t>” means any obligations of any person pursuant to any interest rate swaps, caps, collars, and similar 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1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96"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90" w:lineRule="exact"/>
        <w:rPr>
          <w:rFonts w:ascii="Arial" w:cs="Arial" w:eastAsia="Arial" w:hAnsi="Arial"/>
          <w:sz w:val="18"/>
          <w:szCs w:val="18"/>
          <w:color w:val="auto"/>
        </w:rPr>
      </w:pPr>
    </w:p>
    <w:p>
      <w:pPr>
        <w:ind w:left="900" w:right="100" w:hanging="446"/>
        <w:spacing w:after="0" w:line="25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5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14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Financial Information</w:t>
      </w:r>
      <w:r>
        <w:rPr>
          <w:rFonts w:ascii="Arial" w:cs="Arial" w:eastAsia="Arial" w:hAnsi="Arial"/>
          <w:sz w:val="16"/>
          <w:szCs w:val="16"/>
          <w:color w:val="auto"/>
        </w:rPr>
        <w:t>. We will file, whether or not required to do so under applicable law, with the trustee, within 15 days after being required to file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The senior indenture restricts our ability to consolidate with, merge with or into, or sell, convey, transfer,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dispose of all or substantially all of our property and assets to any person (other than a consolidation with or merger with or into or a sale, conveyance, transfer, lease or other disposition to a wholly owned subsidiary with a positive net worth; provided that, in connection with any merger of us and a wholly owned subsidiary, no consideration other than common stock in the surviving person shall be issued or distributed to our stockholders) unless:</w:t>
      </w:r>
    </w:p>
    <w:p>
      <w:pPr>
        <w:spacing w:after="0" w:line="32" w:lineRule="exact"/>
        <w:rPr>
          <w:sz w:val="20"/>
          <w:szCs w:val="20"/>
          <w:color w:val="auto"/>
        </w:rPr>
      </w:pPr>
    </w:p>
    <w:p>
      <w:pPr>
        <w:ind w:left="900" w:right="60" w:hanging="446"/>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4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71" w:lineRule="exact"/>
        <w:rPr>
          <w:sz w:val="20"/>
          <w:szCs w:val="20"/>
          <w:color w:val="auto"/>
        </w:rPr>
      </w:pPr>
    </w:p>
    <w:p>
      <w:pPr>
        <w:ind w:right="240" w:firstLine="464"/>
        <w:spacing w:after="0" w:line="268" w:lineRule="auto"/>
        <w:tabs>
          <w:tab w:leader="none" w:pos="70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131" w:lineRule="exact"/>
        <w:rPr>
          <w:rFonts w:ascii="Arial" w:cs="Arial" w:eastAsia="Arial" w:hAnsi="Arial"/>
          <w:sz w:val="18"/>
          <w:szCs w:val="18"/>
          <w:color w:val="auto"/>
        </w:rPr>
      </w:pPr>
    </w:p>
    <w:p>
      <w:pPr>
        <w:ind w:right="120" w:firstLine="464"/>
        <w:spacing w:after="0" w:line="268" w:lineRule="auto"/>
        <w:tabs>
          <w:tab w:leader="none" w:pos="70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131" w:lineRule="exact"/>
        <w:rPr>
          <w:rFonts w:ascii="Arial" w:cs="Arial" w:eastAsia="Arial" w:hAnsi="Arial"/>
          <w:sz w:val="18"/>
          <w:szCs w:val="18"/>
          <w:color w:val="auto"/>
        </w:rPr>
      </w:pPr>
    </w:p>
    <w:p>
      <w:pPr>
        <w:jc w:val="both"/>
        <w:ind w:right="20" w:firstLine="464"/>
        <w:spacing w:after="0" w:line="306" w:lineRule="auto"/>
        <w:tabs>
          <w:tab w:leader="none" w:pos="705"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relief in respect of any Obligor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Obligor:</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3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51" w:lineRule="exact"/>
        <w:rPr>
          <w:sz w:val="20"/>
          <w:szCs w:val="20"/>
          <w:color w:val="auto"/>
        </w:rPr>
      </w:pPr>
    </w:p>
    <w:p>
      <w:pPr>
        <w:ind w:left="900" w:right="1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5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50" w:lineRule="exact"/>
        <w:rPr>
          <w:rFonts w:ascii="Arial" w:cs="Arial" w:eastAsia="Arial" w:hAnsi="Arial"/>
          <w:sz w:val="18"/>
          <w:szCs w:val="18"/>
          <w:color w:val="auto"/>
        </w:rPr>
      </w:pPr>
    </w:p>
    <w:p>
      <w:pPr>
        <w:ind w:left="1460" w:right="20" w:hanging="547"/>
        <w:spacing w:after="0" w:line="291" w:lineRule="auto"/>
        <w:tabs>
          <w:tab w:leader="none" w:pos="1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right="140" w:hanging="547"/>
        <w:spacing w:after="0" w:line="259"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90" w:lineRule="exact"/>
        <w:rPr>
          <w:sz w:val="20"/>
          <w:szCs w:val="20"/>
          <w:color w:val="auto"/>
        </w:rPr>
      </w:pPr>
    </w:p>
    <w:p>
      <w:pPr>
        <w:ind w:left="900" w:right="14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4"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90" w:lineRule="exact"/>
        <w:rPr>
          <w:sz w:val="20"/>
          <w:szCs w:val="20"/>
          <w:color w:val="auto"/>
        </w:rPr>
      </w:pPr>
    </w:p>
    <w:p>
      <w:pPr>
        <w:ind w:left="900" w:right="60" w:hanging="446"/>
        <w:spacing w:after="0" w:line="290"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37"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90" w:lineRule="exact"/>
        <w:rPr>
          <w:rFonts w:ascii="Arial" w:cs="Arial" w:eastAsia="Arial" w:hAnsi="Arial"/>
          <w:sz w:val="18"/>
          <w:szCs w:val="18"/>
          <w:color w:val="auto"/>
        </w:rPr>
      </w:pPr>
    </w:p>
    <w:p>
      <w:pPr>
        <w:ind w:left="1460" w:right="40" w:hanging="547"/>
        <w:spacing w:after="0" w:line="294" w:lineRule="auto"/>
        <w:tabs>
          <w:tab w:leader="none" w:pos="14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right="100" w:hanging="547"/>
        <w:spacing w:after="0" w:line="268" w:lineRule="auto"/>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5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trustee may amend or supplement the senior indenture or the senior debt securities without notice to or the consent of any holder:</w:t>
      </w:r>
    </w:p>
    <w:p>
      <w:pPr>
        <w:spacing w:after="0" w:line="113" w:lineRule="exact"/>
        <w:rPr>
          <w:sz w:val="20"/>
          <w:szCs w:val="20"/>
          <w:color w:val="auto"/>
        </w:rPr>
      </w:pPr>
    </w:p>
    <w:p>
      <w:pPr>
        <w:ind w:left="90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to make such other provisions in regard to matters or questions arising under the senior indenture as our Board of Directors may deem necessary or desirable and which shall not adversely affect the interests of the holders in any material respect;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comply with any requirements of the SEC in connection with the qualification of the senior indenture under the Trust Indenture Act;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90" w:lineRule="exact"/>
        <w:rPr>
          <w:rFonts w:ascii="Arial" w:cs="Arial" w:eastAsia="Arial" w:hAnsi="Arial"/>
          <w:sz w:val="18"/>
          <w:szCs w:val="18"/>
          <w:color w:val="auto"/>
        </w:rPr>
      </w:pPr>
    </w:p>
    <w:p>
      <w:pPr>
        <w:ind w:left="900" w:right="4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affected holder must consent to any modification, amendment or waiver that:</w:t>
      </w:r>
    </w:p>
    <w:p>
      <w:pPr>
        <w:spacing w:after="0" w:line="35" w:lineRule="exact"/>
        <w:rPr>
          <w:sz w:val="20"/>
          <w:szCs w:val="20"/>
          <w:color w:val="auto"/>
        </w:rPr>
      </w:pPr>
    </w:p>
    <w:p>
      <w:pPr>
        <w:ind w:left="900" w:right="5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the place or currency of payment of principal of, or premium, if any, or interest on, the senior debt securities of the affected series;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16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50" w:lineRule="exact"/>
        <w:rPr>
          <w:rFonts w:ascii="Arial" w:cs="Arial" w:eastAsia="Arial" w:hAnsi="Arial"/>
          <w:sz w:val="18"/>
          <w:szCs w:val="18"/>
          <w:color w:val="auto"/>
        </w:rPr>
      </w:pPr>
    </w:p>
    <w:p>
      <w:pPr>
        <w:ind w:left="900" w:right="40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4"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After an amendment, supplement or waiver that requires the consent of a majority or all of the affected holders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indenture and the debt securities will be governed by, and construed in accordance with, the internal laws of the State of New York.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President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subordination provisions also apply in the same way to each cable guarantor with respect to the Senior Indebtedness of such cable guarantor.</w:t>
      </w:r>
    </w:p>
    <w:p>
      <w:pPr>
        <w:spacing w:after="0" w:line="19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4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51" w:lineRule="exact"/>
        <w:rPr>
          <w:sz w:val="20"/>
          <w:szCs w:val="20"/>
          <w:color w:val="auto"/>
        </w:rPr>
      </w:pPr>
    </w:p>
    <w:p>
      <w:pPr>
        <w:ind w:left="460" w:right="200" w:firstLine="438"/>
        <w:spacing w:after="0" w:line="298" w:lineRule="auto"/>
        <w:rPr>
          <w:sz w:val="20"/>
          <w:szCs w:val="20"/>
          <w:color w:val="auto"/>
        </w:rPr>
      </w:pPr>
      <w:r>
        <w:rPr>
          <w:rFonts w:ascii="Arial" w:cs="Arial" w:eastAsia="Arial" w:hAnsi="Arial"/>
          <w:sz w:val="16"/>
          <w:szCs w:val="16"/>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32"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51" w:lineRule="exact"/>
        <w:rPr>
          <w:sz w:val="20"/>
          <w:szCs w:val="20"/>
          <w:color w:val="auto"/>
        </w:rPr>
      </w:pPr>
    </w:p>
    <w:p>
      <w:pPr>
        <w:ind w:left="900" w:right="16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pay quarterly dividends at an annual rate currently of $0.27 per share. See “Dividend Policy”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 xml:space="preserve">As of December 31, 2008, on all matters submitted for a vote of holders of all classes of our voting stock, holders of our Class A common stock in the aggregate hold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voting power of our capital stock. As of December 31, 2008, our Class B common stock has a nondilutable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right="20" w:firstLine="456"/>
        <w:spacing w:after="0" w:line="251" w:lineRule="auto"/>
        <w:rPr>
          <w:sz w:val="20"/>
          <w:szCs w:val="20"/>
          <w:color w:val="auto"/>
        </w:rPr>
      </w:pPr>
      <w:r>
        <w:rPr>
          <w:rFonts w:ascii="Arial" w:cs="Arial" w:eastAsia="Arial" w:hAnsi="Arial"/>
          <w:sz w:val="17"/>
          <w:szCs w:val="17"/>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combined voting power of our stock and which also has separate approval rights over certain material transactions, as described above under “—Approval Rights.” Accordingly, Mr. Roberts has considerable influence over our operations and has the ability (subject to certain restrictions through November 17, 2012) to transfer potential effective control by selling the Class B common stock. In addition, under our articles of incorporation, Mr. Roberts is entitled to remain as our Chairman, Chief Executive Officer and President until May 26, 2010, unless he is removed by the affirmative vote of at least 75% of the entire Board of Directors or he is no longer willing or able to serve. The Class B common stock is convertible on a share-for-share basis into Class A common stock or Class A Special common stock. As of February 28, 2009, if Mr. Roberts were to convert the Class B common stock he beneficially owns into Class A common stock, Mr. Roberts would beneficially own 12,798,458 shares of Class A common stock, which is less than 1% of the Class A common stock that would be outstanding after the conversion.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w:t>
      </w:r>
      <w:r>
        <w:rPr>
          <w:rFonts w:ascii="Arial" w:cs="Arial" w:eastAsia="Arial" w:hAnsi="Arial"/>
          <w:sz w:val="18"/>
          <w:szCs w:val="18"/>
          <w:i w:val="1"/>
          <w:iCs w:val="1"/>
          <w:color w:val="auto"/>
        </w:rPr>
        <w:t>i.e.</w:t>
      </w:r>
      <w:r>
        <w:rPr>
          <w:rFonts w:ascii="Arial" w:cs="Arial" w:eastAsia="Arial" w:hAnsi="Arial"/>
          <w:sz w:val="18"/>
          <w:szCs w:val="18"/>
          <w:color w:val="auto"/>
        </w:rPr>
        <w:t>,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w:t>
      </w:r>
      <w:r>
        <w:rPr>
          <w:rFonts w:ascii="Arial" w:cs="Arial" w:eastAsia="Arial" w:hAnsi="Arial"/>
          <w:sz w:val="18"/>
          <w:szCs w:val="18"/>
          <w:i w:val="1"/>
          <w:iCs w:val="1"/>
          <w:color w:val="auto"/>
        </w:rPr>
        <w:t>i.e.</w:t>
      </w:r>
      <w:r>
        <w:rPr>
          <w:rFonts w:ascii="Arial" w:cs="Arial" w:eastAsia="Arial" w:hAnsi="Arial"/>
          <w:sz w:val="18"/>
          <w:szCs w:val="18"/>
          <w:color w:val="auto"/>
        </w:rPr>
        <w:t>,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143"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under “—’Flip In’ Feature” or “—’Flip Over’ Feature,” each Right will be exercisable to purchase for $125 one one-thousandth of a share of our Series A participating cumulative preferred stock.</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“Flip In” Feature. </w:t>
      </w:r>
      <w:r>
        <w:rPr>
          <w:rFonts w:ascii="Arial" w:cs="Arial" w:eastAsia="Arial" w:hAnsi="Arial"/>
          <w:sz w:val="16"/>
          <w:szCs w:val="16"/>
          <w:color w:val="auto"/>
        </w:rPr>
        <w:t>If any person becomes an Acquiring Person, each holder of a Right, except for the Acquiring Person or certain affiliated persons,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“Exchange” Feature. </w:t>
      </w:r>
      <w:r>
        <w:rPr>
          <w:rFonts w:ascii="Arial" w:cs="Arial" w:eastAsia="Arial" w:hAnsi="Arial"/>
          <w:sz w:val="16"/>
          <w:szCs w:val="16"/>
          <w:color w:val="auto"/>
        </w:rPr>
        <w:t>At any time after a person becomes an Acquiring Person (but before any person becomes the beneficial owner of our voting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14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Stock. </w:t>
      </w:r>
      <w:r>
        <w:rPr>
          <w:rFonts w:ascii="Arial" w:cs="Arial" w:eastAsia="Arial" w:hAnsi="Arial"/>
          <w:sz w:val="16"/>
          <w:szCs w:val="16"/>
          <w:color w:val="auto"/>
        </w:rPr>
        <w:t>In connection with the creation of the Rights, our Board authorized the issuance of shares of our preferred stock designated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t>
      </w:r>
      <w:r>
        <w:rPr>
          <w:rFonts w:ascii="Arial" w:cs="Arial" w:eastAsia="Arial" w:hAnsi="Arial"/>
          <w:sz w:val="13"/>
          <w:szCs w:val="13"/>
          <w:color w:val="auto"/>
        </w:rPr>
        <w:t>LLP</w:t>
      </w:r>
      <w:r>
        <w:rPr>
          <w:rFonts w:ascii="Arial" w:cs="Arial" w:eastAsia="Arial" w:hAnsi="Arial"/>
          <w:sz w:val="18"/>
          <w:szCs w:val="18"/>
          <w:color w:val="auto"/>
        </w:rPr>
        <w:t xml:space="preserve"> will represent the underwriters.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The consolidated financial statements, and the related consolidated financial statement schedule, incorporated in this prospectus by reference from the Company’s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(which express an unqualified opinion on the consolidated financial statements and the consolidated financial statement schedule and include an explanatory paragraph concerning the adoption FASB Interpretation No. 48, </w:t>
      </w:r>
      <w:r>
        <w:rPr>
          <w:rFonts w:ascii="Arial" w:cs="Arial" w:eastAsia="Arial" w:hAnsi="Arial"/>
          <w:sz w:val="16"/>
          <w:szCs w:val="16"/>
          <w:i w:val="1"/>
          <w:iCs w:val="1"/>
          <w:color w:val="auto"/>
        </w:rPr>
        <w:t>Accounting for Uncertainty in Income Taxes – an Interpretation of FASB Statement No. 109,</w:t>
      </w:r>
      <w:r>
        <w:rPr>
          <w:rFonts w:ascii="Arial" w:cs="Arial" w:eastAsia="Arial" w:hAnsi="Arial"/>
          <w:sz w:val="16"/>
          <w:szCs w:val="16"/>
          <w:color w:val="auto"/>
        </w:rPr>
        <w:t xml:space="preserve"> effective January 1, 2007, of Statement of Financial Accounting Standards (“SFAS”) No. 159, </w:t>
      </w:r>
      <w:r>
        <w:rPr>
          <w:rFonts w:ascii="Arial" w:cs="Arial" w:eastAsia="Arial" w:hAnsi="Arial"/>
          <w:sz w:val="16"/>
          <w:szCs w:val="16"/>
          <w:i w:val="1"/>
          <w:iCs w:val="1"/>
          <w:color w:val="auto"/>
        </w:rPr>
        <w:t>The Fair Value Option for Financial Assets and Financial Liabilities 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effective January 1, 2008, and of EITF Issue No 06-10,</w:t>
      </w:r>
      <w:r>
        <w:rPr>
          <w:rFonts w:ascii="Arial" w:cs="Arial" w:eastAsia="Arial" w:hAnsi="Arial"/>
          <w:sz w:val="16"/>
          <w:szCs w:val="16"/>
          <w:i w:val="1"/>
          <w:iCs w:val="1"/>
          <w:color w:val="auto"/>
        </w:rPr>
        <w:t xml:space="preserve"> Accounting for Collateral Assignment Spilt-Dollar Life Insurance Arrangements, </w:t>
      </w:r>
      <w:r>
        <w:rPr>
          <w:rFonts w:ascii="Arial" w:cs="Arial" w:eastAsia="Arial" w:hAnsi="Arial"/>
          <w:sz w:val="16"/>
          <w:szCs w:val="16"/>
          <w:color w:val="auto"/>
        </w:rPr>
        <w:t>effective January 1, 2008 and express an unqualified opinion on the effectiveness of internal control over financial reporting). Such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consolidated financial statement schedule have been so incorporated in reliance upon the reports of such firm given upon their authority as experts in accounting and auditing.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in any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any prospectus supplement and our filings with the SEC is accurate only as of its date, regardless of the time of delivery of this prospectus and any prospectus supplement or of any sale of the securities.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2008, filed on February 20, 2009.</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2009 annual meeting of stockholders incorporated by reference in the Annual Report on Form 10-K for the year ended December 31, 2008.</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Report on Form 8-K filed on February 13, 2009.</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60" w:type="dxa"/>
            <w:vAlign w:val="bottom"/>
          </w:tcPr>
          <w:p>
            <w:pPr>
              <w:jc w:val="center"/>
              <w:ind w:right="252"/>
              <w:spacing w:after="0"/>
              <w:rPr>
                <w:sz w:val="20"/>
                <w:szCs w:val="20"/>
                <w:color w:val="auto"/>
              </w:rPr>
            </w:pPr>
            <w:r>
              <w:rPr>
                <w:rFonts w:ascii="Arial" w:cs="Arial" w:eastAsia="Arial" w:hAnsi="Arial"/>
                <w:sz w:val="18"/>
                <w:szCs w:val="18"/>
                <w:b w:val="1"/>
                <w:bCs w:val="1"/>
                <w:color w:val="auto"/>
                <w:w w:val="99"/>
              </w:rPr>
              <w:t>PART II</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60" w:type="dxa"/>
            <w:vAlign w:val="bottom"/>
          </w:tcPr>
          <w:p>
            <w:pPr>
              <w:jc w:val="center"/>
              <w:ind w:right="272"/>
              <w:spacing w:after="0"/>
              <w:rPr>
                <w:sz w:val="20"/>
                <w:szCs w:val="20"/>
                <w:color w:val="auto"/>
              </w:rPr>
            </w:pPr>
            <w:r>
              <w:rPr>
                <w:rFonts w:ascii="Arial" w:cs="Arial" w:eastAsia="Arial" w:hAnsi="Arial"/>
                <w:sz w:val="18"/>
                <w:szCs w:val="18"/>
                <w:b w:val="1"/>
                <w:bCs w:val="1"/>
                <w:color w:val="auto"/>
                <w:w w:val="98"/>
              </w:rPr>
              <w:t>INFORMATION NOT REQUIRED IN PROSPECTUS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14.</w:t>
            </w:r>
          </w:p>
        </w:tc>
        <w:tc>
          <w:tcPr>
            <w:tcW w:w="9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Other Expenses of Issuance and Distribution</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0620" w:type="dxa"/>
            <w:vAlign w:val="bottom"/>
            <w:gridSpan w:val="3"/>
          </w:tcPr>
          <w:p>
            <w:pPr>
              <w:ind w:left="460"/>
              <w:spacing w:after="0"/>
              <w:rPr>
                <w:sz w:val="20"/>
                <w:szCs w:val="20"/>
                <w:color w:val="auto"/>
              </w:rPr>
            </w:pPr>
            <w:r>
              <w:rPr>
                <w:rFonts w:ascii="Arial" w:cs="Arial" w:eastAsia="Arial" w:hAnsi="Arial"/>
                <w:sz w:val="18"/>
                <w:szCs w:val="18"/>
                <w:color w:val="auto"/>
                <w:w w:val="92"/>
              </w:rPr>
              <w:t>The following table sets forth the estimated costs and expenses payable by the Registrants in connection with this Registration Statement.</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8"/>
              </w:rPr>
              <w:t>Amount to be</w:t>
            </w:r>
          </w:p>
        </w:tc>
      </w:tr>
      <w:tr>
        <w:trPr>
          <w:trHeight w:val="161"/>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Paid</w:t>
            </w:r>
          </w:p>
        </w:tc>
      </w:tr>
      <w:tr>
        <w:trPr>
          <w:trHeight w:val="210"/>
        </w:trPr>
        <w:tc>
          <w:tcPr>
            <w:tcW w:w="10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r>
      <w:tr>
        <w:trPr>
          <w:trHeight w:val="216"/>
        </w:trPr>
        <w:tc>
          <w:tcPr>
            <w:tcW w:w="10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fees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r>
      <w:tr>
        <w:trPr>
          <w:trHeight w:val="216"/>
        </w:trPr>
        <w:tc>
          <w:tcPr>
            <w:tcW w:w="1062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87"/>
              </w:rPr>
              <w:t>Miscellaneous</w:t>
            </w:r>
          </w:p>
        </w:tc>
        <w:tc>
          <w:tcPr>
            <w:tcW w:w="140" w:type="dxa"/>
            <w:vAlign w:val="bottom"/>
            <w:shd w:val="clear" w:color="auto" w:fill="CCEEFF"/>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r>
      <w:tr>
        <w:trPr>
          <w:trHeight w:val="222"/>
        </w:trPr>
        <w:tc>
          <w:tcPr>
            <w:tcW w:w="1020" w:type="dxa"/>
            <w:vAlign w:val="bottom"/>
          </w:tcPr>
          <w:p>
            <w:pPr>
              <w:ind w:left="440"/>
              <w:spacing w:after="0"/>
              <w:rPr>
                <w:sz w:val="20"/>
                <w:szCs w:val="20"/>
                <w:color w:val="auto"/>
              </w:rPr>
            </w:pPr>
            <w:r>
              <w:rPr>
                <w:rFonts w:ascii="Arial" w:cs="Arial" w:eastAsia="Arial" w:hAnsi="Arial"/>
                <w:sz w:val="18"/>
                <w:szCs w:val="18"/>
                <w:color w:val="auto"/>
                <w:w w:val="96"/>
              </w:rPr>
              <w:t>TOTAL</w:t>
            </w:r>
          </w:p>
        </w:tc>
        <w:tc>
          <w:tcPr>
            <w:tcW w:w="140" w:type="dxa"/>
            <w:vAlign w:val="bottom"/>
          </w:tcPr>
          <w:p>
            <w:pPr>
              <w:spacing w:after="0"/>
              <w:rPr>
                <w:sz w:val="19"/>
                <w:szCs w:val="19"/>
                <w:color w:val="auto"/>
              </w:rPr>
            </w:pPr>
          </w:p>
        </w:tc>
        <w:tc>
          <w:tcPr>
            <w:tcW w:w="9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175,000</w:t>
            </w:r>
          </w:p>
        </w:tc>
      </w:tr>
      <w:tr>
        <w:trPr>
          <w:trHeight w:val="20"/>
        </w:trPr>
        <w:tc>
          <w:tcPr>
            <w:tcW w:w="1160" w:type="dxa"/>
            <w:vAlign w:val="bottom"/>
            <w:gridSpan w:val="2"/>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gridSpan w:val="2"/>
          </w:tcPr>
          <w:p>
            <w:pPr>
              <w:spacing w:after="0"/>
              <w:rPr>
                <w:sz w:val="8"/>
                <w:szCs w:val="8"/>
                <w:color w:val="auto"/>
              </w:rPr>
            </w:pPr>
          </w:p>
        </w:tc>
        <w:tc>
          <w:tcPr>
            <w:tcW w:w="9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35"/>
        </w:trPr>
        <w:tc>
          <w:tcPr>
            <w:tcW w:w="10620" w:type="dxa"/>
            <w:vAlign w:val="bottom"/>
            <w:gridSpan w:val="3"/>
          </w:tcPr>
          <w:p>
            <w:pPr>
              <w:spacing w:after="0"/>
              <w:rPr>
                <w:sz w:val="20"/>
                <w:szCs w:val="20"/>
                <w:color w:val="auto"/>
              </w:rPr>
            </w:pPr>
            <w:r>
              <w:rPr>
                <w:rFonts w:ascii="Arial" w:cs="Arial" w:eastAsia="Arial" w:hAnsi="Arial"/>
                <w:sz w:val="18"/>
                <w:szCs w:val="18"/>
                <w:color w:val="auto"/>
              </w:rPr>
              <w:t>*  Omitted because the registration fee is being deferred pursuant to Rule 456(b).</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0"/>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Indemnification of Directors and Officers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under Pennsylvania Law and Comcast’s Charter and By-laws.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conduct was unlawful.</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he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3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by (i)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1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shall inure to the benefit of the heirs and personal representatives of such person.</w:t>
      </w:r>
    </w:p>
    <w:p>
      <w:pPr>
        <w:spacing w:after="0" w:line="14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Article Eleventh of the Comcast charter provides that no director of Comcast will be personally liable, as such, for monetary damages (other than under criminal statutes and under laws imposing such liability on directors for the payment of taxes) unless such person’s conduct constitutes self-dealing, willful misconduct or recklessness. Article Twelfth of the Comcast charter extends such protection to officers.</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Article 7 of the Comcast by-laws provides that each officer and director of Comcast will be indemnified and held harmless by Comcast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Comcast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without interest if it is ultimately determined that the director or officer is not entitled to be so indemnified.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Article 7 of the Comcast by-laws also provides that Comcast may purchase and maintain insurance, at its expense, for the benefit of any person on behalf of whom insurance is permitted to be purchased by Pennsylvania law against any expense, liability or loss, whether or not Comcast would have the power to indemnify such person under Pennsylvania or any other law. Comcast may also purchase and maintain insurance to insure its indemnification obligations.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statements are subject to the detailed provisions of the PBCL and to the applicable provisions of the Comcast charter and by-laws.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Communications Holdings, Inc.</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Comcast Cable Communications Holdings is a corporation organized under the laws of the State of Delaware. Subsection (a) of Section 145 of the General Corporation Law of the State of Delaware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in respect to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be indemnified for such expenses which the Court of Chancery or the court shall deem proper.</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Section 145 further provides that to the extent a director or officer of a corporation has been successful in the defense of any action, suit or proceeding referred to in subsections (a) or (b) or in the defense of any claim, issue or matter therein, he shall be indemnified against expenses (including attorneys’ fees) actually and reasonably incurred by him in connection therewith; that indemnification and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Article VIII of Comcast Cable Communications Holdings’ Certificate of Incorporation provides that a director of Comcast Cable Communications Holdings will not be personally liable to Comcast Cable Communications Holdings or its stockholders for monetary damages for breach of fiduciary duty as a director, except that a director will not be exempt from liability (i) for any breach of the director’s duty of loyalty to Comcast Cable Communications Holdings or its stockholders, (ii) for acts or omissions not in good faith or which involve intentional misconduct or a knowing violation of law, (iii) under Section 174 of the General Corporation Law of the State of Delaware or (iv) for any transaction from which a director derived an improper personal benefit. If there is any change in Delaware law which expands the liability of directors, the limited liability of Comcast Cable Communications Holdings’ directors shall continue to the extent permitted by law and if there is any change in Delaware law which permits a corporation, without the requirement of any further action by the stockholders or directors of such corporation, to limit further the liability of directors, then the liability of Comcast Cable Communications Holdings’ directors will be limited to the extent permitted by law.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 xml:space="preserve">Article IV, Section 8 of the Comcast Cable Communications Holdings by-laws provides that each person who was or is made a party or is threatened to be made a party to or is otherwise in any way involved in any action, suit or proceeding, whether civil, criminal, administrative or investigative (hereinafter a “proceeding”), by reason of the fact that he is or was a director or officer of Comcast Cable Communications Holdings or is or was serving at its request as a director, officer or employee of another corporation or of a partnership, joint venture, trust or other enterprise, including service with respect to an employee benefit plan (hereinafter an “indemnitee”), whether the basis of the proceeding is alleged action in an official capacity or in any other capacity while serving as a director, officer or employee will be indemnified and held harmless by Comcast Cable Communications Holdings to the fullest extent authorized by the General Corporation Law of the State of Delaware against all expense, liability and loss (including attorneys’ fees, judgments, fines, and Employee Retirement Income Security Act of 1974 excise taxes or penalties and amounts paid or to be paid in settlement) reasonably incurred or suffered by the indemnitee in connection with the proceeding. However, except in the case of proceedings to enforce rights to indemnification, Comcast Cable Communications Holdings will indemnify an indemnitee in connection with a proceeding (or part thereof) initiated by the indemnitee only if the proceeding was authorized by the Board of Directors of Comcast Cable Communications Holdings. The right to indemnification includes the right to be paid by Comcast Cable Communications Holdings the advancement of the expenses incurred in defending any proceeding in advance of its final disposition;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General Corporation Law of the State of Delaware requires, an advancement of expenses incurred by an indemnitee in his capacity as a director or officer will be made only upon delivery to Comcast Cable Communications Holdings of an undertaking, by or on behalf of the indemnitee, to repay all amounts so advanced if it is ultimately determined that the indemnitee is not entitled to be indemnified for the expenses. Also, the Board of Directors of Comcast Cable Communications Holdings may grant rights to indemnification and rights to be paid by Comcast Cable Communications Holdings the expenses incurred in defending any proceeding in advance of its final disposition as described above to any agent of Comcast Cable Communications Holdings or to any agent of another corporation or of a partnership, joint venture, trust or other enterprise, including any employee benefit plan, serving at the request of Comcast Cable Communications Holdings.</w:t>
      </w:r>
    </w:p>
    <w:p>
      <w:pPr>
        <w:spacing w:after="0" w:line="13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 claim for indemnification is not paid in full within 60 days (or 20 days in the case of a claim for an advancement of expenses) after a written claim is received by Comcast Cable Communications Holdings, the indemnitee may bring suit to recover the unpaid amount of the claim. If successful in whole or in part in such suit, or in a suit brought by Comcast Cable Communications Holdings to recover an advancement of expenses pursuant to the terms of an undertaking, the indemnitee will be entitled to be paid also the expense of prosecuting or defending the suit. It will be a defense to any such action (other than an action brought by the indemnitee to enforce a right to an advancement of expenses) that the indemnitee has not met the standard for indemnification set forth in the General Corporation Law of the State of Delaware, but Comcast Cable Communications Holdings would bear the burden of proving this defense.</w:t>
      </w:r>
    </w:p>
    <w:p>
      <w:pPr>
        <w:spacing w:after="0" w:line="120"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Comcast Cable Communications Holdings may maintain insurance, at its expense, to protect itself and any director, officer, employee or agent of Comcast Cable Communications Holdings or another corporation, partnership, joint venture, trust or other enterprise against any expense, liability or loss, whether or not Comcast Cable Communications Holdings would have the power to indemnify such person under the General Corporation Law of the State of Delaware.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Communications, LLC</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Comcast Cable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and managers from and against any and all claims and demands.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Section 18.1 of Comcast Cable’s Limited Liability Company Agreement (“LLC Agreement”) provides that Comcast Cable will indemnify the member, Comcast Holdings Corporation, any officer of Comcast Cable and any officer of Comcast Cable who is or was serving as a director, officer, employee or agent of another entity at Comcast Cable’s request (each, an “Indemnified Person”)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against expenses (including attorneys’ fees), judgments, fines and amounts paid in settlement, actually and reasonably incurred by such Indemnified Person, to the fullest extent permitted by law in connection with any threatened, pending or contemplated action, suit or proceeding, whether civil, criminal, administrative or investigative (hereinafter, a “proceeding”), brought or threatened to be brought against such Indemnified Person by reason of the fact that he or she is or was serving in any such capacity or in any other capacity on behalf of Comcast Cable, the member or any of Comcast Cable’s subsidiaries. In addition, the member may, by resolution, similarly indemnify any other person (hereinafter, an “Other Person”) for liabilities incurred by him or her in connection with services rendered by him or her for or at the request of Comcast Cable, the member or any of Comcast Cable’s subsidiaries.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Section 18.2 of Comcast Cable’s LLC Agreement provides that expenses (including attorneys’ fees) incurred by any Indemnified Person in defending a proceeding will be paid by Comcast Cable in advance of the final disposition of such proceeding as authorized by the member upon receipt of an undertaking, by or on behalf of such Indemnified Person, to repay such amount if it is ultimately determined that he or she is not entitled to be indemnified by Comcast Cable as authorized by law. Advance expenses (including attorneys’ fees) incurred by Other Persons may be paid by Comcast Cable if the member deems appropriate and upon such terms and conditions, including the giving of an undertaking, as the member deems appropriate.</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Section 18.4 of Comcast Cable’s LLC Agreement provides that Comcast Cable may purchase and maintain insurance on behalf of any person who is or was an Indemnified Person or Other Person against any liability asserted against him or her and incurred by him or her in any such capacity, or arising out of his or her status as such, whether or not Comcast Cable would have the power to indemnify him or her against such liability under applicable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Holdings, LLC</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Comcast Cable Holdings is a limited liability company organized under the laws of the State of Delaware. The indemnification of officers and other persons provided for by Comcast Cable Holdings’ LLC Agreement and the Delaware Limited Liability Company Act is identical to the indemnification provisions described under “—Comcast Cable Communications, LLC,” except that the member of Comcast Cable Holdings is Comcast Cable Communications Holdings.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MO Group, Inc.</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Comcast MO Group is a corporation organized under the laws of the State of Delaware. The indemnification of officers and directors provided for by the General Corporation Law of the State of Delaware is identical to the provisions described above under “—Comcast Cable Communications Holdings, Inc.”</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Article VIII, Section 1 of Comcast MO Group’s Certificate of Incorporation provides that a director of Comcast MO Group will not be personally liable to Comcast MO Group or its stockholders for monetary damages for breach of fiduciary duty as director, except to the extent this exemption is not permitted by the General Corporation Law of the State of Delaware. Any repeal or modification of this provision will not affect the rights of a director of Comcast MO Group prior to such repeal or modification.</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Article VIII, Section 2 of Comcast MO Group’s Certificate of Incorporation provides that each person who was or is made a party or is threatened to be made a party to or is otherwise in any way involved in any action, suit or proceeding, whether civil, criminal, administrative or investigative (hereinafter a “proceeding”), by reason of the fact that he, or the person of whom he is the legal representative, is or was a director or officer of Comcast MO Group or is or was serving at its request as a director, officer, employee or agent of another corporation or of a partnership, joint venture, trust or other enterprise, including service with respect to an employee benefit plan (hereinafter an “indemnitee”), whether the basis of the proceeding is alleged action in an official capacity or in any other capacity while serving as a director, officer, employee, or agent will be indemnified and held harmless by Comcast MO Group to the fullest extent authorized by the General Corporation Law of the State of Delaware against all expense, liability and loss (including attorneys’ fees, judgments, fines, amounts paid or to be paid in settlement and Employee Retirement Income Security Act of 1974 excise taxes or penalties) reasonably incurred or suffered by the indemnitee in connection with the proceeding. However,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except in the case of proceedings to enforce rights to indemnification, Comcast MO Group will indemnify an indemnitee in connection with a proceeding (or part thereof) initiated by the indemnitee only if the proceeding was authorized by the Board of Directors of Comcast MO Group. The right to indemnification includes the right to be paid by Comcast MO Group the advancement of expenses incurred in defending any proceeding in advance of its final disposition;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General Corporation Law of the State of Delaware requires, an advancement of expenses incurred by an indemnitee in his capacity as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or officer will be made only upon delivery to Comcast MO Group of an undertaking, by or on behalf of the indemnitee, to repay all amounts so advanced if it is ultimately determined that the indemnitee is not entitled to be indemnified for the expenses. Also, the Board of Directors of Comcast MO Group may grant rights to indemnification as described above to any of Comcast MO Group’s employees and agents.</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If a claim for indemnification is not paid in full within 30 days after a written claim is received by Comcast MO Group, the claimant may bring suit to recover the unpaid amount of the claim, and if successful in whole or in part, the indemnitee will be entitled to be paid also the expense of prosecuting the suit. It shall be a defense to any such action (other than an action brought to enforce a claim for expenses incurred in defending any proceeding in advance of its final disposition where the required undertaking, if any is required, has been tendered) that the claimant has not met the standards of conduct which make it permissible under the General Corporation Law of the State of Delaware for Comcast MO Group to indemnify the claimant for the amount claimed, but Comcast MO Group would bear the burden of proving this defense.</w:t>
      </w:r>
    </w:p>
    <w:p>
      <w:pPr>
        <w:spacing w:after="0" w:line="14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Comcast MO Group may maintain insurance, at its expense, to protect itself and any director, officer, employee or agent of Comcast MO Group or another corporation, partnership, joint venture, trust or other enterprise against any expense, liability or loss, whether or not Comcast MO Group would have the power to indemnify such person under the General Corporation Law of the State of Delaware.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MO of Delaware, LLC</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Comcast MO of Delaware is a limited liability company organized under the laws of the State of Delaware. The indemnification of officers and other persons provided for by Comcast MO of Delaware’s LLC Agreement and the Delaware Limited Liability Company Act is identical to the indemnification provisions described under “—Comcast Cable Communications, LLC,” except that the member of Comcast MO of Delaware is Comcast of Georgia/Virginia, Inc.</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1070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r>
      <w:tr>
        <w:trPr>
          <w:trHeight w:val="297"/>
        </w:trPr>
        <w:tc>
          <w:tcPr>
            <w:tcW w:w="11420" w:type="dxa"/>
            <w:vAlign w:val="bottom"/>
            <w:gridSpan w:val="3"/>
          </w:tcPr>
          <w:p>
            <w:pPr>
              <w:ind w:left="460"/>
              <w:spacing w:after="0"/>
              <w:rPr>
                <w:sz w:val="20"/>
                <w:szCs w:val="20"/>
                <w:color w:val="auto"/>
              </w:rPr>
            </w:pPr>
            <w:r>
              <w:rPr>
                <w:rFonts w:ascii="Arial" w:cs="Arial" w:eastAsia="Arial" w:hAnsi="Arial"/>
                <w:sz w:val="18"/>
                <w:szCs w:val="18"/>
                <w:color w:val="auto"/>
              </w:rPr>
              <w:t>(a)   The following exhibits are filed as part of this Registration Statement:</w:t>
            </w:r>
          </w:p>
        </w:tc>
      </w:tr>
      <w:tr>
        <w:trPr>
          <w:trHeight w:val="367"/>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40" w:type="dxa"/>
            <w:vAlign w:val="bottom"/>
          </w:tcPr>
          <w:p>
            <w:pPr>
              <w:spacing w:after="0"/>
              <w:rPr>
                <w:sz w:val="24"/>
                <w:szCs w:val="24"/>
                <w:color w:val="auto"/>
              </w:rPr>
            </w:pPr>
          </w:p>
        </w:tc>
        <w:tc>
          <w:tcPr>
            <w:tcW w:w="9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Document</w:t>
            </w:r>
          </w:p>
        </w:tc>
      </w:tr>
      <w:tr>
        <w:trPr>
          <w:trHeight w:val="316"/>
        </w:trPr>
        <w:tc>
          <w:tcPr>
            <w:tcW w:w="72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Form of Underwriting Agreement (Debt Securities)*</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Form of Underwriting Agreement Standard Provisions (Debt Securities)*</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95"/>
              </w:rPr>
              <w:t>Form of Underwriting Agreement (Preferred Stock, Depositary Shares, Common Stock, Warrants, Purchase Contracts and Units)**</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Specimen Class A Common Stock Certificate(1)</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Specimen Class A Special Common Stock Certificate(1)</w:t>
            </w:r>
          </w:p>
        </w:tc>
      </w:tr>
      <w:tr>
        <w:trPr>
          <w:trHeight w:val="318"/>
        </w:trPr>
        <w:tc>
          <w:tcPr>
            <w:tcW w:w="7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88"/>
              </w:rPr>
              <w:t>Rights Agreement dated as of November 18, 2002, between Comcast Corporation and Computershare Trust Company, N.A. (f/k/a EquiServe</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w w:val="96"/>
              </w:rPr>
              <w:t>Trust Company, N.A.), as Rights Agent, which includes the Form of Certificate of Designation of Series A Participant’s Cumulative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40"/>
              <w:spacing w:after="0"/>
              <w:rPr>
                <w:sz w:val="20"/>
                <w:szCs w:val="20"/>
                <w:color w:val="auto"/>
              </w:rPr>
            </w:pPr>
            <w:r>
              <w:rPr>
                <w:rFonts w:ascii="Arial" w:cs="Arial" w:eastAsia="Arial" w:hAnsi="Arial"/>
                <w:sz w:val="18"/>
                <w:szCs w:val="18"/>
                <w:color w:val="auto"/>
              </w:rPr>
              <w:t>Preferred Stock as Exhibit A and the Form of Right Certificate as Exhibit B(2)</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0" w:type="dxa"/>
            <w:vAlign w:val="bottom"/>
          </w:tcPr>
          <w:p>
            <w:pPr>
              <w:spacing w:after="0"/>
              <w:rPr>
                <w:sz w:val="15"/>
                <w:szCs w:val="15"/>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Document</w:t>
            </w:r>
          </w:p>
        </w:tc>
      </w:tr>
      <w:tr>
        <w:trPr>
          <w:trHeight w:val="309"/>
        </w:trPr>
        <w:tc>
          <w:tcPr>
            <w:tcW w:w="720" w:type="dxa"/>
            <w:vAlign w:val="bottom"/>
          </w:tcPr>
          <w:p>
            <w:pPr>
              <w:ind w:left="240"/>
              <w:spacing w:after="0"/>
              <w:rPr>
                <w:sz w:val="20"/>
                <w:szCs w:val="20"/>
                <w:color w:val="auto"/>
              </w:rPr>
            </w:pPr>
            <w:r>
              <w:rPr>
                <w:rFonts w:ascii="Arial" w:cs="Arial" w:eastAsia="Arial" w:hAnsi="Arial"/>
                <w:sz w:val="18"/>
                <w:szCs w:val="18"/>
                <w:color w:val="auto"/>
              </w:rPr>
              <w:t>4.4</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Indenture, dated January 7, 2003, between Comcast Corporation, Comcast Cable Communications, LLC (f/k/a Comcast Cable</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2"/>
              </w:rPr>
              <w:t>Communications, Inc.), Comcast Cable Communications Holdings, Inc., Comcast Cable Holdings, LLC, Comcast MO Group, Inc. and The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Bank of New York Mellon (f/k/a The Bank of New York), as Trustee(3)</w:t>
            </w:r>
          </w:p>
        </w:tc>
      </w:tr>
      <w:tr>
        <w:trPr>
          <w:trHeight w:val="318"/>
        </w:trPr>
        <w:tc>
          <w:tcPr>
            <w:tcW w:w="720" w:type="dxa"/>
            <w:vAlign w:val="bottom"/>
          </w:tcPr>
          <w:p>
            <w:pPr>
              <w:ind w:left="240"/>
              <w:spacing w:after="0"/>
              <w:rPr>
                <w:sz w:val="20"/>
                <w:szCs w:val="20"/>
                <w:color w:val="auto"/>
              </w:rPr>
            </w:pPr>
            <w:r>
              <w:rPr>
                <w:rFonts w:ascii="Arial" w:cs="Arial" w:eastAsia="Arial" w:hAnsi="Arial"/>
                <w:sz w:val="18"/>
                <w:szCs w:val="18"/>
                <w:color w:val="auto"/>
              </w:rPr>
              <w:t>4.5</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88"/>
              </w:rPr>
              <w:t>Supplemental Indenture, dated March 25, 2003, to the Indenture between Comcast Corporation, Comcast Cable Holdings, LLC, Comcast Cable</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2"/>
              </w:rPr>
              <w:t>Communications Holdings, Inc., Comcast Cable Communications, LLC (f/k/a Comcast Cable Communications, Inc.), Comcast MO Group,</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1"/>
              </w:rPr>
              <w:t>Inc., Comcast MO of Delaware, LLC (f/k/a Comcast MO of Delaware, Inc.) and The Bank of New York Mellon (f/k/a The Bank of New York),</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as Trustee, dated January 7, 2003(3)</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4.6</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1"/>
              </w:rPr>
              <w:t>Form of Subordinated Indenture among the Company, the cable guarantors party thereto and The Bank of New York Mellon, as Trustee(4)</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4.7</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Senior Debt Security(5)</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4.8</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Subordinated Debt Security(5)</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4.9</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Purchase Contract Agreement relating to Purchase Contracts**</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4.10</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Unit Agreement**</w:t>
            </w:r>
          </w:p>
        </w:tc>
      </w:tr>
      <w:tr>
        <w:trPr>
          <w:trHeight w:val="324"/>
        </w:trPr>
        <w:tc>
          <w:tcPr>
            <w:tcW w:w="720" w:type="dxa"/>
            <w:vAlign w:val="bottom"/>
          </w:tcPr>
          <w:p>
            <w:pPr>
              <w:ind w:left="260"/>
              <w:spacing w:after="0"/>
              <w:rPr>
                <w:sz w:val="20"/>
                <w:szCs w:val="20"/>
                <w:color w:val="auto"/>
              </w:rPr>
            </w:pPr>
            <w:r>
              <w:rPr>
                <w:rFonts w:ascii="Arial" w:cs="Arial" w:eastAsia="Arial" w:hAnsi="Arial"/>
                <w:sz w:val="18"/>
                <w:szCs w:val="18"/>
                <w:color w:val="auto"/>
              </w:rPr>
              <w:t>4.11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Warrant Agreement for Warrants sold separately**</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Warrant for Warrants sold separately**</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4.13</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Warrant Agreement for Warrants sold attached to other Securities**</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4.14</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Warrant for Warrants sold attached to other Securities**</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4.15</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Pledge Agreement**</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4.16</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Deposit Agreement**</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4.17</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Depositary Share**</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4.18</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Guarantee (Warrants, Purchase Contracts and Units)**</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5.1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Opinion of Arthur R. Block, Esquire*</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5.2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Opinion of Davis Polk &amp; Wardwell*</w:t>
            </w:r>
          </w:p>
        </w:tc>
      </w:tr>
      <w:tr>
        <w:trPr>
          <w:trHeight w:val="324"/>
        </w:trPr>
        <w:tc>
          <w:tcPr>
            <w:tcW w:w="720" w:type="dxa"/>
            <w:vAlign w:val="bottom"/>
          </w:tcPr>
          <w:p>
            <w:pPr>
              <w:ind w:left="160"/>
              <w:spacing w:after="0"/>
              <w:rPr>
                <w:sz w:val="20"/>
                <w:szCs w:val="20"/>
                <w:color w:val="auto"/>
              </w:rPr>
            </w:pPr>
            <w:r>
              <w:rPr>
                <w:rFonts w:ascii="Arial" w:cs="Arial" w:eastAsia="Arial" w:hAnsi="Arial"/>
                <w:sz w:val="18"/>
                <w:szCs w:val="18"/>
                <w:color w:val="auto"/>
              </w:rPr>
              <w:t>12.1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Statement Regarding Computation of Ratio of Earnings to Fixed Charges of Comcast Corporation(3)</w:t>
            </w:r>
          </w:p>
        </w:tc>
      </w:tr>
      <w:tr>
        <w:trPr>
          <w:trHeight w:val="324"/>
        </w:trPr>
        <w:tc>
          <w:tcPr>
            <w:tcW w:w="720" w:type="dxa"/>
            <w:vAlign w:val="bottom"/>
          </w:tcPr>
          <w:p>
            <w:pPr>
              <w:ind w:left="160"/>
              <w:spacing w:after="0"/>
              <w:rPr>
                <w:sz w:val="20"/>
                <w:szCs w:val="20"/>
                <w:color w:val="auto"/>
              </w:rPr>
            </w:pPr>
            <w:r>
              <w:rPr>
                <w:rFonts w:ascii="Arial" w:cs="Arial" w:eastAsia="Arial" w:hAnsi="Arial"/>
                <w:sz w:val="18"/>
                <w:szCs w:val="18"/>
                <w:color w:val="auto"/>
              </w:rPr>
              <w:t>12.2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3"/>
              </w:rPr>
              <w:t>Statement Regarding Computation of Ratio of Earnings to Combined Fixed Charges and Preferred Dividends of Comcast Corporation(3)</w:t>
            </w:r>
          </w:p>
        </w:tc>
      </w:tr>
      <w:tr>
        <w:trPr>
          <w:trHeight w:val="324"/>
        </w:trPr>
        <w:tc>
          <w:tcPr>
            <w:tcW w:w="720" w:type="dxa"/>
            <w:vAlign w:val="bottom"/>
          </w:tcPr>
          <w:p>
            <w:pPr>
              <w:ind w:left="160"/>
              <w:spacing w:after="0"/>
              <w:rPr>
                <w:sz w:val="20"/>
                <w:szCs w:val="20"/>
                <w:color w:val="auto"/>
              </w:rPr>
            </w:pPr>
            <w:r>
              <w:rPr>
                <w:rFonts w:ascii="Arial" w:cs="Arial" w:eastAsia="Arial" w:hAnsi="Arial"/>
                <w:sz w:val="18"/>
                <w:szCs w:val="18"/>
                <w:color w:val="auto"/>
              </w:rPr>
              <w:t>23.1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720" w:type="dxa"/>
            <w:vAlign w:val="bottom"/>
          </w:tcPr>
          <w:p>
            <w:pPr>
              <w:ind w:left="160"/>
              <w:spacing w:after="0"/>
              <w:rPr>
                <w:sz w:val="20"/>
                <w:szCs w:val="20"/>
                <w:color w:val="auto"/>
              </w:rPr>
            </w:pPr>
            <w:r>
              <w:rPr>
                <w:rFonts w:ascii="Arial" w:cs="Arial" w:eastAsia="Arial" w:hAnsi="Arial"/>
                <w:sz w:val="18"/>
                <w:szCs w:val="18"/>
                <w:color w:val="auto"/>
              </w:rPr>
              <w:t>23.2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Consent of Arthur R. Block, Esquire (included in Exhibit 5.1)</w:t>
            </w:r>
          </w:p>
        </w:tc>
      </w:tr>
      <w:tr>
        <w:trPr>
          <w:trHeight w:val="324"/>
        </w:trPr>
        <w:tc>
          <w:tcPr>
            <w:tcW w:w="720" w:type="dxa"/>
            <w:vAlign w:val="bottom"/>
          </w:tcPr>
          <w:p>
            <w:pPr>
              <w:ind w:left="160"/>
              <w:spacing w:after="0"/>
              <w:rPr>
                <w:sz w:val="20"/>
                <w:szCs w:val="20"/>
                <w:color w:val="auto"/>
              </w:rPr>
            </w:pPr>
            <w:r>
              <w:rPr>
                <w:rFonts w:ascii="Arial" w:cs="Arial" w:eastAsia="Arial" w:hAnsi="Arial"/>
                <w:sz w:val="18"/>
                <w:szCs w:val="18"/>
                <w:color w:val="auto"/>
              </w:rPr>
              <w:t>23.3</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Consent of Davis Polk &amp; Wardwell (included in Exhibit 5.2)</w:t>
            </w:r>
          </w:p>
        </w:tc>
      </w:tr>
      <w:tr>
        <w:trPr>
          <w:trHeight w:val="324"/>
        </w:trPr>
        <w:tc>
          <w:tcPr>
            <w:tcW w:w="720" w:type="dxa"/>
            <w:vAlign w:val="bottom"/>
          </w:tcPr>
          <w:p>
            <w:pPr>
              <w:ind w:left="160"/>
              <w:spacing w:after="0"/>
              <w:rPr>
                <w:sz w:val="20"/>
                <w:szCs w:val="20"/>
                <w:color w:val="auto"/>
              </w:rPr>
            </w:pPr>
            <w:r>
              <w:rPr>
                <w:rFonts w:ascii="Arial" w:cs="Arial" w:eastAsia="Arial" w:hAnsi="Arial"/>
                <w:sz w:val="18"/>
                <w:szCs w:val="18"/>
                <w:color w:val="auto"/>
              </w:rPr>
              <w:t>24.1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Powers of Attorney (included on the signature pages hereof)</w:t>
            </w:r>
          </w:p>
        </w:tc>
      </w:tr>
      <w:tr>
        <w:trPr>
          <w:trHeight w:val="365"/>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160" w:type="dxa"/>
            <w:vAlign w:val="bottom"/>
          </w:tcPr>
          <w:p>
            <w:pPr>
              <w:ind w:left="432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640" w:type="dxa"/>
            <w:vAlign w:val="bottom"/>
          </w:tcPr>
          <w:p>
            <w:pPr>
              <w:spacing w:after="0"/>
              <w:rPr>
                <w:sz w:val="15"/>
                <w:szCs w:val="15"/>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Document</w:t>
            </w:r>
          </w:p>
        </w:tc>
      </w:tr>
      <w:tr>
        <w:trPr>
          <w:trHeight w:val="309"/>
        </w:trPr>
        <w:tc>
          <w:tcPr>
            <w:tcW w:w="720" w:type="dxa"/>
            <w:vAlign w:val="bottom"/>
          </w:tcPr>
          <w:p>
            <w:pPr>
              <w:jc w:val="center"/>
              <w:spacing w:after="0"/>
              <w:rPr>
                <w:sz w:val="20"/>
                <w:szCs w:val="20"/>
                <w:color w:val="auto"/>
              </w:rPr>
            </w:pPr>
            <w:r>
              <w:rPr>
                <w:rFonts w:ascii="Arial" w:cs="Arial" w:eastAsia="Arial" w:hAnsi="Arial"/>
                <w:sz w:val="18"/>
                <w:szCs w:val="18"/>
                <w:color w:val="auto"/>
                <w:w w:val="91"/>
              </w:rPr>
              <w:t>25.1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Statement of Eligibility under the Trust Indenture Act of 1939, as amended, of The Bank of New York Mellon, as Trustee under the Senior</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Indenture*</w:t>
            </w:r>
          </w:p>
        </w:tc>
      </w:tr>
      <w:tr>
        <w:trPr>
          <w:trHeight w:val="318"/>
        </w:trPr>
        <w:tc>
          <w:tcPr>
            <w:tcW w:w="720" w:type="dxa"/>
            <w:vAlign w:val="bottom"/>
          </w:tcPr>
          <w:p>
            <w:pPr>
              <w:jc w:val="center"/>
              <w:spacing w:after="0"/>
              <w:rPr>
                <w:sz w:val="20"/>
                <w:szCs w:val="20"/>
                <w:color w:val="auto"/>
              </w:rPr>
            </w:pPr>
            <w:r>
              <w:rPr>
                <w:rFonts w:ascii="Arial" w:cs="Arial" w:eastAsia="Arial" w:hAnsi="Arial"/>
                <w:sz w:val="18"/>
                <w:szCs w:val="18"/>
                <w:color w:val="auto"/>
                <w:w w:val="91"/>
              </w:rPr>
              <w:t>25.2</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7"/>
              </w:rPr>
              <w:t>Statement of Eligibility under the Trust Indenture Act of 1939, as amended, of The Bank of New York Mellon, as Trustee under the</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Subordinated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be filed by Current Report on Form 8-K.</w:t>
      </w:r>
    </w:p>
    <w:p>
      <w:pPr>
        <w:spacing w:after="0" w:line="9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10-K for the year ended December 31, 2002, filed on March 20, 2003.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8-A12G, filed on November 18, 2002.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10-K for the year ended December 31, 2008, filed on February 20, 2009.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our Amended Registration Statement on Form S-3/A, filed on March 27, 2006.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S-3, filed on December 16, 2002.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securities registered hereby, a post-effective amendment to this registration statement:</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right="20" w:firstLine="421"/>
        <w:spacing w:after="0" w:line="253" w:lineRule="auto"/>
        <w:tabs>
          <w:tab w:leader="none" w:pos="1598" w:val="left"/>
        </w:tabs>
        <w:numPr>
          <w:ilvl w:val="2"/>
          <w:numId w:val="3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66" w:lineRule="exact"/>
        <w:rPr>
          <w:rFonts w:ascii="Arial" w:cs="Arial" w:eastAsia="Arial" w:hAnsi="Arial"/>
          <w:sz w:val="18"/>
          <w:szCs w:val="18"/>
          <w:color w:val="auto"/>
        </w:rPr>
      </w:pPr>
    </w:p>
    <w:p>
      <w:pPr>
        <w:ind w:left="920" w:right="280" w:firstLine="421"/>
        <w:spacing w:after="0" w:line="268" w:lineRule="auto"/>
        <w:tabs>
          <w:tab w:leader="none" w:pos="1647" w:val="left"/>
        </w:tabs>
        <w:numPr>
          <w:ilvl w:val="2"/>
          <w:numId w:val="3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920" w:right="200"/>
        <w:spacing w:after="0" w:line="298"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(i), (ii) and (iii) above do not apply if the information required to be included in a post-effective amendment by</w:t>
      </w:r>
      <w:r>
        <w:rPr>
          <w:rFonts w:ascii="Arial" w:cs="Arial" w:eastAsia="Arial" w:hAnsi="Arial"/>
          <w:sz w:val="16"/>
          <w:szCs w:val="16"/>
          <w:i w:val="1"/>
          <w:iCs w:val="1"/>
          <w:color w:val="auto"/>
        </w:rPr>
        <w:t xml:space="preserve"> </w:t>
      </w:r>
      <w:r>
        <w:rPr>
          <w:rFonts w:ascii="Arial" w:cs="Arial" w:eastAsia="Arial" w:hAnsi="Arial"/>
          <w:sz w:val="16"/>
          <w:szCs w:val="16"/>
          <w:color w:val="auto"/>
        </w:rPr>
        <w:t>those paragraphs is contained in periodic reports filed with or furnished to the Securities and Exchange Commission by the Registrants pursuant to Section 13 or Section 15(d) of the Exchange Act that are incorporated by reference in this registration statement, or is contained in a form of prospectus filed pursuant to Rule 424(b) that is part of the registration statement.</w:t>
      </w:r>
    </w:p>
    <w:p>
      <w:pPr>
        <w:spacing w:after="0" w:line="32" w:lineRule="exact"/>
        <w:rPr>
          <w:sz w:val="20"/>
          <w:szCs w:val="20"/>
          <w:color w:val="auto"/>
        </w:rPr>
      </w:pPr>
    </w:p>
    <w:p>
      <w:pPr>
        <w:jc w:val="both"/>
        <w:ind w:left="460" w:right="400" w:firstLine="443"/>
        <w:spacing w:after="0" w:line="259" w:lineRule="auto"/>
        <w:tabs>
          <w:tab w:leader="none" w:pos="11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90" w:lineRule="exact"/>
        <w:rPr>
          <w:rFonts w:ascii="Arial" w:cs="Arial" w:eastAsia="Arial" w:hAnsi="Arial"/>
          <w:sz w:val="18"/>
          <w:szCs w:val="18"/>
          <w:color w:val="auto"/>
        </w:rPr>
      </w:pPr>
    </w:p>
    <w:p>
      <w:pPr>
        <w:ind w:left="920" w:firstLine="421"/>
        <w:spacing w:after="0" w:line="268" w:lineRule="auto"/>
        <w:tabs>
          <w:tab w:leader="none" w:pos="1549"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prospectus filed by the Registrants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920" w:firstLine="421"/>
        <w:spacing w:after="0" w:line="286" w:lineRule="auto"/>
        <w:tabs>
          <w:tab w:leader="none" w:pos="1598"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46" w:lineRule="exact"/>
        <w:rPr>
          <w:rFonts w:ascii="Arial" w:cs="Arial" w:eastAsia="Arial" w:hAnsi="Arial"/>
          <w:sz w:val="16"/>
          <w:szCs w:val="16"/>
          <w:color w:val="auto"/>
        </w:rPr>
      </w:pPr>
    </w:p>
    <w:p>
      <w:pPr>
        <w:ind w:left="460" w:right="700" w:firstLine="443"/>
        <w:spacing w:after="0" w:line="268"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Registrants under the Securities Act to any purchaser in the initial distribution of the securities:</w:t>
      </w:r>
    </w:p>
    <w:p>
      <w:pPr>
        <w:spacing w:after="0" w:line="51" w:lineRule="exact"/>
        <w:rPr>
          <w:sz w:val="20"/>
          <w:szCs w:val="20"/>
          <w:color w:val="auto"/>
        </w:rPr>
      </w:pPr>
    </w:p>
    <w:p>
      <w:pPr>
        <w:ind w:left="920" w:right="120" w:firstLine="420"/>
        <w:spacing w:after="0" w:line="256" w:lineRule="auto"/>
        <w:rPr>
          <w:sz w:val="20"/>
          <w:szCs w:val="20"/>
          <w:color w:val="auto"/>
        </w:rPr>
      </w:pPr>
      <w:r>
        <w:rPr>
          <w:rFonts w:ascii="Arial" w:cs="Arial" w:eastAsia="Arial" w:hAnsi="Arial"/>
          <w:sz w:val="18"/>
          <w:szCs w:val="18"/>
          <w:color w:val="auto"/>
        </w:rPr>
        <w:t>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sellers to the purchaser and will be considered to offer or sell such securities to such purchaser:</w:t>
      </w:r>
    </w:p>
    <w:p>
      <w:pPr>
        <w:spacing w:after="0" w:line="62" w:lineRule="exact"/>
        <w:rPr>
          <w:sz w:val="20"/>
          <w:szCs w:val="20"/>
          <w:color w:val="auto"/>
        </w:rPr>
      </w:pPr>
    </w:p>
    <w:p>
      <w:pPr>
        <w:ind w:left="1560" w:hanging="219"/>
        <w:spacing w:after="0"/>
        <w:tabs>
          <w:tab w:leader="none" w:pos="15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Registrants relating to the offering required to be filed pursuant to Rule 424;</w:t>
      </w:r>
    </w:p>
    <w:p>
      <w:pPr>
        <w:spacing w:after="0" w:line="113" w:lineRule="exact"/>
        <w:rPr>
          <w:rFonts w:ascii="Arial" w:cs="Arial" w:eastAsia="Arial" w:hAnsi="Arial"/>
          <w:sz w:val="16"/>
          <w:szCs w:val="16"/>
          <w:color w:val="auto"/>
        </w:rPr>
      </w:pPr>
    </w:p>
    <w:p>
      <w:pPr>
        <w:ind w:left="920" w:right="280" w:firstLine="421"/>
        <w:spacing w:after="0" w:line="268" w:lineRule="auto"/>
        <w:tabs>
          <w:tab w:leader="none" w:pos="15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the undersigned Registrants;</w:t>
      </w:r>
    </w:p>
    <w:p>
      <w:pPr>
        <w:spacing w:after="0" w:line="50" w:lineRule="exact"/>
        <w:rPr>
          <w:rFonts w:ascii="Arial" w:cs="Arial" w:eastAsia="Arial" w:hAnsi="Arial"/>
          <w:sz w:val="18"/>
          <w:szCs w:val="18"/>
          <w:color w:val="auto"/>
        </w:rPr>
      </w:pPr>
    </w:p>
    <w:p>
      <w:pPr>
        <w:ind w:left="920" w:right="60" w:firstLine="421"/>
        <w:spacing w:after="0" w:line="268" w:lineRule="auto"/>
        <w:tabs>
          <w:tab w:leader="none" w:pos="1647"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Registrants to the purchaser.</w:t>
      </w:r>
    </w:p>
    <w:p>
      <w:pPr>
        <w:spacing w:after="0" w:line="90" w:lineRule="exact"/>
        <w:rPr>
          <w:rFonts w:ascii="Arial" w:cs="Arial" w:eastAsia="Arial" w:hAnsi="Arial"/>
          <w:sz w:val="18"/>
          <w:szCs w:val="18"/>
          <w:color w:val="auto"/>
        </w:rPr>
      </w:pPr>
    </w:p>
    <w:p>
      <w:pPr>
        <w:ind w:left="900" w:right="100" w:hanging="446"/>
        <w:spacing w:after="0" w:line="255"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undersigned Registrants hereby undertake that, for purposes of determining any liability under the Securities Act, each filing of Comcast Corporation’s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61" w:lineRule="exact"/>
        <w:rPr>
          <w:rFonts w:ascii="Arial" w:cs="Arial" w:eastAsia="Arial" w:hAnsi="Arial"/>
          <w:sz w:val="18"/>
          <w:szCs w:val="18"/>
          <w:color w:val="auto"/>
        </w:rPr>
      </w:pPr>
    </w:p>
    <w:p>
      <w:pPr>
        <w:ind w:left="900" w:right="160" w:hanging="446"/>
        <w:spacing w:after="0" w:line="318"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59" w:lineRule="exact"/>
        <w:rPr>
          <w:sz w:val="20"/>
          <w:szCs w:val="20"/>
          <w:color w:val="auto"/>
        </w:rPr>
      </w:pPr>
    </w:p>
    <w:p>
      <w:pPr>
        <w:ind w:left="900" w:hanging="446"/>
        <w:spacing w:after="0" w:line="298"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 COMCAST CORPORATION</w:t>
      </w:r>
    </w:p>
    <w:p>
      <w:pPr>
        <w:spacing w:after="0" w:line="1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April 27,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Brian L. Roberts</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Chairman and CEO; 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4240" w:type="dxa"/>
            <w:vAlign w:val="bottom"/>
          </w:tcPr>
          <w:p>
            <w:pPr>
              <w:jc w:val="center"/>
              <w:spacing w:after="0"/>
              <w:rPr>
                <w:sz w:val="20"/>
                <w:szCs w:val="20"/>
                <w:color w:val="auto"/>
              </w:rPr>
            </w:pPr>
            <w:r>
              <w:rPr>
                <w:rFonts w:ascii="Arial" w:cs="Arial" w:eastAsia="Arial" w:hAnsi="Arial"/>
                <w:sz w:val="18"/>
                <w:szCs w:val="18"/>
                <w:color w:val="auto"/>
                <w:w w:val="89"/>
              </w:rPr>
              <w:t>Brian L. Roberts</w:t>
            </w:r>
          </w:p>
        </w:tc>
        <w:tc>
          <w:tcPr>
            <w:tcW w:w="220" w:type="dxa"/>
            <w:vAlign w:val="bottom"/>
          </w:tcPr>
          <w:p>
            <w:pPr>
              <w:spacing w:after="0"/>
              <w:rPr>
                <w:sz w:val="18"/>
                <w:szCs w:val="18"/>
                <w:color w:val="auto"/>
              </w:rPr>
            </w:pP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1"/>
              </w:rPr>
              <w:t>(Principal Executive 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Ralph J. Roberts</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Founder; Chairman Emeritus of the Board;</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4240" w:type="dxa"/>
            <w:vAlign w:val="bottom"/>
          </w:tcPr>
          <w:p>
            <w:pPr>
              <w:jc w:val="center"/>
              <w:spacing w:after="0"/>
              <w:rPr>
                <w:sz w:val="20"/>
                <w:szCs w:val="20"/>
                <w:color w:val="auto"/>
              </w:rPr>
            </w:pPr>
            <w:r>
              <w:rPr>
                <w:rFonts w:ascii="Arial" w:cs="Arial" w:eastAsia="Arial" w:hAnsi="Arial"/>
                <w:sz w:val="18"/>
                <w:szCs w:val="18"/>
                <w:color w:val="auto"/>
                <w:w w:val="86"/>
              </w:rPr>
              <w:t>Ralph J. Roberts</w:t>
            </w:r>
          </w:p>
        </w:tc>
        <w:tc>
          <w:tcPr>
            <w:tcW w:w="220" w:type="dxa"/>
            <w:vAlign w:val="bottom"/>
          </w:tcPr>
          <w:p>
            <w:pPr>
              <w:spacing w:after="0"/>
              <w:rPr>
                <w:sz w:val="18"/>
                <w:szCs w:val="18"/>
                <w:color w:val="auto"/>
              </w:rPr>
            </w:pP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Julian A. Brodsky</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Non-Executive Vice Chairman; 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Julian A. Brodsky</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J. Angelakis</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8"/>
              </w:rPr>
              <w:t>Executive Vice President</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4240" w:type="dxa"/>
            <w:vAlign w:val="bottom"/>
          </w:tcPr>
          <w:p>
            <w:pPr>
              <w:jc w:val="center"/>
              <w:spacing w:after="0"/>
              <w:rPr>
                <w:sz w:val="20"/>
                <w:szCs w:val="20"/>
                <w:color w:val="auto"/>
              </w:rPr>
            </w:pPr>
            <w:r>
              <w:rPr>
                <w:rFonts w:ascii="Arial" w:cs="Arial" w:eastAsia="Arial" w:hAnsi="Arial"/>
                <w:sz w:val="18"/>
                <w:szCs w:val="18"/>
                <w:color w:val="auto"/>
                <w:w w:val="90"/>
              </w:rPr>
              <w:t>Michael J. Angelakis</w:t>
            </w:r>
          </w:p>
        </w:tc>
        <w:tc>
          <w:tcPr>
            <w:tcW w:w="220" w:type="dxa"/>
            <w:vAlign w:val="bottom"/>
          </w:tcPr>
          <w:p>
            <w:pPr>
              <w:spacing w:after="0"/>
              <w:rPr>
                <w:sz w:val="18"/>
                <w:szCs w:val="18"/>
                <w:color w:val="auto"/>
              </w:rPr>
            </w:pP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Financial 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Lawrence J. Salva</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7"/>
              </w:rPr>
              <w:t>Senior Vice President,</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190"/>
        </w:trPr>
        <w:tc>
          <w:tcPr>
            <w:tcW w:w="4240" w:type="dxa"/>
            <w:vAlign w:val="bottom"/>
          </w:tcPr>
          <w:p>
            <w:pPr>
              <w:jc w:val="center"/>
              <w:spacing w:after="0" w:line="190" w:lineRule="exact"/>
              <w:rPr>
                <w:sz w:val="20"/>
                <w:szCs w:val="20"/>
                <w:color w:val="auto"/>
              </w:rPr>
            </w:pPr>
            <w:r>
              <w:rPr>
                <w:rFonts w:ascii="Arial" w:cs="Arial" w:eastAsia="Arial" w:hAnsi="Arial"/>
                <w:sz w:val="18"/>
                <w:szCs w:val="18"/>
                <w:color w:val="auto"/>
                <w:w w:val="87"/>
              </w:rPr>
              <w:t>Lawrence J. Salva</w:t>
            </w:r>
          </w:p>
        </w:tc>
        <w:tc>
          <w:tcPr>
            <w:tcW w:w="220" w:type="dxa"/>
            <w:vAlign w:val="bottom"/>
          </w:tcPr>
          <w:p>
            <w:pPr>
              <w:spacing w:after="0"/>
              <w:rPr>
                <w:sz w:val="16"/>
                <w:szCs w:val="16"/>
                <w:color w:val="auto"/>
              </w:rPr>
            </w:pPr>
          </w:p>
        </w:tc>
        <w:tc>
          <w:tcPr>
            <w:tcW w:w="5020" w:type="dxa"/>
            <w:vAlign w:val="bottom"/>
          </w:tcPr>
          <w:p>
            <w:pPr>
              <w:jc w:val="center"/>
              <w:spacing w:after="0" w:line="190" w:lineRule="exact"/>
              <w:rPr>
                <w:sz w:val="20"/>
                <w:szCs w:val="20"/>
                <w:color w:val="auto"/>
              </w:rPr>
            </w:pPr>
            <w:r>
              <w:rPr>
                <w:rFonts w:ascii="Arial" w:cs="Arial" w:eastAsia="Arial" w:hAnsi="Arial"/>
                <w:sz w:val="18"/>
                <w:szCs w:val="18"/>
                <w:color w:val="auto"/>
                <w:w w:val="91"/>
              </w:rPr>
              <w:t>Chief Accounting Officer and</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Controller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(Principal Accounting Officer)</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 Decker Anstrom</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S. Decker Anstrom</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Kenneth J. Bacon</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7"/>
              </w:rPr>
              <w:t>Kenneth J. Bacon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70"/>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ind w:left="1080"/>
              <w:spacing w:after="0"/>
              <w:rPr>
                <w:sz w:val="20"/>
                <w:szCs w:val="20"/>
                <w:color w:val="auto"/>
              </w:rPr>
            </w:pPr>
            <w:r>
              <w:rPr>
                <w:rFonts w:ascii="Arial" w:cs="Arial" w:eastAsia="Arial" w:hAnsi="Arial"/>
                <w:sz w:val="18"/>
                <w:szCs w:val="18"/>
                <w:color w:val="auto"/>
              </w:rPr>
              <w:t>II-11</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Sheldon M. Bonovitz</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Sheldon M. Bonovitz</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Edward D. Breen</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Edward D. Breen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Joseph J. Collins</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8"/>
              </w:rPr>
              <w:t>Joseph J. Collins</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 Michael Cook</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J. Michael Cook</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Gerald L. Hassell</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9"/>
              </w:rPr>
              <w:t>Gerald L. Hassell</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Jeffrey A. Honickman</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1"/>
              </w:rPr>
              <w:t>Jeffrey A. Honickman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Dr. Judith Rodin</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9"/>
              </w:rPr>
              <w:t>Dr. Judith Rodin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I. Sovern</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Michael I. Sovern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70"/>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ind w:left="1080"/>
              <w:spacing w:after="0"/>
              <w:rPr>
                <w:sz w:val="20"/>
                <w:szCs w:val="20"/>
                <w:color w:val="auto"/>
              </w:rPr>
            </w:pPr>
            <w:r>
              <w:rPr>
                <w:rFonts w:ascii="Arial" w:cs="Arial" w:eastAsia="Arial" w:hAnsi="Arial"/>
                <w:sz w:val="18"/>
                <w:szCs w:val="18"/>
                <w:color w:val="auto"/>
              </w:rPr>
              <w:t>II-12</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LLC</w:t>
      </w:r>
    </w:p>
    <w:p>
      <w:pPr>
        <w:spacing w:after="0" w:line="16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Cable Communications,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April 27,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6"/>
              </w:rPr>
              <w:t>Signature</w:t>
            </w:r>
          </w:p>
        </w:tc>
        <w:tc>
          <w:tcPr>
            <w:tcW w:w="100" w:type="dxa"/>
            <w:vAlign w:val="bottom"/>
          </w:tcPr>
          <w:p>
            <w:pPr>
              <w:spacing w:after="0"/>
              <w:rPr>
                <w:sz w:val="15"/>
                <w:szCs w:val="15"/>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2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jc w:val="center"/>
              <w:ind w:right="174"/>
              <w:spacing w:after="0"/>
              <w:rPr>
                <w:sz w:val="20"/>
                <w:szCs w:val="20"/>
                <w:color w:val="auto"/>
              </w:rPr>
            </w:pPr>
            <w:r>
              <w:rPr>
                <w:rFonts w:ascii="Arial" w:cs="Arial" w:eastAsia="Arial" w:hAnsi="Arial"/>
                <w:sz w:val="18"/>
                <w:szCs w:val="18"/>
                <w:color w:val="auto"/>
                <w:w w:val="89"/>
              </w:rPr>
              <w:t>/s/ Brian L. Roberts</w:t>
            </w:r>
          </w:p>
        </w:tc>
        <w:tc>
          <w:tcPr>
            <w:tcW w:w="10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7"/>
              </w:rPr>
              <w:t>Chairman</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280" w:type="dxa"/>
            <w:vAlign w:val="bottom"/>
          </w:tcPr>
          <w:p>
            <w:pPr>
              <w:spacing w:after="0"/>
              <w:rPr>
                <w:sz w:val="18"/>
                <w:szCs w:val="18"/>
                <w:color w:val="auto"/>
              </w:rPr>
            </w:pPr>
          </w:p>
        </w:tc>
        <w:tc>
          <w:tcPr>
            <w:tcW w:w="4320" w:type="dxa"/>
            <w:vAlign w:val="bottom"/>
          </w:tcPr>
          <w:p>
            <w:pPr>
              <w:jc w:val="center"/>
              <w:ind w:right="174"/>
              <w:spacing w:after="0"/>
              <w:rPr>
                <w:sz w:val="20"/>
                <w:szCs w:val="20"/>
                <w:color w:val="auto"/>
              </w:rPr>
            </w:pPr>
            <w:r>
              <w:rPr>
                <w:rFonts w:ascii="Arial" w:cs="Arial" w:eastAsia="Arial" w:hAnsi="Arial"/>
                <w:sz w:val="18"/>
                <w:szCs w:val="18"/>
                <w:color w:val="auto"/>
                <w:w w:val="90"/>
              </w:rPr>
              <w:t>Brian L. Roberts</w:t>
            </w:r>
          </w:p>
        </w:tc>
        <w:tc>
          <w:tcPr>
            <w:tcW w:w="100" w:type="dxa"/>
            <w:vAlign w:val="bottom"/>
          </w:tcPr>
          <w:p>
            <w:pPr>
              <w:spacing w:after="0"/>
              <w:rPr>
                <w:sz w:val="18"/>
                <w:szCs w:val="18"/>
                <w:color w:val="auto"/>
              </w:rPr>
            </w:pPr>
          </w:p>
        </w:tc>
        <w:tc>
          <w:tcPr>
            <w:tcW w:w="4920" w:type="dxa"/>
            <w:vAlign w:val="bottom"/>
          </w:tcPr>
          <w:p>
            <w:pPr>
              <w:jc w:val="center"/>
              <w:spacing w:after="0" w:line="202" w:lineRule="exact"/>
              <w:rPr>
                <w:sz w:val="20"/>
                <w:szCs w:val="20"/>
                <w:color w:val="auto"/>
              </w:rPr>
            </w:pPr>
            <w:r>
              <w:rPr>
                <w:rFonts w:ascii="Arial" w:cs="Arial" w:eastAsia="Arial" w:hAnsi="Arial"/>
                <w:sz w:val="18"/>
                <w:szCs w:val="18"/>
                <w:color w:val="auto"/>
                <w:w w:val="91"/>
              </w:rPr>
              <w:t>(Principal Executive Officer)</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2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jc w:val="center"/>
              <w:ind w:right="174"/>
              <w:spacing w:after="0"/>
              <w:rPr>
                <w:sz w:val="20"/>
                <w:szCs w:val="20"/>
                <w:color w:val="auto"/>
              </w:rPr>
            </w:pPr>
            <w:r>
              <w:rPr>
                <w:rFonts w:ascii="Arial" w:cs="Arial" w:eastAsia="Arial" w:hAnsi="Arial"/>
                <w:sz w:val="18"/>
                <w:szCs w:val="18"/>
                <w:color w:val="auto"/>
                <w:w w:val="90"/>
              </w:rPr>
              <w:t>/s/ Michael J. Angelakis</w:t>
            </w:r>
          </w:p>
        </w:tc>
        <w:tc>
          <w:tcPr>
            <w:tcW w:w="10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8"/>
              </w:rPr>
              <w:t>Executive Vice President</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280" w:type="dxa"/>
            <w:vAlign w:val="bottom"/>
          </w:tcPr>
          <w:p>
            <w:pPr>
              <w:spacing w:after="0"/>
              <w:rPr>
                <w:sz w:val="18"/>
                <w:szCs w:val="18"/>
                <w:color w:val="auto"/>
              </w:rPr>
            </w:pPr>
          </w:p>
        </w:tc>
        <w:tc>
          <w:tcPr>
            <w:tcW w:w="4320" w:type="dxa"/>
            <w:vAlign w:val="bottom"/>
          </w:tcPr>
          <w:p>
            <w:pPr>
              <w:jc w:val="center"/>
              <w:ind w:right="194"/>
              <w:spacing w:after="0"/>
              <w:rPr>
                <w:sz w:val="20"/>
                <w:szCs w:val="20"/>
                <w:color w:val="auto"/>
              </w:rPr>
            </w:pPr>
            <w:r>
              <w:rPr>
                <w:rFonts w:ascii="Arial" w:cs="Arial" w:eastAsia="Arial" w:hAnsi="Arial"/>
                <w:sz w:val="18"/>
                <w:szCs w:val="18"/>
                <w:color w:val="auto"/>
                <w:w w:val="90"/>
              </w:rPr>
              <w:t>Michael J. Angelakis</w:t>
            </w:r>
          </w:p>
        </w:tc>
        <w:tc>
          <w:tcPr>
            <w:tcW w:w="100" w:type="dxa"/>
            <w:vAlign w:val="bottom"/>
          </w:tcPr>
          <w:p>
            <w:pPr>
              <w:spacing w:after="0"/>
              <w:rPr>
                <w:sz w:val="18"/>
                <w:szCs w:val="18"/>
                <w:color w:val="auto"/>
              </w:rPr>
            </w:pPr>
          </w:p>
        </w:tc>
        <w:tc>
          <w:tcPr>
            <w:tcW w:w="492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Financial Officer)</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2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jc w:val="center"/>
              <w:ind w:right="174"/>
              <w:spacing w:after="0"/>
              <w:rPr>
                <w:sz w:val="20"/>
                <w:szCs w:val="20"/>
                <w:color w:val="auto"/>
              </w:rPr>
            </w:pPr>
            <w:r>
              <w:rPr>
                <w:rFonts w:ascii="Arial" w:cs="Arial" w:eastAsia="Arial" w:hAnsi="Arial"/>
                <w:sz w:val="18"/>
                <w:szCs w:val="18"/>
                <w:color w:val="auto"/>
                <w:w w:val="87"/>
              </w:rPr>
              <w:t>/s/ Lawrence J. Salva</w:t>
            </w:r>
          </w:p>
        </w:tc>
        <w:tc>
          <w:tcPr>
            <w:tcW w:w="10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7"/>
              </w:rPr>
              <w:t>Senior Vice President</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280" w:type="dxa"/>
            <w:vAlign w:val="bottom"/>
          </w:tcPr>
          <w:p>
            <w:pPr>
              <w:spacing w:after="0"/>
              <w:rPr>
                <w:sz w:val="18"/>
                <w:szCs w:val="18"/>
                <w:color w:val="auto"/>
              </w:rPr>
            </w:pPr>
          </w:p>
        </w:tc>
        <w:tc>
          <w:tcPr>
            <w:tcW w:w="4320" w:type="dxa"/>
            <w:vAlign w:val="bottom"/>
          </w:tcPr>
          <w:p>
            <w:pPr>
              <w:jc w:val="center"/>
              <w:ind w:right="194"/>
              <w:spacing w:after="0"/>
              <w:rPr>
                <w:sz w:val="20"/>
                <w:szCs w:val="20"/>
                <w:color w:val="auto"/>
              </w:rPr>
            </w:pPr>
            <w:r>
              <w:rPr>
                <w:rFonts w:ascii="Arial" w:cs="Arial" w:eastAsia="Arial" w:hAnsi="Arial"/>
                <w:sz w:val="18"/>
                <w:szCs w:val="18"/>
                <w:color w:val="auto"/>
                <w:w w:val="87"/>
              </w:rPr>
              <w:t>Lawrence J. Salva</w:t>
            </w:r>
          </w:p>
        </w:tc>
        <w:tc>
          <w:tcPr>
            <w:tcW w:w="100" w:type="dxa"/>
            <w:vAlign w:val="bottom"/>
          </w:tcPr>
          <w:p>
            <w:pPr>
              <w:spacing w:after="0"/>
              <w:rPr>
                <w:sz w:val="18"/>
                <w:szCs w:val="18"/>
                <w:color w:val="auto"/>
              </w:rPr>
            </w:pPr>
          </w:p>
        </w:tc>
        <w:tc>
          <w:tcPr>
            <w:tcW w:w="492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Accounting Officer)</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1"/>
        </w:trPr>
        <w:tc>
          <w:tcPr>
            <w:tcW w:w="280" w:type="dxa"/>
            <w:vAlign w:val="bottom"/>
          </w:tcPr>
          <w:p>
            <w:pPr>
              <w:spacing w:after="0"/>
              <w:rPr>
                <w:sz w:val="24"/>
                <w:szCs w:val="24"/>
                <w:color w:val="auto"/>
              </w:rPr>
            </w:pPr>
          </w:p>
        </w:tc>
        <w:tc>
          <w:tcPr>
            <w:tcW w:w="4320" w:type="dxa"/>
            <w:vAlign w:val="bottom"/>
          </w:tcPr>
          <w:p>
            <w:pPr>
              <w:jc w:val="center"/>
              <w:ind w:right="194"/>
              <w:spacing w:after="0"/>
              <w:rPr>
                <w:sz w:val="20"/>
                <w:szCs w:val="20"/>
                <w:color w:val="auto"/>
              </w:rPr>
            </w:pPr>
            <w:r>
              <w:rPr>
                <w:rFonts w:ascii="Arial" w:cs="Arial" w:eastAsia="Arial" w:hAnsi="Arial"/>
                <w:sz w:val="18"/>
                <w:szCs w:val="18"/>
                <w:color w:val="auto"/>
                <w:w w:val="95"/>
              </w:rPr>
              <w:t>COMCAST HOLDINGS</w:t>
            </w: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2"/>
        </w:trPr>
        <w:tc>
          <w:tcPr>
            <w:tcW w:w="280" w:type="dxa"/>
            <w:vAlign w:val="bottom"/>
          </w:tcPr>
          <w:p>
            <w:pPr>
              <w:spacing w:after="0"/>
              <w:rPr>
                <w:sz w:val="19"/>
                <w:szCs w:val="19"/>
                <w:color w:val="auto"/>
              </w:rPr>
            </w:pPr>
          </w:p>
        </w:tc>
        <w:tc>
          <w:tcPr>
            <w:tcW w:w="4320" w:type="dxa"/>
            <w:vAlign w:val="bottom"/>
          </w:tcPr>
          <w:p>
            <w:pPr>
              <w:jc w:val="center"/>
              <w:ind w:right="194"/>
              <w:spacing w:after="0"/>
              <w:rPr>
                <w:sz w:val="20"/>
                <w:szCs w:val="20"/>
                <w:color w:val="auto"/>
              </w:rPr>
            </w:pPr>
            <w:r>
              <w:rPr>
                <w:rFonts w:ascii="Arial" w:cs="Arial" w:eastAsia="Arial" w:hAnsi="Arial"/>
                <w:sz w:val="18"/>
                <w:szCs w:val="18"/>
                <w:color w:val="auto"/>
                <w:w w:val="92"/>
              </w:rPr>
              <w:t>CORPORATION</w:t>
            </w: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26"/>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32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2"/>
              </w:rPr>
              <w:t>/s/ Arthur R. Block</w:t>
            </w:r>
          </w:p>
        </w:tc>
        <w:tc>
          <w:tcPr>
            <w:tcW w:w="10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9"/>
              </w:rPr>
              <w:t>Sole Member</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01"/>
        </w:trPr>
        <w:tc>
          <w:tcPr>
            <w:tcW w:w="280" w:type="dxa"/>
            <w:vAlign w:val="bottom"/>
          </w:tcPr>
          <w:p>
            <w:pPr>
              <w:spacing w:after="0"/>
              <w:rPr>
                <w:sz w:val="17"/>
                <w:szCs w:val="17"/>
                <w:color w:val="auto"/>
              </w:rPr>
            </w:pPr>
          </w:p>
        </w:tc>
        <w:tc>
          <w:tcPr>
            <w:tcW w:w="4320" w:type="dxa"/>
            <w:vAlign w:val="bottom"/>
          </w:tcPr>
          <w:p>
            <w:pPr>
              <w:jc w:val="center"/>
              <w:ind w:left="14"/>
              <w:spacing w:after="0" w:line="201" w:lineRule="exact"/>
              <w:rPr>
                <w:sz w:val="20"/>
                <w:szCs w:val="20"/>
                <w:color w:val="auto"/>
              </w:rPr>
            </w:pPr>
            <w:r>
              <w:rPr>
                <w:rFonts w:ascii="Arial" w:cs="Arial" w:eastAsia="Arial" w:hAnsi="Arial"/>
                <w:sz w:val="18"/>
                <w:szCs w:val="18"/>
                <w:color w:val="auto"/>
                <w:w w:val="94"/>
              </w:rPr>
              <w:t>Arthur R. Block</w:t>
            </w:r>
          </w:p>
        </w:tc>
        <w:tc>
          <w:tcPr>
            <w:tcW w:w="1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2"/>
        </w:trPr>
        <w:tc>
          <w:tcPr>
            <w:tcW w:w="280" w:type="dxa"/>
            <w:vAlign w:val="bottom"/>
          </w:tcPr>
          <w:p>
            <w:pPr>
              <w:spacing w:after="0"/>
              <w:rPr>
                <w:sz w:val="19"/>
                <w:szCs w:val="19"/>
                <w:color w:val="auto"/>
              </w:rPr>
            </w:pPr>
          </w:p>
        </w:tc>
        <w:tc>
          <w:tcPr>
            <w:tcW w:w="4320" w:type="dxa"/>
            <w:vAlign w:val="bottom"/>
          </w:tcPr>
          <w:p>
            <w:pPr>
              <w:jc w:val="center"/>
              <w:ind w:left="34"/>
              <w:spacing w:after="0"/>
              <w:rPr>
                <w:sz w:val="20"/>
                <w:szCs w:val="20"/>
                <w:color w:val="auto"/>
              </w:rPr>
            </w:pPr>
            <w:r>
              <w:rPr>
                <w:rFonts w:ascii="Arial" w:cs="Arial" w:eastAsia="Arial" w:hAnsi="Arial"/>
                <w:sz w:val="18"/>
                <w:szCs w:val="18"/>
                <w:color w:val="auto"/>
                <w:w w:val="87"/>
              </w:rPr>
              <w:t>Senior Vice President</w:t>
            </w: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65"/>
        </w:trPr>
        <w:tc>
          <w:tcPr>
            <w:tcW w:w="2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ind w:left="840"/>
              <w:spacing w:after="0"/>
              <w:rPr>
                <w:sz w:val="20"/>
                <w:szCs w:val="20"/>
                <w:color w:val="auto"/>
              </w:rPr>
            </w:pPr>
            <w:r>
              <w:rPr>
                <w:rFonts w:ascii="Arial" w:cs="Arial" w:eastAsia="Arial" w:hAnsi="Arial"/>
                <w:sz w:val="18"/>
                <w:szCs w:val="18"/>
                <w:color w:val="auto"/>
              </w:rPr>
              <w:t>II-13</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HOLDINGS, INC.</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Cable Communications Holdings, Inc.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April 27,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COMCAST CABLE COMMUNICATIONS HOLDINGS,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15" w:lineRule="exact"/>
        <w:rPr>
          <w:sz w:val="20"/>
          <w:szCs w:val="20"/>
          <w:color w:val="auto"/>
        </w:rPr>
      </w:pPr>
    </w:p>
    <w:tbl>
      <w:tblPr>
        <w:tblLayout w:type="fixed"/>
        <w:tblInd w:w="7140" w:type="dxa"/>
        <w:tblCellMar>
          <w:top w:w="0" w:type="dxa"/>
          <w:left w:w="0" w:type="dxa"/>
          <w:bottom w:w="0" w:type="dxa"/>
          <w:right w:w="0" w:type="dxa"/>
        </w:tblCellMar>
      </w:tblPr>
      <w:tr>
        <w:trPr>
          <w:trHeight w:val="203"/>
        </w:trPr>
        <w:tc>
          <w:tcPr>
            <w:tcW w:w="68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40"/>
              <w:spacing w:after="0" w:line="203" w:lineRule="exact"/>
              <w:rPr>
                <w:sz w:val="20"/>
                <w:szCs w:val="20"/>
                <w:color w:val="auto"/>
              </w:rPr>
            </w:pPr>
            <w:r>
              <w:rPr>
                <w:rFonts w:ascii="Arial" w:cs="Arial" w:eastAsia="Arial" w:hAnsi="Arial"/>
                <w:sz w:val="18"/>
                <w:szCs w:val="18"/>
                <w:color w:val="auto"/>
              </w:rPr>
              <w:t>Arthur R. Block</w:t>
            </w:r>
          </w:p>
        </w:tc>
      </w:tr>
      <w:tr>
        <w:trPr>
          <w:trHeight w:val="222"/>
        </w:trPr>
        <w:tc>
          <w:tcPr>
            <w:tcW w:w="680" w:type="dxa"/>
            <w:vAlign w:val="bottom"/>
          </w:tcPr>
          <w:p>
            <w:pPr>
              <w:ind w:left="60"/>
              <w:spacing w:after="0"/>
              <w:rPr>
                <w:sz w:val="20"/>
                <w:szCs w:val="20"/>
                <w:color w:val="auto"/>
              </w:rPr>
            </w:pPr>
            <w:r>
              <w:rPr>
                <w:rFonts w:ascii="Arial" w:cs="Arial" w:eastAsia="Arial" w:hAnsi="Arial"/>
                <w:sz w:val="18"/>
                <w:szCs w:val="18"/>
                <w:color w:val="auto"/>
              </w:rPr>
              <w:t>Title:</w:t>
            </w:r>
          </w:p>
        </w:tc>
        <w:tc>
          <w:tcPr>
            <w:tcW w:w="3600" w:type="dxa"/>
            <w:vAlign w:val="bottom"/>
          </w:tcPr>
          <w:p>
            <w:pPr>
              <w:ind w:left="140"/>
              <w:spacing w:after="0"/>
              <w:rPr>
                <w:sz w:val="20"/>
                <w:szCs w:val="20"/>
                <w:color w:val="auto"/>
              </w:rPr>
            </w:pPr>
            <w:r>
              <w:rPr>
                <w:rFonts w:ascii="Arial" w:cs="Arial" w:eastAsia="Arial" w:hAnsi="Arial"/>
                <w:sz w:val="18"/>
                <w:szCs w:val="18"/>
                <w:color w:val="auto"/>
              </w:rPr>
              <w:t>Senior Vice President</w:t>
            </w:r>
          </w:p>
        </w:tc>
      </w:tr>
    </w:tbl>
    <w:p>
      <w:pPr>
        <w:spacing w:after="0" w:line="15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Brian L. Roberts</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7"/>
              </w:rPr>
              <w:t>Chairman</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4240" w:type="dxa"/>
            <w:vAlign w:val="bottom"/>
          </w:tcPr>
          <w:p>
            <w:pPr>
              <w:jc w:val="center"/>
              <w:spacing w:after="0"/>
              <w:rPr>
                <w:sz w:val="20"/>
                <w:szCs w:val="20"/>
                <w:color w:val="auto"/>
              </w:rPr>
            </w:pPr>
            <w:r>
              <w:rPr>
                <w:rFonts w:ascii="Arial" w:cs="Arial" w:eastAsia="Arial" w:hAnsi="Arial"/>
                <w:sz w:val="18"/>
                <w:szCs w:val="18"/>
                <w:color w:val="auto"/>
                <w:w w:val="89"/>
              </w:rPr>
              <w:t>Brian L. Roberts</w:t>
            </w:r>
          </w:p>
        </w:tc>
        <w:tc>
          <w:tcPr>
            <w:tcW w:w="220" w:type="dxa"/>
            <w:vAlign w:val="bottom"/>
          </w:tcPr>
          <w:p>
            <w:pPr>
              <w:spacing w:after="0"/>
              <w:rPr>
                <w:sz w:val="18"/>
                <w:szCs w:val="18"/>
                <w:color w:val="auto"/>
              </w:rPr>
            </w:pP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1"/>
              </w:rPr>
              <w:t>(Principal Executive 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J. Angelakis</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Executive Vice President; 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4240" w:type="dxa"/>
            <w:vAlign w:val="bottom"/>
          </w:tcPr>
          <w:p>
            <w:pPr>
              <w:jc w:val="center"/>
              <w:spacing w:after="0"/>
              <w:rPr>
                <w:sz w:val="20"/>
                <w:szCs w:val="20"/>
                <w:color w:val="auto"/>
              </w:rPr>
            </w:pPr>
            <w:r>
              <w:rPr>
                <w:rFonts w:ascii="Arial" w:cs="Arial" w:eastAsia="Arial" w:hAnsi="Arial"/>
                <w:sz w:val="18"/>
                <w:szCs w:val="18"/>
                <w:color w:val="auto"/>
                <w:w w:val="90"/>
              </w:rPr>
              <w:t>Michael J. Angelakis</w:t>
            </w:r>
          </w:p>
        </w:tc>
        <w:tc>
          <w:tcPr>
            <w:tcW w:w="220" w:type="dxa"/>
            <w:vAlign w:val="bottom"/>
          </w:tcPr>
          <w:p>
            <w:pPr>
              <w:spacing w:after="0"/>
              <w:rPr>
                <w:sz w:val="18"/>
                <w:szCs w:val="18"/>
                <w:color w:val="auto"/>
              </w:rPr>
            </w:pP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Financial 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David L. Cohen</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Executive Vice President; 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David L. Cohen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Arthur R. Block</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Senior Vice President; 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Arthur R. Block</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Lawrence J. Salva</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7"/>
              </w:rPr>
              <w:t>Senior Vice President</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4240" w:type="dxa"/>
            <w:vAlign w:val="bottom"/>
          </w:tcPr>
          <w:p>
            <w:pPr>
              <w:jc w:val="center"/>
              <w:spacing w:after="0"/>
              <w:rPr>
                <w:sz w:val="20"/>
                <w:szCs w:val="20"/>
                <w:color w:val="auto"/>
              </w:rPr>
            </w:pPr>
            <w:r>
              <w:rPr>
                <w:rFonts w:ascii="Arial" w:cs="Arial" w:eastAsia="Arial" w:hAnsi="Arial"/>
                <w:sz w:val="18"/>
                <w:szCs w:val="18"/>
                <w:color w:val="auto"/>
                <w:w w:val="87"/>
              </w:rPr>
              <w:t>Lawrence J. Salva</w:t>
            </w:r>
          </w:p>
        </w:tc>
        <w:tc>
          <w:tcPr>
            <w:tcW w:w="220" w:type="dxa"/>
            <w:vAlign w:val="bottom"/>
          </w:tcPr>
          <w:p>
            <w:pPr>
              <w:spacing w:after="0"/>
              <w:rPr>
                <w:sz w:val="18"/>
                <w:szCs w:val="18"/>
                <w:color w:val="auto"/>
              </w:rPr>
            </w:pP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Accounting 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70"/>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ind w:left="1080"/>
              <w:spacing w:after="0"/>
              <w:rPr>
                <w:sz w:val="20"/>
                <w:szCs w:val="20"/>
                <w:color w:val="auto"/>
              </w:rPr>
            </w:pPr>
            <w:r>
              <w:rPr>
                <w:rFonts w:ascii="Arial" w:cs="Arial" w:eastAsia="Arial" w:hAnsi="Arial"/>
                <w:sz w:val="18"/>
                <w:szCs w:val="18"/>
                <w:color w:val="auto"/>
              </w:rPr>
              <w:t>II-14</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HOLDINGS, LLC</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Cable Holdings,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April 27,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HOLDINGS,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15" w:lineRule="exact"/>
        <w:rPr>
          <w:sz w:val="20"/>
          <w:szCs w:val="20"/>
          <w:color w:val="auto"/>
        </w:rPr>
      </w:pPr>
    </w:p>
    <w:tbl>
      <w:tblPr>
        <w:tblLayout w:type="fixed"/>
        <w:tblInd w:w="7140" w:type="dxa"/>
        <w:tblCellMar>
          <w:top w:w="0" w:type="dxa"/>
          <w:left w:w="0" w:type="dxa"/>
          <w:bottom w:w="0" w:type="dxa"/>
          <w:right w:w="0" w:type="dxa"/>
        </w:tblCellMar>
      </w:tblPr>
      <w:tr>
        <w:trPr>
          <w:trHeight w:val="203"/>
        </w:trPr>
        <w:tc>
          <w:tcPr>
            <w:tcW w:w="68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40"/>
              <w:spacing w:after="0" w:line="203" w:lineRule="exact"/>
              <w:rPr>
                <w:sz w:val="20"/>
                <w:szCs w:val="20"/>
                <w:color w:val="auto"/>
              </w:rPr>
            </w:pPr>
            <w:r>
              <w:rPr>
                <w:rFonts w:ascii="Arial" w:cs="Arial" w:eastAsia="Arial" w:hAnsi="Arial"/>
                <w:sz w:val="18"/>
                <w:szCs w:val="18"/>
                <w:color w:val="auto"/>
              </w:rPr>
              <w:t>Arthur R. Block</w:t>
            </w:r>
          </w:p>
        </w:tc>
      </w:tr>
      <w:tr>
        <w:trPr>
          <w:trHeight w:val="222"/>
        </w:trPr>
        <w:tc>
          <w:tcPr>
            <w:tcW w:w="680" w:type="dxa"/>
            <w:vAlign w:val="bottom"/>
          </w:tcPr>
          <w:p>
            <w:pPr>
              <w:ind w:left="60"/>
              <w:spacing w:after="0"/>
              <w:rPr>
                <w:sz w:val="20"/>
                <w:szCs w:val="20"/>
                <w:color w:val="auto"/>
              </w:rPr>
            </w:pPr>
            <w:r>
              <w:rPr>
                <w:rFonts w:ascii="Arial" w:cs="Arial" w:eastAsia="Arial" w:hAnsi="Arial"/>
                <w:sz w:val="18"/>
                <w:szCs w:val="18"/>
                <w:color w:val="auto"/>
              </w:rPr>
              <w:t>Title:</w:t>
            </w:r>
          </w:p>
        </w:tc>
        <w:tc>
          <w:tcPr>
            <w:tcW w:w="3600" w:type="dxa"/>
            <w:vAlign w:val="bottom"/>
          </w:tcPr>
          <w:p>
            <w:pPr>
              <w:ind w:left="140"/>
              <w:spacing w:after="0"/>
              <w:rPr>
                <w:sz w:val="20"/>
                <w:szCs w:val="20"/>
                <w:color w:val="auto"/>
              </w:rPr>
            </w:pPr>
            <w:r>
              <w:rPr>
                <w:rFonts w:ascii="Arial" w:cs="Arial" w:eastAsia="Arial" w:hAnsi="Arial"/>
                <w:sz w:val="18"/>
                <w:szCs w:val="18"/>
                <w:color w:val="auto"/>
              </w:rPr>
              <w:t>Senior Vice President</w:t>
            </w:r>
          </w:p>
        </w:tc>
      </w:tr>
    </w:tbl>
    <w:p>
      <w:pPr>
        <w:spacing w:after="0" w:line="15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6"/>
              </w:rPr>
              <w:t>Signature</w:t>
            </w:r>
          </w:p>
        </w:tc>
        <w:tc>
          <w:tcPr>
            <w:tcW w:w="100" w:type="dxa"/>
            <w:vAlign w:val="bottom"/>
          </w:tcPr>
          <w:p>
            <w:pPr>
              <w:spacing w:after="0"/>
              <w:rPr>
                <w:sz w:val="15"/>
                <w:szCs w:val="15"/>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2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jc w:val="center"/>
              <w:ind w:right="174"/>
              <w:spacing w:after="0"/>
              <w:rPr>
                <w:sz w:val="20"/>
                <w:szCs w:val="20"/>
                <w:color w:val="auto"/>
              </w:rPr>
            </w:pPr>
            <w:r>
              <w:rPr>
                <w:rFonts w:ascii="Arial" w:cs="Arial" w:eastAsia="Arial" w:hAnsi="Arial"/>
                <w:sz w:val="18"/>
                <w:szCs w:val="18"/>
                <w:color w:val="auto"/>
                <w:w w:val="89"/>
              </w:rPr>
              <w:t>/s/ Brian L. Roberts</w:t>
            </w:r>
          </w:p>
        </w:tc>
        <w:tc>
          <w:tcPr>
            <w:tcW w:w="10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7"/>
              </w:rPr>
              <w:t>Chairman</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280" w:type="dxa"/>
            <w:vAlign w:val="bottom"/>
          </w:tcPr>
          <w:p>
            <w:pPr>
              <w:spacing w:after="0"/>
              <w:rPr>
                <w:sz w:val="18"/>
                <w:szCs w:val="18"/>
                <w:color w:val="auto"/>
              </w:rPr>
            </w:pPr>
          </w:p>
        </w:tc>
        <w:tc>
          <w:tcPr>
            <w:tcW w:w="4320" w:type="dxa"/>
            <w:vAlign w:val="bottom"/>
          </w:tcPr>
          <w:p>
            <w:pPr>
              <w:jc w:val="center"/>
              <w:ind w:right="174"/>
              <w:spacing w:after="0"/>
              <w:rPr>
                <w:sz w:val="20"/>
                <w:szCs w:val="20"/>
                <w:color w:val="auto"/>
              </w:rPr>
            </w:pPr>
            <w:r>
              <w:rPr>
                <w:rFonts w:ascii="Arial" w:cs="Arial" w:eastAsia="Arial" w:hAnsi="Arial"/>
                <w:sz w:val="18"/>
                <w:szCs w:val="18"/>
                <w:color w:val="auto"/>
                <w:w w:val="90"/>
              </w:rPr>
              <w:t>Brian L. Roberts</w:t>
            </w:r>
          </w:p>
        </w:tc>
        <w:tc>
          <w:tcPr>
            <w:tcW w:w="100" w:type="dxa"/>
            <w:vAlign w:val="bottom"/>
          </w:tcPr>
          <w:p>
            <w:pPr>
              <w:spacing w:after="0"/>
              <w:rPr>
                <w:sz w:val="18"/>
                <w:szCs w:val="18"/>
                <w:color w:val="auto"/>
              </w:rPr>
            </w:pPr>
          </w:p>
        </w:tc>
        <w:tc>
          <w:tcPr>
            <w:tcW w:w="4920" w:type="dxa"/>
            <w:vAlign w:val="bottom"/>
          </w:tcPr>
          <w:p>
            <w:pPr>
              <w:jc w:val="center"/>
              <w:spacing w:after="0" w:line="202" w:lineRule="exact"/>
              <w:rPr>
                <w:sz w:val="20"/>
                <w:szCs w:val="20"/>
                <w:color w:val="auto"/>
              </w:rPr>
            </w:pPr>
            <w:r>
              <w:rPr>
                <w:rFonts w:ascii="Arial" w:cs="Arial" w:eastAsia="Arial" w:hAnsi="Arial"/>
                <w:sz w:val="18"/>
                <w:szCs w:val="18"/>
                <w:color w:val="auto"/>
                <w:w w:val="91"/>
              </w:rPr>
              <w:t>(Principal Executive Officer)</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2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jc w:val="center"/>
              <w:ind w:right="174"/>
              <w:spacing w:after="0"/>
              <w:rPr>
                <w:sz w:val="20"/>
                <w:szCs w:val="20"/>
                <w:color w:val="auto"/>
              </w:rPr>
            </w:pPr>
            <w:r>
              <w:rPr>
                <w:rFonts w:ascii="Arial" w:cs="Arial" w:eastAsia="Arial" w:hAnsi="Arial"/>
                <w:sz w:val="18"/>
                <w:szCs w:val="18"/>
                <w:color w:val="auto"/>
                <w:w w:val="90"/>
              </w:rPr>
              <w:t>/s/ Michael J. Angelakis</w:t>
            </w:r>
          </w:p>
        </w:tc>
        <w:tc>
          <w:tcPr>
            <w:tcW w:w="10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8"/>
              </w:rPr>
              <w:t>Executive Vice President</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280" w:type="dxa"/>
            <w:vAlign w:val="bottom"/>
          </w:tcPr>
          <w:p>
            <w:pPr>
              <w:spacing w:after="0"/>
              <w:rPr>
                <w:sz w:val="18"/>
                <w:szCs w:val="18"/>
                <w:color w:val="auto"/>
              </w:rPr>
            </w:pPr>
          </w:p>
        </w:tc>
        <w:tc>
          <w:tcPr>
            <w:tcW w:w="4320" w:type="dxa"/>
            <w:vAlign w:val="bottom"/>
          </w:tcPr>
          <w:p>
            <w:pPr>
              <w:jc w:val="center"/>
              <w:ind w:right="194"/>
              <w:spacing w:after="0"/>
              <w:rPr>
                <w:sz w:val="20"/>
                <w:szCs w:val="20"/>
                <w:color w:val="auto"/>
              </w:rPr>
            </w:pPr>
            <w:r>
              <w:rPr>
                <w:rFonts w:ascii="Arial" w:cs="Arial" w:eastAsia="Arial" w:hAnsi="Arial"/>
                <w:sz w:val="18"/>
                <w:szCs w:val="18"/>
                <w:color w:val="auto"/>
                <w:w w:val="90"/>
              </w:rPr>
              <w:t>Michael J. Angelakis</w:t>
            </w:r>
          </w:p>
        </w:tc>
        <w:tc>
          <w:tcPr>
            <w:tcW w:w="100" w:type="dxa"/>
            <w:vAlign w:val="bottom"/>
          </w:tcPr>
          <w:p>
            <w:pPr>
              <w:spacing w:after="0"/>
              <w:rPr>
                <w:sz w:val="18"/>
                <w:szCs w:val="18"/>
                <w:color w:val="auto"/>
              </w:rPr>
            </w:pPr>
          </w:p>
        </w:tc>
        <w:tc>
          <w:tcPr>
            <w:tcW w:w="492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Financial Officer)</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2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jc w:val="center"/>
              <w:ind w:right="174"/>
              <w:spacing w:after="0"/>
              <w:rPr>
                <w:sz w:val="20"/>
                <w:szCs w:val="20"/>
                <w:color w:val="auto"/>
              </w:rPr>
            </w:pPr>
            <w:r>
              <w:rPr>
                <w:rFonts w:ascii="Arial" w:cs="Arial" w:eastAsia="Arial" w:hAnsi="Arial"/>
                <w:sz w:val="18"/>
                <w:szCs w:val="18"/>
                <w:color w:val="auto"/>
                <w:w w:val="87"/>
              </w:rPr>
              <w:t>/s/ Lawrence J. Salva</w:t>
            </w:r>
          </w:p>
        </w:tc>
        <w:tc>
          <w:tcPr>
            <w:tcW w:w="10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7"/>
              </w:rPr>
              <w:t>Senior Vice President</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280" w:type="dxa"/>
            <w:vAlign w:val="bottom"/>
          </w:tcPr>
          <w:p>
            <w:pPr>
              <w:spacing w:after="0"/>
              <w:rPr>
                <w:sz w:val="18"/>
                <w:szCs w:val="18"/>
                <w:color w:val="auto"/>
              </w:rPr>
            </w:pPr>
          </w:p>
        </w:tc>
        <w:tc>
          <w:tcPr>
            <w:tcW w:w="4320" w:type="dxa"/>
            <w:vAlign w:val="bottom"/>
          </w:tcPr>
          <w:p>
            <w:pPr>
              <w:jc w:val="center"/>
              <w:ind w:right="194"/>
              <w:spacing w:after="0"/>
              <w:rPr>
                <w:sz w:val="20"/>
                <w:szCs w:val="20"/>
                <w:color w:val="auto"/>
              </w:rPr>
            </w:pPr>
            <w:r>
              <w:rPr>
                <w:rFonts w:ascii="Arial" w:cs="Arial" w:eastAsia="Arial" w:hAnsi="Arial"/>
                <w:sz w:val="18"/>
                <w:szCs w:val="18"/>
                <w:color w:val="auto"/>
                <w:w w:val="87"/>
              </w:rPr>
              <w:t>Lawrence J. Salva</w:t>
            </w:r>
          </w:p>
        </w:tc>
        <w:tc>
          <w:tcPr>
            <w:tcW w:w="100" w:type="dxa"/>
            <w:vAlign w:val="bottom"/>
          </w:tcPr>
          <w:p>
            <w:pPr>
              <w:spacing w:after="0"/>
              <w:rPr>
                <w:sz w:val="18"/>
                <w:szCs w:val="18"/>
                <w:color w:val="auto"/>
              </w:rPr>
            </w:pPr>
          </w:p>
        </w:tc>
        <w:tc>
          <w:tcPr>
            <w:tcW w:w="492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Accounting Officer)</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1"/>
        </w:trPr>
        <w:tc>
          <w:tcPr>
            <w:tcW w:w="280" w:type="dxa"/>
            <w:vAlign w:val="bottom"/>
          </w:tcPr>
          <w:p>
            <w:pPr>
              <w:spacing w:after="0"/>
              <w:rPr>
                <w:sz w:val="24"/>
                <w:szCs w:val="24"/>
                <w:color w:val="auto"/>
              </w:rPr>
            </w:pPr>
          </w:p>
        </w:tc>
        <w:tc>
          <w:tcPr>
            <w:tcW w:w="4320" w:type="dxa"/>
            <w:vAlign w:val="bottom"/>
          </w:tcPr>
          <w:p>
            <w:pPr>
              <w:jc w:val="center"/>
              <w:ind w:left="14"/>
              <w:spacing w:after="0"/>
              <w:rPr>
                <w:sz w:val="20"/>
                <w:szCs w:val="20"/>
                <w:color w:val="auto"/>
              </w:rPr>
            </w:pPr>
            <w:r>
              <w:rPr>
                <w:rFonts w:ascii="Arial" w:cs="Arial" w:eastAsia="Arial" w:hAnsi="Arial"/>
                <w:sz w:val="18"/>
                <w:szCs w:val="18"/>
                <w:color w:val="auto"/>
                <w:w w:val="95"/>
              </w:rPr>
              <w:t>COMCAST CABLE COMMUNICATIONS HOLDINGS,</w:t>
            </w: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2"/>
        </w:trPr>
        <w:tc>
          <w:tcPr>
            <w:tcW w:w="280" w:type="dxa"/>
            <w:vAlign w:val="bottom"/>
          </w:tcPr>
          <w:p>
            <w:pPr>
              <w:spacing w:after="0"/>
              <w:rPr>
                <w:sz w:val="19"/>
                <w:szCs w:val="19"/>
                <w:color w:val="auto"/>
              </w:rPr>
            </w:pPr>
          </w:p>
        </w:tc>
        <w:tc>
          <w:tcPr>
            <w:tcW w:w="4320" w:type="dxa"/>
            <w:vAlign w:val="bottom"/>
          </w:tcPr>
          <w:p>
            <w:pPr>
              <w:jc w:val="center"/>
              <w:ind w:left="14"/>
              <w:spacing w:after="0"/>
              <w:rPr>
                <w:sz w:val="20"/>
                <w:szCs w:val="20"/>
                <w:color w:val="auto"/>
              </w:rPr>
            </w:pPr>
            <w:r>
              <w:rPr>
                <w:rFonts w:ascii="Arial" w:cs="Arial" w:eastAsia="Arial" w:hAnsi="Arial"/>
                <w:sz w:val="18"/>
                <w:szCs w:val="18"/>
                <w:color w:val="auto"/>
                <w:w w:val="94"/>
              </w:rPr>
              <w:t>INC.</w:t>
            </w: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26"/>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32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2"/>
              </w:rPr>
              <w:t>/s/ Arthur R. Block</w:t>
            </w:r>
          </w:p>
        </w:tc>
        <w:tc>
          <w:tcPr>
            <w:tcW w:w="10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9"/>
              </w:rPr>
              <w:t>Sole Member</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01"/>
        </w:trPr>
        <w:tc>
          <w:tcPr>
            <w:tcW w:w="280" w:type="dxa"/>
            <w:vAlign w:val="bottom"/>
          </w:tcPr>
          <w:p>
            <w:pPr>
              <w:spacing w:after="0"/>
              <w:rPr>
                <w:sz w:val="17"/>
                <w:szCs w:val="17"/>
                <w:color w:val="auto"/>
              </w:rPr>
            </w:pPr>
          </w:p>
        </w:tc>
        <w:tc>
          <w:tcPr>
            <w:tcW w:w="4320" w:type="dxa"/>
            <w:vAlign w:val="bottom"/>
          </w:tcPr>
          <w:p>
            <w:pPr>
              <w:jc w:val="center"/>
              <w:ind w:left="14"/>
              <w:spacing w:after="0" w:line="201" w:lineRule="exact"/>
              <w:rPr>
                <w:sz w:val="20"/>
                <w:szCs w:val="20"/>
                <w:color w:val="auto"/>
              </w:rPr>
            </w:pPr>
            <w:r>
              <w:rPr>
                <w:rFonts w:ascii="Arial" w:cs="Arial" w:eastAsia="Arial" w:hAnsi="Arial"/>
                <w:sz w:val="18"/>
                <w:szCs w:val="18"/>
                <w:color w:val="auto"/>
                <w:w w:val="94"/>
              </w:rPr>
              <w:t>Arthur R. Block</w:t>
            </w:r>
          </w:p>
        </w:tc>
        <w:tc>
          <w:tcPr>
            <w:tcW w:w="1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2"/>
        </w:trPr>
        <w:tc>
          <w:tcPr>
            <w:tcW w:w="280" w:type="dxa"/>
            <w:vAlign w:val="bottom"/>
          </w:tcPr>
          <w:p>
            <w:pPr>
              <w:spacing w:after="0"/>
              <w:rPr>
                <w:sz w:val="19"/>
                <w:szCs w:val="19"/>
                <w:color w:val="auto"/>
              </w:rPr>
            </w:pPr>
          </w:p>
        </w:tc>
        <w:tc>
          <w:tcPr>
            <w:tcW w:w="4320" w:type="dxa"/>
            <w:vAlign w:val="bottom"/>
          </w:tcPr>
          <w:p>
            <w:pPr>
              <w:jc w:val="center"/>
              <w:ind w:left="34"/>
              <w:spacing w:after="0"/>
              <w:rPr>
                <w:sz w:val="20"/>
                <w:szCs w:val="20"/>
                <w:color w:val="auto"/>
              </w:rPr>
            </w:pPr>
            <w:r>
              <w:rPr>
                <w:rFonts w:ascii="Arial" w:cs="Arial" w:eastAsia="Arial" w:hAnsi="Arial"/>
                <w:sz w:val="18"/>
                <w:szCs w:val="18"/>
                <w:color w:val="auto"/>
                <w:w w:val="87"/>
              </w:rPr>
              <w:t>Senior Vice President</w:t>
            </w: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65"/>
        </w:trPr>
        <w:tc>
          <w:tcPr>
            <w:tcW w:w="2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ind w:left="840"/>
              <w:spacing w:after="0"/>
              <w:rPr>
                <w:sz w:val="20"/>
                <w:szCs w:val="20"/>
                <w:color w:val="auto"/>
              </w:rPr>
            </w:pPr>
            <w:r>
              <w:rPr>
                <w:rFonts w:ascii="Arial" w:cs="Arial" w:eastAsia="Arial" w:hAnsi="Arial"/>
                <w:sz w:val="18"/>
                <w:szCs w:val="18"/>
                <w:color w:val="auto"/>
              </w:rPr>
              <w:t>II-15</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 COMCAST MO GROUP, INC.</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MO Group, Inc.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April 27,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MO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15" w:lineRule="exact"/>
        <w:rPr>
          <w:sz w:val="20"/>
          <w:szCs w:val="20"/>
          <w:color w:val="auto"/>
        </w:rPr>
      </w:pPr>
    </w:p>
    <w:tbl>
      <w:tblPr>
        <w:tblLayout w:type="fixed"/>
        <w:tblInd w:w="7140" w:type="dxa"/>
        <w:tblCellMar>
          <w:top w:w="0" w:type="dxa"/>
          <w:left w:w="0" w:type="dxa"/>
          <w:bottom w:w="0" w:type="dxa"/>
          <w:right w:w="0" w:type="dxa"/>
        </w:tblCellMar>
      </w:tblPr>
      <w:tr>
        <w:trPr>
          <w:trHeight w:val="203"/>
        </w:trPr>
        <w:tc>
          <w:tcPr>
            <w:tcW w:w="68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40"/>
              <w:spacing w:after="0" w:line="203" w:lineRule="exact"/>
              <w:rPr>
                <w:sz w:val="20"/>
                <w:szCs w:val="20"/>
                <w:color w:val="auto"/>
              </w:rPr>
            </w:pPr>
            <w:r>
              <w:rPr>
                <w:rFonts w:ascii="Arial" w:cs="Arial" w:eastAsia="Arial" w:hAnsi="Arial"/>
                <w:sz w:val="18"/>
                <w:szCs w:val="18"/>
                <w:color w:val="auto"/>
              </w:rPr>
              <w:t>Arthur R. Block</w:t>
            </w:r>
          </w:p>
        </w:tc>
      </w:tr>
      <w:tr>
        <w:trPr>
          <w:trHeight w:val="222"/>
        </w:trPr>
        <w:tc>
          <w:tcPr>
            <w:tcW w:w="680" w:type="dxa"/>
            <w:vAlign w:val="bottom"/>
          </w:tcPr>
          <w:p>
            <w:pPr>
              <w:ind w:left="60"/>
              <w:spacing w:after="0"/>
              <w:rPr>
                <w:sz w:val="20"/>
                <w:szCs w:val="20"/>
                <w:color w:val="auto"/>
              </w:rPr>
            </w:pPr>
            <w:r>
              <w:rPr>
                <w:rFonts w:ascii="Arial" w:cs="Arial" w:eastAsia="Arial" w:hAnsi="Arial"/>
                <w:sz w:val="18"/>
                <w:szCs w:val="18"/>
                <w:color w:val="auto"/>
              </w:rPr>
              <w:t>Title:</w:t>
            </w:r>
          </w:p>
        </w:tc>
        <w:tc>
          <w:tcPr>
            <w:tcW w:w="3600" w:type="dxa"/>
            <w:vAlign w:val="bottom"/>
          </w:tcPr>
          <w:p>
            <w:pPr>
              <w:ind w:left="140"/>
              <w:spacing w:after="0"/>
              <w:rPr>
                <w:sz w:val="20"/>
                <w:szCs w:val="20"/>
                <w:color w:val="auto"/>
              </w:rPr>
            </w:pPr>
            <w:r>
              <w:rPr>
                <w:rFonts w:ascii="Arial" w:cs="Arial" w:eastAsia="Arial" w:hAnsi="Arial"/>
                <w:sz w:val="18"/>
                <w:szCs w:val="18"/>
                <w:color w:val="auto"/>
              </w:rPr>
              <w:t>Senior Vice President</w:t>
            </w:r>
          </w:p>
        </w:tc>
      </w:tr>
    </w:tbl>
    <w:p>
      <w:pPr>
        <w:spacing w:after="0" w:line="15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Brian L. Roberts</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7"/>
              </w:rPr>
              <w:t>Chairman</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4240" w:type="dxa"/>
            <w:vAlign w:val="bottom"/>
          </w:tcPr>
          <w:p>
            <w:pPr>
              <w:jc w:val="center"/>
              <w:spacing w:after="0"/>
              <w:rPr>
                <w:sz w:val="20"/>
                <w:szCs w:val="20"/>
                <w:color w:val="auto"/>
              </w:rPr>
            </w:pPr>
            <w:r>
              <w:rPr>
                <w:rFonts w:ascii="Arial" w:cs="Arial" w:eastAsia="Arial" w:hAnsi="Arial"/>
                <w:sz w:val="18"/>
                <w:szCs w:val="18"/>
                <w:color w:val="auto"/>
                <w:w w:val="89"/>
              </w:rPr>
              <w:t>Brian L. Roberts</w:t>
            </w:r>
          </w:p>
        </w:tc>
        <w:tc>
          <w:tcPr>
            <w:tcW w:w="220" w:type="dxa"/>
            <w:vAlign w:val="bottom"/>
          </w:tcPr>
          <w:p>
            <w:pPr>
              <w:spacing w:after="0"/>
              <w:rPr>
                <w:sz w:val="18"/>
                <w:szCs w:val="18"/>
                <w:color w:val="auto"/>
              </w:rPr>
            </w:pP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1"/>
              </w:rPr>
              <w:t>(Principal Executive 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J. Angelakis</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Executive Vice President; 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4240" w:type="dxa"/>
            <w:vAlign w:val="bottom"/>
          </w:tcPr>
          <w:p>
            <w:pPr>
              <w:jc w:val="center"/>
              <w:spacing w:after="0"/>
              <w:rPr>
                <w:sz w:val="20"/>
                <w:szCs w:val="20"/>
                <w:color w:val="auto"/>
              </w:rPr>
            </w:pPr>
            <w:r>
              <w:rPr>
                <w:rFonts w:ascii="Arial" w:cs="Arial" w:eastAsia="Arial" w:hAnsi="Arial"/>
                <w:sz w:val="18"/>
                <w:szCs w:val="18"/>
                <w:color w:val="auto"/>
                <w:w w:val="90"/>
              </w:rPr>
              <w:t>Michael J. Angelakis</w:t>
            </w:r>
          </w:p>
        </w:tc>
        <w:tc>
          <w:tcPr>
            <w:tcW w:w="220" w:type="dxa"/>
            <w:vAlign w:val="bottom"/>
          </w:tcPr>
          <w:p>
            <w:pPr>
              <w:spacing w:after="0"/>
              <w:rPr>
                <w:sz w:val="18"/>
                <w:szCs w:val="18"/>
                <w:color w:val="auto"/>
              </w:rPr>
            </w:pP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Financial 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David L. Cohen</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Executive Vice President; 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David L. Cohen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Arthur R. Block</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Senior Vice President; Director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Arthur R. Block</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Lawrence J. Salva</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7"/>
              </w:rPr>
              <w:t>Senior Vice President</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4240" w:type="dxa"/>
            <w:vAlign w:val="bottom"/>
          </w:tcPr>
          <w:p>
            <w:pPr>
              <w:jc w:val="center"/>
              <w:spacing w:after="0"/>
              <w:rPr>
                <w:sz w:val="20"/>
                <w:szCs w:val="20"/>
                <w:color w:val="auto"/>
              </w:rPr>
            </w:pPr>
            <w:r>
              <w:rPr>
                <w:rFonts w:ascii="Arial" w:cs="Arial" w:eastAsia="Arial" w:hAnsi="Arial"/>
                <w:sz w:val="18"/>
                <w:szCs w:val="18"/>
                <w:color w:val="auto"/>
                <w:w w:val="87"/>
              </w:rPr>
              <w:t>Lawrence J. Salva</w:t>
            </w:r>
          </w:p>
        </w:tc>
        <w:tc>
          <w:tcPr>
            <w:tcW w:w="220" w:type="dxa"/>
            <w:vAlign w:val="bottom"/>
          </w:tcPr>
          <w:p>
            <w:pPr>
              <w:spacing w:after="0"/>
              <w:rPr>
                <w:sz w:val="18"/>
                <w:szCs w:val="18"/>
                <w:color w:val="auto"/>
              </w:rPr>
            </w:pP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Accounting 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70"/>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ind w:left="1080"/>
              <w:spacing w:after="0"/>
              <w:rPr>
                <w:sz w:val="20"/>
                <w:szCs w:val="20"/>
                <w:color w:val="auto"/>
              </w:rPr>
            </w:pPr>
            <w:r>
              <w:rPr>
                <w:rFonts w:ascii="Arial" w:cs="Arial" w:eastAsia="Arial" w:hAnsi="Arial"/>
                <w:sz w:val="18"/>
                <w:szCs w:val="18"/>
                <w:color w:val="auto"/>
              </w:rPr>
              <w:t>II-16</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MO OF DELAWARE, LLC</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MO of Delaware,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April 27,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MO OF DELAWARE,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15" w:lineRule="exact"/>
        <w:rPr>
          <w:sz w:val="20"/>
          <w:szCs w:val="20"/>
          <w:color w:val="auto"/>
        </w:rPr>
      </w:pPr>
    </w:p>
    <w:tbl>
      <w:tblPr>
        <w:tblLayout w:type="fixed"/>
        <w:tblInd w:w="7140" w:type="dxa"/>
        <w:tblCellMar>
          <w:top w:w="0" w:type="dxa"/>
          <w:left w:w="0" w:type="dxa"/>
          <w:bottom w:w="0" w:type="dxa"/>
          <w:right w:w="0" w:type="dxa"/>
        </w:tblCellMar>
      </w:tblPr>
      <w:tr>
        <w:trPr>
          <w:trHeight w:val="203"/>
        </w:trPr>
        <w:tc>
          <w:tcPr>
            <w:tcW w:w="68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40"/>
              <w:spacing w:after="0" w:line="203" w:lineRule="exact"/>
              <w:rPr>
                <w:sz w:val="20"/>
                <w:szCs w:val="20"/>
                <w:color w:val="auto"/>
              </w:rPr>
            </w:pPr>
            <w:r>
              <w:rPr>
                <w:rFonts w:ascii="Arial" w:cs="Arial" w:eastAsia="Arial" w:hAnsi="Arial"/>
                <w:sz w:val="18"/>
                <w:szCs w:val="18"/>
                <w:color w:val="auto"/>
              </w:rPr>
              <w:t>Arthur R. Block</w:t>
            </w:r>
          </w:p>
        </w:tc>
      </w:tr>
      <w:tr>
        <w:trPr>
          <w:trHeight w:val="222"/>
        </w:trPr>
        <w:tc>
          <w:tcPr>
            <w:tcW w:w="680" w:type="dxa"/>
            <w:vAlign w:val="bottom"/>
          </w:tcPr>
          <w:p>
            <w:pPr>
              <w:ind w:left="60"/>
              <w:spacing w:after="0"/>
              <w:rPr>
                <w:sz w:val="20"/>
                <w:szCs w:val="20"/>
                <w:color w:val="auto"/>
              </w:rPr>
            </w:pPr>
            <w:r>
              <w:rPr>
                <w:rFonts w:ascii="Arial" w:cs="Arial" w:eastAsia="Arial" w:hAnsi="Arial"/>
                <w:sz w:val="18"/>
                <w:szCs w:val="18"/>
                <w:color w:val="auto"/>
              </w:rPr>
              <w:t>Title:</w:t>
            </w:r>
          </w:p>
        </w:tc>
        <w:tc>
          <w:tcPr>
            <w:tcW w:w="3600" w:type="dxa"/>
            <w:vAlign w:val="bottom"/>
          </w:tcPr>
          <w:p>
            <w:pPr>
              <w:ind w:left="140"/>
              <w:spacing w:after="0"/>
              <w:rPr>
                <w:sz w:val="20"/>
                <w:szCs w:val="20"/>
                <w:color w:val="auto"/>
              </w:rPr>
            </w:pPr>
            <w:r>
              <w:rPr>
                <w:rFonts w:ascii="Arial" w:cs="Arial" w:eastAsia="Arial" w:hAnsi="Arial"/>
                <w:sz w:val="18"/>
                <w:szCs w:val="18"/>
                <w:color w:val="auto"/>
              </w:rPr>
              <w:t>Senior Vice President</w:t>
            </w:r>
          </w:p>
        </w:tc>
      </w:tr>
    </w:tbl>
    <w:p>
      <w:pPr>
        <w:spacing w:after="0" w:line="15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6"/>
              </w:rPr>
              <w:t>Signature</w:t>
            </w:r>
          </w:p>
        </w:tc>
        <w:tc>
          <w:tcPr>
            <w:tcW w:w="100" w:type="dxa"/>
            <w:vAlign w:val="bottom"/>
          </w:tcPr>
          <w:p>
            <w:pPr>
              <w:spacing w:after="0"/>
              <w:rPr>
                <w:sz w:val="15"/>
                <w:szCs w:val="15"/>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2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jc w:val="center"/>
              <w:ind w:right="174"/>
              <w:spacing w:after="0"/>
              <w:rPr>
                <w:sz w:val="20"/>
                <w:szCs w:val="20"/>
                <w:color w:val="auto"/>
              </w:rPr>
            </w:pPr>
            <w:r>
              <w:rPr>
                <w:rFonts w:ascii="Arial" w:cs="Arial" w:eastAsia="Arial" w:hAnsi="Arial"/>
                <w:sz w:val="18"/>
                <w:szCs w:val="18"/>
                <w:color w:val="auto"/>
                <w:w w:val="89"/>
              </w:rPr>
              <w:t>/s/ Brian L. Roberts</w:t>
            </w:r>
          </w:p>
        </w:tc>
        <w:tc>
          <w:tcPr>
            <w:tcW w:w="10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7"/>
              </w:rPr>
              <w:t>Chairman</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280" w:type="dxa"/>
            <w:vAlign w:val="bottom"/>
          </w:tcPr>
          <w:p>
            <w:pPr>
              <w:spacing w:after="0"/>
              <w:rPr>
                <w:sz w:val="18"/>
                <w:szCs w:val="18"/>
                <w:color w:val="auto"/>
              </w:rPr>
            </w:pPr>
          </w:p>
        </w:tc>
        <w:tc>
          <w:tcPr>
            <w:tcW w:w="4320" w:type="dxa"/>
            <w:vAlign w:val="bottom"/>
          </w:tcPr>
          <w:p>
            <w:pPr>
              <w:jc w:val="center"/>
              <w:ind w:right="174"/>
              <w:spacing w:after="0"/>
              <w:rPr>
                <w:sz w:val="20"/>
                <w:szCs w:val="20"/>
                <w:color w:val="auto"/>
              </w:rPr>
            </w:pPr>
            <w:r>
              <w:rPr>
                <w:rFonts w:ascii="Arial" w:cs="Arial" w:eastAsia="Arial" w:hAnsi="Arial"/>
                <w:sz w:val="18"/>
                <w:szCs w:val="18"/>
                <w:color w:val="auto"/>
                <w:w w:val="90"/>
              </w:rPr>
              <w:t>Brian L. Roberts</w:t>
            </w:r>
          </w:p>
        </w:tc>
        <w:tc>
          <w:tcPr>
            <w:tcW w:w="100" w:type="dxa"/>
            <w:vAlign w:val="bottom"/>
          </w:tcPr>
          <w:p>
            <w:pPr>
              <w:spacing w:after="0"/>
              <w:rPr>
                <w:sz w:val="18"/>
                <w:szCs w:val="18"/>
                <w:color w:val="auto"/>
              </w:rPr>
            </w:pPr>
          </w:p>
        </w:tc>
        <w:tc>
          <w:tcPr>
            <w:tcW w:w="4920" w:type="dxa"/>
            <w:vAlign w:val="bottom"/>
          </w:tcPr>
          <w:p>
            <w:pPr>
              <w:jc w:val="center"/>
              <w:spacing w:after="0" w:line="202" w:lineRule="exact"/>
              <w:rPr>
                <w:sz w:val="20"/>
                <w:szCs w:val="20"/>
                <w:color w:val="auto"/>
              </w:rPr>
            </w:pPr>
            <w:r>
              <w:rPr>
                <w:rFonts w:ascii="Arial" w:cs="Arial" w:eastAsia="Arial" w:hAnsi="Arial"/>
                <w:sz w:val="18"/>
                <w:szCs w:val="18"/>
                <w:color w:val="auto"/>
                <w:w w:val="91"/>
              </w:rPr>
              <w:t>(Principal Executive Officer)</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2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jc w:val="center"/>
              <w:ind w:right="174"/>
              <w:spacing w:after="0"/>
              <w:rPr>
                <w:sz w:val="20"/>
                <w:szCs w:val="20"/>
                <w:color w:val="auto"/>
              </w:rPr>
            </w:pPr>
            <w:r>
              <w:rPr>
                <w:rFonts w:ascii="Arial" w:cs="Arial" w:eastAsia="Arial" w:hAnsi="Arial"/>
                <w:sz w:val="18"/>
                <w:szCs w:val="18"/>
                <w:color w:val="auto"/>
                <w:w w:val="90"/>
              </w:rPr>
              <w:t>/s/ Michael J. Angelakis</w:t>
            </w:r>
          </w:p>
        </w:tc>
        <w:tc>
          <w:tcPr>
            <w:tcW w:w="10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8"/>
              </w:rPr>
              <w:t>Executive Vice President</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280" w:type="dxa"/>
            <w:vAlign w:val="bottom"/>
          </w:tcPr>
          <w:p>
            <w:pPr>
              <w:spacing w:after="0"/>
              <w:rPr>
                <w:sz w:val="18"/>
                <w:szCs w:val="18"/>
                <w:color w:val="auto"/>
              </w:rPr>
            </w:pPr>
          </w:p>
        </w:tc>
        <w:tc>
          <w:tcPr>
            <w:tcW w:w="4320" w:type="dxa"/>
            <w:vAlign w:val="bottom"/>
          </w:tcPr>
          <w:p>
            <w:pPr>
              <w:jc w:val="center"/>
              <w:ind w:right="194"/>
              <w:spacing w:after="0"/>
              <w:rPr>
                <w:sz w:val="20"/>
                <w:szCs w:val="20"/>
                <w:color w:val="auto"/>
              </w:rPr>
            </w:pPr>
            <w:r>
              <w:rPr>
                <w:rFonts w:ascii="Arial" w:cs="Arial" w:eastAsia="Arial" w:hAnsi="Arial"/>
                <w:sz w:val="18"/>
                <w:szCs w:val="18"/>
                <w:color w:val="auto"/>
                <w:w w:val="90"/>
              </w:rPr>
              <w:t>Michael J. Angelakis</w:t>
            </w:r>
          </w:p>
        </w:tc>
        <w:tc>
          <w:tcPr>
            <w:tcW w:w="100" w:type="dxa"/>
            <w:vAlign w:val="bottom"/>
          </w:tcPr>
          <w:p>
            <w:pPr>
              <w:spacing w:after="0"/>
              <w:rPr>
                <w:sz w:val="18"/>
                <w:szCs w:val="18"/>
                <w:color w:val="auto"/>
              </w:rPr>
            </w:pPr>
          </w:p>
        </w:tc>
        <w:tc>
          <w:tcPr>
            <w:tcW w:w="492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Financial Officer)</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2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jc w:val="center"/>
              <w:ind w:right="174"/>
              <w:spacing w:after="0"/>
              <w:rPr>
                <w:sz w:val="20"/>
                <w:szCs w:val="20"/>
                <w:color w:val="auto"/>
              </w:rPr>
            </w:pPr>
            <w:r>
              <w:rPr>
                <w:rFonts w:ascii="Arial" w:cs="Arial" w:eastAsia="Arial" w:hAnsi="Arial"/>
                <w:sz w:val="18"/>
                <w:szCs w:val="18"/>
                <w:color w:val="auto"/>
                <w:w w:val="87"/>
              </w:rPr>
              <w:t>/s/ Lawrence J. Salva</w:t>
            </w:r>
          </w:p>
        </w:tc>
        <w:tc>
          <w:tcPr>
            <w:tcW w:w="10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7"/>
              </w:rPr>
              <w:t>Senior Vice President</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18"/>
        </w:trPr>
        <w:tc>
          <w:tcPr>
            <w:tcW w:w="280" w:type="dxa"/>
            <w:vAlign w:val="bottom"/>
          </w:tcPr>
          <w:p>
            <w:pPr>
              <w:spacing w:after="0"/>
              <w:rPr>
                <w:sz w:val="18"/>
                <w:szCs w:val="18"/>
                <w:color w:val="auto"/>
              </w:rPr>
            </w:pPr>
          </w:p>
        </w:tc>
        <w:tc>
          <w:tcPr>
            <w:tcW w:w="4320" w:type="dxa"/>
            <w:vAlign w:val="bottom"/>
          </w:tcPr>
          <w:p>
            <w:pPr>
              <w:jc w:val="center"/>
              <w:ind w:right="194"/>
              <w:spacing w:after="0"/>
              <w:rPr>
                <w:sz w:val="20"/>
                <w:szCs w:val="20"/>
                <w:color w:val="auto"/>
              </w:rPr>
            </w:pPr>
            <w:r>
              <w:rPr>
                <w:rFonts w:ascii="Arial" w:cs="Arial" w:eastAsia="Arial" w:hAnsi="Arial"/>
                <w:sz w:val="18"/>
                <w:szCs w:val="18"/>
                <w:color w:val="auto"/>
                <w:w w:val="87"/>
              </w:rPr>
              <w:t>Lawrence J. Salva</w:t>
            </w:r>
          </w:p>
        </w:tc>
        <w:tc>
          <w:tcPr>
            <w:tcW w:w="100" w:type="dxa"/>
            <w:vAlign w:val="bottom"/>
          </w:tcPr>
          <w:p>
            <w:pPr>
              <w:spacing w:after="0"/>
              <w:rPr>
                <w:sz w:val="18"/>
                <w:szCs w:val="18"/>
                <w:color w:val="auto"/>
              </w:rPr>
            </w:pPr>
          </w:p>
        </w:tc>
        <w:tc>
          <w:tcPr>
            <w:tcW w:w="492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Accounting Officer)</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280" w:type="dxa"/>
            <w:vAlign w:val="bottom"/>
          </w:tcPr>
          <w:p>
            <w:pPr>
              <w:spacing w:after="0"/>
              <w:rPr>
                <w:sz w:val="24"/>
                <w:szCs w:val="24"/>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COMCAST OF GEORGIA/VIRGINIA, INC.</w:t>
            </w: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26"/>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32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2"/>
              </w:rPr>
              <w:t>/s/ Arthur R. Block</w:t>
            </w:r>
          </w:p>
        </w:tc>
        <w:tc>
          <w:tcPr>
            <w:tcW w:w="10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89"/>
              </w:rPr>
              <w:t>Sole Member</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April 27, 2009</w:t>
            </w:r>
          </w:p>
        </w:tc>
      </w:tr>
      <w:tr>
        <w:trPr>
          <w:trHeight w:val="201"/>
        </w:trPr>
        <w:tc>
          <w:tcPr>
            <w:tcW w:w="280" w:type="dxa"/>
            <w:vAlign w:val="bottom"/>
          </w:tcPr>
          <w:p>
            <w:pPr>
              <w:spacing w:after="0"/>
              <w:rPr>
                <w:sz w:val="17"/>
                <w:szCs w:val="17"/>
                <w:color w:val="auto"/>
              </w:rPr>
            </w:pPr>
          </w:p>
        </w:tc>
        <w:tc>
          <w:tcPr>
            <w:tcW w:w="4320" w:type="dxa"/>
            <w:vAlign w:val="bottom"/>
          </w:tcPr>
          <w:p>
            <w:pPr>
              <w:jc w:val="center"/>
              <w:ind w:left="14"/>
              <w:spacing w:after="0" w:line="201" w:lineRule="exact"/>
              <w:rPr>
                <w:sz w:val="20"/>
                <w:szCs w:val="20"/>
                <w:color w:val="auto"/>
              </w:rPr>
            </w:pPr>
            <w:r>
              <w:rPr>
                <w:rFonts w:ascii="Arial" w:cs="Arial" w:eastAsia="Arial" w:hAnsi="Arial"/>
                <w:sz w:val="18"/>
                <w:szCs w:val="18"/>
                <w:color w:val="auto"/>
                <w:w w:val="94"/>
              </w:rPr>
              <w:t>Arthur R. Block</w:t>
            </w:r>
          </w:p>
        </w:tc>
        <w:tc>
          <w:tcPr>
            <w:tcW w:w="1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2"/>
        </w:trPr>
        <w:tc>
          <w:tcPr>
            <w:tcW w:w="280" w:type="dxa"/>
            <w:vAlign w:val="bottom"/>
          </w:tcPr>
          <w:p>
            <w:pPr>
              <w:spacing w:after="0"/>
              <w:rPr>
                <w:sz w:val="19"/>
                <w:szCs w:val="19"/>
                <w:color w:val="auto"/>
              </w:rPr>
            </w:pPr>
          </w:p>
        </w:tc>
        <w:tc>
          <w:tcPr>
            <w:tcW w:w="4320" w:type="dxa"/>
            <w:vAlign w:val="bottom"/>
          </w:tcPr>
          <w:p>
            <w:pPr>
              <w:jc w:val="center"/>
              <w:ind w:left="34"/>
              <w:spacing w:after="0"/>
              <w:rPr>
                <w:sz w:val="20"/>
                <w:szCs w:val="20"/>
                <w:color w:val="auto"/>
              </w:rPr>
            </w:pPr>
            <w:r>
              <w:rPr>
                <w:rFonts w:ascii="Arial" w:cs="Arial" w:eastAsia="Arial" w:hAnsi="Arial"/>
                <w:sz w:val="18"/>
                <w:szCs w:val="18"/>
                <w:color w:val="auto"/>
                <w:w w:val="87"/>
              </w:rPr>
              <w:t>Senior Vice President</w:t>
            </w: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65"/>
        </w:trPr>
        <w:tc>
          <w:tcPr>
            <w:tcW w:w="2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ind w:left="840"/>
              <w:spacing w:after="0"/>
              <w:rPr>
                <w:sz w:val="20"/>
                <w:szCs w:val="20"/>
                <w:color w:val="auto"/>
              </w:rPr>
            </w:pPr>
            <w:r>
              <w:rPr>
                <w:rFonts w:ascii="Arial" w:cs="Arial" w:eastAsia="Arial" w:hAnsi="Arial"/>
                <w:sz w:val="18"/>
                <w:szCs w:val="18"/>
                <w:color w:val="auto"/>
              </w:rPr>
              <w:t>II-17</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tcPr>
          <w:p>
            <w:pPr>
              <w:jc w:val="center"/>
              <w:ind w:right="1159"/>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0" w:type="dxa"/>
            <w:vAlign w:val="bottom"/>
          </w:tcPr>
          <w:p>
            <w:pPr>
              <w:spacing w:after="0"/>
              <w:rPr>
                <w:sz w:val="24"/>
                <w:szCs w:val="2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Document</w:t>
            </w:r>
          </w:p>
        </w:tc>
      </w:tr>
      <w:tr>
        <w:trPr>
          <w:trHeight w:val="316"/>
        </w:trPr>
        <w:tc>
          <w:tcPr>
            <w:tcW w:w="720" w:type="dxa"/>
            <w:vAlign w:val="bottom"/>
          </w:tcPr>
          <w:p>
            <w:pPr>
              <w:ind w:left="240"/>
              <w:spacing w:after="0"/>
              <w:rPr>
                <w:sz w:val="20"/>
                <w:szCs w:val="20"/>
                <w:color w:val="auto"/>
              </w:rPr>
            </w:pPr>
            <w:r>
              <w:rPr>
                <w:rFonts w:ascii="Arial" w:cs="Arial" w:eastAsia="Arial" w:hAnsi="Arial"/>
                <w:sz w:val="18"/>
                <w:szCs w:val="18"/>
                <w:color w:val="auto"/>
              </w:rPr>
              <w:t>1.1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Underwriting Agreement (Debt Securities)*</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1.2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Underwriting Agreement Standard Provisions (Debt Securities)*</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1.3</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7"/>
              </w:rPr>
              <w:t>Form of Underwriting Agreement (Preferred Stock, Depositary Shares, Common Stock, Warrants, Purchase Contracts and Units)**</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Specimen Class A Common Stock Certificate(1)</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Specimen Class A Special Common Stock Certificate(1)</w:t>
            </w:r>
          </w:p>
        </w:tc>
      </w:tr>
      <w:tr>
        <w:trPr>
          <w:trHeight w:val="318"/>
        </w:trPr>
        <w:tc>
          <w:tcPr>
            <w:tcW w:w="720" w:type="dxa"/>
            <w:vAlign w:val="bottom"/>
          </w:tcPr>
          <w:p>
            <w:pPr>
              <w:ind w:left="240"/>
              <w:spacing w:after="0"/>
              <w:rPr>
                <w:sz w:val="20"/>
                <w:szCs w:val="20"/>
                <w:color w:val="auto"/>
              </w:rPr>
            </w:pPr>
            <w:r>
              <w:rPr>
                <w:rFonts w:ascii="Arial" w:cs="Arial" w:eastAsia="Arial" w:hAnsi="Arial"/>
                <w:sz w:val="18"/>
                <w:szCs w:val="18"/>
                <w:color w:val="auto"/>
              </w:rPr>
              <w:t>4.3</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0"/>
              </w:rPr>
              <w:t>Rights Agreement dated as of November 18, 2002, between Comcast Corporation and Computershare Trust Company, N.A. (f/k/a EquiServe</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1"/>
              </w:rPr>
              <w:t>Trust Company, N.A.), as Rights Agent, which includes the Form of Certificate of Designation of Series A Participant’s Cumulative Preferred</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Stock as Exhibit A and the Form of Right Certificate as Exhibit B(2)</w:t>
            </w:r>
          </w:p>
        </w:tc>
      </w:tr>
      <w:tr>
        <w:trPr>
          <w:trHeight w:val="318"/>
        </w:trPr>
        <w:tc>
          <w:tcPr>
            <w:tcW w:w="720" w:type="dxa"/>
            <w:vAlign w:val="bottom"/>
          </w:tcPr>
          <w:p>
            <w:pPr>
              <w:ind w:left="240"/>
              <w:spacing w:after="0"/>
              <w:rPr>
                <w:sz w:val="20"/>
                <w:szCs w:val="20"/>
                <w:color w:val="auto"/>
              </w:rPr>
            </w:pPr>
            <w:r>
              <w:rPr>
                <w:rFonts w:ascii="Arial" w:cs="Arial" w:eastAsia="Arial" w:hAnsi="Arial"/>
                <w:sz w:val="18"/>
                <w:szCs w:val="18"/>
                <w:color w:val="auto"/>
              </w:rPr>
              <w:t>4.4</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Indenture, dated January 7, 2003, between Comcast Corporation, Comcast Cable Communications, LLC (f/k/a Comcast Cable</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2"/>
              </w:rPr>
              <w:t>Communications, Inc.), Comcast Cable Communications Holdings, Inc., Comcast Cable Holdings, LLC, Comcast MO Group, Inc. and The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Bank of New York Mellon (f/k/a The Bank of New York), as Trustee(3)</w:t>
            </w:r>
          </w:p>
        </w:tc>
      </w:tr>
      <w:tr>
        <w:trPr>
          <w:trHeight w:val="318"/>
        </w:trPr>
        <w:tc>
          <w:tcPr>
            <w:tcW w:w="720" w:type="dxa"/>
            <w:vAlign w:val="bottom"/>
          </w:tcPr>
          <w:p>
            <w:pPr>
              <w:ind w:left="240"/>
              <w:spacing w:after="0"/>
              <w:rPr>
                <w:sz w:val="20"/>
                <w:szCs w:val="20"/>
                <w:color w:val="auto"/>
              </w:rPr>
            </w:pPr>
            <w:r>
              <w:rPr>
                <w:rFonts w:ascii="Arial" w:cs="Arial" w:eastAsia="Arial" w:hAnsi="Arial"/>
                <w:sz w:val="18"/>
                <w:szCs w:val="18"/>
                <w:color w:val="auto"/>
              </w:rPr>
              <w:t>4.5</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88"/>
              </w:rPr>
              <w:t>Supplemental Indenture, dated March 25, 2003, to the Indenture between Comcast Corporation, Comcast Cable Holdings, LLC, Comcast Cable</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2"/>
              </w:rPr>
              <w:t>Communications Holdings, Inc., Comcast Cable Communications, LLC (f/k/a Comcast Cable Communications, Inc.), Comcast MO Group,</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1"/>
              </w:rPr>
              <w:t>Inc., Comcast MO of Delaware, LLC (f/k/a Comcast MO of Delaware, Inc.) and The Bank of New York Mellon (f/k/a The Bank of New York),</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as Trustee, dated January 7, 2003(3)</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4.6</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1"/>
              </w:rPr>
              <w:t>Form of Subordinated Indenture among the Company, the cable guarantors party thereto and The Bank of New York Mellon, as Trustee(4)</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4.7</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Senior Debt Security(5)</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4.8</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Subordinated Debt Security(5)</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4.9</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Purchase Contract Agreement relating to Purchase Contracts**</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4.10</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Unit Agreement**</w:t>
            </w:r>
          </w:p>
        </w:tc>
      </w:tr>
      <w:tr>
        <w:trPr>
          <w:trHeight w:val="324"/>
        </w:trPr>
        <w:tc>
          <w:tcPr>
            <w:tcW w:w="720" w:type="dxa"/>
            <w:vAlign w:val="bottom"/>
          </w:tcPr>
          <w:p>
            <w:pPr>
              <w:ind w:left="260"/>
              <w:spacing w:after="0"/>
              <w:rPr>
                <w:sz w:val="20"/>
                <w:szCs w:val="20"/>
                <w:color w:val="auto"/>
              </w:rPr>
            </w:pPr>
            <w:r>
              <w:rPr>
                <w:rFonts w:ascii="Arial" w:cs="Arial" w:eastAsia="Arial" w:hAnsi="Arial"/>
                <w:sz w:val="18"/>
                <w:szCs w:val="18"/>
                <w:color w:val="auto"/>
              </w:rPr>
              <w:t>4.11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Warrant Agreement for Warrants sold separately**</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Warrant for Warrants sold separately**</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4.13</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Warrant Agreement for Warrants sold attached to other Securities**</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4.14</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Warrant for Warrants sold attached to other Securities**</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4.15</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Pledge Agreement**</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4.16</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Deposit Agreement**</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4.17</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Depositary Share**</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4.18</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of Guarantee (Warrants, Purchase Contracts and Units)**</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5.1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Opinion of Arthur R. Block, Esquire*</w:t>
            </w:r>
          </w:p>
        </w:tc>
      </w:tr>
      <w:tr>
        <w:trPr>
          <w:trHeight w:val="365"/>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160" w:type="dxa"/>
            <w:vAlign w:val="bottom"/>
          </w:tcPr>
          <w:p>
            <w:pPr>
              <w:jc w:val="center"/>
              <w:ind w:right="1179"/>
              <w:spacing w:after="0"/>
              <w:rPr>
                <w:sz w:val="20"/>
                <w:szCs w:val="20"/>
                <w:color w:val="auto"/>
              </w:rPr>
            </w:pPr>
            <w:r>
              <w:rPr>
                <w:rFonts w:ascii="Arial" w:cs="Arial" w:eastAsia="Arial" w:hAnsi="Arial"/>
                <w:sz w:val="18"/>
                <w:szCs w:val="18"/>
                <w:color w:val="auto"/>
                <w:w w:val="94"/>
              </w:rPr>
              <w:t>II-18</w:t>
            </w: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540" w:type="dxa"/>
            <w:vAlign w:val="bottom"/>
          </w:tcPr>
          <w:p>
            <w:pPr>
              <w:spacing w:after="0"/>
              <w:rPr>
                <w:sz w:val="15"/>
                <w:szCs w:val="15"/>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Document</w:t>
            </w:r>
          </w:p>
        </w:tc>
      </w:tr>
      <w:tr>
        <w:trPr>
          <w:trHeight w:val="316"/>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5.2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Opinion of Davis Polk &amp; Wardwell*</w:t>
            </w:r>
          </w:p>
        </w:tc>
      </w:tr>
      <w:tr>
        <w:trPr>
          <w:trHeight w:val="324"/>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12.1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Statement Regarding Computation of Ratio of Earnings to Fixed Charges of Comcast Corporation(3)</w:t>
            </w:r>
          </w:p>
        </w:tc>
      </w:tr>
      <w:tr>
        <w:trPr>
          <w:trHeight w:val="324"/>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12.2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3"/>
              </w:rPr>
              <w:t>Statement Regarding Computation of Ratio of Earnings to Combined Fixed Charges and Preferred Dividends of Comcast Corporation(3)</w:t>
            </w:r>
          </w:p>
        </w:tc>
      </w:tr>
      <w:tr>
        <w:trPr>
          <w:trHeight w:val="324"/>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23.1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23.2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Consent of Arthur R. Block, Esquire (included in Exhibit 5.1)</w:t>
            </w:r>
          </w:p>
        </w:tc>
      </w:tr>
      <w:tr>
        <w:trPr>
          <w:trHeight w:val="324"/>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23.3</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Consent of Davis Polk &amp; Wardwell (included in Exhibit 5.2)</w:t>
            </w:r>
          </w:p>
        </w:tc>
      </w:tr>
      <w:tr>
        <w:trPr>
          <w:trHeight w:val="324"/>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24.1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Powers of Attorney (included on the signature pages hereof)</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25.1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2"/>
              </w:rPr>
              <w:t>Statement of Eligibility under the Trust Indenture Act of 1939, as amended, of The Bank of New York Mellon, as Trustee under the Senior</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Indenture*</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25.2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8"/>
              </w:rPr>
              <w:t>Statement of Eligibility under the Trust Indenture Act of 1939, as amended, of The Bank of New York Mellon, as Trustee under the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Subordinated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be filed by Current Report on Form 8-K.</w:t>
      </w:r>
    </w:p>
    <w:p>
      <w:pPr>
        <w:spacing w:after="0" w:line="9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10-K for the year ended December 31, 2002, filed on March 20, 2003.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8-A12G, filed on November 18, 2002.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10-K for the year ended December 31, 2008, filed on February 20, 2009.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to our Amended Registration Statement on Form S-3/A, filed on March 27, 2006.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on Form S-3, filed on December 16, 2002.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ectPr>
          <w:pgSz w:w="11900" w:h="16838" w:orient="portrait"/>
          <w:cols w:equalWidth="0" w:num="1">
            <w:col w:w="11420"/>
          </w:cols>
          <w:pgMar w:left="240" w:top="459"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u w:val="single" w:color="auto"/>
          <w:color w:val="auto"/>
        </w:rPr>
        <w:t>EXHIBIT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177" w:lineRule="exact"/>
        <w:rPr>
          <w:sz w:val="20"/>
          <w:szCs w:val="20"/>
          <w:color w:val="auto"/>
        </w:rPr>
      </w:pPr>
    </w:p>
    <w:p>
      <w:pPr>
        <w:jc w:val="both"/>
        <w:ind w:left="10780"/>
        <w:spacing w:after="0"/>
        <w:tabs>
          <w:tab w:leader="none" w:pos="11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We (the “</w:t>
      </w:r>
      <w:r>
        <w:rPr>
          <w:rFonts w:ascii="Arial" w:cs="Arial" w:eastAsia="Arial" w:hAnsi="Arial"/>
          <w:sz w:val="16"/>
          <w:szCs w:val="16"/>
          <w:b w:val="1"/>
          <w:bCs w:val="1"/>
          <w:color w:val="auto"/>
        </w:rPr>
        <w:t>Managers</w:t>
      </w:r>
      <w:r>
        <w:rPr>
          <w:rFonts w:ascii="Arial" w:cs="Arial" w:eastAsia="Arial" w:hAnsi="Arial"/>
          <w:sz w:val="16"/>
          <w:szCs w:val="16"/>
          <w:color w:val="auto"/>
        </w:rPr>
        <w:t>”) are acting on behalf of the underwriter or underwriters (including ourselves) named below (such underwriter or underwriters being herein called the “</w:t>
      </w:r>
      <w:r>
        <w:rPr>
          <w:rFonts w:ascii="Arial" w:cs="Arial" w:eastAsia="Arial" w:hAnsi="Arial"/>
          <w:sz w:val="16"/>
          <w:szCs w:val="16"/>
          <w:b w:val="1"/>
          <w:bCs w:val="1"/>
          <w:color w:val="auto"/>
        </w:rPr>
        <w:t>Underwriters</w:t>
      </w:r>
      <w:r>
        <w:rPr>
          <w:rFonts w:ascii="Arial" w:cs="Arial" w:eastAsia="Arial" w:hAnsi="Arial"/>
          <w:sz w:val="16"/>
          <w:szCs w:val="16"/>
          <w:color w:val="auto"/>
        </w:rPr>
        <w:t>”), and we understand that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 ] aggregate principal amount of [ ]% Notes Due [ ] (the “</w:t>
      </w:r>
      <w:r>
        <w:rPr>
          <w:rFonts w:ascii="Arial" w:cs="Arial" w:eastAsia="Arial" w:hAnsi="Arial"/>
          <w:sz w:val="18"/>
          <w:szCs w:val="18"/>
          <w:b w:val="1"/>
          <w:bCs w:val="1"/>
          <w:color w:val="auto"/>
        </w:rPr>
        <w:t>Offered Securities</w:t>
      </w:r>
      <w:r>
        <w:rPr>
          <w:rFonts w:ascii="Arial" w:cs="Arial" w:eastAsia="Arial" w:hAnsi="Arial"/>
          <w:sz w:val="18"/>
          <w:szCs w:val="18"/>
          <w:color w:val="auto"/>
        </w:rPr>
        <w:t>”). The Offered Securities are to be issued pursuant to the provisions of the Indenture, dated as of [ ] by and among the Company, the Cable Guarantors and [ ],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guaranteed on an unsecured and unsubordinated basis by Comcast Cable Communications, LLC, Comcast Cable Communications Holdings, Inc., Comcast Cable Holdings, LLC, Comcast MO Group, Inc. and Comcast MO of Delaware, LLC (the “</w:t>
      </w:r>
      <w:r>
        <w:rPr>
          <w:rFonts w:ascii="Arial" w:cs="Arial" w:eastAsia="Arial" w:hAnsi="Arial"/>
          <w:sz w:val="18"/>
          <w:szCs w:val="18"/>
          <w:b w:val="1"/>
          <w:bCs w:val="1"/>
          <w:color w:val="auto"/>
        </w:rPr>
        <w:t>Cable Guarantors</w:t>
      </w:r>
      <w:r>
        <w:rPr>
          <w:rFonts w:ascii="Arial" w:cs="Arial" w:eastAsia="Arial" w:hAnsi="Arial"/>
          <w:sz w:val="18"/>
          <w:szCs w:val="18"/>
          <w:color w:val="auto"/>
        </w:rPr>
        <w:t>”).</w:t>
      </w:r>
    </w:p>
    <w:p>
      <w:pPr>
        <w:spacing w:after="0" w:line="13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Subject to the terms and conditions set forth or incorporated by reference herein, the Company hereby agrees to sell and the Underwriters agree to purchase, severally and not jointly, the aggregate principal amount of the Offered Securities set forth below opposite their names at a purchase price of [ ]% plus</w:t>
      </w:r>
    </w:p>
    <w:tbl>
      <w:tblPr>
        <w:tblLayout w:type="fixed"/>
        <w:tblInd w:w="0" w:type="dxa"/>
        <w:tblCellMar>
          <w:top w:w="0" w:type="dxa"/>
          <w:left w:w="0" w:type="dxa"/>
          <w:bottom w:w="0" w:type="dxa"/>
          <w:right w:w="0" w:type="dxa"/>
        </w:tblCellMar>
      </w:tblPr>
      <w:tr>
        <w:trPr>
          <w:trHeight w:val="228"/>
        </w:trPr>
        <w:tc>
          <w:tcPr>
            <w:tcW w:w="2560" w:type="dxa"/>
            <w:vAlign w:val="bottom"/>
            <w:gridSpan w:val="4"/>
          </w:tcPr>
          <w:p>
            <w:pPr>
              <w:jc w:val="right"/>
              <w:ind w:right="440"/>
              <w:spacing w:after="0"/>
              <w:rPr>
                <w:sz w:val="20"/>
                <w:szCs w:val="20"/>
                <w:color w:val="auto"/>
              </w:rPr>
            </w:pPr>
            <w:r>
              <w:rPr>
                <w:rFonts w:ascii="Arial" w:cs="Arial" w:eastAsia="Arial" w:hAnsi="Arial"/>
                <w:sz w:val="18"/>
                <w:szCs w:val="18"/>
                <w:color w:val="auto"/>
                <w:w w:val="88"/>
              </w:rPr>
              <w:t>accrued interest, if any, from [</w:t>
            </w:r>
          </w:p>
        </w:tc>
        <w:tc>
          <w:tcPr>
            <w:tcW w:w="7880" w:type="dxa"/>
            <w:vAlign w:val="bottom"/>
            <w:gridSpan w:val="2"/>
          </w:tcPr>
          <w:p>
            <w:pPr>
              <w:jc w:val="right"/>
              <w:ind w:right="3032"/>
              <w:spacing w:after="0"/>
              <w:rPr>
                <w:sz w:val="20"/>
                <w:szCs w:val="20"/>
                <w:color w:val="auto"/>
              </w:rPr>
            </w:pPr>
            <w:r>
              <w:rPr>
                <w:rFonts w:ascii="Arial" w:cs="Arial" w:eastAsia="Arial" w:hAnsi="Arial"/>
                <w:sz w:val="18"/>
                <w:szCs w:val="18"/>
                <w:color w:val="auto"/>
                <w:w w:val="98"/>
              </w:rPr>
              <w:t>] to the date of payment and delivery (the “</w:t>
            </w:r>
            <w:r>
              <w:rPr>
                <w:rFonts w:ascii="Arial" w:cs="Arial" w:eastAsia="Arial" w:hAnsi="Arial"/>
                <w:sz w:val="18"/>
                <w:szCs w:val="18"/>
                <w:b w:val="1"/>
                <w:bCs w:val="1"/>
                <w:color w:val="auto"/>
                <w:w w:val="98"/>
              </w:rPr>
              <w:t>Purchase Price</w:t>
            </w:r>
            <w:r>
              <w:rPr>
                <w:rFonts w:ascii="Arial" w:cs="Arial" w:eastAsia="Arial" w:hAnsi="Arial"/>
                <w:sz w:val="18"/>
                <w:szCs w:val="18"/>
                <w:color w:val="auto"/>
                <w:w w:val="98"/>
              </w:rPr>
              <w:t>”).</w:t>
            </w:r>
          </w:p>
        </w:tc>
        <w:tc>
          <w:tcPr>
            <w:tcW w:w="60" w:type="dxa"/>
            <w:vAlign w:val="bottom"/>
          </w:tcPr>
          <w:p>
            <w:pPr>
              <w:spacing w:after="0"/>
              <w:rPr>
                <w:sz w:val="19"/>
                <w:szCs w:val="19"/>
                <w:color w:val="auto"/>
              </w:rPr>
            </w:pPr>
          </w:p>
        </w:tc>
      </w:tr>
      <w:tr>
        <w:trPr>
          <w:trHeight w:val="328"/>
        </w:trPr>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Amount</w:t>
            </w:r>
          </w:p>
        </w:tc>
        <w:tc>
          <w:tcPr>
            <w:tcW w:w="6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Offered</w:t>
            </w:r>
          </w:p>
        </w:tc>
        <w:tc>
          <w:tcPr>
            <w:tcW w:w="6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 To Be</w:t>
            </w:r>
          </w:p>
        </w:tc>
        <w:tc>
          <w:tcPr>
            <w:tcW w:w="60" w:type="dxa"/>
            <w:vAlign w:val="bottom"/>
          </w:tcPr>
          <w:p>
            <w:pPr>
              <w:spacing w:after="0"/>
              <w:rPr>
                <w:sz w:val="12"/>
                <w:szCs w:val="12"/>
                <w:color w:val="auto"/>
              </w:rPr>
            </w:pPr>
          </w:p>
        </w:tc>
      </w:tr>
      <w:tr>
        <w:trPr>
          <w:trHeight w:val="161"/>
        </w:trPr>
        <w:tc>
          <w:tcPr>
            <w:tcW w:w="92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Underwriter</w:t>
            </w:r>
          </w:p>
        </w:tc>
        <w:tc>
          <w:tcPr>
            <w:tcW w:w="2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6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78"/>
              </w:rPr>
              <w:t>]</w:t>
            </w:r>
          </w:p>
        </w:tc>
        <w:tc>
          <w:tcPr>
            <w:tcW w:w="78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r>
      <w:tr>
        <w:trPr>
          <w:trHeight w:val="216"/>
        </w:trPr>
        <w:tc>
          <w:tcPr>
            <w:tcW w:w="9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20"/>
              <w:spacing w:after="0"/>
              <w:rPr>
                <w:sz w:val="20"/>
                <w:szCs w:val="20"/>
                <w:color w:val="auto"/>
              </w:rPr>
            </w:pPr>
            <w:r>
              <w:rPr>
                <w:rFonts w:ascii="Arial" w:cs="Arial" w:eastAsia="Arial" w:hAnsi="Arial"/>
                <w:sz w:val="18"/>
                <w:szCs w:val="18"/>
                <w:color w:val="auto"/>
                <w:w w:val="78"/>
              </w:rPr>
              <w:t>]</w:t>
            </w:r>
          </w:p>
        </w:tc>
        <w:tc>
          <w:tcPr>
            <w:tcW w:w="78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216"/>
        </w:trPr>
        <w:tc>
          <w:tcPr>
            <w:tcW w:w="9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78"/>
              </w:rPr>
              <w:t>]</w:t>
            </w:r>
          </w:p>
        </w:tc>
        <w:tc>
          <w:tcPr>
            <w:tcW w:w="78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will pay for the Offered Securities upon delivery thereof at the offices of Davis Polk &amp; Wardwell, 1600 El Camino Real, Menlo Park,</w:t>
      </w:r>
    </w:p>
    <w:p>
      <w:pPr>
        <w:spacing w:after="0" w:line="38"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California at 10:00 a.m. (New York time) on [ ], or at such other time, not later than 5:00 p.m. (New York time) on [ ] as shall be designated in writing by the Underwriters and the Company. The time and date of such payment and delivery are hereinafter referred to as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sectPr>
      </w:pPr>
    </w:p>
    <w:bookmarkStart w:id="52" w:name="page53"/>
    <w:bookmarkEnd w:id="52"/>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Offered Securities shall have the terms set forth in the Prospectus dated [</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Arial" w:cs="Arial" w:eastAsia="Arial" w:hAnsi="Arial"/>
          <w:sz w:val="15"/>
          <w:szCs w:val="15"/>
          <w:color w:val="auto"/>
        </w:rPr>
        <w:t>] and the Prospectus Supplement dated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including</w:t>
      </w:r>
    </w:p>
    <w:p>
      <w:pPr>
        <w:spacing w:after="0" w:line="38" w:lineRule="exact"/>
        <w:rPr>
          <w:sz w:val="20"/>
          <w:szCs w:val="20"/>
          <w:color w:val="auto"/>
        </w:rPr>
      </w:pPr>
    </w:p>
    <w:p>
      <w:pPr>
        <w:sectPr>
          <w:pgSz w:w="11900" w:h="16838" w:orient="portrait"/>
          <w:cols w:equalWidth="0" w:num="3">
            <w:col w:w="6060" w:space="720"/>
            <w:col w:w="2980" w:space="720"/>
            <w:col w:w="900"/>
          </w:cols>
          <w:pgMar w:left="240" w:top="280" w:right="279" w:bottom="1440" w:gutter="0" w:footer="0" w:header="0"/>
        </w:sectPr>
      </w:pPr>
    </w:p>
    <w:p>
      <w:pPr>
        <w:spacing w:after="0"/>
        <w:rPr>
          <w:sz w:val="20"/>
          <w:szCs w:val="20"/>
          <w:color w:val="auto"/>
        </w:rPr>
      </w:pPr>
      <w:r>
        <w:rPr>
          <w:rFonts w:ascii="Arial" w:cs="Arial" w:eastAsia="Arial" w:hAnsi="Arial"/>
          <w:sz w:val="18"/>
          <w:szCs w:val="18"/>
          <w:color w:val="auto"/>
        </w:rPr>
        <w:t>the following: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Terms of Offered Securities:</w:t>
      </w:r>
    </w:p>
    <w:p>
      <w:pPr>
        <w:sectPr>
          <w:pgSz w:w="11900" w:h="16838" w:orient="portrait"/>
          <w:cols w:equalWidth="0" w:num="1">
            <w:col w:w="11380"/>
          </w:cols>
          <w:pgMar w:left="240" w:top="280" w:right="279" w:bottom="1440" w:gutter="0" w:footer="0" w:header="0"/>
          <w:type w:val="continuous"/>
        </w:sectPr>
      </w:pPr>
    </w:p>
    <w:p>
      <w:pPr>
        <w:spacing w:after="0" w:line="125" w:lineRule="exact"/>
        <w:rPr>
          <w:sz w:val="20"/>
          <w:szCs w:val="20"/>
          <w:color w:val="auto"/>
        </w:rPr>
      </w:pPr>
    </w:p>
    <w:p>
      <w:pPr>
        <w:jc w:val="center"/>
        <w:ind w:left="760"/>
        <w:spacing w:after="0"/>
        <w:rPr>
          <w:sz w:val="20"/>
          <w:szCs w:val="20"/>
          <w:color w:val="auto"/>
        </w:rPr>
      </w:pPr>
      <w:r>
        <w:rPr>
          <w:rFonts w:ascii="Arial" w:cs="Arial" w:eastAsia="Arial" w:hAnsi="Arial"/>
          <w:sz w:val="16"/>
          <w:szCs w:val="16"/>
          <w:color w:val="auto"/>
        </w:rPr>
        <w:t>Maturity Date: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sectPr>
          <w:pgSz w:w="11900" w:h="16838" w:orient="portrait"/>
          <w:cols w:equalWidth="0" w:num="2">
            <w:col w:w="2220" w:space="720"/>
            <w:col w:w="8440"/>
          </w:cols>
          <w:pgMar w:left="240" w:top="280" w:right="279" w:bottom="1440" w:gutter="0" w:footer="0" w:header="0"/>
          <w:type w:val="continuous"/>
        </w:sectPr>
      </w:pPr>
    </w:p>
    <w:p>
      <w:pPr>
        <w:jc w:val="center"/>
        <w:ind w:left="760"/>
        <w:spacing w:after="0"/>
        <w:rPr>
          <w:sz w:val="20"/>
          <w:szCs w:val="20"/>
          <w:color w:val="auto"/>
        </w:rPr>
      </w:pPr>
      <w:r>
        <w:rPr>
          <w:rFonts w:ascii="Arial" w:cs="Arial" w:eastAsia="Arial" w:hAnsi="Arial"/>
          <w:sz w:val="15"/>
          <w:szCs w:val="15"/>
          <w:color w:val="auto"/>
        </w:rPr>
        <w:t>Interest Rate: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sectPr>
          <w:pgSz w:w="11900" w:h="16838" w:orient="portrait"/>
          <w:cols w:equalWidth="0" w:num="2">
            <w:col w:w="2120" w:space="720"/>
            <w:col w:w="8540"/>
          </w:cols>
          <w:pgMar w:left="240" w:top="280" w:right="279" w:bottom="1440" w:gutter="0" w:footer="0" w:header="0"/>
          <w:type w:val="continuous"/>
        </w:sectPr>
      </w:pPr>
    </w:p>
    <w:p>
      <w:pPr>
        <w:jc w:val="center"/>
        <w:ind w:left="760"/>
        <w:spacing w:after="0"/>
        <w:rPr>
          <w:sz w:val="20"/>
          <w:szCs w:val="20"/>
          <w:color w:val="auto"/>
        </w:rPr>
      </w:pPr>
      <w:r>
        <w:rPr>
          <w:rFonts w:ascii="Arial" w:cs="Arial" w:eastAsia="Arial" w:hAnsi="Arial"/>
          <w:sz w:val="16"/>
          <w:szCs w:val="16"/>
          <w:color w:val="auto"/>
        </w:rPr>
        <w:t>Redemption Provisions: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113" w:lineRule="exact"/>
        <w:rPr>
          <w:sz w:val="20"/>
          <w:szCs w:val="20"/>
          <w:color w:val="auto"/>
        </w:rPr>
      </w:pPr>
    </w:p>
    <w:p>
      <w:pPr>
        <w:sectPr>
          <w:pgSz w:w="11900" w:h="16838" w:orient="portrait"/>
          <w:cols w:equalWidth="0" w:num="2">
            <w:col w:w="2880" w:space="720"/>
            <w:col w:w="7780"/>
          </w:cols>
          <w:pgMar w:left="240" w:top="280" w:right="27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Interest Payment Dates: [</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commencing [</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(Interest accrues from [</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sectPr>
          <w:pgSz w:w="11900" w:h="16838" w:orient="portrait"/>
          <w:cols w:equalWidth="0" w:num="4">
            <w:col w:w="2700" w:space="280"/>
            <w:col w:w="1640" w:space="260"/>
            <w:col w:w="100" w:space="520"/>
            <w:col w:w="5880"/>
          </w:cols>
          <w:pgMar w:left="240" w:top="280" w:right="279" w:bottom="1440" w:gutter="0" w:footer="0" w:header="0"/>
          <w:type w:val="continuous"/>
        </w:sectPr>
      </w:pPr>
    </w:p>
    <w:p>
      <w:pPr>
        <w:jc w:val="center"/>
        <w:ind w:left="760"/>
        <w:spacing w:after="0"/>
        <w:rPr>
          <w:sz w:val="20"/>
          <w:szCs w:val="20"/>
          <w:color w:val="auto"/>
        </w:rPr>
      </w:pPr>
      <w:r>
        <w:rPr>
          <w:rFonts w:ascii="Arial" w:cs="Arial" w:eastAsia="Arial" w:hAnsi="Arial"/>
          <w:sz w:val="16"/>
          <w:szCs w:val="16"/>
          <w:color w:val="auto"/>
        </w:rPr>
        <w:t>Form and Denomination: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113" w:lineRule="exact"/>
        <w:rPr>
          <w:sz w:val="20"/>
          <w:szCs w:val="20"/>
          <w:color w:val="auto"/>
        </w:rPr>
      </w:pPr>
    </w:p>
    <w:p>
      <w:pPr>
        <w:sectPr>
          <w:pgSz w:w="11900" w:h="16838" w:orient="portrait"/>
          <w:cols w:equalWidth="0" w:num="2">
            <w:col w:w="2960" w:space="720"/>
            <w:col w:w="7700"/>
          </w:cols>
          <w:pgMar w:left="240" w:top="280" w:right="279" w:bottom="1440" w:gutter="0" w:footer="0" w:header="0"/>
          <w:type w:val="continuous"/>
        </w:sectPr>
      </w:pPr>
    </w:p>
    <w:p>
      <w:pPr>
        <w:jc w:val="center"/>
        <w:ind w:left="760"/>
        <w:spacing w:after="0"/>
        <w:rPr>
          <w:sz w:val="20"/>
          <w:szCs w:val="20"/>
          <w:color w:val="auto"/>
        </w:rPr>
      </w:pPr>
      <w:r>
        <w:rPr>
          <w:rFonts w:ascii="Arial" w:cs="Arial" w:eastAsia="Arial" w:hAnsi="Arial"/>
          <w:sz w:val="16"/>
          <w:szCs w:val="16"/>
          <w:color w:val="auto"/>
        </w:rPr>
        <w:t>Ranking: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sectPr>
          <w:pgSz w:w="11900" w:h="16838" w:orient="portrait"/>
          <w:cols w:equalWidth="0" w:num="2">
            <w:col w:w="1820" w:space="720"/>
            <w:col w:w="8840"/>
          </w:cols>
          <w:pgMar w:left="240" w:top="280" w:right="27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Other Terms: As set forth in the Prospectus Supplement.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Capitalized terms used above and not defined herein shall have the meanings set forth in the Prospectus and Prospectus Supplement referred to above.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communications hereunder shall be in writing and effective only upon receipt and (a) if to the Underwriters, shall be delivered, mailed or sent via</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facsimile in care of (i) [ ]; facsimile number [ ]; Attention: [ ], (ii) [ ]; facsimile number [ ]; or (b) if to the Company shall be delivered, mailed or sent via facsimile to One Comcast Center, Philadelphia, Pennsylvania 19103, facsimile number [ ], attention: [ ].</w:t>
      </w:r>
    </w:p>
    <w:p>
      <w:pPr>
        <w:spacing w:after="0" w:line="3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acknowledges and agrees that each of the Underwriters is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their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below, all provisions contained in the document entitled Comcast Corporation Underwriting Agreement Standard Provisions (Debt</w:t>
      </w:r>
    </w:p>
    <w:p>
      <w:pPr>
        <w:spacing w:after="0" w:line="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Securities)) dated [ ],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ectPr>
          <w:pgSz w:w="11900" w:h="16838" w:orient="portrait"/>
          <w:cols w:equalWidth="0" w:num="1">
            <w:col w:w="11380"/>
          </w:cols>
          <w:pgMar w:left="240" w:top="280" w:right="279" w:bottom="1440" w:gutter="0" w:footer="0" w:header="0"/>
          <w:type w:val="continuous"/>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confirm your agreement by having an authorized officer sign a copy of this Agreement in the space set forth below.</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Lead Managers]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 behalf of themselves and the other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Underwriters named herein</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3660" w:type="dxa"/>
            <w:vAlign w:val="bottom"/>
          </w:tcPr>
          <w:p>
            <w:pPr>
              <w:jc w:val="right"/>
              <w:ind w:right="3452"/>
              <w:spacing w:after="0"/>
              <w:rPr>
                <w:sz w:val="20"/>
                <w:szCs w:val="20"/>
                <w:color w:val="auto"/>
              </w:rPr>
            </w:pPr>
            <w:r>
              <w:rPr>
                <w:rFonts w:ascii="Arial" w:cs="Arial" w:eastAsia="Arial" w:hAnsi="Arial"/>
                <w:sz w:val="18"/>
                <w:szCs w:val="18"/>
                <w:color w:val="auto"/>
              </w:rPr>
              <w:t>]</w:t>
            </w:r>
          </w:p>
        </w:tc>
      </w:tr>
      <w:tr>
        <w:trPr>
          <w:trHeight w:val="421"/>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6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201"/>
        </w:trPr>
        <w:tc>
          <w:tcPr>
            <w:tcW w:w="280" w:type="dxa"/>
            <w:vAlign w:val="bottom"/>
          </w:tcPr>
          <w:p>
            <w:pPr>
              <w:spacing w:after="0"/>
              <w:rPr>
                <w:sz w:val="17"/>
                <w:szCs w:val="17"/>
                <w:color w:val="auto"/>
              </w:rPr>
            </w:pPr>
          </w:p>
        </w:tc>
        <w:tc>
          <w:tcPr>
            <w:tcW w:w="620" w:type="dxa"/>
            <w:vAlign w:val="bottom"/>
          </w:tcPr>
          <w:p>
            <w:pPr>
              <w:ind w:left="100"/>
              <w:spacing w:after="0" w:line="201" w:lineRule="exact"/>
              <w:rPr>
                <w:sz w:val="20"/>
                <w:szCs w:val="20"/>
                <w:color w:val="auto"/>
              </w:rPr>
            </w:pPr>
            <w:r>
              <w:rPr>
                <w:rFonts w:ascii="Arial" w:cs="Arial" w:eastAsia="Arial" w:hAnsi="Arial"/>
                <w:sz w:val="18"/>
                <w:szCs w:val="18"/>
                <w:color w:val="auto"/>
                <w:w w:val="94"/>
              </w:rPr>
              <w:t>Name:</w:t>
            </w:r>
          </w:p>
        </w:tc>
        <w:tc>
          <w:tcPr>
            <w:tcW w:w="3660" w:type="dxa"/>
            <w:vAlign w:val="bottom"/>
          </w:tcPr>
          <w:p>
            <w:pPr>
              <w:spacing w:after="0"/>
              <w:rPr>
                <w:sz w:val="17"/>
                <w:szCs w:val="17"/>
                <w:color w:val="auto"/>
              </w:rPr>
            </w:pPr>
          </w:p>
        </w:tc>
      </w:tr>
      <w:tr>
        <w:trPr>
          <w:trHeight w:val="222"/>
        </w:trPr>
        <w:tc>
          <w:tcPr>
            <w:tcW w:w="280" w:type="dxa"/>
            <w:vAlign w:val="bottom"/>
          </w:tcPr>
          <w:p>
            <w:pPr>
              <w:spacing w:after="0"/>
              <w:rPr>
                <w:sz w:val="19"/>
                <w:szCs w:val="19"/>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Title:</w:t>
            </w:r>
          </w:p>
        </w:tc>
        <w:tc>
          <w:tcPr>
            <w:tcW w:w="3660" w:type="dxa"/>
            <w:vAlign w:val="bottom"/>
          </w:tcPr>
          <w:p>
            <w:pPr>
              <w:spacing w:after="0"/>
              <w:rPr>
                <w:sz w:val="19"/>
                <w:szCs w:val="19"/>
                <w:color w:val="auto"/>
              </w:rPr>
            </w:pP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3660" w:type="dxa"/>
            <w:vAlign w:val="bottom"/>
          </w:tcPr>
          <w:p>
            <w:pPr>
              <w:jc w:val="right"/>
              <w:ind w:right="3452"/>
              <w:spacing w:after="0"/>
              <w:rPr>
                <w:sz w:val="20"/>
                <w:szCs w:val="20"/>
                <w:color w:val="auto"/>
              </w:rPr>
            </w:pPr>
            <w:r>
              <w:rPr>
                <w:rFonts w:ascii="Arial" w:cs="Arial" w:eastAsia="Arial" w:hAnsi="Arial"/>
                <w:sz w:val="18"/>
                <w:szCs w:val="18"/>
                <w:color w:val="auto"/>
              </w:rPr>
              <w:t>]</w:t>
            </w:r>
          </w:p>
        </w:tc>
      </w:tr>
      <w:tr>
        <w:trPr>
          <w:trHeight w:val="421"/>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6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201"/>
        </w:trPr>
        <w:tc>
          <w:tcPr>
            <w:tcW w:w="280" w:type="dxa"/>
            <w:vAlign w:val="bottom"/>
          </w:tcPr>
          <w:p>
            <w:pPr>
              <w:spacing w:after="0"/>
              <w:rPr>
                <w:sz w:val="17"/>
                <w:szCs w:val="17"/>
                <w:color w:val="auto"/>
              </w:rPr>
            </w:pPr>
          </w:p>
        </w:tc>
        <w:tc>
          <w:tcPr>
            <w:tcW w:w="620" w:type="dxa"/>
            <w:vAlign w:val="bottom"/>
          </w:tcPr>
          <w:p>
            <w:pPr>
              <w:ind w:left="100"/>
              <w:spacing w:after="0" w:line="201" w:lineRule="exact"/>
              <w:rPr>
                <w:sz w:val="20"/>
                <w:szCs w:val="20"/>
                <w:color w:val="auto"/>
              </w:rPr>
            </w:pPr>
            <w:r>
              <w:rPr>
                <w:rFonts w:ascii="Arial" w:cs="Arial" w:eastAsia="Arial" w:hAnsi="Arial"/>
                <w:sz w:val="18"/>
                <w:szCs w:val="18"/>
                <w:color w:val="auto"/>
                <w:w w:val="94"/>
              </w:rPr>
              <w:t>Name:</w:t>
            </w:r>
          </w:p>
        </w:tc>
        <w:tc>
          <w:tcPr>
            <w:tcW w:w="3660" w:type="dxa"/>
            <w:vAlign w:val="bottom"/>
          </w:tcPr>
          <w:p>
            <w:pPr>
              <w:spacing w:after="0"/>
              <w:rPr>
                <w:sz w:val="17"/>
                <w:szCs w:val="17"/>
                <w:color w:val="auto"/>
              </w:rPr>
            </w:pPr>
          </w:p>
        </w:tc>
      </w:tr>
      <w:tr>
        <w:trPr>
          <w:trHeight w:val="222"/>
        </w:trPr>
        <w:tc>
          <w:tcPr>
            <w:tcW w:w="280" w:type="dxa"/>
            <w:vAlign w:val="bottom"/>
          </w:tcPr>
          <w:p>
            <w:pPr>
              <w:spacing w:after="0"/>
              <w:rPr>
                <w:sz w:val="19"/>
                <w:szCs w:val="19"/>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Title:</w:t>
            </w:r>
          </w:p>
        </w:tc>
        <w:tc>
          <w:tcPr>
            <w:tcW w:w="3660" w:type="dxa"/>
            <w:vAlign w:val="bottom"/>
          </w:tcPr>
          <w:p>
            <w:pPr>
              <w:spacing w:after="0"/>
              <w:rPr>
                <w:sz w:val="19"/>
                <w:szCs w:val="19"/>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CABLE HOLDINGS, LLC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COMCAST MO OF DELAWARE, LLC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80"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TIME OF SALE PROSPECTUS</w:t>
      </w:r>
    </w:p>
    <w:p>
      <w:pPr>
        <w:spacing w:after="0" w:line="171" w:lineRule="exact"/>
        <w:rPr>
          <w:sz w:val="20"/>
          <w:szCs w:val="20"/>
          <w:color w:val="auto"/>
        </w:rPr>
      </w:pPr>
    </w:p>
    <w:p>
      <w:pPr>
        <w:spacing w:after="0"/>
        <w:tabs>
          <w:tab w:leader="none" w:pos="2720" w:val="left"/>
          <w:tab w:leader="none" w:pos="9800" w:val="left"/>
        </w:tabs>
        <w:rPr>
          <w:sz w:val="20"/>
          <w:szCs w:val="20"/>
          <w:color w:val="auto"/>
        </w:rPr>
      </w:pPr>
      <w:r>
        <w:rPr>
          <w:rFonts w:ascii="Arial" w:cs="Arial" w:eastAsia="Arial" w:hAnsi="Arial"/>
          <w:sz w:val="18"/>
          <w:szCs w:val="18"/>
          <w:color w:val="auto"/>
        </w:rPr>
        <w:t>1. Base Prospectus dated [</w:t>
      </w:r>
      <w:r>
        <w:rPr>
          <w:sz w:val="20"/>
          <w:szCs w:val="20"/>
          <w:color w:val="auto"/>
        </w:rPr>
        <w:tab/>
      </w:r>
      <w:r>
        <w:rPr>
          <w:rFonts w:ascii="Arial" w:cs="Arial" w:eastAsia="Arial" w:hAnsi="Arial"/>
          <w:sz w:val="18"/>
          <w:szCs w:val="18"/>
          <w:color w:val="auto"/>
        </w:rPr>
        <w:t>] relating to the Offered Securities and included in the Registration Statement (File No.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2. Final term sheet containing the final terms of the Offered Securities as set forth in Schedule II hereto and filed with the Commission under Rule 433</w:t>
      </w:r>
    </w:p>
    <w:p>
      <w:pPr>
        <w:sectPr>
          <w:pgSz w:w="11900" w:h="16838" w:orient="portrait"/>
          <w:cols w:equalWidth="0" w:num="1">
            <w:col w:w="11420"/>
          </w:cols>
          <w:pgMar w:left="240" w:top="2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FINAL TERM SHEET</w:t>
      </w:r>
    </w:p>
    <w:p>
      <w:pPr>
        <w:sectPr>
          <w:pgSz w:w="11900" w:h="16838" w:orient="portrait"/>
          <w:cols w:equalWidth="0" w:num="1">
            <w:col w:w="10220"/>
          </w:cols>
          <w:pgMar w:left="1440" w:top="2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u w:val="single" w:color="auto"/>
          <w:color w:val="auto"/>
        </w:rPr>
        <w:t>EXHIBIT 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PROVISIONS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27, 2009</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From time to time, 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may, alone or together with Comcast Cable Communications, LLC, Comcast Cable Communications Holdings, Inc., Comcast Cable Holdings, LLC, Comcast MO Group, Inc. and Comcast MO of Delaware, LLC (collectively, the “</w:t>
      </w:r>
      <w:r>
        <w:rPr>
          <w:rFonts w:ascii="Arial" w:cs="Arial" w:eastAsia="Arial" w:hAnsi="Arial"/>
          <w:sz w:val="18"/>
          <w:szCs w:val="18"/>
          <w:b w:val="1"/>
          <w:bCs w:val="1"/>
          <w:color w:val="auto"/>
        </w:rPr>
        <w:t>Cable Guarantors</w:t>
      </w:r>
      <w:r>
        <w:rPr>
          <w:rFonts w:ascii="Arial" w:cs="Arial" w:eastAsia="Arial" w:hAnsi="Arial"/>
          <w:sz w:val="18"/>
          <w:szCs w:val="18"/>
          <w:color w:val="auto"/>
        </w:rPr>
        <w:t>”),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8"/>
          <w:szCs w:val="18"/>
          <w:b w:val="1"/>
          <w:bCs w:val="1"/>
          <w:color w:val="auto"/>
        </w:rPr>
        <w:t>Underwriting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Underwriting Agreement, including the provisions incorporated therein by reference, is herein referred to as this Agreement. Terms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Underwriting Agreement are used herein as therein defined.</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proposes to issue from time to time its senior debt securities (“</w:t>
      </w:r>
      <w:r>
        <w:rPr>
          <w:rFonts w:ascii="Arial" w:cs="Arial" w:eastAsia="Arial" w:hAnsi="Arial"/>
          <w:sz w:val="16"/>
          <w:szCs w:val="16"/>
          <w:b w:val="1"/>
          <w:bCs w:val="1"/>
          <w:color w:val="auto"/>
        </w:rPr>
        <w:t>Senior Debt Securities</w:t>
      </w:r>
      <w:r>
        <w:rPr>
          <w:rFonts w:ascii="Arial" w:cs="Arial" w:eastAsia="Arial" w:hAnsi="Arial"/>
          <w:sz w:val="16"/>
          <w:szCs w:val="16"/>
          <w:color w:val="auto"/>
        </w:rPr>
        <w:t>”) and its subordinated debt securities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 Securities</w:t>
      </w:r>
      <w:r>
        <w:rPr>
          <w:rFonts w:ascii="Arial" w:cs="Arial" w:eastAsia="Arial" w:hAnsi="Arial"/>
          <w:sz w:val="16"/>
          <w:szCs w:val="16"/>
          <w:color w:val="auto"/>
        </w:rPr>
        <w:t>” and with the Senior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which Debt Securities may, if so designated, be convertible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Class A Common Stock, par value $0.01 per share, or Class A Special Common Stock, par value $0.01 per share. The Debt Securities may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guaranteed (the “</w:t>
      </w:r>
      <w:r>
        <w:rPr>
          <w:rFonts w:ascii="Arial" w:cs="Arial" w:eastAsia="Arial" w:hAnsi="Arial"/>
          <w:sz w:val="18"/>
          <w:szCs w:val="18"/>
          <w:b w:val="1"/>
          <w:bCs w:val="1"/>
          <w:color w:val="auto"/>
        </w:rPr>
        <w:t>Cable Guarantees</w:t>
      </w:r>
      <w:r>
        <w:rPr>
          <w:rFonts w:ascii="Arial" w:cs="Arial" w:eastAsia="Arial" w:hAnsi="Arial"/>
          <w:sz w:val="18"/>
          <w:szCs w:val="18"/>
          <w:color w:val="auto"/>
        </w:rPr>
        <w:t>”) on an unsecured basis by the Cable Guarantors.</w:t>
      </w:r>
    </w:p>
    <w:p>
      <w:pPr>
        <w:spacing w:after="0" w:line="15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and the Cable Guarantors have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Debt Securities and the Cable Guarantees and have filed with, or transmitted for filing to, or shall promptly after the date of this Agreement file with or transmit for filing to, the Commission a prospectus supplement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pursuant to Rule 424 under the Securities Act of 1933, as amended (the “</w:t>
      </w:r>
      <w:r>
        <w:rPr>
          <w:rFonts w:ascii="Arial" w:cs="Arial" w:eastAsia="Arial" w:hAnsi="Arial"/>
          <w:sz w:val="16"/>
          <w:szCs w:val="16"/>
          <w:b w:val="1"/>
          <w:bCs w:val="1"/>
          <w:color w:val="auto"/>
        </w:rPr>
        <w:t>Securities Ac</w:t>
      </w:r>
      <w:r>
        <w:rPr>
          <w:rFonts w:ascii="Arial" w:cs="Arial" w:eastAsia="Arial" w:hAnsi="Arial"/>
          <w:sz w:val="16"/>
          <w:szCs w:val="16"/>
          <w:color w:val="auto"/>
        </w:rPr>
        <w:t>t”), specifically relating to the Debt Securities and the Cable Guarantees, if applicable, offered pursuant to this Agreement (the “</w:t>
      </w:r>
      <w:r>
        <w:rPr>
          <w:rFonts w:ascii="Arial" w:cs="Arial" w:eastAsia="Arial" w:hAnsi="Arial"/>
          <w:sz w:val="16"/>
          <w:szCs w:val="16"/>
          <w:b w:val="1"/>
          <w:bCs w:val="1"/>
          <w:color w:val="auto"/>
        </w:rPr>
        <w:t>Offered Securities</w:t>
      </w:r>
      <w:r>
        <w:rPr>
          <w:rFonts w:ascii="Arial" w:cs="Arial" w:eastAsia="Arial" w:hAnsi="Arial"/>
          <w:sz w:val="16"/>
          <w:szCs w:val="16"/>
          <w:color w:val="auto"/>
        </w:rPr>
        <w: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 registration statement as amended to the date of this Agreement including any additional registration statement filed by the Company pursuant to Rule 462(b). The term “</w:t>
      </w:r>
      <w:r>
        <w:rPr>
          <w:rFonts w:ascii="Arial" w:cs="Arial" w:eastAsia="Arial" w:hAnsi="Arial"/>
          <w:sz w:val="16"/>
          <w:szCs w:val="16"/>
          <w:b w:val="1"/>
          <w:bCs w:val="1"/>
          <w:color w:val="auto"/>
        </w:rPr>
        <w:t>Base Prospectus</w:t>
      </w:r>
      <w:r>
        <w:rPr>
          <w:rFonts w:ascii="Arial" w:cs="Arial" w:eastAsia="Arial" w:hAnsi="Arial"/>
          <w:sz w:val="16"/>
          <w:szCs w:val="16"/>
          <w:color w:val="auto"/>
        </w:rPr>
        <w:t>” means the prospectus included in the Registration Statement.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Base Prospectus together with the Prospectus Supplement.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 preliminary prospectus supplement specifically relating to the Offered Securities, together with the Base Prospectus. The term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w:t>
      </w:r>
    </w:p>
    <w:p>
      <w:pPr>
        <w:sectPr>
          <w:pgSz w:w="11900" w:h="16838" w:orient="portrait"/>
          <w:cols w:equalWidth="0" w:num="1">
            <w:col w:w="11420"/>
          </w:cols>
          <w:pgMar w:left="240" w:top="125" w:right="239" w:bottom="1440" w:gutter="0" w:footer="0" w:header="0"/>
        </w:sectPr>
      </w:pPr>
    </w:p>
    <w:bookmarkStart w:id="58" w:name="page59"/>
    <w:bookmarkEnd w:id="5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Securities Act. The term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has the meaning set forth in Rule 433 under the Securities Act. The term “</w:t>
      </w:r>
      <w:r>
        <w:rPr>
          <w:rFonts w:ascii="Arial" w:cs="Arial" w:eastAsia="Arial" w:hAnsi="Arial"/>
          <w:sz w:val="16"/>
          <w:szCs w:val="16"/>
          <w:b w:val="1"/>
          <w:bCs w:val="1"/>
          <w:color w:val="auto"/>
        </w:rPr>
        <w:t>Disclosure</w:t>
      </w:r>
      <w:r>
        <w:rPr>
          <w:rFonts w:ascii="Arial" w:cs="Arial" w:eastAsia="Arial" w:hAnsi="Arial"/>
          <w:sz w:val="16"/>
          <w:szCs w:val="16"/>
          <w:color w:val="auto"/>
        </w:rPr>
        <w:t xml:space="preserve"> </w:t>
      </w:r>
      <w:r>
        <w:rPr>
          <w:rFonts w:ascii="Arial" w:cs="Arial" w:eastAsia="Arial" w:hAnsi="Arial"/>
          <w:sz w:val="16"/>
          <w:szCs w:val="16"/>
          <w:b w:val="1"/>
          <w:bCs w:val="1"/>
          <w:color w:val="auto"/>
        </w:rPr>
        <w:t>Package</w:t>
      </w:r>
      <w:r>
        <w:rPr>
          <w:rFonts w:ascii="Arial" w:cs="Arial" w:eastAsia="Arial" w:hAnsi="Arial"/>
          <w:sz w:val="16"/>
          <w:szCs w:val="16"/>
          <w:color w:val="auto"/>
        </w:rPr>
        <w:t>” means the Base Prospectus and preliminary prospectus, if any, together with any additional documents or other information identified in Schedule I to</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As used herein, the terms “Base Prospectus,” “Prospectus”, “preliminary prospectus” and “Disclosure Package” shall include in each case the documents, if any, incorporated by reference therein.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at which this Agreement is deemed to be executed or such other time as agreed in writing by the Company and the Managers.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Issuers</w:t>
      </w:r>
      <w:r>
        <w:rPr>
          <w:rFonts w:ascii="Arial" w:cs="Arial" w:eastAsia="Arial" w:hAnsi="Arial"/>
          <w:sz w:val="16"/>
          <w:szCs w:val="16"/>
          <w:color w:val="auto"/>
        </w:rPr>
        <w:t>” means the Company and includes the Cable Guarantors if Cable Guarantees are offered pursuant to this Agreement.</w:t>
      </w:r>
    </w:p>
    <w:p>
      <w:pPr>
        <w:spacing w:after="0" w:line="118"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The Issuers, jointly and severally, represent and warrant to each of the Underwriters as of the Applicable Time that:</w:t>
      </w:r>
    </w:p>
    <w:p>
      <w:pPr>
        <w:spacing w:after="0" w:line="113" w:lineRule="exact"/>
        <w:rPr>
          <w:rFonts w:ascii="Arial" w:cs="Arial" w:eastAsia="Arial" w:hAnsi="Arial"/>
          <w:sz w:val="16"/>
          <w:szCs w:val="16"/>
          <w:color w:val="auto"/>
        </w:rPr>
      </w:pPr>
    </w:p>
    <w:p>
      <w:pPr>
        <w:ind w:left="460" w:right="240" w:firstLine="443"/>
        <w:spacing w:after="0" w:line="268" w:lineRule="auto"/>
        <w:tabs>
          <w:tab w:leader="none" w:pos="1137"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50" w:lineRule="exact"/>
        <w:rPr>
          <w:rFonts w:ascii="Arial" w:cs="Arial" w:eastAsia="Arial" w:hAnsi="Arial"/>
          <w:sz w:val="18"/>
          <w:szCs w:val="18"/>
          <w:color w:val="auto"/>
        </w:rPr>
      </w:pPr>
    </w:p>
    <w:p>
      <w:pPr>
        <w:ind w:left="460" w:right="400" w:firstLine="443"/>
        <w:spacing w:after="0" w:line="357" w:lineRule="auto"/>
        <w:tabs>
          <w:tab w:leader="none" w:pos="1147" w:val="left"/>
        </w:tabs>
        <w:numPr>
          <w:ilvl w:val="1"/>
          <w:numId w:val="48"/>
        </w:numPr>
        <w:rPr>
          <w:rFonts w:ascii="Arial" w:cs="Arial" w:eastAsia="Arial" w:hAnsi="Arial"/>
          <w:sz w:val="15"/>
          <w:szCs w:val="15"/>
          <w:color w:val="auto"/>
        </w:rPr>
      </w:pPr>
      <w:r>
        <w:rPr>
          <w:rFonts w:ascii="Arial" w:cs="Arial" w:eastAsia="Arial" w:hAnsi="Arial"/>
          <w:sz w:val="15"/>
          <w:szCs w:val="15"/>
          <w:color w:val="auto"/>
        </w:rPr>
        <w:t>Each document filed or to be filed pursuant to the Exchange Act and incorporated by reference in the Disclosure Package or the Prospectus complied or will comply when so filed in all material respects with the Exchange Act and the rules and regulations of the Commission thereunder.</w:t>
      </w:r>
    </w:p>
    <w:p>
      <w:pPr>
        <w:ind w:left="460" w:right="40" w:firstLine="443"/>
        <w:spacing w:after="0" w:line="291" w:lineRule="auto"/>
        <w:tabs>
          <w:tab w:leader="none" w:pos="1137"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Registration Statement, the Disclosure Package and the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(i) that part of the Registration Statement which shall constitute the Statement of Eligibility of the Trustee on Form T-1 (the “</w:t>
      </w:r>
      <w:r>
        <w:rPr>
          <w:rFonts w:ascii="Arial" w:cs="Arial" w:eastAsia="Arial" w:hAnsi="Arial"/>
          <w:sz w:val="16"/>
          <w:szCs w:val="16"/>
          <w:b w:val="1"/>
          <w:bCs w:val="1"/>
          <w:color w:val="auto"/>
        </w:rPr>
        <w:t>Form T-1</w:t>
      </w:r>
      <w:r>
        <w:rPr>
          <w:rFonts w:ascii="Arial" w:cs="Arial" w:eastAsia="Arial" w:hAnsi="Arial"/>
          <w:sz w:val="16"/>
          <w:szCs w:val="16"/>
          <w:color w:val="auto"/>
        </w:rPr>
        <w:t>”) or (ii) statements or omissions in the Registration Statement, the Disclosure Package or the Prospectus or any amendment or supplement thereto based upon information furnished to the Issuers in writing by any Underwriter through the Managers expressly for use therein.</w:t>
      </w:r>
    </w:p>
    <w:p>
      <w:pPr>
        <w:spacing w:after="0" w:line="39" w:lineRule="exact"/>
        <w:rPr>
          <w:rFonts w:ascii="Arial" w:cs="Arial" w:eastAsia="Arial" w:hAnsi="Arial"/>
          <w:sz w:val="16"/>
          <w:szCs w:val="16"/>
          <w:color w:val="auto"/>
        </w:rPr>
      </w:pPr>
    </w:p>
    <w:p>
      <w:pPr>
        <w:ind w:left="460" w:right="20" w:firstLine="443"/>
        <w:spacing w:after="0" w:line="294" w:lineRule="auto"/>
        <w:tabs>
          <w:tab w:leader="none" w:pos="1147"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The Company has not made, used, prepared, authorized, approved or referred to any offer relating to the Offered Securities that would constitute a free writing prospectus other than (i) any written communications furnished in advance to the Managers; (ii) an electronic road show, if any, furnished to the Managers before first use; or (iii) free writing prospectuses identified on Schedule I to this Agreement, including the term sheet as set forth in Schedule II to this Agreement. Any such free writing prospectus as of its issue date complied in all material</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59" w:name="page60"/>
    <w:bookmarkEnd w:id="59"/>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respects with the requirements of the Securities Act and the rules and regulations thereunder and was filed with the Commission in accordance with the Securities Act (to the extent required pursuant to Rule 433(d) thereunder).</w:t>
      </w:r>
    </w:p>
    <w:p>
      <w:pPr>
        <w:spacing w:after="0" w:line="51" w:lineRule="exact"/>
        <w:rPr>
          <w:sz w:val="20"/>
          <w:szCs w:val="20"/>
          <w:color w:val="auto"/>
        </w:rPr>
      </w:pPr>
    </w:p>
    <w:p>
      <w:pPr>
        <w:ind w:right="20" w:firstLine="443"/>
        <w:spacing w:after="0" w:line="287" w:lineRule="auto"/>
        <w:tabs>
          <w:tab w:leader="none" w:pos="677"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execution and delivery by each Issuer of, and the performance by each Issuer of its obligations under, this Agreement, each indenture under which the Offered Securities are to be issued, and the Offered Securities, will not contravene any provision of applicable law or the articles of incorporation or by-laws of any Issuer or any agreement or other instrument binding upon the Company or any of its subsidiaries that is material to the Company and its consolidated subsidiaries, taken as a whole, or any judgment, order or decree of any governmental body, agency or court having jurisdiction over the Company or any of its consolidated subsidiaries, and no consent, approval, authorization or order of, or qualification with, any governmental body or agency is required for the performance by each Issuer of its obligations under this Agreement, each indenture under which the Offered Securities are to be issued or the Offered Securities, except such as may be required by the securities or blue sky laws of the various states in connection with the offer and sale of the Offered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representation is made as to whether the purchase of the Offered Securities constitutes a “prohibited transaction” under Section 406 of the Employee Retirement Income Security Act of 1974, as amended, or Section 4975 of the Internal Revenue Code of 1986, as amended.</w:t>
      </w:r>
    </w:p>
    <w:p>
      <w:pPr>
        <w:spacing w:after="0" w:line="41" w:lineRule="exact"/>
        <w:rPr>
          <w:rFonts w:ascii="Arial" w:cs="Arial" w:eastAsia="Arial" w:hAnsi="Arial"/>
          <w:sz w:val="16"/>
          <w:szCs w:val="16"/>
          <w:color w:val="auto"/>
        </w:rPr>
      </w:pPr>
    </w:p>
    <w:p>
      <w:pPr>
        <w:ind w:right="120" w:firstLine="443"/>
        <w:spacing w:after="0" w:line="259" w:lineRule="auto"/>
        <w:tabs>
          <w:tab w:leader="none" w:pos="6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its articles of incorporation or by-laws (or similar organizational documents) or (ii) in default in the performance or observance of any obligation, covenant or condition contained in any contract, except to the extent such default would not have a material adverse effect.</w:t>
      </w:r>
    </w:p>
    <w:p>
      <w:pPr>
        <w:spacing w:after="0" w:line="59" w:lineRule="exact"/>
        <w:rPr>
          <w:rFonts w:ascii="Arial" w:cs="Arial" w:eastAsia="Arial" w:hAnsi="Arial"/>
          <w:sz w:val="18"/>
          <w:szCs w:val="18"/>
          <w:color w:val="auto"/>
        </w:rPr>
      </w:pPr>
    </w:p>
    <w:p>
      <w:pPr>
        <w:ind w:right="60" w:firstLine="443"/>
        <w:spacing w:after="0" w:line="306" w:lineRule="auto"/>
        <w:tabs>
          <w:tab w:leader="none" w:pos="687"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Disclosure Package (exclusive of any amendments or supplements thereto effected subsequent to the date of the Agreement).</w:t>
      </w:r>
    </w:p>
    <w:p>
      <w:pPr>
        <w:spacing w:after="0" w:line="25" w:lineRule="exact"/>
        <w:rPr>
          <w:rFonts w:ascii="Arial" w:cs="Arial" w:eastAsia="Arial" w:hAnsi="Arial"/>
          <w:sz w:val="16"/>
          <w:szCs w:val="16"/>
          <w:color w:val="auto"/>
        </w:rPr>
      </w:pPr>
    </w:p>
    <w:p>
      <w:pPr>
        <w:ind w:right="120" w:firstLine="443"/>
        <w:spacing w:after="0" w:line="255" w:lineRule="auto"/>
        <w:tabs>
          <w:tab w:leader="none" w:pos="68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or threatened to which the Company or any of its consolidated subsidiaries is a party or to which any of the properties of the Company or any of its consolidated subsidiaries is subject that are required to be described in the Registration Statement or the Disclosure Package and are not so described or any statutes, regulations, contracts or other documents that are required to be described in the Registration Statement or the Disclosure Package or to be filed or incorporated by reference as exhibits to the Registration Statement that are not described, filed or incorporated as required.</w:t>
      </w:r>
    </w:p>
    <w:p>
      <w:pPr>
        <w:spacing w:after="0" w:line="61" w:lineRule="exact"/>
        <w:rPr>
          <w:rFonts w:ascii="Arial" w:cs="Arial" w:eastAsia="Arial" w:hAnsi="Arial"/>
          <w:sz w:val="18"/>
          <w:szCs w:val="18"/>
          <w:color w:val="auto"/>
        </w:rPr>
      </w:pPr>
    </w:p>
    <w:p>
      <w:pPr>
        <w:ind w:firstLine="443"/>
        <w:spacing w:after="0" w:line="306" w:lineRule="auto"/>
        <w:tabs>
          <w:tab w:leader="none" w:pos="648"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of the Company and its consolidated subsidiaries has all necessary consents, authorizations, approvals, orders, certificates and permits of and from, and has made all declarations and filings with, all federal, state, local and other governmental authorities, all self-regulatory organizations and all courts and other tribunals, to own, lease, license and use its properties and assets and to conduct its business in the manner</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60" w:name="page61"/>
    <w:bookmarkEnd w:id="60"/>
    <w:p>
      <w:pPr>
        <w:ind w:left="46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described in the Disclosure Package, except to the extent that the failure to obtain or file would not have a material adverse effect on the Company and its consolidated subsidiaries, taken as a whole.</w:t>
      </w:r>
    </w:p>
    <w:p>
      <w:pPr>
        <w:spacing w:after="0" w:line="132" w:lineRule="exact"/>
        <w:rPr>
          <w:sz w:val="20"/>
          <w:szCs w:val="20"/>
          <w:color w:val="auto"/>
        </w:rPr>
      </w:pPr>
    </w:p>
    <w:p>
      <w:pPr>
        <w:ind w:right="180" w:firstLine="464"/>
        <w:spacing w:after="0" w:line="259" w:lineRule="auto"/>
        <w:tabs>
          <w:tab w:leader="none" w:pos="632"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Public Offering</w:t>
      </w:r>
      <w:r>
        <w:rPr>
          <w:rFonts w:ascii="Arial" w:cs="Arial" w:eastAsia="Arial" w:hAnsi="Arial"/>
          <w:sz w:val="18"/>
          <w:szCs w:val="18"/>
          <w:color w:val="auto"/>
        </w:rPr>
        <w:t>. The Issuers are advised by the Managers that the Underwriters propose to make a public offering of their respective portions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Securities as soon after this Agreement has been entered into as in the Managers’ judgment is advisable. The terms of the public offering of the Offered Securities are set forth in the Disclosure Package and the Prospectus.</w:t>
      </w:r>
    </w:p>
    <w:p>
      <w:pPr>
        <w:spacing w:after="0" w:line="140" w:lineRule="exact"/>
        <w:rPr>
          <w:rFonts w:ascii="Arial" w:cs="Arial" w:eastAsia="Arial" w:hAnsi="Arial"/>
          <w:sz w:val="18"/>
          <w:szCs w:val="18"/>
          <w:color w:val="auto"/>
        </w:rPr>
      </w:pPr>
    </w:p>
    <w:p>
      <w:pPr>
        <w:ind w:right="160" w:firstLine="464"/>
        <w:spacing w:after="0" w:line="255" w:lineRule="auto"/>
        <w:tabs>
          <w:tab w:leader="none" w:pos="632"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Purchase and Delivery</w:t>
      </w:r>
      <w:r>
        <w:rPr>
          <w:rFonts w:ascii="Arial" w:cs="Arial" w:eastAsia="Arial" w:hAnsi="Arial"/>
          <w:sz w:val="18"/>
          <w:szCs w:val="18"/>
          <w:color w:val="auto"/>
        </w:rPr>
        <w:t>. Except as otherwise provided in this Section 3, payment for the Offered Securities shall be made to the Company in Federal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funds immediately available in New York City at the time and place set forth in this Agreement, upon delivery to the Managers for the respective accounts of the several Underwriters of the Offered Securities registered in such names and in such denominations as the Managers shall request in writing not less than one full business day prior to the date of delivery, with any transfer taxes payable in connection with the transfer of the Offered Securities to the Underwriters duly paid.</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Conditions to Closing</w:t>
      </w:r>
      <w:r>
        <w:rPr>
          <w:rFonts w:ascii="Arial" w:cs="Arial" w:eastAsia="Arial" w:hAnsi="Arial"/>
          <w:sz w:val="18"/>
          <w:szCs w:val="18"/>
          <w:color w:val="auto"/>
        </w:rPr>
        <w:t>. The several obligations of the Underwriters hereunder are subject to the following conditions:</w:t>
      </w:r>
    </w:p>
    <w:p>
      <w:pPr>
        <w:spacing w:after="0" w:line="90" w:lineRule="exact"/>
        <w:rPr>
          <w:rFonts w:ascii="Arial" w:cs="Arial" w:eastAsia="Arial" w:hAnsi="Arial"/>
          <w:sz w:val="18"/>
          <w:szCs w:val="18"/>
          <w:color w:val="auto"/>
        </w:rPr>
      </w:pPr>
    </w:p>
    <w:p>
      <w:pPr>
        <w:ind w:left="460" w:right="120" w:firstLine="443"/>
        <w:spacing w:after="0" w:line="256" w:lineRule="auto"/>
        <w:tabs>
          <w:tab w:leader="none" w:pos="11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Subsequent to the Applicable Time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Issuer or any of the securities of any Issuer by any “nationally recognized statistical rating organization,” as such term is defined for purposes of Rule 436(g)(2) under the Securities Act.</w:t>
      </w:r>
    </w:p>
    <w:p>
      <w:pPr>
        <w:spacing w:after="0" w:line="62" w:lineRule="exact"/>
        <w:rPr>
          <w:rFonts w:ascii="Arial" w:cs="Arial" w:eastAsia="Arial" w:hAnsi="Arial"/>
          <w:sz w:val="18"/>
          <w:szCs w:val="18"/>
          <w:color w:val="auto"/>
        </w:rPr>
      </w:pPr>
    </w:p>
    <w:p>
      <w:pPr>
        <w:ind w:left="460" w:firstLine="443"/>
        <w:spacing w:after="0" w:line="289" w:lineRule="auto"/>
        <w:tabs>
          <w:tab w:leader="none" w:pos="1147" w:val="left"/>
        </w:tabs>
        <w:numPr>
          <w:ilvl w:val="1"/>
          <w:numId w:val="50"/>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shall be in effect, and no proceedings for such purpose shall be pending before or threatened by the Commission, and there shall not have occurred any change, or any development involving a prospective change, in the condition, financial or otherwise, or in the earnings, business or operations of the Company and its consolidated subsidiaries, taken as a whole, from that set forth in the Disclosure Package, that, in the judgment of the Managers, is material and adverse and that makes it, in the judgment of the Managers, impracticable to market the Offered Securities on the terms and in the manner contemplated in the Disclosure Package; and the Managers shall have received, on the Closing Date, a certificate, dated the Closing Date and signed by an executive officer of the Company, to the foregoing effect. Such certificate shall also provide that the representations and warranties of the Company contained herein are true and correct as of the Closing Date. The officer making such certificate may rely upon the best of his knowledge as to proceedings threatened.</w:t>
      </w:r>
    </w:p>
    <w:p>
      <w:pPr>
        <w:spacing w:after="0" w:line="37" w:lineRule="exact"/>
        <w:rPr>
          <w:rFonts w:ascii="Arial" w:cs="Arial" w:eastAsia="Arial" w:hAnsi="Arial"/>
          <w:sz w:val="16"/>
          <w:szCs w:val="16"/>
          <w:color w:val="auto"/>
        </w:rPr>
      </w:pPr>
    </w:p>
    <w:p>
      <w:pPr>
        <w:ind w:left="460" w:right="500" w:firstLine="443"/>
        <w:spacing w:after="0" w:line="268" w:lineRule="auto"/>
        <w:tabs>
          <w:tab w:leader="none" w:pos="11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Arthur R. Block, Esquire, Senior Vice President, General Counsel and Secretary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another lawyer of the Company reasonably satisfactory to the Underwriters), dated the Closing Date, to the effect (as applicable) that:</w:t>
      </w:r>
    </w:p>
    <w:p>
      <w:pPr>
        <w:spacing w:after="0" w:line="113" w:lineRule="exact"/>
        <w:rPr>
          <w:sz w:val="20"/>
          <w:szCs w:val="20"/>
          <w:color w:val="auto"/>
        </w:rPr>
      </w:pPr>
    </w:p>
    <w:p>
      <w:pPr>
        <w:ind w:left="460" w:right="200" w:firstLine="421"/>
        <w:spacing w:after="0" w:line="256" w:lineRule="auto"/>
        <w:tabs>
          <w:tab w:leader="none" w:pos="10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62" w:lineRule="exact"/>
        <w:rPr>
          <w:rFonts w:ascii="Arial" w:cs="Arial" w:eastAsia="Arial" w:hAnsi="Arial"/>
          <w:sz w:val="18"/>
          <w:szCs w:val="18"/>
          <w:color w:val="auto"/>
        </w:rPr>
      </w:pPr>
    </w:p>
    <w:p>
      <w:pPr>
        <w:ind w:left="1140" w:hanging="259"/>
        <w:spacing w:after="0"/>
        <w:tabs>
          <w:tab w:leader="none" w:pos="11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indenture under which the Offered Securities are to be issued, has been duly authorized, executed and delivered by the Company;</w:t>
      </w:r>
    </w:p>
    <w:p>
      <w:pPr>
        <w:spacing w:after="0" w:line="113" w:lineRule="exact"/>
        <w:rPr>
          <w:rFonts w:ascii="Arial" w:cs="Arial" w:eastAsia="Arial" w:hAnsi="Arial"/>
          <w:sz w:val="16"/>
          <w:szCs w:val="16"/>
          <w:color w:val="auto"/>
        </w:rPr>
      </w:pPr>
    </w:p>
    <w:p>
      <w:pPr>
        <w:ind w:left="1180" w:hanging="299"/>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left="460" w:right="300" w:firstLine="421"/>
        <w:spacing w:after="0" w:line="256" w:lineRule="auto"/>
        <w:tabs>
          <w:tab w:leader="none" w:pos="117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the issued shares of capital stock or membership interests, as applicable, of each Cable Guarantor have been duly and validly authorized and issued, are fully paid and non-assessable (with respect to such shares of capital stock), and (except for directors’ qualifying shares and except as otherwise set forth in the Disclosure Package) are owned directly or indirectly by the Company, free and clear of all liens, encumbrances, equities or claims;</w:t>
      </w:r>
    </w:p>
    <w:p>
      <w:pPr>
        <w:spacing w:after="0" w:line="62" w:lineRule="exact"/>
        <w:rPr>
          <w:rFonts w:ascii="Arial" w:cs="Arial" w:eastAsia="Arial" w:hAnsi="Arial"/>
          <w:sz w:val="18"/>
          <w:szCs w:val="18"/>
          <w:color w:val="auto"/>
        </w:rPr>
      </w:pPr>
    </w:p>
    <w:p>
      <w:pPr>
        <w:ind w:left="460" w:right="420" w:firstLine="421"/>
        <w:spacing w:after="0" w:line="268" w:lineRule="auto"/>
        <w:tabs>
          <w:tab w:leader="none" w:pos="11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Disclosure Package, and all of the issued shares of capital stock of the Company have been duly and validly authorized and issued and are fully paid and non-assessable;</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Offered Securities to be offered by the Company have been duly authorized by the Company;</w:t>
      </w:r>
    </w:p>
    <w:p>
      <w:pPr>
        <w:spacing w:after="0" w:line="90" w:lineRule="exact"/>
        <w:rPr>
          <w:rFonts w:ascii="Arial" w:cs="Arial" w:eastAsia="Arial" w:hAnsi="Arial"/>
          <w:sz w:val="18"/>
          <w:szCs w:val="18"/>
          <w:color w:val="auto"/>
        </w:rPr>
      </w:pPr>
    </w:p>
    <w:p>
      <w:pPr>
        <w:ind w:left="460" w:firstLine="421"/>
        <w:spacing w:after="0" w:line="289" w:lineRule="auto"/>
        <w:tabs>
          <w:tab w:leader="none" w:pos="1226"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except as rights to indemnity and contribution under this Agreement may be limited under applicable law, the execution and delivery by each Issuer of, and the performance by each Issuer of its obligations under, each indenture under which the Offered Securities are to be issued, the Offered Securities and this Agreement will not contravene (A) any provision of the laws of the Commonwealth of Pennsylvania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(B) the articles of incorporation or bylaws or equivalent organizational documents of any Issuer, or (C) to the best of such counsel’s knowledge, any material agreement or other material instrument binding upon such Issuer;</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62" w:name="page63"/>
    <w:bookmarkEnd w:id="62"/>
    <w:p>
      <w:pPr>
        <w:ind w:left="912" w:firstLine="421"/>
        <w:spacing w:after="0" w:line="253" w:lineRule="auto"/>
        <w:tabs>
          <w:tab w:leader="none" w:pos="1727"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consent, approval, authorization, or order of, or qualification with any state governmental body or agency under the laws of the Commonwealth of Pennsylvania, any federal law of the United States of America, or to the best of such counsel’s knowledge, any other state or jurisdiction of the United States, that in such counsel’s experience is normally applicable to general business corporations in relation to transactions of the type contemplated by each indenture under which the Offered Securities are to be issued, the Offered Securities and this Agreement is required for the performance by any Issuer of its obligations under each indenture under which the Offered Securities are to be issued, the Offered Securities 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w:t>
      </w:r>
    </w:p>
    <w:p>
      <w:pPr>
        <w:spacing w:after="0" w:line="64" w:lineRule="exact"/>
        <w:rPr>
          <w:rFonts w:ascii="Arial" w:cs="Arial" w:eastAsia="Arial" w:hAnsi="Arial"/>
          <w:sz w:val="18"/>
          <w:szCs w:val="18"/>
          <w:color w:val="auto"/>
        </w:rPr>
      </w:pPr>
    </w:p>
    <w:p>
      <w:pPr>
        <w:ind w:left="912" w:right="80" w:firstLine="421"/>
        <w:spacing w:after="0" w:line="290" w:lineRule="auto"/>
        <w:tabs>
          <w:tab w:leader="none" w:pos="1629"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subject to such qualification as may be set forth in the Disclosure Package, the Company and its subsidiaries have, and are in material compliance with, such franchises, and to the best knowledge of such counsel after reasonable investigation, such licenses and authorizations, as are necessary to own their properties and to conduct their business in the manner described in the Disclosure Package,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Disclosure Package, which restrictions would have a material adverse effect on the business or financial condition of the Company and its subsidiaries, as a whole;</w:t>
      </w:r>
    </w:p>
    <w:p>
      <w:pPr>
        <w:spacing w:after="0" w:line="37" w:lineRule="exact"/>
        <w:rPr>
          <w:rFonts w:ascii="Arial" w:cs="Arial" w:eastAsia="Arial" w:hAnsi="Arial"/>
          <w:sz w:val="16"/>
          <w:szCs w:val="16"/>
          <w:color w:val="auto"/>
        </w:rPr>
      </w:pPr>
    </w:p>
    <w:p>
      <w:pPr>
        <w:ind w:left="912" w:right="40" w:firstLine="421"/>
        <w:spacing w:after="0" w:line="251" w:lineRule="auto"/>
        <w:tabs>
          <w:tab w:leader="none" w:pos="15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statements included in (A) Item 3 of the Company’s most recent Annual Report on Form 10-K incorporated by reference in the Disclosure Package, (B) Part II, Item 1 under the caption “Legal Proceedings” of the Company’s most recent Quarterly Report on Form 10-Q, if any, incorporated by reference in the Disclosure Package, (C) the Registration Statement in Item 15 and (D) the Disclosure Package under the caption “Description of Capital Stock,”</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insofar as such statements summarize the legal matters, documents or proceedings referred to therein, fairly summarize such legal matters, documents and proceedings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3" w:lineRule="exact"/>
        <w:rPr>
          <w:sz w:val="20"/>
          <w:szCs w:val="20"/>
          <w:color w:val="auto"/>
        </w:rPr>
      </w:pPr>
    </w:p>
    <w:p>
      <w:pPr>
        <w:ind w:left="5672" w:right="4960" w:hanging="5672"/>
        <w:spacing w:after="0" w:line="508" w:lineRule="auto"/>
        <w:tabs>
          <w:tab w:leader="none" w:pos="456" w:val="left"/>
        </w:tabs>
        <w:numPr>
          <w:ilvl w:val="0"/>
          <w:numId w:val="53"/>
        </w:numPr>
        <w:rPr>
          <w:rFonts w:ascii="Arial" w:cs="Arial" w:eastAsia="Arial" w:hAnsi="Arial"/>
          <w:sz w:val="11"/>
          <w:szCs w:val="11"/>
          <w:color w:val="auto"/>
        </w:rPr>
      </w:pPr>
      <w:r>
        <w:rPr>
          <w:rFonts w:ascii="Arial" w:cs="Arial" w:eastAsia="Arial" w:hAnsi="Arial"/>
          <w:sz w:val="16"/>
          <w:szCs w:val="16"/>
          <w:color w:val="auto"/>
        </w:rPr>
        <w:t>The inclusion of Section 4(c)(x)(D) is only required for issuances of convertible debt. 6</w:t>
      </w:r>
    </w:p>
    <w:p>
      <w:pPr>
        <w:sectPr>
          <w:pgSz w:w="11900" w:h="16838" w:orient="portrait"/>
          <w:cols w:equalWidth="0" w:num="1">
            <w:col w:w="11412"/>
          </w:cols>
          <w:pgMar w:left="248" w:top="280" w:right="239" w:bottom="1440" w:gutter="0" w:footer="0" w:header="0"/>
        </w:sectPr>
      </w:pPr>
    </w:p>
    <w:bookmarkStart w:id="63" w:name="page64"/>
    <w:bookmarkEnd w:id="63"/>
    <w:p>
      <w:pPr>
        <w:ind w:left="920" w:right="180" w:firstLine="421"/>
        <w:spacing w:after="0" w:line="255" w:lineRule="auto"/>
        <w:tabs>
          <w:tab w:leader="none" w:pos="1637"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Disclosure Package and is not so described or of any contract or other document which is required to be described in the Registration Statement or the Disclosure Package or to be filed as an exhibit to the Registration Statement which is not described or filed as required;</w:t>
      </w:r>
    </w:p>
    <w:p>
      <w:pPr>
        <w:spacing w:after="0" w:line="61" w:lineRule="exact"/>
        <w:rPr>
          <w:rFonts w:ascii="Arial" w:cs="Arial" w:eastAsia="Arial" w:hAnsi="Arial"/>
          <w:sz w:val="18"/>
          <w:szCs w:val="18"/>
          <w:color w:val="auto"/>
        </w:rPr>
      </w:pPr>
    </w:p>
    <w:p>
      <w:pPr>
        <w:ind w:left="920" w:right="180" w:firstLine="421"/>
        <w:spacing w:after="0" w:line="268" w:lineRule="auto"/>
        <w:tabs>
          <w:tab w:leader="none" w:pos="16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securities into which the Offered Securities are convertible, initially reserved for issuance upon conversion of the Offered Securities (the “</w:t>
      </w:r>
      <w:r>
        <w:rPr>
          <w:rFonts w:ascii="Arial" w:cs="Arial" w:eastAsia="Arial" w:hAnsi="Arial"/>
          <w:sz w:val="18"/>
          <w:szCs w:val="18"/>
          <w:b w:val="1"/>
          <w:bCs w:val="1"/>
          <w:color w:val="auto"/>
        </w:rPr>
        <w:t>Underlying Securities</w:t>
      </w:r>
      <w:r>
        <w:rPr>
          <w:rFonts w:ascii="Arial" w:cs="Arial" w:eastAsia="Arial" w:hAnsi="Arial"/>
          <w:sz w:val="18"/>
          <w:szCs w:val="18"/>
          <w:color w:val="auto"/>
        </w:rPr>
        <w:t>”), have been duly authorized and reserved for issuance; and</w:t>
      </w:r>
    </w:p>
    <w:p>
      <w:pPr>
        <w:spacing w:after="0" w:line="50" w:lineRule="exact"/>
        <w:rPr>
          <w:rFonts w:ascii="Arial" w:cs="Arial" w:eastAsia="Arial" w:hAnsi="Arial"/>
          <w:sz w:val="18"/>
          <w:szCs w:val="18"/>
          <w:color w:val="auto"/>
        </w:rPr>
      </w:pPr>
    </w:p>
    <w:p>
      <w:pPr>
        <w:ind w:left="920" w:firstLine="421"/>
        <w:spacing w:after="0" w:line="259" w:lineRule="auto"/>
        <w:tabs>
          <w:tab w:leader="none" w:pos="17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when the Underlying Securities are issued upon conversion of the Offered Securities in accordance with the terms of the Offered Securities, such Underlying Securities will be validly issued, fully paid and non-assessable and will not be subject to any preemptive or other right to subscribe for or purchase such Underlying Securities.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Such counsel shall also state that nothing has come to his attention that causes him to believe that (1) on the date of this Agreement, the Registration Statement contained any untrue statement of a material fact or omitted to state a material fact required to be stated therein or necessary to make the statements therein not misleading; (2) at the Applicable Time, the Disclosure Package contained any untrue statement of a material fact or omitted to state a material fact necessary in order to make the statements therein, in the light of the circumstances under which they are made, not misleading; or (3) that the Prospectus as of the date of this Agreement or as of the Closing Date contained or contains an untrue statement of a material fact or omitted or omits to state a material fact necessary in order to make statements therein, in the light of the circumstances under which they are made, not misleading.</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With respect to the preceding paragraph, such counsel may state that his belief is based upon his participation in the preparation of the Registration Statement, Disclosure Package, Prospectus and the documents incorporated therein by reference and review and discussion of the contents thereof, but is without independent check or verification except as specified. Such counsel need not pass upon or assume responsibility for the accuracy, completeness or fairness of the statements contained in, and need not have checked the accuracy, completeness or fairness of, or otherwise verified, the information furnished in Registration Statement, Disclosure Package, and the Prospectus, except as specified. Such counsel is not called to pass upon, and need express no view regarding, the financial statements or financial schedules or other financial or accounting data included in the Registration Statement, the Disclosure Package, the Prospectus or the Statement of Eligibility of the Trustee on Form T-1. In addition, such counsel need not express a view as to the conveyance of the Disclosure Package or the information contained therein to the purchasers of the Offered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64" w:name="page65"/>
    <w:bookmarkEnd w:id="64"/>
    <w:p>
      <w:pPr>
        <w:jc w:val="both"/>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expressing his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59" w:lineRule="exact"/>
        <w:rPr>
          <w:sz w:val="20"/>
          <w:szCs w:val="20"/>
          <w:color w:val="auto"/>
        </w:rPr>
      </w:pPr>
    </w:p>
    <w:p>
      <w:pPr>
        <w:ind w:left="460" w:right="40" w:firstLine="443"/>
        <w:spacing w:after="0" w:line="268" w:lineRule="auto"/>
        <w:tabs>
          <w:tab w:leader="none" w:pos="11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Davis Polk &amp; Wardwell, special counsel for the Company, dated the Closing Date, to the effect that:</w:t>
      </w:r>
    </w:p>
    <w:p>
      <w:pPr>
        <w:spacing w:after="0" w:line="50" w:lineRule="exact"/>
        <w:rPr>
          <w:rFonts w:ascii="Arial" w:cs="Arial" w:eastAsia="Arial" w:hAnsi="Arial"/>
          <w:sz w:val="18"/>
          <w:szCs w:val="18"/>
          <w:color w:val="auto"/>
        </w:rPr>
      </w:pPr>
    </w:p>
    <w:p>
      <w:pPr>
        <w:ind w:left="920" w:right="560" w:firstLine="421"/>
        <w:spacing w:after="0" w:line="268" w:lineRule="auto"/>
        <w:tabs>
          <w:tab w:leader="none" w:pos="1549" w:val="left"/>
        </w:tabs>
        <w:numPr>
          <w:ilvl w:val="1"/>
          <w:numId w:val="55"/>
        </w:numPr>
        <w:rPr>
          <w:rFonts w:ascii="Arial" w:cs="Arial" w:eastAsia="Arial" w:hAnsi="Arial"/>
          <w:sz w:val="18"/>
          <w:szCs w:val="18"/>
          <w:color w:val="auto"/>
        </w:rPr>
      </w:pPr>
      <w:r>
        <w:rPr>
          <w:rFonts w:ascii="Arial" w:cs="Arial" w:eastAsia="Arial" w:hAnsi="Arial"/>
          <w:sz w:val="18"/>
          <w:szCs w:val="18"/>
          <w:color w:val="auto"/>
        </w:rPr>
        <w:t>each Cable Guarantor is validly existing as a corporation or limited liability company in good standing under the laws of the State of Delaware;</w:t>
      </w:r>
    </w:p>
    <w:p>
      <w:pPr>
        <w:spacing w:after="0" w:line="50" w:lineRule="exact"/>
        <w:rPr>
          <w:rFonts w:ascii="Arial" w:cs="Arial" w:eastAsia="Arial" w:hAnsi="Arial"/>
          <w:sz w:val="18"/>
          <w:szCs w:val="18"/>
          <w:color w:val="auto"/>
        </w:rPr>
      </w:pPr>
    </w:p>
    <w:p>
      <w:pPr>
        <w:ind w:left="920" w:right="60" w:firstLine="421"/>
        <w:spacing w:after="0" w:line="289" w:lineRule="auto"/>
        <w:tabs>
          <w:tab w:leader="none" w:pos="1598" w:val="left"/>
        </w:tabs>
        <w:numPr>
          <w:ilvl w:val="1"/>
          <w:numId w:val="55"/>
        </w:numPr>
        <w:rPr>
          <w:rFonts w:ascii="Arial" w:cs="Arial" w:eastAsia="Arial" w:hAnsi="Arial"/>
          <w:sz w:val="16"/>
          <w:szCs w:val="16"/>
          <w:color w:val="auto"/>
        </w:rPr>
      </w:pPr>
      <w:r>
        <w:rPr>
          <w:rFonts w:ascii="Arial" w:cs="Arial" w:eastAsia="Arial" w:hAnsi="Arial"/>
          <w:sz w:val="16"/>
          <w:szCs w:val="16"/>
          <w:color w:val="auto"/>
        </w:rPr>
        <w:t>each indenture under which the Offered Securities are to be issued has been duly authorized, executed and delivered by each Cable Guarantor and, assuming each indenture under which the Offered Securities are to be issued has been duly authorized, executed and delivered by the Company and duly executed and delivered by the respective trustee thereto, each indenture under which the Offered Securities are to be issued is a valid and binding agreement of each Issuer, enforceable against each Issuer in accordance with its terms, subject to applicable bankruptcy, insolvency and similar laws affecting creditors’ rights generally, concepts of reasonableness and equitable principles of general applicability (except with respect to the (A) enforceability of any waiver of rights under any usury or stay law, and (B) 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w:t>
      </w:r>
    </w:p>
    <w:p>
      <w:pPr>
        <w:spacing w:after="0" w:line="37" w:lineRule="exact"/>
        <w:rPr>
          <w:rFonts w:ascii="Arial" w:cs="Arial" w:eastAsia="Arial" w:hAnsi="Arial"/>
          <w:sz w:val="16"/>
          <w:szCs w:val="16"/>
          <w:color w:val="auto"/>
        </w:rPr>
      </w:pPr>
    </w:p>
    <w:p>
      <w:pPr>
        <w:ind w:left="920" w:firstLine="421"/>
        <w:spacing w:after="0" w:line="288" w:lineRule="auto"/>
        <w:tabs>
          <w:tab w:leader="none" w:pos="1647"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Cable Guarantees have been duly authorized, and, assuming the Offered Securities have been authorized by the Company, when the Offered Securities have been duly executed and authenticated in accordance with the provisions of each relevant indenture under which the Offered Securities are to be issued and delivered to and paid for by the Underwriters pursuant to this Agreement, the Offered Securities will be valid and binding obligations of the Company and the Cable Guarantees will be valid and binding obligations of the Cable Guarantors, enforceable against them in accordance with their terms, subject to applicable bankruptcy, insolvency and similar laws affecting creditors’ rights generally, concepts of reasonableness and equitable principles of general applicability; and will be entitled to the benefits of each relevant indenture under which the Offered Securities are to be issued (except with respect to the (A) enforceability of any waiver of rights under any usury or stay law, and (B) 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65" w:name="page66"/>
    <w:bookmarkEnd w:id="65"/>
    <w:p>
      <w:pPr>
        <w:ind w:left="1640" w:hanging="299"/>
        <w:spacing w:after="0"/>
        <w:tabs>
          <w:tab w:leader="none" w:pos="1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has been duly authorized, executed and delivered by each Cable Guarantor party hereto;</w:t>
      </w:r>
    </w:p>
    <w:p>
      <w:pPr>
        <w:spacing w:after="0" w:line="90" w:lineRule="exact"/>
        <w:rPr>
          <w:rFonts w:ascii="Arial" w:cs="Arial" w:eastAsia="Arial" w:hAnsi="Arial"/>
          <w:sz w:val="18"/>
          <w:szCs w:val="18"/>
          <w:color w:val="auto"/>
        </w:rPr>
      </w:pPr>
    </w:p>
    <w:p>
      <w:pPr>
        <w:ind w:left="920" w:right="40" w:firstLine="421"/>
        <w:spacing w:after="0" w:line="312" w:lineRule="auto"/>
        <w:tabs>
          <w:tab w:leader="none" w:pos="1588" w:val="left"/>
        </w:tabs>
        <w:numPr>
          <w:ilvl w:val="0"/>
          <w:numId w:val="56"/>
        </w:numPr>
        <w:rPr>
          <w:rFonts w:ascii="Arial" w:cs="Arial" w:eastAsia="Arial" w:hAnsi="Arial"/>
          <w:sz w:val="15"/>
          <w:szCs w:val="15"/>
          <w:color w:val="auto"/>
        </w:rPr>
      </w:pPr>
      <w:r>
        <w:rPr>
          <w:rFonts w:ascii="Arial" w:cs="Arial" w:eastAsia="Arial" w:hAnsi="Arial"/>
          <w:sz w:val="15"/>
          <w:szCs w:val="15"/>
          <w:color w:val="auto"/>
        </w:rPr>
        <w:t>except as rights to indemnity and contribution under this Agreement may be limited under applicable law, the execution and delivery by each Issuer of, and the performance by each Issuer of its obligations under each indenture under which the Offered Securities are to be issued, the Offered Securities and this Agreement, will not contravene (A) any provision of laws of the State of New York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or (B) the certificate of incorporation or bylaws or equivalent organizational documents of any Cable Guarantor; and</w:t>
      </w:r>
    </w:p>
    <w:p>
      <w:pPr>
        <w:spacing w:after="0" w:line="24" w:lineRule="exact"/>
        <w:rPr>
          <w:rFonts w:ascii="Arial" w:cs="Arial" w:eastAsia="Arial" w:hAnsi="Arial"/>
          <w:sz w:val="15"/>
          <w:szCs w:val="15"/>
          <w:color w:val="auto"/>
        </w:rPr>
      </w:pPr>
    </w:p>
    <w:p>
      <w:pPr>
        <w:ind w:left="920" w:right="40" w:firstLine="421"/>
        <w:spacing w:after="0" w:line="294" w:lineRule="auto"/>
        <w:tabs>
          <w:tab w:leader="none" w:pos="1637"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consent, approval, authorization or order of, or qualification with, any governmental body or agency under the laws of the State of New York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Such counsel shall state that they have considered the statements included in the Prospectus Supplement under the caption “Description of the Notes” and in the Base Prospectus under the caption “Description of Debt Securities and Cable Guarantees” insofar as they summarize provisions of each indenture under which the Offered Securities are to be issued and, the Offered Securities and that in their opinion such statements fairly summarize these provisions in all material respects. Such counsel shall also state that the statements included in the Prospectus Supplement under the caption “Material U.S. Federal Income Tax Consequences for Non-U.S. Holders” insofar as they purport to describe provisions of U.S. federal income tax laws or legal conclusions with respect thereto, fairly and accurately summarize the matters referred to therein in all material respects.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Such counsel shall also state that (a) the Registration Statement and the Prospectus appear on their face to be appropriately responsive in all material respects to the requirements of the Securities Act and the applicable rules and regulations of the Commission thereunder, and (b) nothing has come to the attention of such counsel that causes them to believe that, insofar as relevant to the offering of the Offered Securities, (1) on the date of this Agreement, the Registration Statement contained any untrue statement of a material fact or omitted to state a material fact required to be stated therein or necessary to make the statements therein not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66" w:name="page67"/>
    <w:bookmarkEnd w:id="6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misleading; (2) at the Applicable Time, the Disclosure Package contained any untrue statement of a material fact or omitted to state a material fact necessary in order to make the statements therein, in the light of the circumstances under which they are made, not misleading; or (3) the Prospectus as of the date of this Agreement or as of the Closing Date contained or contains any untrue statement of a material fact or omitted or omits to state a material fact necessary in order to make statements therein, in the light of the circumstances under which they are made, not misleading.</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With respect to the preceding paragraph, Davis Polk &amp; Wardwell may state that their belief is based upon information gained in the performance of their services, but is without independent check or verification except as specified. Such counsel need not pass upon or assume responsibility for the accuracy, completeness or fairness of statements contained in, and need not have checked the accuracy, completeness or fairness of, or otherwise verified, the information furnished in, the Registration Statement, the Disclosure Package and the Prospectus, except as specified. In addition, such counsel is not called to pass upon, or express any view regarding, the financial statements or financial schedules or other financial or accounting data included in the Registration Statement, the Disclosure Package, the Prospectus or the Form T-1. Such counsel need not express a view as to the conveyance of the Disclosure Package of the information contained therein to investors.</w:t>
      </w:r>
    </w:p>
    <w:p>
      <w:pPr>
        <w:spacing w:after="0" w:line="37" w:lineRule="exact"/>
        <w:rPr>
          <w:sz w:val="20"/>
          <w:szCs w:val="20"/>
          <w:color w:val="auto"/>
        </w:rPr>
      </w:pPr>
    </w:p>
    <w:p>
      <w:pPr>
        <w:ind w:left="460" w:right="80" w:firstLine="443"/>
        <w:spacing w:after="0" w:line="268" w:lineRule="auto"/>
        <w:tabs>
          <w:tab w:leader="none" w:pos="11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internal communications counsel for the Company, dated the Closing Date, to the effect that:</w:t>
      </w:r>
    </w:p>
    <w:p>
      <w:pPr>
        <w:spacing w:after="0" w:line="50" w:lineRule="exact"/>
        <w:rPr>
          <w:rFonts w:ascii="Arial" w:cs="Arial" w:eastAsia="Arial" w:hAnsi="Arial"/>
          <w:sz w:val="18"/>
          <w:szCs w:val="18"/>
          <w:color w:val="auto"/>
        </w:rPr>
      </w:pPr>
    </w:p>
    <w:p>
      <w:pPr>
        <w:ind w:left="920" w:right="180" w:firstLine="421"/>
        <w:spacing w:after="0" w:line="268" w:lineRule="auto"/>
        <w:tabs>
          <w:tab w:leader="none" w:pos="1549"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 approval of the Federal Communications Commission (the “FCC”) is required in connection with the issuance and sale of the Offered Securities;</w:t>
      </w:r>
    </w:p>
    <w:p>
      <w:pPr>
        <w:spacing w:after="0" w:line="50" w:lineRule="exact"/>
        <w:rPr>
          <w:rFonts w:ascii="Arial" w:cs="Arial" w:eastAsia="Arial" w:hAnsi="Arial"/>
          <w:sz w:val="18"/>
          <w:szCs w:val="18"/>
          <w:color w:val="auto"/>
        </w:rPr>
      </w:pPr>
    </w:p>
    <w:p>
      <w:pPr>
        <w:ind w:left="920" w:right="40" w:firstLine="421"/>
        <w:spacing w:after="0" w:line="314" w:lineRule="auto"/>
        <w:tabs>
          <w:tab w:leader="none" w:pos="1598" w:val="left"/>
        </w:tabs>
        <w:numPr>
          <w:ilvl w:val="1"/>
          <w:numId w:val="57"/>
        </w:numPr>
        <w:rPr>
          <w:rFonts w:ascii="Arial" w:cs="Arial" w:eastAsia="Arial" w:hAnsi="Arial"/>
          <w:sz w:val="15"/>
          <w:szCs w:val="15"/>
          <w:color w:val="auto"/>
        </w:rPr>
      </w:pPr>
      <w:r>
        <w:rPr>
          <w:rFonts w:ascii="Arial" w:cs="Arial" w:eastAsia="Arial" w:hAnsi="Arial"/>
          <w:sz w:val="15"/>
          <w:szCs w:val="15"/>
          <w:color w:val="auto"/>
        </w:rPr>
        <w:t>the execution and delivery of this Agreement, each indenture under which the Offered Securities are to be issued, by each Issuer, the fulfillment of the terms set forth herein and therein by each Issuer and the consummation of the transactions contemplated hereby and thereby by each Issuer do not violate any statute, regulation or other law of the United States relating specifically to the cable communications industry (except as otherwise explicitly set forth in the Disclosure Package) or, to the knowledge of such counsel, any order, judgment or decree of any court or governmental body of the United States relating specifically to the cable communications industry and applicable to such Issuer or any subsidiary, and which violation would have a material adverse effect on the business or financial condition of such Issuer and its subsidiaries, as a whole;</w:t>
      </w:r>
    </w:p>
    <w:p>
      <w:pPr>
        <w:spacing w:after="0" w:line="23" w:lineRule="exact"/>
        <w:rPr>
          <w:rFonts w:ascii="Arial" w:cs="Arial" w:eastAsia="Arial" w:hAnsi="Arial"/>
          <w:sz w:val="15"/>
          <w:szCs w:val="15"/>
          <w:color w:val="auto"/>
        </w:rPr>
      </w:pPr>
    </w:p>
    <w:p>
      <w:pPr>
        <w:ind w:left="920" w:right="60" w:firstLine="421"/>
        <w:spacing w:after="0" w:line="298" w:lineRule="auto"/>
        <w:tabs>
          <w:tab w:leader="none" w:pos="1647"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statements in the Company’s most recent Annual Report on Form 10-K incorporated by reference in the Registration Statement, the Disclosure Package and Prospectus relating specifically to the cable communications industry, as updated by the Company’s most recent Quarterly Reports on Form 10-Q, if any, and Current Reports on Form 8-K, if any, incorporated in the Registration Statement, the Disclosure Package and the Prospectus and as updated by the Disclosure Package, insofar as they are, or refer to, statements of federal law</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67" w:name="page68"/>
    <w:bookmarkEnd w:id="67"/>
    <w:p>
      <w:pPr>
        <w:ind w:left="460"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legal conclusions, have been reviewed by such counsel and present in all material respects the information called for with respect to such statements of federal law or legal conclusions; and</w:t>
      </w:r>
    </w:p>
    <w:p>
      <w:pPr>
        <w:spacing w:after="0" w:line="51" w:lineRule="exact"/>
        <w:rPr>
          <w:sz w:val="20"/>
          <w:szCs w:val="20"/>
          <w:color w:val="auto"/>
        </w:rPr>
      </w:pPr>
    </w:p>
    <w:p>
      <w:pPr>
        <w:ind w:left="460" w:right="140" w:firstLine="421"/>
        <w:spacing w:after="0" w:line="256" w:lineRule="auto"/>
        <w:tabs>
          <w:tab w:leader="none" w:pos="1177" w:val="left"/>
        </w:tabs>
        <w:numPr>
          <w:ilvl w:val="2"/>
          <w:numId w:val="58"/>
        </w:numPr>
        <w:rPr>
          <w:rFonts w:ascii="Arial" w:cs="Arial" w:eastAsia="Arial" w:hAnsi="Arial"/>
          <w:sz w:val="18"/>
          <w:szCs w:val="18"/>
          <w:color w:val="auto"/>
        </w:rPr>
      </w:pPr>
      <w:r>
        <w:rPr>
          <w:rFonts w:ascii="Arial" w:cs="Arial" w:eastAsia="Arial" w:hAnsi="Arial"/>
          <w:sz w:val="18"/>
          <w:szCs w:val="18"/>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the Disclosure Package pursuant to Regulation S-K promulgated under the Securities Act, which is not described as required.</w:t>
      </w:r>
    </w:p>
    <w:p>
      <w:pPr>
        <w:spacing w:after="0" w:line="62" w:lineRule="exact"/>
        <w:rPr>
          <w:rFonts w:ascii="Arial" w:cs="Arial" w:eastAsia="Arial" w:hAnsi="Arial"/>
          <w:sz w:val="18"/>
          <w:szCs w:val="18"/>
          <w:color w:val="auto"/>
        </w:rPr>
      </w:pPr>
    </w:p>
    <w:p>
      <w:pPr>
        <w:ind w:right="520" w:firstLine="443"/>
        <w:spacing w:after="0" w:line="332" w:lineRule="auto"/>
        <w:tabs>
          <w:tab w:leader="none" w:pos="657"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The Managers shall have received on the Closing Date an opinion of Cahill Gordon &amp; Reindel </w:t>
      </w:r>
      <w:r>
        <w:rPr>
          <w:rFonts w:ascii="Arial" w:cs="Arial" w:eastAsia="Arial" w:hAnsi="Arial"/>
          <w:sz w:val="13"/>
          <w:szCs w:val="13"/>
          <w:color w:val="auto"/>
        </w:rPr>
        <w:t>LLP</w:t>
      </w:r>
      <w:r>
        <w:rPr>
          <w:rFonts w:ascii="Arial" w:cs="Arial" w:eastAsia="Arial" w:hAnsi="Arial"/>
          <w:sz w:val="16"/>
          <w:szCs w:val="16"/>
          <w:color w:val="auto"/>
        </w:rPr>
        <w:t>, counsel for the Underwriters, dated the Closing Date, covering the matters requested by and in form and substance reasonably satisfactory to the Managers.</w:t>
      </w:r>
    </w:p>
    <w:p>
      <w:pPr>
        <w:spacing w:after="0" w:line="4" w:lineRule="exact"/>
        <w:rPr>
          <w:rFonts w:ascii="Arial" w:cs="Arial" w:eastAsia="Arial" w:hAnsi="Arial"/>
          <w:sz w:val="16"/>
          <w:szCs w:val="16"/>
          <w:color w:val="auto"/>
        </w:rPr>
      </w:pPr>
    </w:p>
    <w:p>
      <w:pPr>
        <w:ind w:firstLine="443"/>
        <w:spacing w:after="0" w:line="290" w:lineRule="auto"/>
        <w:tabs>
          <w:tab w:leader="none" w:pos="687"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Managers shall have received on the date hereof a letter dated such date and on the Closing Date a letter dated such date, in each case in form and substance satisfactory to the Managers, from Deloitte &amp; Touche LLP, independent public accountants, containing statements and information of the type ordinarily included in accountants’ “comfort letters” to underwriters with respect to the financial statements and certain financial information reviewed by them contained in or incorporated by reference in the Registration Statement, the Disclosure Package and the Prospectus and each other firm of independent accountants, if any, who audited or reviewed financial statements contained in or incorporated by reference in the Registration Statement, the Disclosure Package and the Prospectus, containing statements and information of the type ordinarily included in accountants’ “comfort letters” to underwriters with respect to such financial statements and financial information.</w:t>
      </w:r>
    </w:p>
    <w:p>
      <w:pPr>
        <w:spacing w:after="0" w:line="37" w:lineRule="exact"/>
        <w:rPr>
          <w:rFonts w:ascii="Arial" w:cs="Arial" w:eastAsia="Arial" w:hAnsi="Arial"/>
          <w:sz w:val="16"/>
          <w:szCs w:val="16"/>
          <w:color w:val="auto"/>
        </w:rPr>
      </w:pPr>
    </w:p>
    <w:p>
      <w:pPr>
        <w:ind w:right="40" w:firstLine="443"/>
        <w:spacing w:after="0" w:line="268" w:lineRule="auto"/>
        <w:tabs>
          <w:tab w:leader="none" w:pos="687"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Managers shall have received on the date hereof or on the Closing Date, as applicable, such additional documents as the Managers shall have reasonably requested to confirm compliance with the conditions to Closing listed herein.</w:t>
      </w:r>
    </w:p>
    <w:p>
      <w:pPr>
        <w:spacing w:after="0" w:line="131" w:lineRule="exact"/>
        <w:rPr>
          <w:rFonts w:ascii="Arial" w:cs="Arial" w:eastAsia="Arial" w:hAnsi="Arial"/>
          <w:sz w:val="18"/>
          <w:szCs w:val="18"/>
          <w:color w:val="auto"/>
        </w:rPr>
      </w:pPr>
    </w:p>
    <w:p>
      <w:pPr>
        <w:ind w:left="180" w:hanging="176"/>
        <w:spacing w:after="0"/>
        <w:tabs>
          <w:tab w:leader="none" w:pos="18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Covenants of the Company</w:t>
      </w:r>
      <w:r>
        <w:rPr>
          <w:rFonts w:ascii="Arial" w:cs="Arial" w:eastAsia="Arial" w:hAnsi="Arial"/>
          <w:sz w:val="16"/>
          <w:szCs w:val="16"/>
          <w:color w:val="auto"/>
        </w:rPr>
        <w:t>. In further consideration of the agreements of the Underwriters herein contained, the Issuers covenant as follows:</w:t>
      </w:r>
    </w:p>
    <w:p>
      <w:pPr>
        <w:spacing w:after="0" w:line="113" w:lineRule="exact"/>
        <w:rPr>
          <w:rFonts w:ascii="Arial" w:cs="Arial" w:eastAsia="Arial" w:hAnsi="Arial"/>
          <w:sz w:val="16"/>
          <w:szCs w:val="16"/>
          <w:color w:val="auto"/>
        </w:rPr>
      </w:pPr>
    </w:p>
    <w:p>
      <w:pPr>
        <w:ind w:right="120" w:firstLine="443"/>
        <w:spacing w:after="0" w:line="256" w:lineRule="auto"/>
        <w:tabs>
          <w:tab w:leader="none" w:pos="67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furnish to the Managers,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(f) below, as many copies of the Disclosure Package, the Prospectus, any documents incorporated therein by reference and any supplements and amendments thereto as the Managers may reasonably request.</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68" w:name="page69"/>
    <w:bookmarkEnd w:id="68"/>
    <w:p>
      <w:pPr>
        <w:ind w:right="60" w:firstLine="443"/>
        <w:spacing w:after="0" w:line="268" w:lineRule="auto"/>
        <w:tabs>
          <w:tab w:leader="none" w:pos="687"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Before amending or supplementing the Registration Statement, the Disclosure Package or the Prospectus, to furnish the Managers a copy of each such proposed amendment or supplement.</w:t>
      </w:r>
    </w:p>
    <w:p>
      <w:pPr>
        <w:spacing w:after="0" w:line="50" w:lineRule="exact"/>
        <w:rPr>
          <w:rFonts w:ascii="Arial" w:cs="Arial" w:eastAsia="Arial" w:hAnsi="Arial"/>
          <w:sz w:val="18"/>
          <w:szCs w:val="18"/>
          <w:color w:val="auto"/>
        </w:rPr>
      </w:pPr>
    </w:p>
    <w:p>
      <w:pPr>
        <w:ind w:right="60" w:firstLine="443"/>
        <w:spacing w:after="0" w:line="268" w:lineRule="auto"/>
        <w:tabs>
          <w:tab w:leader="none" w:pos="677"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Managers a copy of each such free writing prospectus.</w:t>
      </w:r>
    </w:p>
    <w:p>
      <w:pPr>
        <w:spacing w:after="0" w:line="50" w:lineRule="exact"/>
        <w:rPr>
          <w:rFonts w:ascii="Arial" w:cs="Arial" w:eastAsia="Arial" w:hAnsi="Arial"/>
          <w:sz w:val="18"/>
          <w:szCs w:val="18"/>
          <w:color w:val="auto"/>
        </w:rPr>
      </w:pPr>
    </w:p>
    <w:p>
      <w:pPr>
        <w:ind w:right="260" w:firstLine="443"/>
        <w:spacing w:after="0" w:line="259" w:lineRule="auto"/>
        <w:tabs>
          <w:tab w:leader="none" w:pos="6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59" w:lineRule="exact"/>
        <w:rPr>
          <w:rFonts w:ascii="Arial" w:cs="Arial" w:eastAsia="Arial" w:hAnsi="Arial"/>
          <w:sz w:val="18"/>
          <w:szCs w:val="18"/>
          <w:color w:val="auto"/>
        </w:rPr>
      </w:pPr>
    </w:p>
    <w:p>
      <w:pPr>
        <w:ind w:right="120" w:firstLine="443"/>
        <w:spacing w:after="0" w:line="289" w:lineRule="auto"/>
        <w:tabs>
          <w:tab w:leader="none" w:pos="677"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Disclosure Package is being used to solicit offers to buy the Offered Securities at a time when the Prospectus is not yet available to prospective purchasers and any event shall occur as a result of which it is necessary to amend or supplement the Disclosure Package in order to make the statements therein, in the light of the circumstances existing at the time, not misleading, or if any event shall occur as a result of which any free writing prospectus included as part of the Disclosure Package conflicts with the information contained in the Registration Statement then on file, the Company shall forthwith prepare and furnish, at its expense, to the Underwriters and to the dealers (whose names and addresses the Managers will furnish to the Company), either amendments or supplements to the Disclosure Package so that the statements in the Disclosure Package as so amended or supplemented will not, in the light of the circumstances existing at the time, be misleading or so that any free writing prospectus which is included as part of the Disclosure Package, as amended or supplemented, will no longer conflict with the Registration Statement.</w:t>
      </w:r>
    </w:p>
    <w:p>
      <w:pPr>
        <w:spacing w:after="0" w:line="37" w:lineRule="exact"/>
        <w:rPr>
          <w:rFonts w:ascii="Arial" w:cs="Arial" w:eastAsia="Arial" w:hAnsi="Arial"/>
          <w:sz w:val="16"/>
          <w:szCs w:val="16"/>
          <w:color w:val="auto"/>
        </w:rPr>
      </w:pPr>
    </w:p>
    <w:p>
      <w:pPr>
        <w:ind w:firstLine="443"/>
        <w:spacing w:after="0" w:line="290" w:lineRule="auto"/>
        <w:tabs>
          <w:tab w:leader="none" w:pos="657"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during which in the opinion of counsel to the Managers the Prospectus (or in lieu thereof the notice referred to in Rule 173(a) under the Securities Act)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Managers will furnish to the Company) to which Offered Securities may have been sold by the Managers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37" w:lineRule="exact"/>
        <w:rPr>
          <w:rFonts w:ascii="Arial" w:cs="Arial" w:eastAsia="Arial" w:hAnsi="Arial"/>
          <w:sz w:val="16"/>
          <w:szCs w:val="16"/>
          <w:color w:val="auto"/>
        </w:rPr>
      </w:pPr>
    </w:p>
    <w:p>
      <w:pPr>
        <w:ind w:right="160" w:firstLine="443"/>
        <w:spacing w:after="0" w:line="268" w:lineRule="auto"/>
        <w:tabs>
          <w:tab w:leader="none" w:pos="6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endeavor to qualify the Offered Securities for offer and sale under the securities or Blue Sky laws of such U.S. jurisdictions as the Managers shall reasonably request.</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69" w:name="page70"/>
    <w:bookmarkEnd w:id="69"/>
    <w:p>
      <w:pPr>
        <w:ind w:left="460" w:right="220" w:firstLine="443"/>
        <w:spacing w:after="0" w:line="298" w:lineRule="auto"/>
        <w:tabs>
          <w:tab w:leader="none" w:pos="1147" w:val="left"/>
        </w:tabs>
        <w:numPr>
          <w:ilvl w:val="1"/>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Covenants of the Underwriters</w:t>
      </w:r>
      <w:r>
        <w:rPr>
          <w:rFonts w:ascii="Arial" w:cs="Arial" w:eastAsia="Arial" w:hAnsi="Arial"/>
          <w:sz w:val="16"/>
          <w:szCs w:val="16"/>
          <w:color w:val="auto"/>
        </w:rPr>
        <w:t>. In further consideration of the agreements of the Issuers herein contained, each Underwriter severally covenants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83" w:lineRule="exact"/>
        <w:rPr>
          <w:rFonts w:ascii="Arial" w:cs="Arial" w:eastAsia="Arial" w:hAnsi="Arial"/>
          <w:sz w:val="16"/>
          <w:szCs w:val="16"/>
          <w:color w:val="auto"/>
        </w:rPr>
      </w:pPr>
    </w:p>
    <w:p>
      <w:pPr>
        <w:ind w:left="460" w:right="160" w:firstLine="443"/>
        <w:spacing w:after="0" w:line="259" w:lineRule="auto"/>
        <w:tabs>
          <w:tab w:leader="none" w:pos="1137"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Not to use, refer to or distribute any free writing prospectus except:</w:t>
      </w:r>
    </w:p>
    <w:p>
      <w:pPr>
        <w:spacing w:after="0" w:line="90" w:lineRule="exact"/>
        <w:rPr>
          <w:rFonts w:ascii="Arial" w:cs="Arial" w:eastAsia="Arial" w:hAnsi="Arial"/>
          <w:sz w:val="18"/>
          <w:szCs w:val="18"/>
          <w:color w:val="auto"/>
        </w:rPr>
      </w:pPr>
    </w:p>
    <w:p>
      <w:pPr>
        <w:ind w:left="920" w:right="20" w:firstLine="421"/>
        <w:spacing w:after="0" w:line="259" w:lineRule="auto"/>
        <w:tabs>
          <w:tab w:leader="none" w:pos="1549" w:val="left"/>
        </w:tabs>
        <w:numPr>
          <w:ilvl w:val="2"/>
          <w:numId w:val="63"/>
        </w:numPr>
        <w:rPr>
          <w:rFonts w:ascii="Arial" w:cs="Arial" w:eastAsia="Arial" w:hAnsi="Arial"/>
          <w:sz w:val="18"/>
          <w:szCs w:val="18"/>
          <w:color w:val="auto"/>
        </w:rPr>
      </w:pPr>
      <w:r>
        <w:rPr>
          <w:rFonts w:ascii="Arial" w:cs="Arial" w:eastAsia="Arial" w:hAnsi="Arial"/>
          <w:sz w:val="18"/>
          <w:szCs w:val="18"/>
          <w:color w:val="auto"/>
        </w:rPr>
        <w:t>a free writing prospectus that (A) is not an issuer free writing prospectus and (B) contains only information describing the preliminary terms of the Offered Securities or the offering thereof, which information is limited to the categories of terms referenced on Schedule II to this Agreement or otherwise permitted under Rule 134 of the Securities Act;</w:t>
      </w:r>
    </w:p>
    <w:p>
      <w:pPr>
        <w:spacing w:after="0" w:line="59" w:lineRule="exact"/>
        <w:rPr>
          <w:rFonts w:ascii="Arial" w:cs="Arial" w:eastAsia="Arial" w:hAnsi="Arial"/>
          <w:sz w:val="18"/>
          <w:szCs w:val="18"/>
          <w:color w:val="auto"/>
        </w:rPr>
      </w:pPr>
    </w:p>
    <w:p>
      <w:pPr>
        <w:ind w:left="920" w:right="20" w:firstLine="421"/>
        <w:spacing w:after="0" w:line="332" w:lineRule="auto"/>
        <w:tabs>
          <w:tab w:leader="none" w:pos="1598" w:val="left"/>
        </w:tabs>
        <w:numPr>
          <w:ilvl w:val="2"/>
          <w:numId w:val="63"/>
        </w:numPr>
        <w:rPr>
          <w:rFonts w:ascii="Arial" w:cs="Arial" w:eastAsia="Arial" w:hAnsi="Arial"/>
          <w:sz w:val="16"/>
          <w:szCs w:val="16"/>
          <w:color w:val="auto"/>
        </w:rPr>
      </w:pPr>
      <w:r>
        <w:rPr>
          <w:rFonts w:ascii="Arial" w:cs="Arial" w:eastAsia="Arial" w:hAnsi="Arial"/>
          <w:sz w:val="16"/>
          <w:szCs w:val="16"/>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w:t>
      </w:r>
    </w:p>
    <w:p>
      <w:pPr>
        <w:spacing w:after="0" w:line="4" w:lineRule="exact"/>
        <w:rPr>
          <w:rFonts w:ascii="Arial" w:cs="Arial" w:eastAsia="Arial" w:hAnsi="Arial"/>
          <w:sz w:val="16"/>
          <w:szCs w:val="16"/>
          <w:color w:val="auto"/>
        </w:rPr>
      </w:pPr>
    </w:p>
    <w:p>
      <w:pPr>
        <w:ind w:left="1640" w:hanging="299"/>
        <w:spacing w:after="0"/>
        <w:tabs>
          <w:tab w:leader="none" w:pos="1640" w:val="left"/>
        </w:tabs>
        <w:numPr>
          <w:ilvl w:val="2"/>
          <w:numId w:val="63"/>
        </w:numPr>
        <w:rPr>
          <w:rFonts w:ascii="Arial" w:cs="Arial" w:eastAsia="Arial" w:hAnsi="Arial"/>
          <w:sz w:val="18"/>
          <w:szCs w:val="18"/>
          <w:color w:val="auto"/>
        </w:rPr>
      </w:pPr>
      <w:r>
        <w:rPr>
          <w:rFonts w:ascii="Arial" w:cs="Arial" w:eastAsia="Arial" w:hAnsi="Arial"/>
          <w:sz w:val="18"/>
          <w:szCs w:val="18"/>
          <w:color w:val="auto"/>
        </w:rPr>
        <w:t>a free writing prospectus identified in Schedule I to this Agreement as forming part of the Disclosure Package.</w:t>
      </w:r>
    </w:p>
    <w:p>
      <w:pPr>
        <w:spacing w:after="0" w:line="171" w:lineRule="exact"/>
        <w:rPr>
          <w:rFonts w:ascii="Arial" w:cs="Arial" w:eastAsia="Arial" w:hAnsi="Arial"/>
          <w:sz w:val="18"/>
          <w:szCs w:val="18"/>
          <w:color w:val="auto"/>
        </w:rPr>
      </w:pPr>
    </w:p>
    <w:p>
      <w:pPr>
        <w:ind w:firstLine="464"/>
        <w:spacing w:after="0" w:line="288" w:lineRule="auto"/>
        <w:tabs>
          <w:tab w:leader="none" w:pos="632"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Indemnification and Contribution</w:t>
      </w:r>
      <w:r>
        <w:rPr>
          <w:rFonts w:ascii="Arial" w:cs="Arial" w:eastAsia="Arial" w:hAnsi="Arial"/>
          <w:sz w:val="16"/>
          <w:szCs w:val="16"/>
          <w:color w:val="auto"/>
        </w:rPr>
        <w:t>. The Issuers, jointly and severally, agree to indemnify and hold harmless each Underwriter and each person, if any,</w:t>
      </w:r>
      <w:r>
        <w:rPr>
          <w:rFonts w:ascii="Arial" w:cs="Arial" w:eastAsia="Arial" w:hAnsi="Arial"/>
          <w:sz w:val="16"/>
          <w:szCs w:val="16"/>
          <w:i w:val="1"/>
          <w:iCs w:val="1"/>
          <w:color w:val="auto"/>
        </w:rPr>
        <w:t xml:space="preserve"> </w:t>
      </w:r>
      <w:r>
        <w:rPr>
          <w:rFonts w:ascii="Arial" w:cs="Arial" w:eastAsia="Arial" w:hAnsi="Arial"/>
          <w:sz w:val="16"/>
          <w:szCs w:val="16"/>
          <w:color w:val="auto"/>
        </w:rPr>
        <w:t>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any preliminary prospectus, the Disclosure Package (as amended or supplemented), any issuer free writing prospectus as defined under Rule 433(d) under the Securities Act or the Prospectus (as amended or supplemented),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any Issuer in writing by such Underwriter through the Managers expressly for use therein; provided, however, that the foregoing indemnity with respect to any preliminary prospectus, any issuer free writing prospectus or the Disclosure Package shall not inure to the benefit of any Underwriter from</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70" w:name="page71"/>
    <w:bookmarkEnd w:id="70"/>
    <w:p>
      <w:pPr>
        <w:ind w:right="2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whom the person asserting any such losses, claims, damages or liabilities purchased Offered Securities, or any person controlling any such Underwriter, if (a) the Issuers have notified such Underwriter that any preliminary prospectus, any issuer free writing prospectus or the Disclosure Package contains an untrue statement of a material fact or an omission to state a material fact necessary to make the statements therein not misleading, (b) the Issuers provided a copy of any such preliminary prospectus, issuer free writing prospectus or Disclosure Package (as then amended or supplemented if the Company shall have furnished any amendments or supplements thereto) or a separate free writing prospectus correcting such material misstatement or omission to the contact of the Managers indicated in the notice provision contained in this Agreement sufficiently in advance of first entering into a contract of sale of Offered Securities with such person (the “</w:t>
      </w:r>
      <w:r>
        <w:rPr>
          <w:rFonts w:ascii="Arial" w:cs="Arial" w:eastAsia="Arial" w:hAnsi="Arial"/>
          <w:sz w:val="15"/>
          <w:szCs w:val="15"/>
          <w:b w:val="1"/>
          <w:bCs w:val="1"/>
          <w:color w:val="auto"/>
        </w:rPr>
        <w:t>Time of Sale</w:t>
      </w:r>
      <w:r>
        <w:rPr>
          <w:rFonts w:ascii="Arial" w:cs="Arial" w:eastAsia="Arial" w:hAnsi="Arial"/>
          <w:sz w:val="15"/>
          <w:szCs w:val="15"/>
          <w:color w:val="auto"/>
        </w:rPr>
        <w:t>”) so that such preliminary prospectus, issuer free writing prospectus or Disclosure Package (as so amended or supplemented but without reference to documents incorporated by reference therein) or separate free writing prospectus could have been conveyed to such person prior to the Applicable Time, and (c) the information contained in any such corrected preliminary prospectus, issuer free writing prospectus, Disclosure Package or separate free writing prospectus was not conveyed by or on behalf of such Underwriter to such person, if required by law so to have been conveyed, at or prior to the Time of Sale, and if such corrected preliminary prospectus, issuer free writing prospectus, or Disclosure Package (as so amended or supplemented but without reference to documents incorporated by reference therein) or separate free writing prospectus would have cured the defect giving rise to such loss, claim, damage or liability.</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Underwriter severally and not jointly agrees to indemnify and hold harmless each Issuer, their respective directors and officers who sign the Registration Statement and each person, if any, who controls an Issuer within the meaning of either Section 15 of the Securities Act or Section 20 of the Exchange Act to the same extent as the foregoing indemnity from the Issuers to such Underwriter, but only with reference to information relating to such Underwriter furnished to any Issuer in writing by such Underwriter through the Managers expressly for use in the Registration Statement, any preliminary prospectus, the Disclosure Package, any issuer free writing prospectus, the Prospectus or any amendment or supplement thereto.</w:t>
      </w:r>
    </w:p>
    <w:p>
      <w:pPr>
        <w:spacing w:after="0" w:line="116" w:lineRule="exact"/>
        <w:rPr>
          <w:sz w:val="20"/>
          <w:szCs w:val="20"/>
          <w:color w:val="auto"/>
        </w:rPr>
      </w:pPr>
    </w:p>
    <w:p>
      <w:pPr>
        <w:ind w:right="180" w:firstLine="456"/>
        <w:spacing w:after="0" w:line="309" w:lineRule="auto"/>
        <w:rPr>
          <w:sz w:val="20"/>
          <w:szCs w:val="20"/>
          <w:color w:val="auto"/>
        </w:rPr>
      </w:pPr>
      <w:r>
        <w:rPr>
          <w:rFonts w:ascii="Arial" w:cs="Arial" w:eastAsia="Arial" w:hAnsi="Arial"/>
          <w:sz w:val="15"/>
          <w:szCs w:val="15"/>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71" w:name="page72"/>
    <w:bookmarkEnd w:id="7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Managers. In the case of any such separate firm for the Issuers and such directors, officers and controlling persons of the Issuers, such firm shall be designated in writing by the Issuers. The indemnifying party shall not be liable for any settlement of any proceeding effected without its written consent, but if settled with such consent or if there be a final judgment for the plaintiff, the indemnifying party agrees to indemnify, to the 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23" w:lineRule="exact"/>
        <w:rPr>
          <w:sz w:val="20"/>
          <w:szCs w:val="20"/>
          <w:color w:val="auto"/>
        </w:rPr>
      </w:pPr>
    </w:p>
    <w:p>
      <w:pPr>
        <w:jc w:val="both"/>
        <w:ind w:right="100" w:firstLine="456"/>
        <w:spacing w:after="0" w:line="283" w:lineRule="auto"/>
        <w:rPr>
          <w:sz w:val="20"/>
          <w:szCs w:val="20"/>
          <w:color w:val="auto"/>
        </w:rPr>
      </w:pPr>
      <w:r>
        <w:rPr>
          <w:rFonts w:ascii="Arial" w:cs="Arial" w:eastAsia="Arial" w:hAnsi="Arial"/>
          <w:sz w:val="16"/>
          <w:szCs w:val="16"/>
          <w:color w:val="auto"/>
        </w:rPr>
        <w:t>If the indemnification provided for in the first or second paragraph of this Section 7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Issuers on the one hand and the Underwriters on the other from the offering of the Offered Securities or (ii) if the allocation provided by clause (i) above is not permitted by applicable law, in such proportion as is appropriate to reflect not only the relative benefits referred to in clause</w:t>
      </w:r>
    </w:p>
    <w:p>
      <w:pPr>
        <w:spacing w:after="0" w:line="2" w:lineRule="exact"/>
        <w:rPr>
          <w:sz w:val="20"/>
          <w:szCs w:val="20"/>
          <w:color w:val="auto"/>
        </w:rPr>
      </w:pPr>
    </w:p>
    <w:p>
      <w:pPr>
        <w:ind w:right="120" w:firstLine="8"/>
        <w:spacing w:after="0" w:line="288" w:lineRule="auto"/>
        <w:tabs>
          <w:tab w:leader="none" w:pos="21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above but also the relative fault of the Issuers on the one hand and of the Underwriters on the other in connection with the statements or omissions which resulted in such losses, claims, damages or liabilities, as well as any other relevant equitable considerations. The relative benefits received by the Issuers and the Underwriters shall be deemed to be in the same respective proportions as the net proceeds from the offering (before deducting expenses) received by the Issuers bear to the total underwriting discounts and commissions received by the Underwriters in respect thereof. The relative fault of the Issuers and the Underwriters shall be determined by reference to, among other things, whether the untrue or alleged untrue statement of a material fact or the omission or alleged omission to state a material fact relates to information supplied by the Issuers or by the Underwriters and the parties’ relative intent, knowledge, access to information and opportunity to correct or prevent such statement or omission.</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Issuers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72" w:name="page73"/>
    <w:bookmarkEnd w:id="7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action or claim. Notwithstanding the provisions of this Section 7, the Underwriters shall not be required to contribute any amount in excess of the amount by which the total price at which the Offered Securities underwritten by them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indemnity and contribution agreement contained in this Section 7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Issuers, their respective officers or directors or any other person controlling an Issuer and (iii) acceptance of and payment for any of the Offered Securities.</w:t>
      </w:r>
    </w:p>
    <w:p>
      <w:pPr>
        <w:spacing w:after="0" w:line="143" w:lineRule="exact"/>
        <w:rPr>
          <w:sz w:val="20"/>
          <w:szCs w:val="20"/>
          <w:color w:val="auto"/>
        </w:rPr>
      </w:pPr>
    </w:p>
    <w:p>
      <w:pPr>
        <w:ind w:left="640" w:hanging="176"/>
        <w:spacing w:after="0"/>
        <w:tabs>
          <w:tab w:leader="none" w:pos="640" w:val="left"/>
        </w:tabs>
        <w:numPr>
          <w:ilvl w:val="1"/>
          <w:numId w:val="65"/>
        </w:numPr>
        <w:rPr>
          <w:rFonts w:ascii="Arial" w:cs="Arial" w:eastAsia="Arial" w:hAnsi="Arial"/>
          <w:sz w:val="15"/>
          <w:szCs w:val="15"/>
          <w:color w:val="auto"/>
        </w:rPr>
      </w:pPr>
      <w:r>
        <w:rPr>
          <w:rFonts w:ascii="Arial" w:cs="Arial" w:eastAsia="Arial" w:hAnsi="Arial"/>
          <w:sz w:val="15"/>
          <w:szCs w:val="15"/>
          <w:i w:val="1"/>
          <w:iCs w:val="1"/>
          <w:color w:val="auto"/>
        </w:rPr>
        <w:t>Termination</w:t>
      </w:r>
      <w:r>
        <w:rPr>
          <w:rFonts w:ascii="Arial" w:cs="Arial" w:eastAsia="Arial" w:hAnsi="Arial"/>
          <w:sz w:val="15"/>
          <w:szCs w:val="15"/>
          <w:color w:val="auto"/>
        </w:rPr>
        <w:t>. This Agreement shall be subject to termination in the absolute discretion of the Managers by notice given by the Managers to the Issuers, if</w:t>
      </w:r>
    </w:p>
    <w:p>
      <w:pPr>
        <w:spacing w:after="0" w:line="49" w:lineRule="exact"/>
        <w:rPr>
          <w:rFonts w:ascii="Arial" w:cs="Arial" w:eastAsia="Arial" w:hAnsi="Arial"/>
          <w:sz w:val="15"/>
          <w:szCs w:val="15"/>
          <w:color w:val="auto"/>
        </w:rPr>
      </w:pPr>
    </w:p>
    <w:p>
      <w:pPr>
        <w:ind w:right="80" w:firstLine="8"/>
        <w:spacing w:after="0" w:line="288" w:lineRule="auto"/>
        <w:tabs>
          <w:tab w:leader="none" w:pos="239" w:val="left"/>
        </w:tabs>
        <w:numPr>
          <w:ilvl w:val="0"/>
          <w:numId w:val="66"/>
        </w:numPr>
        <w:rPr>
          <w:rFonts w:ascii="Arial" w:cs="Arial" w:eastAsia="Arial" w:hAnsi="Arial"/>
          <w:sz w:val="16"/>
          <w:szCs w:val="16"/>
          <w:color w:val="auto"/>
        </w:rPr>
      </w:pPr>
      <w:r>
        <w:rPr>
          <w:rFonts w:ascii="Arial" w:cs="Arial" w:eastAsia="Arial" w:hAnsi="Arial"/>
          <w:sz w:val="16"/>
          <w:szCs w:val="16"/>
          <w:color w:val="auto"/>
        </w:rPr>
        <w:t>after the Applicable Time and prior to the Closing Date (i) trading generally shall have been suspended or materially limited on or by, as the case may be, the New York Stock Exchange, the American Stock Exchange, or the Financial Industry Regulatory Authority, (ii) trading of any securities of the Company shall have been suspended on the Nasdaq Global Select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Managers, is material and adverse and (b) in the case of any of the events specified in clauses (a)(i) through (iv), such event, singly or together with any other such event, makes it, in the judgment of the Managers, impracticable to market the Offered Securities on the terms and in the manner contemplated in the Disclosure Package.</w:t>
      </w:r>
    </w:p>
    <w:p>
      <w:pPr>
        <w:spacing w:after="0" w:line="123" w:lineRule="exact"/>
        <w:rPr>
          <w:sz w:val="20"/>
          <w:szCs w:val="20"/>
          <w:color w:val="auto"/>
        </w:rPr>
      </w:pPr>
    </w:p>
    <w:p>
      <w:pPr>
        <w:ind w:right="120" w:firstLine="456"/>
        <w:spacing w:after="0" w:line="301" w:lineRule="auto"/>
        <w:rPr>
          <w:sz w:val="20"/>
          <w:szCs w:val="20"/>
          <w:color w:val="auto"/>
        </w:rPr>
      </w:pPr>
      <w:r>
        <w:rPr>
          <w:rFonts w:ascii="Arial" w:cs="Arial" w:eastAsia="Arial" w:hAnsi="Arial"/>
          <w:sz w:val="15"/>
          <w:szCs w:val="15"/>
          <w:color w:val="auto"/>
        </w:rPr>
        <w:t>The Issuers will pay and bear all costs and expenses incident to the performance of their obligations under this Agreement, including (a) the preparation, printing and filing of the Registration Statement (including financial statements and exhibits), as originally filed and as amended, the preliminary prospectuses, the Disclosure Package, any free writing prospectus and the Prospectus and any amendments or supplements thereto, and the cost of furnishing copies thereto to the Underwriters, (b) the preparation, printing and distribution of this Agreement, each indenture under which the Offered Securities are to be issued and Blue Sky Memorandum, (c) the delivery of the Offered Securities to the Underwriters, (d) the fees and disbursements of the Issuers’ counsel and accountants, (e) 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w:t>
      </w:r>
    </w:p>
    <w:p>
      <w:pPr>
        <w:spacing w:after="0" w:line="5" w:lineRule="exact"/>
        <w:rPr>
          <w:sz w:val="20"/>
          <w:szCs w:val="20"/>
          <w:color w:val="auto"/>
        </w:rPr>
      </w:pPr>
    </w:p>
    <w:p>
      <w:pPr>
        <w:jc w:val="both"/>
        <w:ind w:right="120" w:firstLine="8"/>
        <w:spacing w:after="0" w:line="255" w:lineRule="auto"/>
        <w:tabs>
          <w:tab w:leader="none" w:pos="219"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fees payable to the Financial Industry Regulatory Authority in connection with the review, if any, of the offering of the Securities, (g) any fees charged by rating agencies for rating the Offered Securities and (h) the fees and expenses of the Trustee, including the fees and disbursements of counsel for the Trustee, in connection with each indenture under which the Offered Securities are to be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73" w:name="page74"/>
    <w:bookmarkEnd w:id="73"/>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issued and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this Agreement shall be terminated by the Underwriters because of any failure or refusal on the part of the Issuers to comply with the terms or to fulfill any of the conditions of this Agreement, or if for any reason the Issuers shall be unable to perform their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113" w:lineRule="exact"/>
        <w:rPr>
          <w:sz w:val="20"/>
          <w:szCs w:val="20"/>
          <w:color w:val="auto"/>
        </w:rPr>
      </w:pPr>
    </w:p>
    <w:p>
      <w:pPr>
        <w:ind w:firstLine="464"/>
        <w:spacing w:after="0" w:line="285" w:lineRule="auto"/>
        <w:tabs>
          <w:tab w:leader="none" w:pos="632"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Defaulting Underwriters</w:t>
      </w:r>
      <w:r>
        <w:rPr>
          <w:rFonts w:ascii="Arial" w:cs="Arial" w:eastAsia="Arial" w:hAnsi="Arial"/>
          <w:sz w:val="16"/>
          <w:szCs w:val="16"/>
          <w:color w:val="auto"/>
        </w:rPr>
        <w:t>. If on the Closing Date any one or more of the Underwriters shall fail or refuse to purchase Offered Securities that it has or they</w:t>
      </w:r>
      <w:r>
        <w:rPr>
          <w:rFonts w:ascii="Arial" w:cs="Arial" w:eastAsia="Arial" w:hAnsi="Arial"/>
          <w:sz w:val="16"/>
          <w:szCs w:val="16"/>
          <w:i w:val="1"/>
          <w:iCs w:val="1"/>
          <w:color w:val="auto"/>
        </w:rPr>
        <w:t xml:space="preserve"> </w:t>
      </w:r>
      <w:r>
        <w:rPr>
          <w:rFonts w:ascii="Arial" w:cs="Arial" w:eastAsia="Arial" w:hAnsi="Arial"/>
          <w:sz w:val="16"/>
          <w:szCs w:val="16"/>
          <w:color w:val="auto"/>
        </w:rPr>
        <w:t>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and not jointly in the proportions that the amount of Offered Securities set forth opposite their respective names bears to the aggregate amount of Offered Securities set forth opposite the names of all such non-defaulting Underwriters, or in such other proportions as the Managers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9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Managers and the Issuers for the purchase of such Offered Securities are not made within 36 hours after such default, this Agreement shall terminate without liability on the part of any non-defaulting Underwriter or the Issuers. In any such case either the Managers or the Issuers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26" w:lineRule="exact"/>
        <w:rPr>
          <w:rFonts w:ascii="Arial" w:cs="Arial" w:eastAsia="Arial" w:hAnsi="Arial"/>
          <w:sz w:val="16"/>
          <w:szCs w:val="16"/>
          <w:color w:val="auto"/>
        </w:rPr>
      </w:pPr>
    </w:p>
    <w:p>
      <w:pPr>
        <w:ind w:right="720" w:firstLine="464"/>
        <w:spacing w:after="0" w:line="268"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any number of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Applicable Law</w:t>
      </w:r>
      <w:r>
        <w:rPr>
          <w:rFonts w:ascii="Arial" w:cs="Arial" w:eastAsia="Arial" w:hAnsi="Arial"/>
          <w:sz w:val="18"/>
          <w:szCs w:val="18"/>
          <w:color w:val="auto"/>
        </w:rPr>
        <w:t>. This Agreement shall be governed by and construed in accordance with the internal laws of the State of New York.</w:t>
      </w:r>
    </w:p>
    <w:p>
      <w:pPr>
        <w:spacing w:after="0" w:line="171" w:lineRule="exact"/>
        <w:rPr>
          <w:rFonts w:ascii="Arial" w:cs="Arial" w:eastAsia="Arial" w:hAnsi="Arial"/>
          <w:sz w:val="18"/>
          <w:szCs w:val="18"/>
          <w:color w:val="auto"/>
        </w:rPr>
      </w:pPr>
    </w:p>
    <w:p>
      <w:pPr>
        <w:ind w:right="160" w:firstLine="464"/>
        <w:spacing w:after="0" w:line="268"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171"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April 27,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am Senior Vice President, General Counsel and Secretary of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acted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counsel for the Company in connection with the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on the date hereof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with the Securities and Exchange Commission pursuant to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for the registration of the sale from time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time of (i) shares of the Company’s Class A Common Stock, par value $0.01 per share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(ii) shares of the Company’s Class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Special Common Stock, par value $0.01 per share (the “</w:t>
      </w:r>
      <w:r>
        <w:rPr>
          <w:rFonts w:ascii="Arial" w:cs="Arial" w:eastAsia="Arial" w:hAnsi="Arial"/>
          <w:sz w:val="16"/>
          <w:szCs w:val="16"/>
          <w:b w:val="1"/>
          <w:bCs w:val="1"/>
          <w:color w:val="auto"/>
        </w:rPr>
        <w:t>Class A Special Common Stock</w:t>
      </w:r>
      <w:r>
        <w:rPr>
          <w:rFonts w:ascii="Arial" w:cs="Arial" w:eastAsia="Arial" w:hAnsi="Arial"/>
          <w:sz w:val="16"/>
          <w:szCs w:val="16"/>
          <w:color w:val="auto"/>
        </w:rPr>
        <w:t>”); (iii) shares of the Company’s preferred stock, without par value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Stock</w:t>
      </w:r>
      <w:r>
        <w:rPr>
          <w:rFonts w:ascii="Arial" w:cs="Arial" w:eastAsia="Arial" w:hAnsi="Arial"/>
          <w:sz w:val="16"/>
          <w:szCs w:val="16"/>
          <w:color w:val="auto"/>
        </w:rPr>
        <w:t>”); (iv) the Company’s senior debt securities and subordinated debt securities (collectively, the “</w:t>
      </w:r>
      <w:r>
        <w:rPr>
          <w:rFonts w:ascii="Arial" w:cs="Arial" w:eastAsia="Arial" w:hAnsi="Arial"/>
          <w:sz w:val="16"/>
          <w:szCs w:val="16"/>
          <w:b w:val="1"/>
          <w:bCs w:val="1"/>
          <w:color w:val="auto"/>
        </w:rPr>
        <w:t>Debt Securities</w:t>
      </w:r>
      <w:r>
        <w:rPr>
          <w:rFonts w:ascii="Arial" w:cs="Arial" w:eastAsia="Arial" w:hAnsi="Arial"/>
          <w:sz w:val="16"/>
          <w:szCs w:val="16"/>
          <w:color w:val="auto"/>
        </w:rPr>
        <w:t>”) which may be fully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unconditionally guaranteed by each of Comcast Cable Communications, LLC, Comcast Cable Communications Holdings, Inc., Comcast Cable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MO Group, Inc., and Comcast MO of Delaware, LLC. (collectively, the “</w:t>
      </w:r>
      <w:r>
        <w:rPr>
          <w:rFonts w:ascii="Arial" w:cs="Arial" w:eastAsia="Arial" w:hAnsi="Arial"/>
          <w:sz w:val="16"/>
          <w:szCs w:val="16"/>
          <w:b w:val="1"/>
          <w:bCs w:val="1"/>
          <w:color w:val="auto"/>
        </w:rPr>
        <w:t>Cable Guarantors</w:t>
      </w:r>
      <w:r>
        <w:rPr>
          <w:rFonts w:ascii="Arial" w:cs="Arial" w:eastAsia="Arial" w:hAnsi="Arial"/>
          <w:sz w:val="16"/>
          <w:szCs w:val="16"/>
          <w:color w:val="auto"/>
        </w:rPr>
        <w:t>”); (v) warrants (the “</w:t>
      </w:r>
      <w:r>
        <w:rPr>
          <w:rFonts w:ascii="Arial" w:cs="Arial" w:eastAsia="Arial" w:hAnsi="Arial"/>
          <w:sz w:val="16"/>
          <w:szCs w:val="16"/>
          <w:b w:val="1"/>
          <w:bCs w:val="1"/>
          <w:color w:val="auto"/>
        </w:rPr>
        <w:t>Warrants</w:t>
      </w:r>
      <w:r>
        <w:rPr>
          <w:rFonts w:ascii="Arial" w:cs="Arial" w:eastAsia="Arial" w:hAnsi="Arial"/>
          <w:sz w:val="16"/>
          <w:szCs w:val="16"/>
          <w:color w:val="auto"/>
        </w:rPr>
        <w:t>”), which may be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a warrant agreement between the Company and the warrant agent to be named therein (the “</w:t>
      </w:r>
      <w:r>
        <w:rPr>
          <w:rFonts w:ascii="Arial" w:cs="Arial" w:eastAsia="Arial" w:hAnsi="Arial"/>
          <w:sz w:val="16"/>
          <w:szCs w:val="16"/>
          <w:b w:val="1"/>
          <w:bCs w:val="1"/>
          <w:color w:val="auto"/>
        </w:rPr>
        <w:t>Warrant Agreement</w:t>
      </w:r>
      <w:r>
        <w:rPr>
          <w:rFonts w:ascii="Arial" w:cs="Arial" w:eastAsia="Arial" w:hAnsi="Arial"/>
          <w:sz w:val="16"/>
          <w:szCs w:val="16"/>
          <w:color w:val="auto"/>
        </w:rPr>
        <w:t>”); (vi) purchase contracts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Purchase Contracts</w:t>
      </w:r>
      <w:r>
        <w:rPr>
          <w:rFonts w:ascii="Arial" w:cs="Arial" w:eastAsia="Arial" w:hAnsi="Arial"/>
          <w:sz w:val="15"/>
          <w:szCs w:val="15"/>
          <w:color w:val="auto"/>
        </w:rPr>
        <w:t>”) which may be issued under one or more purchase agreements (each, a “</w:t>
      </w:r>
      <w:r>
        <w:rPr>
          <w:rFonts w:ascii="Arial" w:cs="Arial" w:eastAsia="Arial" w:hAnsi="Arial"/>
          <w:sz w:val="15"/>
          <w:szCs w:val="15"/>
          <w:b w:val="1"/>
          <w:bCs w:val="1"/>
          <w:color w:val="auto"/>
        </w:rPr>
        <w:t>Purchase Contract Agreement</w:t>
      </w:r>
      <w:r>
        <w:rPr>
          <w:rFonts w:ascii="Arial" w:cs="Arial" w:eastAsia="Arial" w:hAnsi="Arial"/>
          <w:sz w:val="15"/>
          <w:szCs w:val="15"/>
          <w:color w:val="auto"/>
        </w:rPr>
        <w:t>”) to be entered into between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Company and the purchase contract agent to be named therein (the “</w:t>
      </w:r>
      <w:r>
        <w:rPr>
          <w:rFonts w:ascii="Arial" w:cs="Arial" w:eastAsia="Arial" w:hAnsi="Arial"/>
          <w:sz w:val="16"/>
          <w:szCs w:val="16"/>
          <w:b w:val="1"/>
          <w:bCs w:val="1"/>
          <w:color w:val="auto"/>
        </w:rPr>
        <w:t>Purchase Contract Agent</w:t>
      </w:r>
      <w:r>
        <w:rPr>
          <w:rFonts w:ascii="Arial" w:cs="Arial" w:eastAsia="Arial" w:hAnsi="Arial"/>
          <w:sz w:val="16"/>
          <w:szCs w:val="16"/>
          <w:color w:val="auto"/>
        </w:rPr>
        <w:t>”) requiring the holders thereof to purchase or sell (A)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securities or securities of an entity unaffiliated or</w:t>
      </w:r>
    </w:p>
    <w:p>
      <w:pPr>
        <w:sectPr>
          <w:pgSz w:w="11900" w:h="16838" w:orient="portrait"/>
          <w:cols w:equalWidth="0" w:num="1">
            <w:col w:w="11420"/>
          </w:cols>
          <w:pgMar w:left="240" w:top="125" w:right="239" w:bottom="1440" w:gutter="0" w:footer="0" w:header="0"/>
        </w:sectPr>
      </w:pPr>
    </w:p>
    <w:bookmarkStart w:id="75" w:name="page76"/>
    <w:bookmarkEnd w:id="75"/>
    <w:p>
      <w:pPr>
        <w:ind w:right="1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affiliated with the Company, a basket of such securities, an index or indices of such securities or any combination of the above, (B) currencies or composite currencies or (C) commodities; (vii) units (the “</w:t>
      </w:r>
      <w:r>
        <w:rPr>
          <w:rFonts w:ascii="Arial" w:cs="Arial" w:eastAsia="Arial" w:hAnsi="Arial"/>
          <w:sz w:val="16"/>
          <w:szCs w:val="16"/>
          <w:b w:val="1"/>
          <w:bCs w:val="1"/>
          <w:color w:val="auto"/>
        </w:rPr>
        <w:t>Units</w:t>
      </w:r>
      <w:r>
        <w:rPr>
          <w:rFonts w:ascii="Arial" w:cs="Arial" w:eastAsia="Arial" w:hAnsi="Arial"/>
          <w:sz w:val="16"/>
          <w:szCs w:val="16"/>
          <w:color w:val="auto"/>
        </w:rPr>
        <w:t>”) consisting of Debt Securities, Warrants, Purchase Contracts, Preferred Stock, Class A Common Stock or Class A Special Common Stock or any combination of the foregoing to be issued under one or more unit agreements to be entered into among the Company, a bank or trust company, as unit agent (the “</w:t>
      </w:r>
      <w:r>
        <w:rPr>
          <w:rFonts w:ascii="Arial" w:cs="Arial" w:eastAsia="Arial" w:hAnsi="Arial"/>
          <w:sz w:val="16"/>
          <w:szCs w:val="16"/>
          <w:b w:val="1"/>
          <w:bCs w:val="1"/>
          <w:color w:val="auto"/>
        </w:rPr>
        <w:t>Unit Agent</w:t>
      </w:r>
      <w:r>
        <w:rPr>
          <w:rFonts w:ascii="Arial" w:cs="Arial" w:eastAsia="Arial" w:hAnsi="Arial"/>
          <w:sz w:val="16"/>
          <w:szCs w:val="16"/>
          <w:color w:val="auto"/>
        </w:rPr>
        <w:t>”), and the holders from time to time of the Units (each such unit agreement, a “</w:t>
      </w:r>
      <w:r>
        <w:rPr>
          <w:rFonts w:ascii="Arial" w:cs="Arial" w:eastAsia="Arial" w:hAnsi="Arial"/>
          <w:sz w:val="16"/>
          <w:szCs w:val="16"/>
          <w:b w:val="1"/>
          <w:bCs w:val="1"/>
          <w:color w:val="auto"/>
        </w:rPr>
        <w:t>Unit Agreement</w:t>
      </w:r>
      <w:r>
        <w:rPr>
          <w:rFonts w:ascii="Arial" w:cs="Arial" w:eastAsia="Arial" w:hAnsi="Arial"/>
          <w:sz w:val="16"/>
          <w:szCs w:val="16"/>
          <w:color w:val="auto"/>
        </w:rPr>
        <w:t>”);</w:t>
      </w:r>
    </w:p>
    <w:p>
      <w:pPr>
        <w:spacing w:after="0" w:line="3" w:lineRule="exact"/>
        <w:rPr>
          <w:sz w:val="20"/>
          <w:szCs w:val="20"/>
          <w:color w:val="auto"/>
        </w:rPr>
      </w:pPr>
    </w:p>
    <w:p>
      <w:pPr>
        <w:ind w:firstLine="8"/>
        <w:spacing w:after="0" w:line="285" w:lineRule="auto"/>
        <w:tabs>
          <w:tab w:leader="none" w:pos="395" w:val="left"/>
        </w:tabs>
        <w:numPr>
          <w:ilvl w:val="0"/>
          <w:numId w:val="69"/>
        </w:numPr>
        <w:rPr>
          <w:rFonts w:ascii="Arial" w:cs="Arial" w:eastAsia="Arial" w:hAnsi="Arial"/>
          <w:sz w:val="16"/>
          <w:szCs w:val="16"/>
          <w:color w:val="auto"/>
        </w:rPr>
      </w:pPr>
      <w:r>
        <w:rPr>
          <w:rFonts w:ascii="Arial" w:cs="Arial" w:eastAsia="Arial" w:hAnsi="Arial"/>
          <w:sz w:val="16"/>
          <w:szCs w:val="16"/>
          <w:color w:val="auto"/>
        </w:rPr>
        <w:t>guarantees (the “</w:t>
      </w:r>
      <w:r>
        <w:rPr>
          <w:rFonts w:ascii="Arial" w:cs="Arial" w:eastAsia="Arial" w:hAnsi="Arial"/>
          <w:sz w:val="16"/>
          <w:szCs w:val="16"/>
          <w:b w:val="1"/>
          <w:bCs w:val="1"/>
          <w:color w:val="auto"/>
        </w:rPr>
        <w:t>Cable Guarantees</w:t>
      </w:r>
      <w:r>
        <w:rPr>
          <w:rFonts w:ascii="Arial" w:cs="Arial" w:eastAsia="Arial" w:hAnsi="Arial"/>
          <w:sz w:val="16"/>
          <w:szCs w:val="16"/>
          <w:color w:val="auto"/>
        </w:rPr>
        <w:t>”) of the Debt Securities by the Cable Guarantors; and (ix) guarantees (the “</w:t>
      </w:r>
      <w:r>
        <w:rPr>
          <w:rFonts w:ascii="Arial" w:cs="Arial" w:eastAsia="Arial" w:hAnsi="Arial"/>
          <w:sz w:val="16"/>
          <w:szCs w:val="16"/>
          <w:b w:val="1"/>
          <w:bCs w:val="1"/>
          <w:color w:val="auto"/>
        </w:rPr>
        <w:t>Additional Guarantees</w:t>
      </w:r>
      <w:r>
        <w:rPr>
          <w:rFonts w:ascii="Arial" w:cs="Arial" w:eastAsia="Arial" w:hAnsi="Arial"/>
          <w:sz w:val="16"/>
          <w:szCs w:val="16"/>
          <w:color w:val="auto"/>
        </w:rPr>
        <w:t>”) of Warrants, Purchase Contracts and Units or any combination of the foregoing by the Cable Guarantors to be issued under one or more guarantee agreements (each, a “</w:t>
      </w:r>
      <w:r>
        <w:rPr>
          <w:rFonts w:ascii="Arial" w:cs="Arial" w:eastAsia="Arial" w:hAnsi="Arial"/>
          <w:sz w:val="16"/>
          <w:szCs w:val="16"/>
          <w:b w:val="1"/>
          <w:bCs w:val="1"/>
          <w:color w:val="auto"/>
        </w:rPr>
        <w:t>Guarantee Agreement</w:t>
      </w:r>
      <w:r>
        <w:rPr>
          <w:rFonts w:ascii="Arial" w:cs="Arial" w:eastAsia="Arial" w:hAnsi="Arial"/>
          <w:sz w:val="16"/>
          <w:szCs w:val="16"/>
          <w:color w:val="auto"/>
        </w:rPr>
        <w:t>” to be entered into by the Cable Guarantors). The Debt Securities, Preferred Stock, Class A Common Stock, Class A Special Common Stock, Warrants, Purchase Contracts, Units, Cable Guarantees and Additional Guarantees are herein collectively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The Debt Securities and the Preferred Stock may be convertible and/or exchangeable for Securities or other securities or rights. The senior Debt Securities are to be issued pursuant to an Indenture, dated as of January 7, 2003, as amended by that First Supplemental Indenture, dated as of March 26, 2003 (together, the “</w:t>
      </w:r>
      <w:r>
        <w:rPr>
          <w:rFonts w:ascii="Arial" w:cs="Arial" w:eastAsia="Arial" w:hAnsi="Arial"/>
          <w:sz w:val="16"/>
          <w:szCs w:val="16"/>
          <w:b w:val="1"/>
          <w:bCs w:val="1"/>
          <w:color w:val="auto"/>
        </w:rPr>
        <w:t>Senior</w:t>
      </w:r>
      <w:r>
        <w:rPr>
          <w:rFonts w:ascii="Arial" w:cs="Arial" w:eastAsia="Arial" w:hAnsi="Arial"/>
          <w:sz w:val="16"/>
          <w:szCs w:val="16"/>
          <w:color w:val="auto"/>
        </w:rPr>
        <w:t xml:space="preserve"> </w:t>
      </w:r>
      <w:r>
        <w:rPr>
          <w:rFonts w:ascii="Arial" w:cs="Arial" w:eastAsia="Arial" w:hAnsi="Arial"/>
          <w:sz w:val="16"/>
          <w:szCs w:val="16"/>
          <w:b w:val="1"/>
          <w:bCs w:val="1"/>
          <w:color w:val="auto"/>
        </w:rPr>
        <w:t>Indenture</w:t>
      </w:r>
      <w:r>
        <w:rPr>
          <w:rFonts w:ascii="Arial" w:cs="Arial" w:eastAsia="Arial" w:hAnsi="Arial"/>
          <w:sz w:val="16"/>
          <w:szCs w:val="16"/>
          <w:color w:val="auto"/>
        </w:rPr>
        <w:t>”), among the Company, the Cable Guarantors and The Bank of New York Mellon (formerly known as The Bank of New York), as Trustee. The</w:t>
      </w:r>
      <w:r>
        <w:rPr>
          <w:rFonts w:ascii="Arial" w:cs="Arial" w:eastAsia="Arial" w:hAnsi="Arial"/>
          <w:sz w:val="16"/>
          <w:szCs w:val="16"/>
          <w:b w:val="1"/>
          <w:bCs w:val="1"/>
          <w:color w:val="auto"/>
        </w:rPr>
        <w:t xml:space="preserve"> </w:t>
      </w:r>
      <w:r>
        <w:rPr>
          <w:rFonts w:ascii="Arial" w:cs="Arial" w:eastAsia="Arial" w:hAnsi="Arial"/>
          <w:sz w:val="16"/>
          <w:szCs w:val="16"/>
          <w:color w:val="auto"/>
        </w:rPr>
        <w:t>subordinated Debt Securities are to be issued pursuant to an Indenture (the “</w:t>
      </w:r>
      <w:r>
        <w:rPr>
          <w:rFonts w:ascii="Arial" w:cs="Arial" w:eastAsia="Arial" w:hAnsi="Arial"/>
          <w:sz w:val="16"/>
          <w:szCs w:val="16"/>
          <w:b w:val="1"/>
          <w:bCs w:val="1"/>
          <w:color w:val="auto"/>
        </w:rPr>
        <w:t>Subordinated Indenture</w:t>
      </w:r>
      <w:r>
        <w:rPr>
          <w:rFonts w:ascii="Arial" w:cs="Arial" w:eastAsia="Arial" w:hAnsi="Arial"/>
          <w:sz w:val="16"/>
          <w:szCs w:val="16"/>
          <w:color w:val="auto"/>
        </w:rPr>
        <w:t>”) among the Company, the Cable Guarantors and The Bank of New York Mellon, as Trustee, substantially in the form attached as an exhibit to the Registration Statement. The Senior Indenture and the Subordinated Indenture are hereinafter referred to individually as an “</w:t>
      </w:r>
      <w:r>
        <w:rPr>
          <w:rFonts w:ascii="Arial" w:cs="Arial" w:eastAsia="Arial" w:hAnsi="Arial"/>
          <w:sz w:val="16"/>
          <w:szCs w:val="16"/>
          <w:b w:val="1"/>
          <w:bCs w:val="1"/>
          <w:color w:val="auto"/>
        </w:rPr>
        <w:t>Indenture</w:t>
      </w:r>
      <w:r>
        <w:rPr>
          <w:rFonts w:ascii="Arial" w:cs="Arial" w:eastAsia="Arial" w:hAnsi="Arial"/>
          <w:sz w:val="16"/>
          <w:szCs w:val="16"/>
          <w:color w:val="auto"/>
        </w:rPr>
        <w:t>” and collectively as the “</w:t>
      </w:r>
      <w:r>
        <w:rPr>
          <w:rFonts w:ascii="Arial" w:cs="Arial" w:eastAsia="Arial" w:hAnsi="Arial"/>
          <w:sz w:val="16"/>
          <w:szCs w:val="16"/>
          <w:b w:val="1"/>
          <w:bCs w:val="1"/>
          <w:color w:val="auto"/>
        </w:rPr>
        <w:t>Indentures</w:t>
      </w:r>
      <w:r>
        <w:rPr>
          <w:rFonts w:ascii="Arial" w:cs="Arial" w:eastAsia="Arial" w:hAnsi="Arial"/>
          <w:sz w:val="16"/>
          <w:szCs w:val="16"/>
          <w:color w:val="auto"/>
        </w:rPr>
        <w:t>.” The Company may offer Depositary Shares (the “</w:t>
      </w:r>
      <w:r>
        <w:rPr>
          <w:rFonts w:ascii="Arial" w:cs="Arial" w:eastAsia="Arial" w:hAnsi="Arial"/>
          <w:sz w:val="16"/>
          <w:szCs w:val="16"/>
          <w:b w:val="1"/>
          <w:bCs w:val="1"/>
          <w:color w:val="auto"/>
        </w:rPr>
        <w:t>Depositary Shares</w:t>
      </w:r>
      <w:r>
        <w:rPr>
          <w:rFonts w:ascii="Arial" w:cs="Arial" w:eastAsia="Arial" w:hAnsi="Arial"/>
          <w:sz w:val="16"/>
          <w:szCs w:val="16"/>
          <w:color w:val="auto"/>
        </w:rPr>
        <w:t>”) representing interests in Preferred Stock deposited with a Depositary and evidenced by Depositary Receipts, and such Depositary Shares are also covered by the Registration Statement. The Class A Common Stock and Class A Special Common Stock may be issued with associated rights under the Rights Agreement dated as of November 18, 2002, between the Company and EquiServe Trust Company, N.A., as Rights Agent.</w:t>
      </w:r>
    </w:p>
    <w:p>
      <w:pPr>
        <w:spacing w:after="0" w:line="12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76" w:name="page77"/>
    <w:bookmarkEnd w:id="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upon the foregoing, I am of the opinion that:</w:t>
      </w:r>
    </w:p>
    <w:p>
      <w:pPr>
        <w:spacing w:after="0" w:line="171" w:lineRule="exact"/>
        <w:rPr>
          <w:sz w:val="20"/>
          <w:szCs w:val="20"/>
          <w:color w:val="auto"/>
        </w:rPr>
      </w:pPr>
    </w:p>
    <w:p>
      <w:pPr>
        <w:ind w:left="-20" w:right="20" w:firstLine="464"/>
        <w:spacing w:after="0" w:line="253" w:lineRule="auto"/>
        <w:tabs>
          <w:tab w:leader="none" w:pos="612"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When the necessary corporate action on the part of the Company has been taken to authorize the issuance and sale of such shares of Class A Common Stock proposed to be sold by the Company, and when such shares of Class A Common Stock are issued and delivered in accordance with the applicable underwriting or other agreement against payment therefor (in an amount not less than the par value thereof) or upon conversion or exercise of any security offered under the Registration Statement (the “</w:t>
      </w:r>
      <w:r>
        <w:rPr>
          <w:rFonts w:ascii="Arial" w:cs="Arial" w:eastAsia="Arial" w:hAnsi="Arial"/>
          <w:sz w:val="18"/>
          <w:szCs w:val="18"/>
          <w:b w:val="1"/>
          <w:bCs w:val="1"/>
          <w:color w:val="auto"/>
        </w:rPr>
        <w:t>Offered Security</w:t>
      </w:r>
      <w:r>
        <w:rPr>
          <w:rFonts w:ascii="Arial" w:cs="Arial" w:eastAsia="Arial" w:hAnsi="Arial"/>
          <w:sz w:val="18"/>
          <w:szCs w:val="18"/>
          <w:color w:val="auto"/>
        </w:rPr>
        <w:t>”), in accordance with the terms of such Offered Security or the instrument governing such Offered Security providing for such conversion or exercise as approved by the Board of Directors, for the consideration approved by the Board of Directors (which consideration is not less than the par value of the Class A Common Stock), such shares of Class A Common Stock will be validly issued, fully-paid and non-assessable.</w:t>
      </w:r>
    </w:p>
    <w:p>
      <w:pPr>
        <w:spacing w:after="0" w:line="147" w:lineRule="exact"/>
        <w:rPr>
          <w:rFonts w:ascii="Arial" w:cs="Arial" w:eastAsia="Arial" w:hAnsi="Arial"/>
          <w:sz w:val="18"/>
          <w:szCs w:val="18"/>
          <w:color w:val="auto"/>
        </w:rPr>
      </w:pPr>
    </w:p>
    <w:p>
      <w:pPr>
        <w:ind w:left="-20" w:right="40" w:firstLine="464"/>
        <w:spacing w:after="0" w:line="291" w:lineRule="auto"/>
        <w:tabs>
          <w:tab w:leader="none" w:pos="612" w:val="left"/>
        </w:tabs>
        <w:numPr>
          <w:ilvl w:val="0"/>
          <w:numId w:val="70"/>
        </w:numPr>
        <w:rPr>
          <w:rFonts w:ascii="Arial" w:cs="Arial" w:eastAsia="Arial" w:hAnsi="Arial"/>
          <w:sz w:val="16"/>
          <w:szCs w:val="16"/>
          <w:color w:val="auto"/>
        </w:rPr>
      </w:pPr>
      <w:r>
        <w:rPr>
          <w:rFonts w:ascii="Arial" w:cs="Arial" w:eastAsia="Arial" w:hAnsi="Arial"/>
          <w:sz w:val="16"/>
          <w:szCs w:val="16"/>
          <w:color w:val="auto"/>
        </w:rPr>
        <w:t>When the necessary corporate action on the part of the Company has been taken to authorize the issuance and sale of such shares of Class A Special Common Stock proposed to be sold by the Company, and when such shares of Class A Special Common Sock are issued and delivered in accordance with the applicable underwriting or other agreement against payment therefor (in an amount not less than the par value thereof) or upon conversion or exercise of an Offered Security, in accordance with the terms of such Offered Security or the instrument governing such Offered Security providing for such conversion or exercise as approved by the Board of Directors, for the consideration approved by the Board of Directors (which consideration is not less than the par value of the Class A Special Common Stock), such shares of Class A Special Common Stock will be validly issued, fully-paid and non-assessable.</w:t>
      </w:r>
    </w:p>
    <w:p>
      <w:pPr>
        <w:spacing w:after="0" w:line="120" w:lineRule="exact"/>
        <w:rPr>
          <w:rFonts w:ascii="Arial" w:cs="Arial" w:eastAsia="Arial" w:hAnsi="Arial"/>
          <w:sz w:val="16"/>
          <w:szCs w:val="16"/>
          <w:color w:val="auto"/>
        </w:rPr>
      </w:pPr>
    </w:p>
    <w:p>
      <w:pPr>
        <w:ind w:left="-20" w:firstLine="464"/>
        <w:spacing w:after="0" w:line="291" w:lineRule="auto"/>
        <w:tabs>
          <w:tab w:leader="none" w:pos="612" w:val="left"/>
        </w:tabs>
        <w:numPr>
          <w:ilvl w:val="0"/>
          <w:numId w:val="70"/>
        </w:numPr>
        <w:rPr>
          <w:rFonts w:ascii="Arial" w:cs="Arial" w:eastAsia="Arial" w:hAnsi="Arial"/>
          <w:sz w:val="16"/>
          <w:szCs w:val="16"/>
          <w:color w:val="auto"/>
        </w:rPr>
      </w:pPr>
      <w:r>
        <w:rPr>
          <w:rFonts w:ascii="Arial" w:cs="Arial" w:eastAsia="Arial" w:hAnsi="Arial"/>
          <w:sz w:val="16"/>
          <w:szCs w:val="16"/>
          <w:color w:val="auto"/>
        </w:rPr>
        <w:t>Upon designation of the relative rights, preferences and limitations of any series of Preferred Stock by the Board of Directors of the Company and proper filing with the Secretary of State of the Commonwealth of Pennsylvania of a Certificate of Designations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or upon conversion in accordance with the terms of any other Security that has been duly authorized, issued, paid for and delivered, such shares of Preferred Stock will be validly issued, fully paid and non-assessable.</w:t>
      </w:r>
    </w:p>
    <w:p>
      <w:pPr>
        <w:spacing w:after="0" w:line="120" w:lineRule="exact"/>
        <w:rPr>
          <w:rFonts w:ascii="Arial" w:cs="Arial" w:eastAsia="Arial" w:hAnsi="Arial"/>
          <w:sz w:val="16"/>
          <w:szCs w:val="16"/>
          <w:color w:val="auto"/>
        </w:rPr>
      </w:pPr>
    </w:p>
    <w:p>
      <w:pPr>
        <w:jc w:val="both"/>
        <w:ind w:left="-20" w:right="220" w:firstLine="464"/>
        <w:spacing w:after="0" w:line="259" w:lineRule="auto"/>
        <w:tabs>
          <w:tab w:leader="none" w:pos="612"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When Depositary Shares evidenced by Depositary Receipts are issued and delivered in accordance with the terms of a Deposit Agreement against the deposit of duly authorized, validly issued, fully paid and non-assessable shares of Preferred Stock, such Depositary Shares will entitle the holders thereof to the rights specified in the Deposit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The Senior Indenture has been duly authorized, executed and delivered by the Company.</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my opinions expressed above, I have assumed that, at or prior to the time of the delivery of any such Security, (i) the Board of Directors shall have duly established the terms of such Security; (ii) the Registration Statement shall have been declared effective and such effectiveness shall not have been terminated or rescinded; and (iii) there shall not have occurred any change in law affecting the validity or enforceability of such Security. I have also assumed that none of the terms of any Security to be established subsequent to the date hereof, nor the issuance and delivery of such Security, nor the compliance by the Company with the terms of such Security will violate any applicable law or public policy or will result in a violation of any provision of any instrument or agreement then binding upon the Company, or any restriction imposed by any court or governmental body having jurisdiction over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am a member of the Bar of the Commonwealth of Pennsylvania and the foregoing opinion is limited to the laws of the Commonwealth of Pennsylvania.</w:t>
      </w:r>
    </w:p>
    <w:p>
      <w:pPr>
        <w:spacing w:after="0" w:line="19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 hereby consent to the filing of this opinion as an exhibit to the Registration Statement referred to above and further consent to the reference to my name under the caption “Legal Matters” in the prospectus, which is a part of the Registration Statement. In giving this consent, I do not admit that I am in the category of persons whose consent is required under Section 7 of the Securities Act.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my prior written consent.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8" w:name="page79"/>
    <w:bookmarkEnd w:id="78"/>
    <w:tbl>
      <w:tblPr>
        <w:tblLayout w:type="fixed"/>
        <w:tblInd w:w="490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EXHIBIT 5.2</w:t>
            </w:r>
          </w:p>
        </w:tc>
      </w:tr>
      <w:tr>
        <w:trPr>
          <w:trHeight w:val="820"/>
        </w:trPr>
        <w:tc>
          <w:tcPr>
            <w:tcW w:w="2680" w:type="dxa"/>
            <w:vAlign w:val="bottom"/>
          </w:tcPr>
          <w:p>
            <w:pPr>
              <w:jc w:val="center"/>
              <w:ind w:right="692"/>
              <w:spacing w:after="0"/>
              <w:rPr>
                <w:sz w:val="20"/>
                <w:szCs w:val="20"/>
                <w:color w:val="auto"/>
              </w:rPr>
            </w:pPr>
            <w:r>
              <w:rPr>
                <w:rFonts w:ascii="Arial" w:cs="Arial" w:eastAsia="Arial" w:hAnsi="Arial"/>
                <w:sz w:val="18"/>
                <w:szCs w:val="18"/>
                <w:color w:val="auto"/>
              </w:rPr>
              <w:t>1600 E</w:t>
            </w:r>
            <w:r>
              <w:rPr>
                <w:rFonts w:ascii="Arial" w:cs="Arial" w:eastAsia="Arial" w:hAnsi="Arial"/>
                <w:sz w:val="14"/>
                <w:szCs w:val="14"/>
                <w:color w:val="auto"/>
              </w:rPr>
              <w:t>L</w:t>
            </w:r>
            <w:r>
              <w:rPr>
                <w:rFonts w:ascii="Arial" w:cs="Arial" w:eastAsia="Arial" w:hAnsi="Arial"/>
                <w:sz w:val="18"/>
                <w:szCs w:val="18"/>
                <w:color w:val="auto"/>
              </w:rPr>
              <w:t xml:space="preserve"> C</w:t>
            </w:r>
            <w:r>
              <w:rPr>
                <w:rFonts w:ascii="Arial" w:cs="Arial" w:eastAsia="Arial" w:hAnsi="Arial"/>
                <w:sz w:val="14"/>
                <w:szCs w:val="14"/>
                <w:color w:val="auto"/>
              </w:rPr>
              <w:t>AMINO</w:t>
            </w:r>
            <w:r>
              <w:rPr>
                <w:rFonts w:ascii="Arial" w:cs="Arial" w:eastAsia="Arial" w:hAnsi="Arial"/>
                <w:sz w:val="18"/>
                <w:szCs w:val="18"/>
                <w:color w:val="auto"/>
              </w:rPr>
              <w:t xml:space="preserve"> R</w:t>
            </w:r>
            <w:r>
              <w:rPr>
                <w:rFonts w:ascii="Arial" w:cs="Arial" w:eastAsia="Arial" w:hAnsi="Arial"/>
                <w:sz w:val="14"/>
                <w:szCs w:val="14"/>
                <w:color w:val="auto"/>
              </w:rPr>
              <w:t>EAL</w:t>
            </w:r>
          </w:p>
        </w:tc>
        <w:tc>
          <w:tcPr>
            <w:tcW w:w="3840" w:type="dxa"/>
            <w:vAlign w:val="bottom"/>
            <w:gridSpan w:val="2"/>
          </w:tcPr>
          <w:p>
            <w:pPr>
              <w:jc w:val="center"/>
              <w:ind w:left="912"/>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p>
        </w:tc>
      </w:tr>
      <w:tr>
        <w:trPr>
          <w:trHeight w:val="203"/>
        </w:trPr>
        <w:tc>
          <w:tcPr>
            <w:tcW w:w="2680" w:type="dxa"/>
            <w:vAlign w:val="bottom"/>
          </w:tcPr>
          <w:p>
            <w:pPr>
              <w:jc w:val="center"/>
              <w:ind w:right="712"/>
              <w:spacing w:after="0" w:line="202" w:lineRule="exact"/>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ENLO</w:t>
            </w:r>
            <w:r>
              <w:rPr>
                <w:rFonts w:ascii="Arial" w:cs="Arial" w:eastAsia="Arial" w:hAnsi="Arial"/>
                <w:sz w:val="18"/>
                <w:szCs w:val="18"/>
                <w:color w:val="auto"/>
              </w:rPr>
              <w:t xml:space="preserve"> P</w:t>
            </w:r>
            <w:r>
              <w:rPr>
                <w:rFonts w:ascii="Arial" w:cs="Arial" w:eastAsia="Arial" w:hAnsi="Arial"/>
                <w:sz w:val="14"/>
                <w:szCs w:val="14"/>
                <w:color w:val="auto"/>
              </w:rPr>
              <w:t>ARK</w:t>
            </w:r>
            <w:r>
              <w:rPr>
                <w:rFonts w:ascii="Arial" w:cs="Arial" w:eastAsia="Arial" w:hAnsi="Arial"/>
                <w:sz w:val="18"/>
                <w:szCs w:val="18"/>
                <w:color w:val="auto"/>
              </w:rPr>
              <w:t>, C</w:t>
            </w:r>
            <w:r>
              <w:rPr>
                <w:rFonts w:ascii="Arial" w:cs="Arial" w:eastAsia="Arial" w:hAnsi="Arial"/>
                <w:sz w:val="14"/>
                <w:szCs w:val="14"/>
                <w:color w:val="auto"/>
              </w:rPr>
              <w:t>A</w:t>
            </w:r>
            <w:r>
              <w:rPr>
                <w:rFonts w:ascii="Arial" w:cs="Arial" w:eastAsia="Arial" w:hAnsi="Arial"/>
                <w:sz w:val="18"/>
                <w:szCs w:val="18"/>
                <w:color w:val="auto"/>
              </w:rPr>
              <w:t xml:space="preserve"> 94025</w:t>
            </w:r>
          </w:p>
        </w:tc>
        <w:tc>
          <w:tcPr>
            <w:tcW w:w="3840" w:type="dxa"/>
            <w:vAlign w:val="bottom"/>
            <w:gridSpan w:val="2"/>
          </w:tcPr>
          <w:p>
            <w:pPr>
              <w:jc w:val="center"/>
              <w:ind w:left="912"/>
              <w:spacing w:after="0" w:line="202" w:lineRule="exact"/>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ASHINGTON</w:t>
            </w:r>
            <w:r>
              <w:rPr>
                <w:rFonts w:ascii="Arial" w:cs="Arial" w:eastAsia="Arial" w:hAnsi="Arial"/>
                <w:sz w:val="18"/>
                <w:szCs w:val="18"/>
                <w:color w:val="auto"/>
              </w:rPr>
              <w:t>, D.C.</w:t>
            </w:r>
          </w:p>
        </w:tc>
      </w:tr>
      <w:tr>
        <w:trPr>
          <w:trHeight w:val="203"/>
        </w:trPr>
        <w:tc>
          <w:tcPr>
            <w:tcW w:w="2680" w:type="dxa"/>
            <w:vAlign w:val="bottom"/>
          </w:tcPr>
          <w:p>
            <w:pPr>
              <w:jc w:val="center"/>
              <w:ind w:right="712"/>
              <w:spacing w:after="0" w:line="202" w:lineRule="exact"/>
              <w:rPr>
                <w:sz w:val="20"/>
                <w:szCs w:val="20"/>
                <w:color w:val="auto"/>
              </w:rPr>
            </w:pPr>
            <w:r>
              <w:rPr>
                <w:rFonts w:ascii="Arial" w:cs="Arial" w:eastAsia="Arial" w:hAnsi="Arial"/>
                <w:sz w:val="18"/>
                <w:szCs w:val="18"/>
                <w:color w:val="auto"/>
                <w:w w:val="98"/>
              </w:rPr>
              <w:t>650 752 2000</w:t>
            </w:r>
          </w:p>
        </w:tc>
        <w:tc>
          <w:tcPr>
            <w:tcW w:w="3840" w:type="dxa"/>
            <w:vAlign w:val="bottom"/>
            <w:gridSpan w:val="2"/>
          </w:tcPr>
          <w:p>
            <w:pPr>
              <w:jc w:val="center"/>
              <w:ind w:left="912"/>
              <w:spacing w:after="0" w:line="202" w:lineRule="exact"/>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ONDON</w:t>
            </w:r>
          </w:p>
        </w:tc>
      </w:tr>
      <w:tr>
        <w:trPr>
          <w:trHeight w:val="203"/>
        </w:trPr>
        <w:tc>
          <w:tcPr>
            <w:tcW w:w="2680" w:type="dxa"/>
            <w:vAlign w:val="bottom"/>
          </w:tcPr>
          <w:p>
            <w:pPr>
              <w:jc w:val="center"/>
              <w:ind w:right="712"/>
              <w:spacing w:after="0" w:line="202" w:lineRule="exact"/>
              <w:rPr>
                <w:sz w:val="20"/>
                <w:szCs w:val="20"/>
                <w:color w:val="auto"/>
              </w:rPr>
            </w:pPr>
            <w:r>
              <w:rPr>
                <w:rFonts w:ascii="Arial" w:cs="Arial" w:eastAsia="Arial" w:hAnsi="Arial"/>
                <w:sz w:val="18"/>
                <w:szCs w:val="18"/>
                <w:color w:val="auto"/>
                <w:w w:val="95"/>
              </w:rPr>
              <w:t>FAX 650 752 2111</w:t>
            </w:r>
          </w:p>
        </w:tc>
        <w:tc>
          <w:tcPr>
            <w:tcW w:w="3840" w:type="dxa"/>
            <w:vAlign w:val="bottom"/>
            <w:gridSpan w:val="2"/>
          </w:tcPr>
          <w:p>
            <w:pPr>
              <w:jc w:val="center"/>
              <w:ind w:left="892"/>
              <w:spacing w:after="0" w:line="202" w:lineRule="exact"/>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ARIS</w:t>
            </w:r>
          </w:p>
        </w:tc>
      </w:tr>
      <w:tr>
        <w:trPr>
          <w:trHeight w:val="203"/>
        </w:trPr>
        <w:tc>
          <w:tcPr>
            <w:tcW w:w="2680" w:type="dxa"/>
            <w:vAlign w:val="bottom"/>
          </w:tcPr>
          <w:p>
            <w:pPr>
              <w:spacing w:after="0"/>
              <w:rPr>
                <w:sz w:val="17"/>
                <w:szCs w:val="17"/>
                <w:color w:val="auto"/>
              </w:rPr>
            </w:pPr>
          </w:p>
        </w:tc>
        <w:tc>
          <w:tcPr>
            <w:tcW w:w="3840" w:type="dxa"/>
            <w:vAlign w:val="bottom"/>
            <w:gridSpan w:val="2"/>
          </w:tcPr>
          <w:p>
            <w:pPr>
              <w:jc w:val="center"/>
              <w:ind w:left="892"/>
              <w:spacing w:after="0" w:line="202" w:lineRule="exact"/>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RANKFURT</w:t>
            </w:r>
          </w:p>
        </w:tc>
      </w:tr>
      <w:tr>
        <w:trPr>
          <w:trHeight w:val="203"/>
        </w:trPr>
        <w:tc>
          <w:tcPr>
            <w:tcW w:w="2680" w:type="dxa"/>
            <w:vAlign w:val="bottom"/>
          </w:tcPr>
          <w:p>
            <w:pPr>
              <w:spacing w:after="0"/>
              <w:rPr>
                <w:sz w:val="17"/>
                <w:szCs w:val="17"/>
                <w:color w:val="auto"/>
              </w:rPr>
            </w:pPr>
          </w:p>
        </w:tc>
        <w:tc>
          <w:tcPr>
            <w:tcW w:w="3840" w:type="dxa"/>
            <w:vAlign w:val="bottom"/>
            <w:gridSpan w:val="2"/>
          </w:tcPr>
          <w:p>
            <w:pPr>
              <w:jc w:val="center"/>
              <w:ind w:left="912"/>
              <w:spacing w:after="0" w:line="202" w:lineRule="exact"/>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ADRID</w:t>
            </w:r>
          </w:p>
        </w:tc>
      </w:tr>
      <w:tr>
        <w:trPr>
          <w:trHeight w:val="203"/>
        </w:trPr>
        <w:tc>
          <w:tcPr>
            <w:tcW w:w="2680" w:type="dxa"/>
            <w:vAlign w:val="bottom"/>
          </w:tcPr>
          <w:p>
            <w:pPr>
              <w:spacing w:after="0"/>
              <w:rPr>
                <w:sz w:val="17"/>
                <w:szCs w:val="17"/>
                <w:color w:val="auto"/>
              </w:rPr>
            </w:pPr>
          </w:p>
        </w:tc>
        <w:tc>
          <w:tcPr>
            <w:tcW w:w="3840" w:type="dxa"/>
            <w:vAlign w:val="bottom"/>
            <w:gridSpan w:val="2"/>
          </w:tcPr>
          <w:p>
            <w:pPr>
              <w:jc w:val="center"/>
              <w:ind w:left="912"/>
              <w:spacing w:after="0" w:line="202"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OKYO</w:t>
            </w:r>
          </w:p>
        </w:tc>
      </w:tr>
      <w:tr>
        <w:trPr>
          <w:trHeight w:val="203"/>
        </w:trPr>
        <w:tc>
          <w:tcPr>
            <w:tcW w:w="2680" w:type="dxa"/>
            <w:vAlign w:val="bottom"/>
          </w:tcPr>
          <w:p>
            <w:pPr>
              <w:spacing w:after="0"/>
              <w:rPr>
                <w:sz w:val="17"/>
                <w:szCs w:val="17"/>
                <w:color w:val="auto"/>
              </w:rPr>
            </w:pPr>
          </w:p>
        </w:tc>
        <w:tc>
          <w:tcPr>
            <w:tcW w:w="3840" w:type="dxa"/>
            <w:vAlign w:val="bottom"/>
            <w:gridSpan w:val="2"/>
          </w:tcPr>
          <w:p>
            <w:pPr>
              <w:jc w:val="center"/>
              <w:ind w:left="892"/>
              <w:spacing w:after="0" w:line="202" w:lineRule="exact"/>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EIJING</w:t>
            </w:r>
          </w:p>
        </w:tc>
      </w:tr>
      <w:tr>
        <w:trPr>
          <w:trHeight w:val="211"/>
        </w:trPr>
        <w:tc>
          <w:tcPr>
            <w:tcW w:w="2680" w:type="dxa"/>
            <w:vAlign w:val="bottom"/>
          </w:tcPr>
          <w:p>
            <w:pPr>
              <w:spacing w:after="0"/>
              <w:rPr>
                <w:sz w:val="18"/>
                <w:szCs w:val="18"/>
                <w:color w:val="auto"/>
              </w:rPr>
            </w:pPr>
          </w:p>
        </w:tc>
        <w:tc>
          <w:tcPr>
            <w:tcW w:w="3840" w:type="dxa"/>
            <w:vAlign w:val="bottom"/>
            <w:gridSpan w:val="2"/>
          </w:tcPr>
          <w:p>
            <w:pPr>
              <w:jc w:val="center"/>
              <w:ind w:left="912"/>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ONG</w:t>
            </w:r>
            <w:r>
              <w:rPr>
                <w:rFonts w:ascii="Arial" w:cs="Arial" w:eastAsia="Arial" w:hAnsi="Arial"/>
                <w:sz w:val="18"/>
                <w:szCs w:val="18"/>
                <w:color w:val="auto"/>
              </w:rPr>
              <w:t xml:space="preserve"> K</w:t>
            </w:r>
            <w:r>
              <w:rPr>
                <w:rFonts w:ascii="Arial" w:cs="Arial" w:eastAsia="Arial" w:hAnsi="Arial"/>
                <w:sz w:val="14"/>
                <w:szCs w:val="14"/>
                <w:color w:val="auto"/>
              </w:rPr>
              <w:t>ONG</w:t>
            </w:r>
          </w:p>
        </w:tc>
      </w:tr>
      <w:tr>
        <w:trPr>
          <w:trHeight w:val="378"/>
        </w:trPr>
        <w:tc>
          <w:tcPr>
            <w:tcW w:w="2680" w:type="dxa"/>
            <w:vAlign w:val="bottom"/>
          </w:tcPr>
          <w:p>
            <w:pPr>
              <w:spacing w:after="0"/>
              <w:rPr>
                <w:sz w:val="24"/>
                <w:szCs w:val="24"/>
                <w:color w:val="auto"/>
              </w:rPr>
            </w:pPr>
          </w:p>
        </w:tc>
        <w:tc>
          <w:tcPr>
            <w:tcW w:w="3840" w:type="dxa"/>
            <w:vAlign w:val="bottom"/>
            <w:gridSpan w:val="2"/>
          </w:tcPr>
          <w:p>
            <w:pPr>
              <w:ind w:left="820"/>
              <w:spacing w:after="0"/>
              <w:rPr>
                <w:sz w:val="20"/>
                <w:szCs w:val="20"/>
                <w:color w:val="auto"/>
              </w:rPr>
            </w:pPr>
            <w:r>
              <w:rPr>
                <w:rFonts w:ascii="Arial" w:cs="Arial" w:eastAsia="Arial" w:hAnsi="Arial"/>
                <w:sz w:val="18"/>
                <w:szCs w:val="18"/>
                <w:color w:val="auto"/>
              </w:rPr>
              <w:t>April 27,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-1678940</wp:posOffset>
            </wp:positionV>
            <wp:extent cx="272732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27325" cy="13716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acted as counsel for Comcast Corporation, a Pennsylvania company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on the date hereof by the Company with the Securities and Exchange Commission pursuant to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for the registration of the sale from time to time of (i) shares of the Company’s Class A Common Stock, par value $0.01 per share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(ii) shares of the Company’s Class A Special Common Stock, par value $0.01 per share (the “</w:t>
      </w:r>
      <w:r>
        <w:rPr>
          <w:rFonts w:ascii="Arial" w:cs="Arial" w:eastAsia="Arial" w:hAnsi="Arial"/>
          <w:sz w:val="16"/>
          <w:szCs w:val="16"/>
          <w:b w:val="1"/>
          <w:bCs w:val="1"/>
          <w:color w:val="auto"/>
        </w:rPr>
        <w:t>Class A Special Common</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(iii) shares of the Company’s preferred stock, without par value (the “</w:t>
      </w:r>
      <w:r>
        <w:rPr>
          <w:rFonts w:ascii="Arial" w:cs="Arial" w:eastAsia="Arial" w:hAnsi="Arial"/>
          <w:sz w:val="16"/>
          <w:szCs w:val="16"/>
          <w:b w:val="1"/>
          <w:bCs w:val="1"/>
          <w:color w:val="auto"/>
        </w:rPr>
        <w:t>Preferred Stock</w:t>
      </w:r>
      <w:r>
        <w:rPr>
          <w:rFonts w:ascii="Arial" w:cs="Arial" w:eastAsia="Arial" w:hAnsi="Arial"/>
          <w:sz w:val="16"/>
          <w:szCs w:val="16"/>
          <w:color w:val="auto"/>
        </w:rPr>
        <w:t>”); (iv) the Company’s senior debt securities and subordinated</w:t>
      </w:r>
      <w:r>
        <w:rPr>
          <w:rFonts w:ascii="Arial" w:cs="Arial" w:eastAsia="Arial" w:hAnsi="Arial"/>
          <w:sz w:val="16"/>
          <w:szCs w:val="16"/>
          <w:b w:val="1"/>
          <w:bCs w:val="1"/>
          <w:color w:val="auto"/>
        </w:rPr>
        <w:t xml:space="preserve"> </w:t>
      </w:r>
      <w:r>
        <w:rPr>
          <w:rFonts w:ascii="Arial" w:cs="Arial" w:eastAsia="Arial" w:hAnsi="Arial"/>
          <w:sz w:val="16"/>
          <w:szCs w:val="16"/>
          <w:color w:val="auto"/>
        </w:rPr>
        <w:t>debt securities (collectively, the “</w:t>
      </w:r>
      <w:r>
        <w:rPr>
          <w:rFonts w:ascii="Arial" w:cs="Arial" w:eastAsia="Arial" w:hAnsi="Arial"/>
          <w:sz w:val="16"/>
          <w:szCs w:val="16"/>
          <w:b w:val="1"/>
          <w:bCs w:val="1"/>
          <w:color w:val="auto"/>
        </w:rPr>
        <w:t>Debt Securities</w:t>
      </w:r>
      <w:r>
        <w:rPr>
          <w:rFonts w:ascii="Arial" w:cs="Arial" w:eastAsia="Arial" w:hAnsi="Arial"/>
          <w:sz w:val="16"/>
          <w:szCs w:val="16"/>
          <w:color w:val="auto"/>
        </w:rPr>
        <w:t>”) which may be fully and unconditionally guaranteed by each of Comcast Cable Communications, LLC, Comcast Cable Communications Holdings, Inc., Comcast Cable Holdings, LLC, Comcast MO Group, Inc., and Comcast MO of Delaware, LLC. (collectively, the “</w:t>
      </w:r>
      <w:r>
        <w:rPr>
          <w:rFonts w:ascii="Arial" w:cs="Arial" w:eastAsia="Arial" w:hAnsi="Arial"/>
          <w:sz w:val="16"/>
          <w:szCs w:val="16"/>
          <w:b w:val="1"/>
          <w:bCs w:val="1"/>
          <w:color w:val="auto"/>
        </w:rPr>
        <w:t>Cable Guarantors</w:t>
      </w:r>
      <w:r>
        <w:rPr>
          <w:rFonts w:ascii="Arial" w:cs="Arial" w:eastAsia="Arial" w:hAnsi="Arial"/>
          <w:sz w:val="16"/>
          <w:szCs w:val="16"/>
          <w:color w:val="auto"/>
        </w:rPr>
        <w:t>”); (v) warrants (the “</w:t>
      </w:r>
      <w:r>
        <w:rPr>
          <w:rFonts w:ascii="Arial" w:cs="Arial" w:eastAsia="Arial" w:hAnsi="Arial"/>
          <w:sz w:val="16"/>
          <w:szCs w:val="16"/>
          <w:b w:val="1"/>
          <w:bCs w:val="1"/>
          <w:color w:val="auto"/>
        </w:rPr>
        <w:t>Warrants</w:t>
      </w:r>
      <w:r>
        <w:rPr>
          <w:rFonts w:ascii="Arial" w:cs="Arial" w:eastAsia="Arial" w:hAnsi="Arial"/>
          <w:sz w:val="16"/>
          <w:szCs w:val="16"/>
          <w:color w:val="auto"/>
        </w:rPr>
        <w:t>”), which may be issued pursuant to a warrant agreement between the Company and the warrant agent to be named therein (the “</w:t>
      </w:r>
      <w:r>
        <w:rPr>
          <w:rFonts w:ascii="Arial" w:cs="Arial" w:eastAsia="Arial" w:hAnsi="Arial"/>
          <w:sz w:val="16"/>
          <w:szCs w:val="16"/>
          <w:b w:val="1"/>
          <w:bCs w:val="1"/>
          <w:color w:val="auto"/>
        </w:rPr>
        <w:t>Warrant Agreement</w:t>
      </w:r>
      <w:r>
        <w:rPr>
          <w:rFonts w:ascii="Arial" w:cs="Arial" w:eastAsia="Arial" w:hAnsi="Arial"/>
          <w:sz w:val="16"/>
          <w:szCs w:val="16"/>
          <w:color w:val="auto"/>
        </w:rPr>
        <w:t>”); (vi) purchase contracts (the “</w:t>
      </w:r>
      <w:r>
        <w:rPr>
          <w:rFonts w:ascii="Arial" w:cs="Arial" w:eastAsia="Arial" w:hAnsi="Arial"/>
          <w:sz w:val="16"/>
          <w:szCs w:val="16"/>
          <w:b w:val="1"/>
          <w:bCs w:val="1"/>
          <w:color w:val="auto"/>
        </w:rPr>
        <w:t>Purchase Contracts</w:t>
      </w:r>
      <w:r>
        <w:rPr>
          <w:rFonts w:ascii="Arial" w:cs="Arial" w:eastAsia="Arial" w:hAnsi="Arial"/>
          <w:sz w:val="16"/>
          <w:szCs w:val="16"/>
          <w:color w:val="auto"/>
        </w:rPr>
        <w:t>”) which may be issued under one or more purchase agreements (each, a “</w:t>
      </w:r>
      <w:r>
        <w:rPr>
          <w:rFonts w:ascii="Arial" w:cs="Arial" w:eastAsia="Arial" w:hAnsi="Arial"/>
          <w:sz w:val="16"/>
          <w:szCs w:val="16"/>
          <w:b w:val="1"/>
          <w:bCs w:val="1"/>
          <w:color w:val="auto"/>
        </w:rPr>
        <w:t>Purchase Contract Agreement</w:t>
      </w:r>
      <w:r>
        <w:rPr>
          <w:rFonts w:ascii="Arial" w:cs="Arial" w:eastAsia="Arial" w:hAnsi="Arial"/>
          <w:sz w:val="16"/>
          <w:szCs w:val="16"/>
          <w:color w:val="auto"/>
        </w:rPr>
        <w:t>”) to be entered into between the Company and the purchase contract agent to be named therein (the “</w:t>
      </w:r>
      <w:r>
        <w:rPr>
          <w:rFonts w:ascii="Arial" w:cs="Arial" w:eastAsia="Arial" w:hAnsi="Arial"/>
          <w:sz w:val="16"/>
          <w:szCs w:val="16"/>
          <w:b w:val="1"/>
          <w:bCs w:val="1"/>
          <w:color w:val="auto"/>
        </w:rPr>
        <w:t>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Contract Agent</w:t>
      </w:r>
      <w:r>
        <w:rPr>
          <w:rFonts w:ascii="Arial" w:cs="Arial" w:eastAsia="Arial" w:hAnsi="Arial"/>
          <w:sz w:val="16"/>
          <w:szCs w:val="16"/>
          <w:color w:val="auto"/>
        </w:rPr>
        <w:t>”) requiring the holders thereof to purchase or sell (A) the Company’s securities or securities of an entity unaffiliated or affiliated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 basket of such</w:t>
      </w:r>
    </w:p>
    <w:p>
      <w:pPr>
        <w:sectPr>
          <w:pgSz w:w="11900" w:h="16838" w:orient="portrait"/>
          <w:cols w:equalWidth="0" w:num="1">
            <w:col w:w="11420"/>
          </w:cols>
          <w:pgMar w:left="240" w:top="108" w:right="23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 index or indices of such securities or any combination of the above, (B) currencies or composite currencies or (C) commodities; (vii) units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Units</w:t>
      </w:r>
      <w:r>
        <w:rPr>
          <w:rFonts w:ascii="Arial" w:cs="Arial" w:eastAsia="Arial" w:hAnsi="Arial"/>
          <w:sz w:val="16"/>
          <w:szCs w:val="16"/>
          <w:color w:val="auto"/>
        </w:rPr>
        <w:t>”) consisting of Debt Securities, Warrants, Purchase Contracts, Preferred Stock, Class A Common Stock or Class A Special Common Stock or 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combination of the foregoing to be issued under one or more unit agreements to be entered into among the Company, a bank or trust company, as unit agent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Unit Agent</w:t>
      </w:r>
      <w:r>
        <w:rPr>
          <w:rFonts w:ascii="Arial" w:cs="Arial" w:eastAsia="Arial" w:hAnsi="Arial"/>
          <w:sz w:val="16"/>
          <w:szCs w:val="16"/>
          <w:color w:val="auto"/>
        </w:rPr>
        <w:t>”), and the holders from time to time of the Units (each such unit agreement, a “</w:t>
      </w:r>
      <w:r>
        <w:rPr>
          <w:rFonts w:ascii="Arial" w:cs="Arial" w:eastAsia="Arial" w:hAnsi="Arial"/>
          <w:sz w:val="16"/>
          <w:szCs w:val="16"/>
          <w:b w:val="1"/>
          <w:bCs w:val="1"/>
          <w:color w:val="auto"/>
        </w:rPr>
        <w:t>Unit Agreement</w:t>
      </w:r>
      <w:r>
        <w:rPr>
          <w:rFonts w:ascii="Arial" w:cs="Arial" w:eastAsia="Arial" w:hAnsi="Arial"/>
          <w:sz w:val="16"/>
          <w:szCs w:val="16"/>
          <w:color w:val="auto"/>
        </w:rPr>
        <w:t>”); (viii) guarantees (the “</w:t>
      </w:r>
      <w:r>
        <w:rPr>
          <w:rFonts w:ascii="Arial" w:cs="Arial" w:eastAsia="Arial" w:hAnsi="Arial"/>
          <w:sz w:val="16"/>
          <w:szCs w:val="16"/>
          <w:b w:val="1"/>
          <w:bCs w:val="1"/>
          <w:color w:val="auto"/>
        </w:rPr>
        <w:t>Cable Guarantees</w:t>
      </w:r>
      <w:r>
        <w:rPr>
          <w:rFonts w:ascii="Arial" w:cs="Arial" w:eastAsia="Arial" w:hAnsi="Arial"/>
          <w:sz w:val="16"/>
          <w:szCs w:val="16"/>
          <w:color w:val="auto"/>
        </w:rPr>
        <w: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Debt Securities by the Cable Guarantors; and (ix) guarantees (the “</w:t>
      </w:r>
      <w:r>
        <w:rPr>
          <w:rFonts w:ascii="Arial" w:cs="Arial" w:eastAsia="Arial" w:hAnsi="Arial"/>
          <w:sz w:val="16"/>
          <w:szCs w:val="16"/>
          <w:b w:val="1"/>
          <w:bCs w:val="1"/>
          <w:color w:val="auto"/>
        </w:rPr>
        <w:t>Additional Guarantees</w:t>
      </w:r>
      <w:r>
        <w:rPr>
          <w:rFonts w:ascii="Arial" w:cs="Arial" w:eastAsia="Arial" w:hAnsi="Arial"/>
          <w:sz w:val="16"/>
          <w:szCs w:val="16"/>
          <w:color w:val="auto"/>
        </w:rPr>
        <w:t>”) of Warrants, Purchase Contracts and Units or any combination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the foregoing by the Cable Guarantors to be issued under one or more guarantee agreements (each, a “</w:t>
      </w:r>
      <w:r>
        <w:rPr>
          <w:rFonts w:ascii="Arial" w:cs="Arial" w:eastAsia="Arial" w:hAnsi="Arial"/>
          <w:sz w:val="15"/>
          <w:szCs w:val="15"/>
          <w:b w:val="1"/>
          <w:bCs w:val="1"/>
          <w:color w:val="auto"/>
        </w:rPr>
        <w:t>Guarantee Agreement</w:t>
      </w:r>
      <w:r>
        <w:rPr>
          <w:rFonts w:ascii="Arial" w:cs="Arial" w:eastAsia="Arial" w:hAnsi="Arial"/>
          <w:sz w:val="15"/>
          <w:szCs w:val="15"/>
          <w:color w:val="auto"/>
        </w:rPr>
        <w:t>” to be entered into by the Cable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Guarantors). The Debt Securities, Preferred Stock, Class A Common Stock, Class A Special Common Stock, Warrants, Purchase Contracts, Units, 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Guarantees and Additional Guarantees are herein collectively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The Debt Securities and the Preferred Stock may be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and/or exchangeable for Securities or other securities or rights. The senior Debt Securities are to be issued pursuant to an Indenture, dated as of January 7, 2003,</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as amended by that First Supplemental Indenture, dated as of March 26, 2003 (together, the “</w:t>
      </w:r>
      <w:r>
        <w:rPr>
          <w:rFonts w:ascii="Arial" w:cs="Arial" w:eastAsia="Arial" w:hAnsi="Arial"/>
          <w:sz w:val="15"/>
          <w:szCs w:val="15"/>
          <w:b w:val="1"/>
          <w:bCs w:val="1"/>
          <w:color w:val="auto"/>
        </w:rPr>
        <w:t>Senior Indenture</w:t>
      </w:r>
      <w:r>
        <w:rPr>
          <w:rFonts w:ascii="Arial" w:cs="Arial" w:eastAsia="Arial" w:hAnsi="Arial"/>
          <w:sz w:val="15"/>
          <w:szCs w:val="15"/>
          <w:color w:val="auto"/>
        </w:rPr>
        <w:t>”), among the Company, the Cable Guarantors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Bank of New York Mellon (formerly known as The Bank of New York), as Trustee. The subordinated Debt Securities are to be issued pursuant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(the “</w:t>
      </w:r>
      <w:r>
        <w:rPr>
          <w:rFonts w:ascii="Arial" w:cs="Arial" w:eastAsia="Arial" w:hAnsi="Arial"/>
          <w:sz w:val="16"/>
          <w:szCs w:val="16"/>
          <w:b w:val="1"/>
          <w:bCs w:val="1"/>
          <w:color w:val="auto"/>
        </w:rPr>
        <w:t>Subordinated Indenture</w:t>
      </w:r>
      <w:r>
        <w:rPr>
          <w:rFonts w:ascii="Arial" w:cs="Arial" w:eastAsia="Arial" w:hAnsi="Arial"/>
          <w:sz w:val="16"/>
          <w:szCs w:val="16"/>
          <w:color w:val="auto"/>
        </w:rPr>
        <w:t>”) among the Company, the Cable Guarantors and The Bank of New York Mellon, as Trustee, substantially in the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attached as an exhibit to the Registration Statement. The Senior Indenture and the Subordinated Indenture are hereinafter referred to individually as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and collectively as the “</w:t>
      </w:r>
      <w:r>
        <w:rPr>
          <w:rFonts w:ascii="Arial" w:cs="Arial" w:eastAsia="Arial" w:hAnsi="Arial"/>
          <w:sz w:val="16"/>
          <w:szCs w:val="16"/>
          <w:b w:val="1"/>
          <w:bCs w:val="1"/>
          <w:color w:val="auto"/>
        </w:rPr>
        <w:t>Indentures</w:t>
      </w:r>
      <w:r>
        <w:rPr>
          <w:rFonts w:ascii="Arial" w:cs="Arial" w:eastAsia="Arial" w:hAnsi="Arial"/>
          <w:sz w:val="16"/>
          <w:szCs w:val="16"/>
          <w:color w:val="auto"/>
        </w:rPr>
        <w:t>.” The Company may offer Depositary Shares (the “</w:t>
      </w:r>
      <w:r>
        <w:rPr>
          <w:rFonts w:ascii="Arial" w:cs="Arial" w:eastAsia="Arial" w:hAnsi="Arial"/>
          <w:sz w:val="16"/>
          <w:szCs w:val="16"/>
          <w:b w:val="1"/>
          <w:bCs w:val="1"/>
          <w:color w:val="auto"/>
        </w:rPr>
        <w:t>Depositary Shares</w:t>
      </w:r>
      <w:r>
        <w:rPr>
          <w:rFonts w:ascii="Arial" w:cs="Arial" w:eastAsia="Arial" w:hAnsi="Arial"/>
          <w:sz w:val="16"/>
          <w:szCs w:val="16"/>
          <w:color w:val="auto"/>
        </w:rPr>
        <w:t>”) representing interests in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deposited with a Depositary and evidenced by Depositary Receipts, and such Depositary Shares are also covered by the Registration Statement.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and Class A Special Common Stock may be issued with associated rights under the Rights Agreement dated as of November 18, 2002,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between the Company and EquiServe Trust Company, N.A., as Rights Agent.</w:t>
      </w:r>
    </w:p>
    <w:p>
      <w:pPr>
        <w:spacing w:after="0" w:line="165"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We, as your counsel,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we are of the opinion that:</w:t>
      </w:r>
    </w:p>
    <w:p>
      <w:pPr>
        <w:spacing w:after="0" w:line="90" w:lineRule="exact"/>
        <w:rPr>
          <w:sz w:val="20"/>
          <w:szCs w:val="20"/>
          <w:color w:val="auto"/>
        </w:rPr>
      </w:pPr>
    </w:p>
    <w:p>
      <w:pPr>
        <w:ind w:left="460" w:right="60" w:firstLine="443"/>
        <w:spacing w:after="0" w:line="256" w:lineRule="auto"/>
        <w:tabs>
          <w:tab w:leader="none" w:pos="107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Assuming the Senior Indenture has been duly authorized, executed and delivered by the Trustee and the Company, and when the Subordinated Indenture and any supplemental indenture to be entered into in connection with the issuance of any Debt Securities have been duly authorized, executed and delivered by the Trustee, the Company and the Cable Guarantors; the specific terms of a particular series of Debt Securities have been duly authorized and established in accordance with the applicable Indenture; and such</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80" w:name="page81"/>
    <w:bookmarkEnd w:id="8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Debt Securities have been duly authorized, executed, authenticated, issued and delivered in accordance with the applicable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62" w:lineRule="exact"/>
        <w:rPr>
          <w:sz w:val="20"/>
          <w:szCs w:val="20"/>
          <w:color w:val="auto"/>
        </w:rPr>
      </w:pPr>
    </w:p>
    <w:p>
      <w:pPr>
        <w:ind w:right="40" w:firstLine="443"/>
        <w:spacing w:after="0" w:line="289" w:lineRule="auto"/>
        <w:tabs>
          <w:tab w:leader="none" w:pos="614" w:val="left"/>
        </w:tabs>
        <w:numPr>
          <w:ilvl w:val="0"/>
          <w:numId w:val="72"/>
        </w:numPr>
        <w:rPr>
          <w:rFonts w:ascii="Arial" w:cs="Arial" w:eastAsia="Arial" w:hAnsi="Arial"/>
          <w:sz w:val="16"/>
          <w:szCs w:val="16"/>
          <w:color w:val="auto"/>
        </w:rPr>
      </w:pPr>
      <w:r>
        <w:rPr>
          <w:rFonts w:ascii="Arial" w:cs="Arial" w:eastAsia="Arial" w:hAnsi="Arial"/>
          <w:sz w:val="16"/>
          <w:szCs w:val="16"/>
          <w:color w:val="auto"/>
        </w:rPr>
        <w:t>Assuming the Senior Indenture has been duly authorized, executed and delivered by the Trustee and the Company, and when the Subordinated Indenture and any supplemental indenture to be entered into in connection with the issuance of any Debt Securities have been duly authorized, executed and delivered by the Trustee, the Company and the Cable Guarantors; the specific terms of a particular series of Debt Securities have been duly authorized and established in accordance with the applicable Indenture; and such Debt Securities have been duly authorized, executed, authenticated, issued and delivered in accordance with the applicable Indenture and the applicable underwriting or other agreement against payment therefor, the Cable Guarantees relating to such Debt Securities will constitute valid and binding obligations of the Cable Guarantors, enforceable in accordance with their terms, subject to applicable bankruptcy, insolvency and similar laws affecting creditors’ rights generally, concepts of reasonableness and equitable principles of general applicability.</w:t>
      </w:r>
    </w:p>
    <w:p>
      <w:pPr>
        <w:spacing w:after="0" w:line="37" w:lineRule="exact"/>
        <w:rPr>
          <w:rFonts w:ascii="Arial" w:cs="Arial" w:eastAsia="Arial" w:hAnsi="Arial"/>
          <w:sz w:val="16"/>
          <w:szCs w:val="16"/>
          <w:color w:val="auto"/>
        </w:rPr>
      </w:pPr>
    </w:p>
    <w:p>
      <w:pPr>
        <w:ind w:right="60" w:firstLine="443"/>
        <w:spacing w:after="0" w:line="291" w:lineRule="auto"/>
        <w:tabs>
          <w:tab w:leader="none" w:pos="614" w:val="left"/>
        </w:tabs>
        <w:numPr>
          <w:ilvl w:val="0"/>
          <w:numId w:val="72"/>
        </w:numPr>
        <w:rPr>
          <w:rFonts w:ascii="Arial" w:cs="Arial" w:eastAsia="Arial" w:hAnsi="Arial"/>
          <w:sz w:val="16"/>
          <w:szCs w:val="16"/>
          <w:color w:val="auto"/>
        </w:rPr>
      </w:pPr>
      <w:r>
        <w:rPr>
          <w:rFonts w:ascii="Arial" w:cs="Arial" w:eastAsia="Arial" w:hAnsi="Arial"/>
          <w:sz w:val="16"/>
          <w:szCs w:val="16"/>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39" w:lineRule="exact"/>
        <w:rPr>
          <w:rFonts w:ascii="Arial" w:cs="Arial" w:eastAsia="Arial" w:hAnsi="Arial"/>
          <w:sz w:val="16"/>
          <w:szCs w:val="16"/>
          <w:color w:val="auto"/>
        </w:rPr>
      </w:pPr>
    </w:p>
    <w:p>
      <w:pPr>
        <w:ind w:right="100" w:firstLine="443"/>
        <w:spacing w:after="0" w:line="291" w:lineRule="auto"/>
        <w:tabs>
          <w:tab w:leader="none" w:pos="614" w:val="left"/>
        </w:tabs>
        <w:numPr>
          <w:ilvl w:val="0"/>
          <w:numId w:val="72"/>
        </w:numPr>
        <w:rPr>
          <w:rFonts w:ascii="Arial" w:cs="Arial" w:eastAsia="Arial" w:hAnsi="Arial"/>
          <w:sz w:val="16"/>
          <w:szCs w:val="16"/>
          <w:color w:val="auto"/>
        </w:rPr>
      </w:pPr>
      <w:r>
        <w:rPr>
          <w:rFonts w:ascii="Arial" w:cs="Arial" w:eastAsia="Arial" w:hAnsi="Arial"/>
          <w:sz w:val="16"/>
          <w:szCs w:val="16"/>
          <w:color w:val="auto"/>
        </w:rPr>
        <w:t>When the Guarantee Agreement to be entered into in connection with the issuance of any Additional Guarantees has been duly authorized, executed and delivered by the Cable Guarantors and any agent party thereto; the Additional Guarantees have been duly authorized and established in accordance with the Guarantee Agreement; and such Additional Guarantees have been duly authorized, executed, issued and delivered in accordance with the Guarantee Agreement and the applicable underwriting or other agreement against payment therefor, such Additional Guarantees will constitute valid and binding obligations of the Cable Guarantors, enforceable in accordance with their terms, subject to applicable bankruptcy, insolvency and similar laws affecting creditors’ rights generally, concepts of reasonableness and equitable principles of general applicability.</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81" w:name="page82"/>
    <w:bookmarkEnd w:id="81"/>
    <w:p>
      <w:pPr>
        <w:ind w:left="460" w:right="160" w:firstLine="443"/>
        <w:spacing w:after="0" w:line="314" w:lineRule="auto"/>
        <w:tabs>
          <w:tab w:leader="none" w:pos="1074" w:val="left"/>
        </w:tabs>
        <w:numPr>
          <w:ilvl w:val="0"/>
          <w:numId w:val="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23" w:lineRule="exact"/>
        <w:rPr>
          <w:rFonts w:ascii="Arial" w:cs="Arial" w:eastAsia="Arial" w:hAnsi="Arial"/>
          <w:sz w:val="15"/>
          <w:szCs w:val="15"/>
          <w:color w:val="auto"/>
        </w:rPr>
      </w:pPr>
    </w:p>
    <w:p>
      <w:pPr>
        <w:ind w:left="460" w:firstLine="443"/>
        <w:spacing w:after="0" w:line="254" w:lineRule="auto"/>
        <w:tabs>
          <w:tab w:leader="none" w:pos="1074"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4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such Security, (i) the Board of Directors or, in the case of a limited liability company, the managing member shall have duly established the terms of such Security and duly authorized the issuance and sale of such Security and such authorization shall not have been modified or rescinded; (ii) the Registration Statement shall have become effective pursuant to Rule 462(e) and such effectiveness shall not have been terminated or rescinded; and (iii) there shall not have occurred any change in law affecting the validity or enforceability of such Security. We have also assumed that none of the terms of any Security to be established subsequent to the date hereof, nor the issuance and delivery of such Security, nor the compliance by the Company or the Cable Guarantors with the terms of such Security will violate any applicable law or public policy or will result in a violation of any provision of any instrument or agreement then binding upon the Company or the Cable Guarantors, or any restriction imposed by any court or governmental body having jurisdiction over the Company or the Cable Guarantors.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2" w:name="page83"/>
    <w:bookmarkEnd w:id="82"/>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members of the Bars of the States of New York and California and the foregoing opinion is limited to the laws of the State of New York and the General Corporation Law of the State of Delaware.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our prior written consent.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reports dated February 20, 2009, relating to the consolidated financial statements and consolidated financial statement schedule of Comcast Corporation (which reports express unqualified opinions and include an explanatory paragraph relating to the adoption of new accounting pronouncements in 2008 and 2007), and the effectiveness of Comcast Corporation’s internal control over financial reporting, appearing in the Annual Report on Form 10-K of Comcast Corporation for the year ended December 31, 2008, and to the reference to us under the heading “Experts” in the Prospectus, which is part of this Registration Statement.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24, 2009</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u w:val="single" w:color="auto"/>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66040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92075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FORM T-1</w:t>
      </w:r>
    </w:p>
    <w:p>
      <w:pPr>
        <w:spacing w:after="0" w:line="18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STATEMENT OF ELIGIBILITY</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TRUST INDENTURE ACT OF 1939 OF 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CORPORATION DESIGNATED TO ACT AS TRUSTEE</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CHECK IF AN APPLICATION TO DETERMINE</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ELIGIBILITY OF A TRUSTEE PURSUANT TO</w:t>
      </w:r>
    </w:p>
    <w:p>
      <w:pPr>
        <w:spacing w:after="0" w:line="9" w:lineRule="exact"/>
        <w:rPr>
          <w:sz w:val="20"/>
          <w:szCs w:val="20"/>
          <w:color w:val="auto"/>
        </w:rPr>
      </w:pPr>
    </w:p>
    <w:p>
      <w:pPr>
        <w:jc w:val="center"/>
        <w:ind w:right="1200"/>
        <w:spacing w:after="0" w:line="207" w:lineRule="exact"/>
        <w:tabs>
          <w:tab w:leader="none" w:pos="320" w:val="left"/>
        </w:tabs>
        <w:rPr>
          <w:sz w:val="20"/>
          <w:szCs w:val="20"/>
          <w:color w:val="auto"/>
        </w:rPr>
      </w:pPr>
      <w:r>
        <w:rPr>
          <w:rFonts w:ascii="Arial" w:cs="Arial" w:eastAsia="Arial" w:hAnsi="Arial"/>
          <w:sz w:val="18"/>
          <w:szCs w:val="18"/>
          <w:b w:val="1"/>
          <w:bCs w:val="1"/>
          <w:color w:val="auto"/>
        </w:rPr>
        <w:t>SECTION 305(b)(2)</w:t>
      </w:r>
      <w:r>
        <w:rPr>
          <w:sz w:val="20"/>
          <w:szCs w:val="20"/>
          <w:color w:val="auto"/>
        </w:rPr>
        <w:tab/>
      </w: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118745</wp:posOffset>
            </wp:positionV>
            <wp:extent cx="15176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THE BANK OF NEW YORK MELLON</w:t>
      </w:r>
    </w:p>
    <w:p>
      <w:pPr>
        <w:spacing w:after="0" w:line="49"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auto"/>
        </w:rPr>
        <w:t>(Exact name of trustee as specified in its charter)</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218"/>
        </w:trPr>
        <w:tc>
          <w:tcPr>
            <w:tcW w:w="4500" w:type="dxa"/>
            <w:vAlign w:val="bottom"/>
          </w:tcPr>
          <w:p>
            <w:pPr>
              <w:jc w:val="center"/>
              <w:ind w:right="1964"/>
              <w:spacing w:after="0"/>
              <w:rPr>
                <w:sz w:val="20"/>
                <w:szCs w:val="20"/>
                <w:color w:val="auto"/>
              </w:rPr>
            </w:pPr>
            <w:r>
              <w:rPr>
                <w:rFonts w:ascii="Arial" w:cs="Arial" w:eastAsia="Arial" w:hAnsi="Arial"/>
                <w:sz w:val="18"/>
                <w:szCs w:val="18"/>
                <w:b w:val="1"/>
                <w:bCs w:val="1"/>
                <w:color w:val="auto"/>
                <w:w w:val="90"/>
              </w:rPr>
              <w:t>New York</w:t>
            </w:r>
          </w:p>
        </w:tc>
        <w:tc>
          <w:tcPr>
            <w:tcW w:w="3060" w:type="dxa"/>
            <w:vAlign w:val="bottom"/>
          </w:tcPr>
          <w:p>
            <w:pPr>
              <w:jc w:val="right"/>
              <w:ind w:right="24"/>
              <w:spacing w:after="0"/>
              <w:rPr>
                <w:sz w:val="20"/>
                <w:szCs w:val="20"/>
                <w:color w:val="auto"/>
              </w:rPr>
            </w:pPr>
            <w:r>
              <w:rPr>
                <w:rFonts w:ascii="Arial" w:cs="Arial" w:eastAsia="Arial" w:hAnsi="Arial"/>
                <w:sz w:val="18"/>
                <w:szCs w:val="18"/>
                <w:b w:val="1"/>
                <w:bCs w:val="1"/>
                <w:color w:val="auto"/>
              </w:rPr>
              <w:t>13-5160382</w:t>
            </w:r>
          </w:p>
        </w:tc>
      </w:tr>
      <w:tr>
        <w:trPr>
          <w:trHeight w:val="149"/>
        </w:trPr>
        <w:tc>
          <w:tcPr>
            <w:tcW w:w="4500" w:type="dxa"/>
            <w:vAlign w:val="bottom"/>
          </w:tcPr>
          <w:p>
            <w:pPr>
              <w:jc w:val="center"/>
              <w:ind w:right="1984"/>
              <w:spacing w:after="0" w:line="149" w:lineRule="exact"/>
              <w:rPr>
                <w:sz w:val="20"/>
                <w:szCs w:val="20"/>
                <w:color w:val="auto"/>
              </w:rPr>
            </w:pPr>
            <w:r>
              <w:rPr>
                <w:rFonts w:ascii="Arial" w:cs="Arial" w:eastAsia="Arial" w:hAnsi="Arial"/>
                <w:sz w:val="14"/>
                <w:szCs w:val="14"/>
                <w:b w:val="1"/>
                <w:bCs w:val="1"/>
                <w:color w:val="auto"/>
                <w:w w:val="87"/>
              </w:rPr>
              <w:t>(State of incorporation</w:t>
            </w:r>
          </w:p>
        </w:tc>
        <w:tc>
          <w:tcPr>
            <w:tcW w:w="3060" w:type="dxa"/>
            <w:vAlign w:val="bottom"/>
          </w:tcPr>
          <w:p>
            <w:pPr>
              <w:jc w:val="center"/>
              <w:ind w:left="1964"/>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4500" w:type="dxa"/>
            <w:vAlign w:val="bottom"/>
          </w:tcPr>
          <w:p>
            <w:pPr>
              <w:jc w:val="center"/>
              <w:ind w:right="1984"/>
              <w:spacing w:after="0"/>
              <w:rPr>
                <w:sz w:val="20"/>
                <w:szCs w:val="20"/>
                <w:color w:val="auto"/>
              </w:rPr>
            </w:pPr>
            <w:r>
              <w:rPr>
                <w:rFonts w:ascii="Arial" w:cs="Arial" w:eastAsia="Arial" w:hAnsi="Arial"/>
                <w:sz w:val="14"/>
                <w:szCs w:val="14"/>
                <w:b w:val="1"/>
                <w:bCs w:val="1"/>
                <w:color w:val="auto"/>
                <w:w w:val="88"/>
              </w:rPr>
              <w:t>if not a U.S. national bank)</w:t>
            </w:r>
          </w:p>
        </w:tc>
        <w:tc>
          <w:tcPr>
            <w:tcW w:w="3060" w:type="dxa"/>
            <w:vAlign w:val="bottom"/>
          </w:tcPr>
          <w:p>
            <w:pPr>
              <w:jc w:val="center"/>
              <w:ind w:left="1964"/>
              <w:spacing w:after="0"/>
              <w:rPr>
                <w:sz w:val="20"/>
                <w:szCs w:val="20"/>
                <w:color w:val="auto"/>
              </w:rPr>
            </w:pPr>
            <w:r>
              <w:rPr>
                <w:rFonts w:ascii="Arial" w:cs="Arial" w:eastAsia="Arial" w:hAnsi="Arial"/>
                <w:sz w:val="14"/>
                <w:szCs w:val="14"/>
                <w:b w:val="1"/>
                <w:bCs w:val="1"/>
                <w:color w:val="auto"/>
                <w:w w:val="87"/>
              </w:rPr>
              <w:t>identification no.)</w:t>
            </w:r>
          </w:p>
        </w:tc>
      </w:tr>
      <w:tr>
        <w:trPr>
          <w:trHeight w:val="420"/>
        </w:trPr>
        <w:tc>
          <w:tcPr>
            <w:tcW w:w="4500" w:type="dxa"/>
            <w:vAlign w:val="bottom"/>
          </w:tcPr>
          <w:p>
            <w:pPr>
              <w:jc w:val="center"/>
              <w:ind w:right="1984"/>
              <w:spacing w:after="0"/>
              <w:rPr>
                <w:sz w:val="20"/>
                <w:szCs w:val="20"/>
                <w:color w:val="auto"/>
              </w:rPr>
            </w:pPr>
            <w:r>
              <w:rPr>
                <w:rFonts w:ascii="Arial" w:cs="Arial" w:eastAsia="Arial" w:hAnsi="Arial"/>
                <w:sz w:val="18"/>
                <w:szCs w:val="18"/>
                <w:b w:val="1"/>
                <w:bCs w:val="1"/>
                <w:color w:val="auto"/>
                <w:w w:val="90"/>
              </w:rPr>
              <w:t>One Wall Street, New York, N.Y.</w:t>
            </w:r>
          </w:p>
        </w:tc>
        <w:tc>
          <w:tcPr>
            <w:tcW w:w="3060" w:type="dxa"/>
            <w:vAlign w:val="bottom"/>
          </w:tcPr>
          <w:p>
            <w:pPr>
              <w:jc w:val="right"/>
              <w:ind w:right="224"/>
              <w:spacing w:after="0"/>
              <w:rPr>
                <w:sz w:val="20"/>
                <w:szCs w:val="20"/>
                <w:color w:val="auto"/>
              </w:rPr>
            </w:pPr>
            <w:r>
              <w:rPr>
                <w:rFonts w:ascii="Arial" w:cs="Arial" w:eastAsia="Arial" w:hAnsi="Arial"/>
                <w:sz w:val="18"/>
                <w:szCs w:val="18"/>
                <w:b w:val="1"/>
                <w:bCs w:val="1"/>
                <w:color w:val="auto"/>
              </w:rPr>
              <w:t>10286</w:t>
            </w:r>
          </w:p>
        </w:tc>
      </w:tr>
      <w:tr>
        <w:trPr>
          <w:trHeight w:val="174"/>
        </w:trPr>
        <w:tc>
          <w:tcPr>
            <w:tcW w:w="4500" w:type="dxa"/>
            <w:vAlign w:val="bottom"/>
          </w:tcPr>
          <w:p>
            <w:pPr>
              <w:jc w:val="center"/>
              <w:ind w:right="198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060" w:type="dxa"/>
            <w:vAlign w:val="bottom"/>
          </w:tcPr>
          <w:p>
            <w:pPr>
              <w:jc w:val="center"/>
              <w:ind w:left="1964"/>
              <w:spacing w:after="0"/>
              <w:rPr>
                <w:sz w:val="20"/>
                <w:szCs w:val="20"/>
                <w:color w:val="auto"/>
              </w:rPr>
            </w:pPr>
            <w:r>
              <w:rPr>
                <w:rFonts w:ascii="Arial" w:cs="Arial" w:eastAsia="Arial" w:hAnsi="Arial"/>
                <w:sz w:val="14"/>
                <w:szCs w:val="14"/>
                <w:b w:val="1"/>
                <w:bCs w:val="1"/>
                <w:color w:val="auto"/>
                <w:w w:val="86"/>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94615</wp:posOffset>
            </wp:positionV>
            <wp:extent cx="15176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0"/>
          <w:szCs w:val="20"/>
          <w:color w:val="auto"/>
        </w:rPr>
      </w:pPr>
    </w:p>
    <w:tbl>
      <w:tblPr>
        <w:tblLayout w:type="fixed"/>
        <w:tblInd w:w="780" w:type="dxa"/>
        <w:tblCellMar>
          <w:top w:w="0" w:type="dxa"/>
          <w:left w:w="0" w:type="dxa"/>
          <w:bottom w:w="0" w:type="dxa"/>
          <w:right w:w="0" w:type="dxa"/>
        </w:tblCellMar>
      </w:tblPr>
      <w:tr>
        <w:trPr>
          <w:trHeight w:val="258"/>
        </w:trPr>
        <w:tc>
          <w:tcPr>
            <w:tcW w:w="1860" w:type="dxa"/>
            <w:vAlign w:val="bottom"/>
          </w:tcPr>
          <w:p>
            <w:pPr>
              <w:spacing w:after="0"/>
              <w:rPr>
                <w:sz w:val="22"/>
                <w:szCs w:val="22"/>
                <w:color w:val="auto"/>
              </w:rPr>
            </w:pPr>
          </w:p>
        </w:tc>
        <w:tc>
          <w:tcPr>
            <w:tcW w:w="5360" w:type="dxa"/>
            <w:vAlign w:val="bottom"/>
          </w:tcPr>
          <w:p>
            <w:pPr>
              <w:jc w:val="center"/>
              <w:ind w:right="1540"/>
              <w:spacing w:after="0"/>
              <w:rPr>
                <w:sz w:val="20"/>
                <w:szCs w:val="20"/>
                <w:color w:val="auto"/>
              </w:rPr>
            </w:pPr>
            <w:r>
              <w:rPr>
                <w:rFonts w:ascii="Arial" w:cs="Arial" w:eastAsia="Arial" w:hAnsi="Arial"/>
                <w:sz w:val="22"/>
                <w:szCs w:val="22"/>
                <w:b w:val="1"/>
                <w:bCs w:val="1"/>
                <w:color w:val="auto"/>
                <w:w w:val="89"/>
              </w:rPr>
              <w:t>Comcast Corporation</w:t>
            </w:r>
          </w:p>
        </w:tc>
      </w:tr>
      <w:tr>
        <w:trPr>
          <w:trHeight w:val="174"/>
        </w:trPr>
        <w:tc>
          <w:tcPr>
            <w:tcW w:w="1860" w:type="dxa"/>
            <w:vAlign w:val="bottom"/>
          </w:tcPr>
          <w:p>
            <w:pPr>
              <w:spacing w:after="0"/>
              <w:rPr>
                <w:sz w:val="15"/>
                <w:szCs w:val="15"/>
                <w:color w:val="auto"/>
              </w:rPr>
            </w:pPr>
          </w:p>
        </w:tc>
        <w:tc>
          <w:tcPr>
            <w:tcW w:w="5360" w:type="dxa"/>
            <w:vAlign w:val="bottom"/>
          </w:tcPr>
          <w:p>
            <w:pPr>
              <w:jc w:val="center"/>
              <w:ind w:right="1540"/>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393"/>
        </w:trPr>
        <w:tc>
          <w:tcPr>
            <w:tcW w:w="1860" w:type="dxa"/>
            <w:vAlign w:val="bottom"/>
          </w:tcPr>
          <w:p>
            <w:pPr>
              <w:jc w:val="center"/>
              <w:ind w:right="26"/>
              <w:spacing w:after="0"/>
              <w:rPr>
                <w:sz w:val="20"/>
                <w:szCs w:val="20"/>
                <w:color w:val="auto"/>
              </w:rPr>
            </w:pPr>
            <w:r>
              <w:rPr>
                <w:rFonts w:ascii="Arial" w:cs="Arial" w:eastAsia="Arial" w:hAnsi="Arial"/>
                <w:sz w:val="18"/>
                <w:szCs w:val="18"/>
                <w:b w:val="1"/>
                <w:bCs w:val="1"/>
                <w:color w:val="auto"/>
                <w:w w:val="86"/>
              </w:rPr>
              <w:t>Pennsylvania</w:t>
            </w:r>
          </w:p>
        </w:tc>
        <w:tc>
          <w:tcPr>
            <w:tcW w:w="5360" w:type="dxa"/>
            <w:vAlign w:val="bottom"/>
          </w:tcPr>
          <w:p>
            <w:pPr>
              <w:jc w:val="center"/>
              <w:ind w:left="4240"/>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18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360" w:type="dxa"/>
            <w:vAlign w:val="bottom"/>
          </w:tcPr>
          <w:p>
            <w:pPr>
              <w:jc w:val="center"/>
              <w:ind w:left="4260"/>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1860" w:type="dxa"/>
            <w:vAlign w:val="bottom"/>
          </w:tcPr>
          <w:p>
            <w:pPr>
              <w:jc w:val="center"/>
              <w:ind w:right="26"/>
              <w:spacing w:after="0"/>
              <w:rPr>
                <w:sz w:val="20"/>
                <w:szCs w:val="20"/>
                <w:color w:val="auto"/>
              </w:rPr>
            </w:pPr>
            <w:r>
              <w:rPr>
                <w:rFonts w:ascii="Arial" w:cs="Arial" w:eastAsia="Arial" w:hAnsi="Arial"/>
                <w:sz w:val="14"/>
                <w:szCs w:val="14"/>
                <w:b w:val="1"/>
                <w:bCs w:val="1"/>
                <w:color w:val="auto"/>
                <w:w w:val="88"/>
              </w:rPr>
              <w:t>incorporation or organization)</w:t>
            </w:r>
          </w:p>
        </w:tc>
        <w:tc>
          <w:tcPr>
            <w:tcW w:w="5360" w:type="dxa"/>
            <w:vAlign w:val="bottom"/>
          </w:tcPr>
          <w:p>
            <w:pPr>
              <w:jc w:val="center"/>
              <w:ind w:left="4260"/>
              <w:spacing w:after="0"/>
              <w:rPr>
                <w:sz w:val="20"/>
                <w:szCs w:val="20"/>
                <w:color w:val="auto"/>
              </w:rPr>
            </w:pPr>
            <w:r>
              <w:rPr>
                <w:rFonts w:ascii="Arial" w:cs="Arial" w:eastAsia="Arial" w:hAnsi="Arial"/>
                <w:sz w:val="14"/>
                <w:szCs w:val="14"/>
                <w:b w:val="1"/>
                <w:bCs w:val="1"/>
                <w:color w:val="auto"/>
                <w:w w:val="87"/>
              </w:rPr>
              <w:t>identification no.)</w:t>
            </w:r>
          </w:p>
        </w:tc>
      </w:tr>
      <w:tr>
        <w:trPr>
          <w:trHeight w:val="393"/>
        </w:trPr>
        <w:tc>
          <w:tcPr>
            <w:tcW w:w="1860" w:type="dxa"/>
            <w:vAlign w:val="bottom"/>
          </w:tcPr>
          <w:p>
            <w:pPr>
              <w:spacing w:after="0"/>
              <w:rPr>
                <w:sz w:val="24"/>
                <w:szCs w:val="24"/>
                <w:color w:val="auto"/>
              </w:rPr>
            </w:pPr>
          </w:p>
        </w:tc>
        <w:tc>
          <w:tcPr>
            <w:tcW w:w="5360" w:type="dxa"/>
            <w:vAlign w:val="bottom"/>
          </w:tcPr>
          <w:p>
            <w:pPr>
              <w:jc w:val="center"/>
              <w:ind w:right="1540"/>
              <w:spacing w:after="0"/>
              <w:rPr>
                <w:sz w:val="20"/>
                <w:szCs w:val="20"/>
                <w:color w:val="auto"/>
              </w:rPr>
            </w:pPr>
            <w:r>
              <w:rPr>
                <w:rFonts w:ascii="Arial" w:cs="Arial" w:eastAsia="Arial" w:hAnsi="Arial"/>
                <w:sz w:val="22"/>
                <w:szCs w:val="22"/>
                <w:b w:val="1"/>
                <w:bCs w:val="1"/>
                <w:color w:val="auto"/>
                <w:w w:val="89"/>
              </w:rPr>
              <w:t>Comcast Cable Communications, LLC</w:t>
            </w:r>
          </w:p>
        </w:tc>
      </w:tr>
      <w:tr>
        <w:trPr>
          <w:trHeight w:val="174"/>
        </w:trPr>
        <w:tc>
          <w:tcPr>
            <w:tcW w:w="1860" w:type="dxa"/>
            <w:vAlign w:val="bottom"/>
          </w:tcPr>
          <w:p>
            <w:pPr>
              <w:spacing w:after="0"/>
              <w:rPr>
                <w:sz w:val="15"/>
                <w:szCs w:val="15"/>
                <w:color w:val="auto"/>
              </w:rPr>
            </w:pPr>
          </w:p>
        </w:tc>
        <w:tc>
          <w:tcPr>
            <w:tcW w:w="5360" w:type="dxa"/>
            <w:vAlign w:val="bottom"/>
          </w:tcPr>
          <w:p>
            <w:pPr>
              <w:jc w:val="center"/>
              <w:ind w:right="1540"/>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393"/>
        </w:trPr>
        <w:tc>
          <w:tcPr>
            <w:tcW w:w="1860" w:type="dxa"/>
            <w:vAlign w:val="bottom"/>
          </w:tcPr>
          <w:p>
            <w:pPr>
              <w:jc w:val="center"/>
              <w:ind w:right="6"/>
              <w:spacing w:after="0"/>
              <w:rPr>
                <w:sz w:val="20"/>
                <w:szCs w:val="20"/>
                <w:color w:val="auto"/>
              </w:rPr>
            </w:pPr>
            <w:r>
              <w:rPr>
                <w:rFonts w:ascii="Arial" w:cs="Arial" w:eastAsia="Arial" w:hAnsi="Arial"/>
                <w:sz w:val="18"/>
                <w:szCs w:val="18"/>
                <w:b w:val="1"/>
                <w:bCs w:val="1"/>
                <w:color w:val="auto"/>
                <w:w w:val="88"/>
              </w:rPr>
              <w:t>Delaware</w:t>
            </w:r>
          </w:p>
        </w:tc>
        <w:tc>
          <w:tcPr>
            <w:tcW w:w="5360" w:type="dxa"/>
            <w:vAlign w:val="bottom"/>
          </w:tcPr>
          <w:p>
            <w:pPr>
              <w:jc w:val="center"/>
              <w:ind w:left="4240"/>
              <w:spacing w:after="0"/>
              <w:rPr>
                <w:sz w:val="20"/>
                <w:szCs w:val="20"/>
                <w:color w:val="auto"/>
              </w:rPr>
            </w:pPr>
            <w:r>
              <w:rPr>
                <w:rFonts w:ascii="Arial" w:cs="Arial" w:eastAsia="Arial" w:hAnsi="Arial"/>
                <w:sz w:val="18"/>
                <w:szCs w:val="18"/>
                <w:b w:val="1"/>
                <w:bCs w:val="1"/>
                <w:color w:val="auto"/>
                <w:w w:val="87"/>
              </w:rPr>
              <w:t>23-2175755</w:t>
            </w:r>
          </w:p>
        </w:tc>
      </w:tr>
      <w:tr>
        <w:trPr>
          <w:trHeight w:val="149"/>
        </w:trPr>
        <w:tc>
          <w:tcPr>
            <w:tcW w:w="18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360" w:type="dxa"/>
            <w:vAlign w:val="bottom"/>
          </w:tcPr>
          <w:p>
            <w:pPr>
              <w:jc w:val="center"/>
              <w:ind w:left="4260"/>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1860" w:type="dxa"/>
            <w:vAlign w:val="bottom"/>
          </w:tcPr>
          <w:p>
            <w:pPr>
              <w:jc w:val="center"/>
              <w:ind w:right="26"/>
              <w:spacing w:after="0"/>
              <w:rPr>
                <w:sz w:val="20"/>
                <w:szCs w:val="20"/>
                <w:color w:val="auto"/>
              </w:rPr>
            </w:pPr>
            <w:r>
              <w:rPr>
                <w:rFonts w:ascii="Arial" w:cs="Arial" w:eastAsia="Arial" w:hAnsi="Arial"/>
                <w:sz w:val="14"/>
                <w:szCs w:val="14"/>
                <w:b w:val="1"/>
                <w:bCs w:val="1"/>
                <w:color w:val="auto"/>
                <w:w w:val="88"/>
              </w:rPr>
              <w:t>incorporation or organization)</w:t>
            </w:r>
          </w:p>
        </w:tc>
        <w:tc>
          <w:tcPr>
            <w:tcW w:w="5360" w:type="dxa"/>
            <w:vAlign w:val="bottom"/>
          </w:tcPr>
          <w:p>
            <w:pPr>
              <w:jc w:val="center"/>
              <w:ind w:left="4260"/>
              <w:spacing w:after="0"/>
              <w:rPr>
                <w:sz w:val="20"/>
                <w:szCs w:val="20"/>
                <w:color w:val="auto"/>
              </w:rPr>
            </w:pPr>
            <w:r>
              <w:rPr>
                <w:rFonts w:ascii="Arial" w:cs="Arial" w:eastAsia="Arial" w:hAnsi="Arial"/>
                <w:sz w:val="14"/>
                <w:szCs w:val="14"/>
                <w:b w:val="1"/>
                <w:bCs w:val="1"/>
                <w:color w:val="auto"/>
                <w:w w:val="87"/>
              </w:rPr>
              <w:t>identification no.)</w:t>
            </w:r>
          </w:p>
        </w:tc>
      </w:tr>
    </w:tbl>
    <w:p>
      <w:pPr>
        <w:sectPr>
          <w:pgSz w:w="11900" w:h="16838" w:orient="portrait"/>
          <w:cols w:equalWidth="0" w:num="1">
            <w:col w:w="10220"/>
          </w:cols>
          <w:pgMar w:left="1440" w:top="12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Cable Communications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(Exact name of obligor as specified in its charter)</w:t>
      </w:r>
    </w:p>
    <w:p>
      <w:pPr>
        <w:spacing w:after="0" w:line="175" w:lineRule="exact"/>
        <w:rPr>
          <w:sz w:val="20"/>
          <w:szCs w:val="20"/>
          <w:color w:val="auto"/>
        </w:rPr>
      </w:pPr>
    </w:p>
    <w:tbl>
      <w:tblPr>
        <w:tblLayout w:type="fixed"/>
        <w:tblInd w:w="1980" w:type="dxa"/>
        <w:tblCellMar>
          <w:top w:w="0" w:type="dxa"/>
          <w:left w:w="0" w:type="dxa"/>
          <w:bottom w:w="0" w:type="dxa"/>
          <w:right w:w="0" w:type="dxa"/>
        </w:tblCellMar>
      </w:tblPr>
      <w:tr>
        <w:trPr>
          <w:trHeight w:val="218"/>
        </w:trPr>
        <w:tc>
          <w:tcPr>
            <w:tcW w:w="3980" w:type="dxa"/>
            <w:vAlign w:val="bottom"/>
          </w:tcPr>
          <w:p>
            <w:pPr>
              <w:jc w:val="center"/>
              <w:ind w:right="2126"/>
              <w:spacing w:after="0"/>
              <w:rPr>
                <w:sz w:val="20"/>
                <w:szCs w:val="20"/>
                <w:color w:val="auto"/>
              </w:rPr>
            </w:pPr>
            <w:r>
              <w:rPr>
                <w:rFonts w:ascii="Arial" w:cs="Arial" w:eastAsia="Arial" w:hAnsi="Arial"/>
                <w:sz w:val="18"/>
                <w:szCs w:val="18"/>
                <w:b w:val="1"/>
                <w:bCs w:val="1"/>
                <w:color w:val="auto"/>
                <w:w w:val="88"/>
              </w:rPr>
              <w:t>Delaware</w:t>
            </w:r>
          </w:p>
        </w:tc>
        <w:tc>
          <w:tcPr>
            <w:tcW w:w="3240" w:type="dxa"/>
            <w:vAlign w:val="bottom"/>
          </w:tcPr>
          <w:p>
            <w:pPr>
              <w:jc w:val="center"/>
              <w:ind w:left="2126"/>
              <w:spacing w:after="0"/>
              <w:rPr>
                <w:sz w:val="20"/>
                <w:szCs w:val="20"/>
                <w:color w:val="auto"/>
              </w:rPr>
            </w:pPr>
            <w:r>
              <w:rPr>
                <w:rFonts w:ascii="Arial" w:cs="Arial" w:eastAsia="Arial" w:hAnsi="Arial"/>
                <w:sz w:val="18"/>
                <w:szCs w:val="18"/>
                <w:b w:val="1"/>
                <w:bCs w:val="1"/>
                <w:color w:val="auto"/>
                <w:w w:val="87"/>
              </w:rPr>
              <w:t>04-3592397</w:t>
            </w:r>
          </w:p>
        </w:tc>
      </w:tr>
      <w:tr>
        <w:trPr>
          <w:trHeight w:val="149"/>
        </w:trPr>
        <w:tc>
          <w:tcPr>
            <w:tcW w:w="3980" w:type="dxa"/>
            <w:vAlign w:val="bottom"/>
          </w:tcPr>
          <w:p>
            <w:pPr>
              <w:jc w:val="center"/>
              <w:ind w:right="214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240" w:type="dxa"/>
            <w:vAlign w:val="bottom"/>
          </w:tcPr>
          <w:p>
            <w:pPr>
              <w:jc w:val="center"/>
              <w:ind w:left="2146"/>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3980" w:type="dxa"/>
            <w:vAlign w:val="bottom"/>
          </w:tcPr>
          <w:p>
            <w:pPr>
              <w:jc w:val="center"/>
              <w:ind w:right="2146"/>
              <w:spacing w:after="0"/>
              <w:rPr>
                <w:sz w:val="20"/>
                <w:szCs w:val="20"/>
                <w:color w:val="auto"/>
              </w:rPr>
            </w:pPr>
            <w:r>
              <w:rPr>
                <w:rFonts w:ascii="Arial" w:cs="Arial" w:eastAsia="Arial" w:hAnsi="Arial"/>
                <w:sz w:val="14"/>
                <w:szCs w:val="14"/>
                <w:b w:val="1"/>
                <w:bCs w:val="1"/>
                <w:color w:val="auto"/>
                <w:w w:val="88"/>
              </w:rPr>
              <w:t>incorporation or organization)</w:t>
            </w:r>
          </w:p>
        </w:tc>
        <w:tc>
          <w:tcPr>
            <w:tcW w:w="3240" w:type="dxa"/>
            <w:vAlign w:val="bottom"/>
          </w:tcPr>
          <w:p>
            <w:pPr>
              <w:jc w:val="center"/>
              <w:ind w:left="2146"/>
              <w:spacing w:after="0"/>
              <w:rPr>
                <w:sz w:val="20"/>
                <w:szCs w:val="20"/>
                <w:color w:val="auto"/>
              </w:rPr>
            </w:pPr>
            <w:r>
              <w:rPr>
                <w:rFonts w:ascii="Arial" w:cs="Arial" w:eastAsia="Arial" w:hAnsi="Arial"/>
                <w:sz w:val="14"/>
                <w:szCs w:val="14"/>
                <w:b w:val="1"/>
                <w:bCs w:val="1"/>
                <w:color w:val="auto"/>
                <w:w w:val="87"/>
              </w:rPr>
              <w:t>identification no.)</w:t>
            </w: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80" w:type="dxa"/>
            <w:vAlign w:val="bottom"/>
          </w:tcPr>
          <w:p>
            <w:pPr>
              <w:spacing w:after="0"/>
              <w:rPr>
                <w:sz w:val="22"/>
                <w:szCs w:val="22"/>
                <w:color w:val="auto"/>
              </w:rPr>
            </w:pPr>
          </w:p>
        </w:tc>
        <w:tc>
          <w:tcPr>
            <w:tcW w:w="7340" w:type="dxa"/>
            <w:vAlign w:val="bottom"/>
            <w:gridSpan w:val="3"/>
          </w:tcPr>
          <w:p>
            <w:pPr>
              <w:jc w:val="center"/>
              <w:ind w:right="3992"/>
              <w:spacing w:after="0"/>
              <w:rPr>
                <w:sz w:val="20"/>
                <w:szCs w:val="20"/>
                <w:color w:val="auto"/>
              </w:rPr>
            </w:pPr>
            <w:r>
              <w:rPr>
                <w:rFonts w:ascii="Arial" w:cs="Arial" w:eastAsia="Arial" w:hAnsi="Arial"/>
                <w:sz w:val="22"/>
                <w:szCs w:val="22"/>
                <w:b w:val="1"/>
                <w:bCs w:val="1"/>
                <w:color w:val="auto"/>
                <w:w w:val="90"/>
              </w:rPr>
              <w:t>Comcast Cable Holdings, LLC</w:t>
            </w:r>
          </w:p>
        </w:tc>
      </w:tr>
      <w:tr>
        <w:trPr>
          <w:trHeight w:val="174"/>
        </w:trPr>
        <w:tc>
          <w:tcPr>
            <w:tcW w:w="4080" w:type="dxa"/>
            <w:vAlign w:val="bottom"/>
          </w:tcPr>
          <w:p>
            <w:pPr>
              <w:spacing w:after="0"/>
              <w:rPr>
                <w:sz w:val="15"/>
                <w:szCs w:val="15"/>
                <w:color w:val="auto"/>
              </w:rPr>
            </w:pPr>
          </w:p>
        </w:tc>
        <w:tc>
          <w:tcPr>
            <w:tcW w:w="7340" w:type="dxa"/>
            <w:vAlign w:val="bottom"/>
            <w:gridSpan w:val="3"/>
          </w:tcPr>
          <w:p>
            <w:pPr>
              <w:jc w:val="center"/>
              <w:ind w:right="4012"/>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393"/>
        </w:trPr>
        <w:tc>
          <w:tcPr>
            <w:tcW w:w="4080" w:type="dxa"/>
            <w:vAlign w:val="bottom"/>
          </w:tcPr>
          <w:p>
            <w:pPr>
              <w:jc w:val="center"/>
              <w:ind w:left="1584"/>
              <w:spacing w:after="0"/>
              <w:rPr>
                <w:sz w:val="20"/>
                <w:szCs w:val="20"/>
                <w:color w:val="auto"/>
              </w:rPr>
            </w:pPr>
            <w:r>
              <w:rPr>
                <w:rFonts w:ascii="Arial" w:cs="Arial" w:eastAsia="Arial" w:hAnsi="Arial"/>
                <w:sz w:val="18"/>
                <w:szCs w:val="18"/>
                <w:b w:val="1"/>
                <w:bCs w:val="1"/>
                <w:color w:val="auto"/>
                <w:w w:val="88"/>
              </w:rPr>
              <w:t>Delaware</w:t>
            </w:r>
          </w:p>
        </w:tc>
        <w:tc>
          <w:tcPr>
            <w:tcW w:w="7340" w:type="dxa"/>
            <w:vAlign w:val="bottom"/>
            <w:gridSpan w:val="3"/>
          </w:tcPr>
          <w:p>
            <w:pPr>
              <w:jc w:val="center"/>
              <w:ind w:left="1774"/>
              <w:spacing w:after="0"/>
              <w:rPr>
                <w:sz w:val="20"/>
                <w:szCs w:val="20"/>
                <w:color w:val="auto"/>
              </w:rPr>
            </w:pPr>
            <w:r>
              <w:rPr>
                <w:rFonts w:ascii="Arial" w:cs="Arial" w:eastAsia="Arial" w:hAnsi="Arial"/>
                <w:sz w:val="18"/>
                <w:szCs w:val="18"/>
                <w:b w:val="1"/>
                <w:bCs w:val="1"/>
                <w:color w:val="auto"/>
                <w:w w:val="87"/>
              </w:rPr>
              <w:t>84-1260157</w:t>
            </w:r>
          </w:p>
        </w:tc>
      </w:tr>
      <w:tr>
        <w:trPr>
          <w:trHeight w:val="149"/>
        </w:trPr>
        <w:tc>
          <w:tcPr>
            <w:tcW w:w="4080" w:type="dxa"/>
            <w:vAlign w:val="bottom"/>
          </w:tcPr>
          <w:p>
            <w:pPr>
              <w:jc w:val="center"/>
              <w:ind w:left="15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2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4080" w:type="dxa"/>
            <w:vAlign w:val="bottom"/>
          </w:tcPr>
          <w:p>
            <w:pPr>
              <w:jc w:val="center"/>
              <w:ind w:left="1564"/>
              <w:spacing w:after="0"/>
              <w:rPr>
                <w:sz w:val="20"/>
                <w:szCs w:val="20"/>
                <w:color w:val="auto"/>
              </w:rPr>
            </w:pPr>
            <w:r>
              <w:rPr>
                <w:rFonts w:ascii="Arial" w:cs="Arial" w:eastAsia="Arial" w:hAnsi="Arial"/>
                <w:sz w:val="14"/>
                <w:szCs w:val="14"/>
                <w:b w:val="1"/>
                <w:bCs w:val="1"/>
                <w:color w:val="auto"/>
                <w:w w:val="88"/>
              </w:rPr>
              <w:t>incorporation or organization)</w:t>
            </w:r>
          </w:p>
        </w:tc>
        <w:tc>
          <w:tcPr>
            <w:tcW w:w="4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872"/>
              <w:spacing w:after="0"/>
              <w:rPr>
                <w:sz w:val="20"/>
                <w:szCs w:val="20"/>
                <w:color w:val="auto"/>
              </w:rPr>
            </w:pPr>
            <w:r>
              <w:rPr>
                <w:rFonts w:ascii="Arial" w:cs="Arial" w:eastAsia="Arial" w:hAnsi="Arial"/>
                <w:sz w:val="14"/>
                <w:szCs w:val="14"/>
                <w:b w:val="1"/>
                <w:bCs w:val="1"/>
                <w:color w:val="auto"/>
                <w:w w:val="87"/>
              </w:rPr>
              <w:t>identification no.)</w:t>
            </w:r>
          </w:p>
        </w:tc>
      </w:tr>
      <w:tr>
        <w:trPr>
          <w:trHeight w:val="393"/>
        </w:trPr>
        <w:tc>
          <w:tcPr>
            <w:tcW w:w="4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900" w:type="dxa"/>
            <w:vAlign w:val="bottom"/>
            <w:gridSpan w:val="2"/>
          </w:tcPr>
          <w:p>
            <w:pPr>
              <w:jc w:val="center"/>
              <w:ind w:right="4432"/>
              <w:spacing w:after="0"/>
              <w:rPr>
                <w:sz w:val="20"/>
                <w:szCs w:val="20"/>
                <w:color w:val="auto"/>
              </w:rPr>
            </w:pPr>
            <w:r>
              <w:rPr>
                <w:rFonts w:ascii="Arial" w:cs="Arial" w:eastAsia="Arial" w:hAnsi="Arial"/>
                <w:sz w:val="22"/>
                <w:szCs w:val="22"/>
                <w:b w:val="1"/>
                <w:bCs w:val="1"/>
                <w:color w:val="auto"/>
                <w:w w:val="91"/>
              </w:rPr>
              <w:t>Comcast MO Group, Inc.</w:t>
            </w:r>
          </w:p>
        </w:tc>
      </w:tr>
      <w:tr>
        <w:trPr>
          <w:trHeight w:val="174"/>
        </w:trPr>
        <w:tc>
          <w:tcPr>
            <w:tcW w:w="4080" w:type="dxa"/>
            <w:vAlign w:val="bottom"/>
          </w:tcPr>
          <w:p>
            <w:pPr>
              <w:spacing w:after="0"/>
              <w:rPr>
                <w:sz w:val="15"/>
                <w:szCs w:val="15"/>
                <w:color w:val="auto"/>
              </w:rPr>
            </w:pPr>
          </w:p>
        </w:tc>
        <w:tc>
          <w:tcPr>
            <w:tcW w:w="7340" w:type="dxa"/>
            <w:vAlign w:val="bottom"/>
            <w:gridSpan w:val="3"/>
          </w:tcPr>
          <w:p>
            <w:pPr>
              <w:jc w:val="center"/>
              <w:ind w:right="4012"/>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393"/>
        </w:trPr>
        <w:tc>
          <w:tcPr>
            <w:tcW w:w="4080" w:type="dxa"/>
            <w:vAlign w:val="bottom"/>
          </w:tcPr>
          <w:p>
            <w:pPr>
              <w:jc w:val="center"/>
              <w:ind w:left="1584"/>
              <w:spacing w:after="0"/>
              <w:rPr>
                <w:sz w:val="20"/>
                <w:szCs w:val="20"/>
                <w:color w:val="auto"/>
              </w:rPr>
            </w:pPr>
            <w:r>
              <w:rPr>
                <w:rFonts w:ascii="Arial" w:cs="Arial" w:eastAsia="Arial" w:hAnsi="Arial"/>
                <w:sz w:val="18"/>
                <w:szCs w:val="18"/>
                <w:b w:val="1"/>
                <w:bCs w:val="1"/>
                <w:color w:val="auto"/>
                <w:w w:val="88"/>
              </w:rPr>
              <w:t>Delaware</w:t>
            </w:r>
          </w:p>
        </w:tc>
        <w:tc>
          <w:tcPr>
            <w:tcW w:w="7340" w:type="dxa"/>
            <w:vAlign w:val="bottom"/>
            <w:gridSpan w:val="3"/>
          </w:tcPr>
          <w:p>
            <w:pPr>
              <w:jc w:val="center"/>
              <w:ind w:left="1774"/>
              <w:spacing w:after="0"/>
              <w:rPr>
                <w:sz w:val="20"/>
                <w:szCs w:val="20"/>
                <w:color w:val="auto"/>
              </w:rPr>
            </w:pPr>
            <w:r>
              <w:rPr>
                <w:rFonts w:ascii="Arial" w:cs="Arial" w:eastAsia="Arial" w:hAnsi="Arial"/>
                <w:sz w:val="18"/>
                <w:szCs w:val="18"/>
                <w:b w:val="1"/>
                <w:bCs w:val="1"/>
                <w:color w:val="auto"/>
                <w:w w:val="87"/>
              </w:rPr>
              <w:t>91-2047743</w:t>
            </w:r>
          </w:p>
        </w:tc>
      </w:tr>
      <w:tr>
        <w:trPr>
          <w:trHeight w:val="149"/>
        </w:trPr>
        <w:tc>
          <w:tcPr>
            <w:tcW w:w="4080" w:type="dxa"/>
            <w:vAlign w:val="bottom"/>
          </w:tcPr>
          <w:p>
            <w:pPr>
              <w:jc w:val="center"/>
              <w:ind w:left="15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2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4080" w:type="dxa"/>
            <w:vAlign w:val="bottom"/>
          </w:tcPr>
          <w:p>
            <w:pPr>
              <w:jc w:val="center"/>
              <w:ind w:left="1564"/>
              <w:spacing w:after="0"/>
              <w:rPr>
                <w:sz w:val="20"/>
                <w:szCs w:val="20"/>
                <w:color w:val="auto"/>
              </w:rPr>
            </w:pPr>
            <w:r>
              <w:rPr>
                <w:rFonts w:ascii="Arial" w:cs="Arial" w:eastAsia="Arial" w:hAnsi="Arial"/>
                <w:sz w:val="14"/>
                <w:szCs w:val="14"/>
                <w:b w:val="1"/>
                <w:bCs w:val="1"/>
                <w:color w:val="auto"/>
                <w:w w:val="88"/>
              </w:rPr>
              <w:t>incorporation or organization)</w:t>
            </w:r>
          </w:p>
        </w:tc>
        <w:tc>
          <w:tcPr>
            <w:tcW w:w="4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872"/>
              <w:spacing w:after="0"/>
              <w:rPr>
                <w:sz w:val="20"/>
                <w:szCs w:val="20"/>
                <w:color w:val="auto"/>
              </w:rPr>
            </w:pPr>
            <w:r>
              <w:rPr>
                <w:rFonts w:ascii="Arial" w:cs="Arial" w:eastAsia="Arial" w:hAnsi="Arial"/>
                <w:sz w:val="14"/>
                <w:szCs w:val="14"/>
                <w:b w:val="1"/>
                <w:bCs w:val="1"/>
                <w:color w:val="auto"/>
                <w:w w:val="87"/>
              </w:rPr>
              <w:t>identification no.)</w:t>
            </w:r>
          </w:p>
        </w:tc>
      </w:tr>
      <w:tr>
        <w:trPr>
          <w:trHeight w:val="393"/>
        </w:trPr>
        <w:tc>
          <w:tcPr>
            <w:tcW w:w="4080" w:type="dxa"/>
            <w:vAlign w:val="bottom"/>
          </w:tcPr>
          <w:p>
            <w:pPr>
              <w:spacing w:after="0"/>
              <w:rPr>
                <w:sz w:val="24"/>
                <w:szCs w:val="24"/>
                <w:color w:val="auto"/>
              </w:rPr>
            </w:pPr>
          </w:p>
        </w:tc>
        <w:tc>
          <w:tcPr>
            <w:tcW w:w="7340" w:type="dxa"/>
            <w:vAlign w:val="bottom"/>
            <w:gridSpan w:val="3"/>
          </w:tcPr>
          <w:p>
            <w:pPr>
              <w:jc w:val="center"/>
              <w:ind w:right="4012"/>
              <w:spacing w:after="0"/>
              <w:rPr>
                <w:sz w:val="20"/>
                <w:szCs w:val="20"/>
                <w:color w:val="auto"/>
              </w:rPr>
            </w:pPr>
            <w:r>
              <w:rPr>
                <w:rFonts w:ascii="Arial" w:cs="Arial" w:eastAsia="Arial" w:hAnsi="Arial"/>
                <w:sz w:val="22"/>
                <w:szCs w:val="22"/>
                <w:b w:val="1"/>
                <w:bCs w:val="1"/>
                <w:color w:val="auto"/>
                <w:w w:val="92"/>
              </w:rPr>
              <w:t>Comcast MO of Delaware, LLC</w:t>
            </w:r>
          </w:p>
        </w:tc>
      </w:tr>
      <w:tr>
        <w:trPr>
          <w:trHeight w:val="174"/>
        </w:trPr>
        <w:tc>
          <w:tcPr>
            <w:tcW w:w="4080" w:type="dxa"/>
            <w:vAlign w:val="bottom"/>
          </w:tcPr>
          <w:p>
            <w:pPr>
              <w:spacing w:after="0"/>
              <w:rPr>
                <w:sz w:val="15"/>
                <w:szCs w:val="15"/>
                <w:color w:val="auto"/>
              </w:rPr>
            </w:pPr>
          </w:p>
        </w:tc>
        <w:tc>
          <w:tcPr>
            <w:tcW w:w="7340" w:type="dxa"/>
            <w:vAlign w:val="bottom"/>
            <w:gridSpan w:val="3"/>
          </w:tcPr>
          <w:p>
            <w:pPr>
              <w:jc w:val="center"/>
              <w:ind w:right="4012"/>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393"/>
        </w:trPr>
        <w:tc>
          <w:tcPr>
            <w:tcW w:w="4080" w:type="dxa"/>
            <w:vAlign w:val="bottom"/>
          </w:tcPr>
          <w:p>
            <w:pPr>
              <w:jc w:val="center"/>
              <w:ind w:left="1584"/>
              <w:spacing w:after="0"/>
              <w:rPr>
                <w:sz w:val="20"/>
                <w:szCs w:val="20"/>
                <w:color w:val="auto"/>
              </w:rPr>
            </w:pPr>
            <w:r>
              <w:rPr>
                <w:rFonts w:ascii="Arial" w:cs="Arial" w:eastAsia="Arial" w:hAnsi="Arial"/>
                <w:sz w:val="18"/>
                <w:szCs w:val="18"/>
                <w:b w:val="1"/>
                <w:bCs w:val="1"/>
                <w:color w:val="auto"/>
                <w:w w:val="88"/>
              </w:rPr>
              <w:t>Delaware</w:t>
            </w:r>
          </w:p>
        </w:tc>
        <w:tc>
          <w:tcPr>
            <w:tcW w:w="7340" w:type="dxa"/>
            <w:vAlign w:val="bottom"/>
            <w:gridSpan w:val="3"/>
          </w:tcPr>
          <w:p>
            <w:pPr>
              <w:jc w:val="center"/>
              <w:ind w:left="1774"/>
              <w:spacing w:after="0"/>
              <w:rPr>
                <w:sz w:val="20"/>
                <w:szCs w:val="20"/>
                <w:color w:val="auto"/>
              </w:rPr>
            </w:pPr>
            <w:r>
              <w:rPr>
                <w:rFonts w:ascii="Arial" w:cs="Arial" w:eastAsia="Arial" w:hAnsi="Arial"/>
                <w:sz w:val="18"/>
                <w:szCs w:val="18"/>
                <w:b w:val="1"/>
                <w:bCs w:val="1"/>
                <w:color w:val="auto"/>
                <w:w w:val="87"/>
              </w:rPr>
              <w:t>84-1372033</w:t>
            </w:r>
          </w:p>
        </w:tc>
      </w:tr>
      <w:tr>
        <w:trPr>
          <w:trHeight w:val="149"/>
        </w:trPr>
        <w:tc>
          <w:tcPr>
            <w:tcW w:w="4080" w:type="dxa"/>
            <w:vAlign w:val="bottom"/>
          </w:tcPr>
          <w:p>
            <w:pPr>
              <w:jc w:val="center"/>
              <w:ind w:left="15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2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4080" w:type="dxa"/>
            <w:vAlign w:val="bottom"/>
          </w:tcPr>
          <w:p>
            <w:pPr>
              <w:jc w:val="center"/>
              <w:ind w:left="1564"/>
              <w:spacing w:after="0"/>
              <w:rPr>
                <w:sz w:val="20"/>
                <w:szCs w:val="20"/>
                <w:color w:val="auto"/>
              </w:rPr>
            </w:pPr>
            <w:r>
              <w:rPr>
                <w:rFonts w:ascii="Arial" w:cs="Arial" w:eastAsia="Arial" w:hAnsi="Arial"/>
                <w:sz w:val="14"/>
                <w:szCs w:val="14"/>
                <w:b w:val="1"/>
                <w:bCs w:val="1"/>
                <w:color w:val="auto"/>
                <w:w w:val="88"/>
              </w:rPr>
              <w:t>incorporation or organization)</w:t>
            </w:r>
          </w:p>
        </w:tc>
        <w:tc>
          <w:tcPr>
            <w:tcW w:w="4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872"/>
              <w:spacing w:after="0"/>
              <w:rPr>
                <w:sz w:val="20"/>
                <w:szCs w:val="20"/>
                <w:color w:val="auto"/>
              </w:rPr>
            </w:pPr>
            <w:r>
              <w:rPr>
                <w:rFonts w:ascii="Arial" w:cs="Arial" w:eastAsia="Arial" w:hAnsi="Arial"/>
                <w:sz w:val="14"/>
                <w:szCs w:val="14"/>
                <w:b w:val="1"/>
                <w:bCs w:val="1"/>
                <w:color w:val="auto"/>
                <w:w w:val="87"/>
              </w:rPr>
              <w:t>identification no.)</w:t>
            </w:r>
          </w:p>
        </w:tc>
      </w:tr>
      <w:tr>
        <w:trPr>
          <w:trHeight w:val="405"/>
        </w:trPr>
        <w:tc>
          <w:tcPr>
            <w:tcW w:w="4080" w:type="dxa"/>
            <w:vAlign w:val="bottom"/>
          </w:tcPr>
          <w:p>
            <w:pPr>
              <w:jc w:val="center"/>
              <w:ind w:left="1564"/>
              <w:spacing w:after="0"/>
              <w:rPr>
                <w:sz w:val="20"/>
                <w:szCs w:val="20"/>
                <w:color w:val="auto"/>
              </w:rPr>
            </w:pPr>
            <w:r>
              <w:rPr>
                <w:rFonts w:ascii="Arial" w:cs="Arial" w:eastAsia="Arial" w:hAnsi="Arial"/>
                <w:sz w:val="18"/>
                <w:szCs w:val="18"/>
                <w:b w:val="1"/>
                <w:bCs w:val="1"/>
                <w:color w:val="auto"/>
                <w:w w:val="87"/>
              </w:rPr>
              <w:t>One Comcast Center</w:t>
            </w: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31"/>
        </w:trPr>
        <w:tc>
          <w:tcPr>
            <w:tcW w:w="4080" w:type="dxa"/>
            <w:vAlign w:val="bottom"/>
          </w:tcPr>
          <w:p>
            <w:pPr>
              <w:jc w:val="center"/>
              <w:ind w:left="1564"/>
              <w:spacing w:after="0"/>
              <w:rPr>
                <w:sz w:val="20"/>
                <w:szCs w:val="20"/>
                <w:color w:val="auto"/>
              </w:rPr>
            </w:pPr>
            <w:r>
              <w:rPr>
                <w:rFonts w:ascii="Arial" w:cs="Arial" w:eastAsia="Arial" w:hAnsi="Arial"/>
                <w:sz w:val="18"/>
                <w:szCs w:val="18"/>
                <w:b w:val="1"/>
                <w:bCs w:val="1"/>
                <w:color w:val="auto"/>
                <w:w w:val="88"/>
              </w:rPr>
              <w:t>Philadelphia, Pennsylvania</w:t>
            </w:r>
          </w:p>
        </w:tc>
        <w:tc>
          <w:tcPr>
            <w:tcW w:w="7340" w:type="dxa"/>
            <w:vAlign w:val="bottom"/>
            <w:gridSpan w:val="3"/>
          </w:tcPr>
          <w:p>
            <w:pPr>
              <w:jc w:val="center"/>
              <w:ind w:left="1774"/>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4080" w:type="dxa"/>
            <w:vAlign w:val="bottom"/>
          </w:tcPr>
          <w:p>
            <w:pPr>
              <w:jc w:val="center"/>
              <w:ind w:left="156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4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872"/>
              <w:spacing w:after="0"/>
              <w:rPr>
                <w:sz w:val="20"/>
                <w:szCs w:val="20"/>
                <w:color w:val="auto"/>
              </w:rPr>
            </w:pPr>
            <w:r>
              <w:rPr>
                <w:rFonts w:ascii="Arial" w:cs="Arial" w:eastAsia="Arial" w:hAnsi="Arial"/>
                <w:sz w:val="14"/>
                <w:szCs w:val="14"/>
                <w:b w:val="1"/>
                <w:bCs w:val="1"/>
                <w:color w:val="auto"/>
                <w:w w:val="86"/>
              </w:rPr>
              <w:t>(Zip code)</w:t>
            </w:r>
          </w:p>
        </w:tc>
      </w:tr>
      <w:tr>
        <w:trPr>
          <w:trHeight w:val="149"/>
        </w:trPr>
        <w:tc>
          <w:tcPr>
            <w:tcW w:w="4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520" w:type="dxa"/>
            <w:vAlign w:val="bottom"/>
          </w:tcPr>
          <w:p>
            <w:pPr>
              <w:spacing w:after="0"/>
              <w:rPr>
                <w:sz w:val="12"/>
                <w:szCs w:val="12"/>
                <w:color w:val="auto"/>
              </w:rPr>
            </w:pPr>
          </w:p>
        </w:tc>
      </w:tr>
      <w:tr>
        <w:trPr>
          <w:trHeight w:val="276"/>
        </w:trPr>
        <w:tc>
          <w:tcPr>
            <w:tcW w:w="4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900" w:type="dxa"/>
            <w:vAlign w:val="bottom"/>
            <w:gridSpan w:val="2"/>
          </w:tcPr>
          <w:p>
            <w:pPr>
              <w:jc w:val="center"/>
              <w:ind w:right="4452"/>
              <w:spacing w:after="0"/>
              <w:rPr>
                <w:sz w:val="20"/>
                <w:szCs w:val="20"/>
                <w:color w:val="auto"/>
              </w:rPr>
            </w:pPr>
            <w:r>
              <w:rPr>
                <w:rFonts w:ascii="Arial" w:cs="Arial" w:eastAsia="Arial" w:hAnsi="Arial"/>
                <w:sz w:val="18"/>
                <w:szCs w:val="18"/>
                <w:b w:val="1"/>
                <w:bCs w:val="1"/>
                <w:color w:val="auto"/>
                <w:w w:val="86"/>
              </w:rPr>
              <w:t>Senior Debt Securities</w:t>
            </w:r>
          </w:p>
        </w:tc>
      </w:tr>
      <w:tr>
        <w:trPr>
          <w:trHeight w:val="218"/>
        </w:trPr>
        <w:tc>
          <w:tcPr>
            <w:tcW w:w="4080" w:type="dxa"/>
            <w:vAlign w:val="bottom"/>
          </w:tcPr>
          <w:p>
            <w:pPr>
              <w:spacing w:after="0"/>
              <w:rPr>
                <w:sz w:val="18"/>
                <w:szCs w:val="18"/>
                <w:color w:val="auto"/>
              </w:rPr>
            </w:pPr>
          </w:p>
        </w:tc>
        <w:tc>
          <w:tcPr>
            <w:tcW w:w="7340" w:type="dxa"/>
            <w:vAlign w:val="bottom"/>
            <w:gridSpan w:val="3"/>
          </w:tcPr>
          <w:p>
            <w:pPr>
              <w:jc w:val="center"/>
              <w:ind w:right="4012"/>
              <w:spacing w:after="0"/>
              <w:rPr>
                <w:sz w:val="20"/>
                <w:szCs w:val="20"/>
                <w:color w:val="auto"/>
              </w:rPr>
            </w:pPr>
            <w:r>
              <w:rPr>
                <w:rFonts w:ascii="Arial" w:cs="Arial" w:eastAsia="Arial" w:hAnsi="Arial"/>
                <w:sz w:val="18"/>
                <w:szCs w:val="18"/>
                <w:b w:val="1"/>
                <w:bCs w:val="1"/>
                <w:color w:val="auto"/>
                <w:w w:val="87"/>
              </w:rPr>
              <w:t>and Guarantees of Senior Debt Securities</w:t>
            </w:r>
          </w:p>
        </w:tc>
      </w:tr>
      <w:tr>
        <w:trPr>
          <w:trHeight w:val="174"/>
        </w:trPr>
        <w:tc>
          <w:tcPr>
            <w:tcW w:w="4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900" w:type="dxa"/>
            <w:vAlign w:val="bottom"/>
            <w:gridSpan w:val="2"/>
          </w:tcPr>
          <w:p>
            <w:pPr>
              <w:jc w:val="center"/>
              <w:ind w:right="4432"/>
              <w:spacing w:after="0"/>
              <w:rPr>
                <w:sz w:val="20"/>
                <w:szCs w:val="20"/>
                <w:color w:val="auto"/>
              </w:rPr>
            </w:pPr>
            <w:r>
              <w:rPr>
                <w:rFonts w:ascii="Arial" w:cs="Arial" w:eastAsia="Arial" w:hAnsi="Arial"/>
                <w:sz w:val="14"/>
                <w:szCs w:val="14"/>
                <w:b w:val="1"/>
                <w:bCs w:val="1"/>
                <w:color w:val="auto"/>
                <w:w w:val="86"/>
              </w:rPr>
              <w:t>(Title of the indenture securities)</w:t>
            </w:r>
          </w:p>
        </w:tc>
      </w:tr>
      <w:tr>
        <w:trPr>
          <w:trHeight w:val="352"/>
        </w:trPr>
        <w:tc>
          <w:tcPr>
            <w:tcW w:w="40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34"/>
        </w:trPr>
        <w:tc>
          <w:tcPr>
            <w:tcW w:w="4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383"/>
        </w:trPr>
        <w:tc>
          <w:tcPr>
            <w:tcW w:w="4080" w:type="dxa"/>
            <w:vAlign w:val="bottom"/>
          </w:tcPr>
          <w:p>
            <w:pPr>
              <w:spacing w:after="0"/>
              <w:rPr>
                <w:sz w:val="24"/>
                <w:szCs w:val="24"/>
                <w:color w:val="auto"/>
              </w:rPr>
            </w:pPr>
          </w:p>
        </w:tc>
        <w:tc>
          <w:tcPr>
            <w:tcW w:w="2820" w:type="dxa"/>
            <w:vAlign w:val="bottom"/>
            <w:gridSpan w:val="2"/>
          </w:tcPr>
          <w:p>
            <w:pPr>
              <w:jc w:val="center"/>
              <w:ind w:left="354"/>
              <w:spacing w:after="0"/>
              <w:rPr>
                <w:sz w:val="20"/>
                <w:szCs w:val="20"/>
                <w:color w:val="auto"/>
              </w:rPr>
            </w:pPr>
            <w:r>
              <w:rPr>
                <w:rFonts w:ascii="Arial" w:cs="Arial" w:eastAsia="Arial" w:hAnsi="Arial"/>
                <w:sz w:val="18"/>
                <w:szCs w:val="18"/>
                <w:color w:val="auto"/>
                <w:w w:val="93"/>
              </w:rPr>
              <w:t>- 2 -</w:t>
            </w:r>
          </w:p>
        </w:tc>
        <w:tc>
          <w:tcPr>
            <w:tcW w:w="4520" w:type="dxa"/>
            <w:vAlign w:val="bottom"/>
          </w:tcPr>
          <w:p>
            <w:pPr>
              <w:spacing w:after="0"/>
              <w:rPr>
                <w:sz w:val="24"/>
                <w:szCs w:val="24"/>
                <w:color w:val="auto"/>
              </w:rPr>
            </w:pPr>
          </w:p>
        </w:tc>
      </w:tr>
    </w:tbl>
    <w:p>
      <w:pPr>
        <w:sectPr>
          <w:pgSz w:w="11900" w:h="16838" w:orient="portrait"/>
          <w:cols w:equalWidth="0" w:num="1">
            <w:col w:w="11420"/>
          </w:cols>
          <w:pgMar w:left="240" w:top="261" w:right="239" w:bottom="1440" w:gutter="0" w:footer="0" w:header="0"/>
        </w:sectPr>
      </w:pPr>
    </w:p>
    <w:bookmarkStart w:id="86" w:name="page87"/>
    <w:bookmarkEnd w:id="86"/>
    <w:p>
      <w:pPr>
        <w:ind w:left="452" w:hanging="452"/>
        <w:spacing w:after="0"/>
        <w:tabs>
          <w:tab w:leader="none" w:pos="45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information. Furnish the following information as to the Trustee:</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13"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Name</w:t>
            </w:r>
          </w:p>
        </w:tc>
        <w:tc>
          <w:tcPr>
            <w:tcW w:w="16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Address</w:t>
            </w:r>
          </w:p>
        </w:tc>
        <w:tc>
          <w:tcPr>
            <w:tcW w:w="1840" w:type="dxa"/>
            <w:vAlign w:val="bottom"/>
          </w:tcPr>
          <w:p>
            <w:pPr>
              <w:spacing w:after="0"/>
              <w:rPr>
                <w:sz w:val="14"/>
                <w:szCs w:val="14"/>
                <w:color w:val="auto"/>
              </w:rPr>
            </w:pPr>
          </w:p>
        </w:tc>
      </w:tr>
      <w:tr>
        <w:trPr>
          <w:trHeight w:val="309"/>
        </w:trPr>
        <w:tc>
          <w:tcPr>
            <w:tcW w:w="4440" w:type="dxa"/>
            <w:vAlign w:val="bottom"/>
            <w:gridSpan w:val="3"/>
          </w:tcPr>
          <w:p>
            <w:pPr>
              <w:spacing w:after="0"/>
              <w:rPr>
                <w:sz w:val="20"/>
                <w:szCs w:val="20"/>
                <w:color w:val="auto"/>
              </w:rPr>
            </w:pPr>
            <w:r>
              <w:rPr>
                <w:rFonts w:ascii="Arial" w:cs="Arial" w:eastAsia="Arial" w:hAnsi="Arial"/>
                <w:sz w:val="18"/>
                <w:szCs w:val="18"/>
                <w:color w:val="auto"/>
              </w:rPr>
              <w:t>Superintendent of Banks of the State of New York</w:t>
            </w:r>
          </w:p>
        </w:tc>
        <w:tc>
          <w:tcPr>
            <w:tcW w:w="5460" w:type="dxa"/>
            <w:vAlign w:val="bottom"/>
            <w:gridSpan w:val="3"/>
          </w:tcPr>
          <w:p>
            <w:pPr>
              <w:ind w:left="920"/>
              <w:spacing w:after="0"/>
              <w:rPr>
                <w:sz w:val="20"/>
                <w:szCs w:val="20"/>
                <w:color w:val="auto"/>
              </w:rPr>
            </w:pPr>
            <w:r>
              <w:rPr>
                <w:rFonts w:ascii="Arial" w:cs="Arial" w:eastAsia="Arial" w:hAnsi="Arial"/>
                <w:sz w:val="18"/>
                <w:szCs w:val="18"/>
                <w:color w:val="auto"/>
                <w:w w:val="88"/>
              </w:rPr>
              <w:t>One State Street, New York, N.Y. 10004-1417, and Albany, N.Y.</w:t>
            </w:r>
          </w:p>
        </w:tc>
      </w:tr>
      <w:tr>
        <w:trPr>
          <w:trHeight w:val="222"/>
        </w:trPr>
        <w:tc>
          <w:tcPr>
            <w:tcW w:w="2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20" w:type="dxa"/>
            <w:vAlign w:val="bottom"/>
          </w:tcPr>
          <w:p>
            <w:pPr>
              <w:ind w:left="920"/>
              <w:spacing w:after="0"/>
              <w:rPr>
                <w:sz w:val="20"/>
                <w:szCs w:val="20"/>
                <w:color w:val="auto"/>
              </w:rPr>
            </w:pPr>
            <w:r>
              <w:rPr>
                <w:rFonts w:ascii="Arial" w:cs="Arial" w:eastAsia="Arial" w:hAnsi="Arial"/>
                <w:sz w:val="18"/>
                <w:szCs w:val="18"/>
                <w:color w:val="auto"/>
              </w:rPr>
              <w:t>12223</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Federal Reserve Bank of New York</w:t>
            </w:r>
          </w:p>
        </w:tc>
        <w:tc>
          <w:tcPr>
            <w:tcW w:w="5460" w:type="dxa"/>
            <w:vAlign w:val="bottom"/>
            <w:gridSpan w:val="3"/>
          </w:tcPr>
          <w:p>
            <w:pPr>
              <w:ind w:left="920"/>
              <w:spacing w:after="0"/>
              <w:rPr>
                <w:sz w:val="20"/>
                <w:szCs w:val="20"/>
                <w:color w:val="auto"/>
              </w:rPr>
            </w:pPr>
            <w:r>
              <w:rPr>
                <w:rFonts w:ascii="Arial" w:cs="Arial" w:eastAsia="Arial" w:hAnsi="Arial"/>
                <w:sz w:val="18"/>
                <w:szCs w:val="18"/>
                <w:color w:val="auto"/>
              </w:rPr>
              <w:t>33 Liberty Street, New York, N.Y. 10045</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Federal Deposit Insurance Corporation</w:t>
            </w:r>
          </w:p>
        </w:tc>
        <w:tc>
          <w:tcPr>
            <w:tcW w:w="5460" w:type="dxa"/>
            <w:vAlign w:val="bottom"/>
            <w:gridSpan w:val="3"/>
          </w:tcPr>
          <w:p>
            <w:pPr>
              <w:ind w:left="920"/>
              <w:spacing w:after="0"/>
              <w:rPr>
                <w:sz w:val="20"/>
                <w:szCs w:val="20"/>
                <w:color w:val="auto"/>
              </w:rPr>
            </w:pPr>
            <w:r>
              <w:rPr>
                <w:rFonts w:ascii="Arial" w:cs="Arial" w:eastAsia="Arial" w:hAnsi="Arial"/>
                <w:sz w:val="18"/>
                <w:szCs w:val="18"/>
                <w:color w:val="auto"/>
              </w:rPr>
              <w:t>Washington, D.C. 20429</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New York Clearing House Association</w:t>
            </w:r>
          </w:p>
        </w:tc>
        <w:tc>
          <w:tcPr>
            <w:tcW w:w="5460" w:type="dxa"/>
            <w:vAlign w:val="bottom"/>
            <w:gridSpan w:val="3"/>
          </w:tcPr>
          <w:p>
            <w:pPr>
              <w:ind w:left="920"/>
              <w:spacing w:after="0"/>
              <w:rPr>
                <w:sz w:val="20"/>
                <w:szCs w:val="20"/>
                <w:color w:val="auto"/>
              </w:rPr>
            </w:pPr>
            <w:r>
              <w:rPr>
                <w:rFonts w:ascii="Arial" w:cs="Arial" w:eastAsia="Arial" w:hAnsi="Arial"/>
                <w:sz w:val="18"/>
                <w:szCs w:val="18"/>
                <w:color w:val="auto"/>
              </w:rPr>
              <w:t>New York, New York 10005</w:t>
            </w:r>
          </w:p>
        </w:tc>
      </w:tr>
    </w:tbl>
    <w:p>
      <w:pPr>
        <w:spacing w:after="0" w:line="69" w:lineRule="exact"/>
        <w:rPr>
          <w:sz w:val="20"/>
          <w:szCs w:val="20"/>
          <w:color w:val="auto"/>
        </w:rPr>
      </w:pPr>
    </w:p>
    <w:p>
      <w:pPr>
        <w:ind w:left="892" w:hanging="446"/>
        <w:spacing w:after="0"/>
        <w:tabs>
          <w:tab w:leader="none" w:pos="892"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1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Yes.</w:t>
      </w:r>
    </w:p>
    <w:p>
      <w:pPr>
        <w:spacing w:after="0" w:line="84" w:lineRule="exact"/>
        <w:rPr>
          <w:sz w:val="20"/>
          <w:szCs w:val="20"/>
          <w:color w:val="auto"/>
        </w:rPr>
      </w:pPr>
    </w:p>
    <w:p>
      <w:pPr>
        <w:ind w:left="452" w:hanging="452"/>
        <w:spacing w:after="0"/>
        <w:tabs>
          <w:tab w:leader="none" w:pos="4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If the obligor is an affiliate of the trustee, describe each such affiliation.</w:t>
      </w:r>
    </w:p>
    <w:p>
      <w:pPr>
        <w:spacing w:after="0" w:line="1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ind w:left="452" w:hanging="452"/>
        <w:spacing w:after="0"/>
        <w:tabs>
          <w:tab w:leader="none" w:pos="4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90" w:lineRule="exact"/>
        <w:rPr>
          <w:rFonts w:ascii="Arial" w:cs="Arial" w:eastAsia="Arial" w:hAnsi="Arial"/>
          <w:sz w:val="18"/>
          <w:szCs w:val="18"/>
          <w:b w:val="1"/>
          <w:bCs w:val="1"/>
          <w:color w:val="auto"/>
        </w:rPr>
      </w:pPr>
    </w:p>
    <w:p>
      <w:pPr>
        <w:ind w:left="452"/>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44" w:lineRule="exact"/>
        <w:rPr>
          <w:rFonts w:ascii="Arial" w:cs="Arial" w:eastAsia="Arial" w:hAnsi="Arial"/>
          <w:sz w:val="18"/>
          <w:szCs w:val="18"/>
          <w:b w:val="1"/>
          <w:bCs w:val="1"/>
          <w:color w:val="auto"/>
        </w:rPr>
      </w:pPr>
    </w:p>
    <w:p>
      <w:pPr>
        <w:ind w:left="892" w:right="40" w:hanging="446"/>
        <w:spacing w:after="0" w:line="294" w:lineRule="auto"/>
        <w:tabs>
          <w:tab w:leader="none" w:pos="892" w:val="left"/>
        </w:tabs>
        <w:numPr>
          <w:ilvl w:val="1"/>
          <w:numId w:val="77"/>
        </w:numPr>
        <w:rPr>
          <w:rFonts w:ascii="Arial" w:cs="Arial" w:eastAsia="Arial" w:hAnsi="Arial"/>
          <w:sz w:val="16"/>
          <w:szCs w:val="16"/>
          <w:color w:val="auto"/>
        </w:rPr>
      </w:pPr>
      <w:r>
        <w:rPr>
          <w:rFonts w:ascii="Arial" w:cs="Arial" w:eastAsia="Arial" w:hAnsi="Arial"/>
          <w:sz w:val="16"/>
          <w:szCs w:val="16"/>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102" w:lineRule="exact"/>
        <w:rPr>
          <w:rFonts w:ascii="Arial" w:cs="Arial" w:eastAsia="Arial" w:hAnsi="Arial"/>
          <w:sz w:val="16"/>
          <w:szCs w:val="16"/>
          <w:color w:val="auto"/>
        </w:rPr>
      </w:pPr>
    </w:p>
    <w:p>
      <w:pPr>
        <w:ind w:left="5672" w:hanging="112"/>
        <w:spacing w:after="0"/>
        <w:tabs>
          <w:tab w:leader="none" w:pos="5672" w:val="left"/>
        </w:tabs>
        <w:numPr>
          <w:ilvl w:val="2"/>
          <w:numId w:val="7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12"/>
          </w:cols>
          <w:pgMar w:left="248" w:top="274" w:right="339" w:bottom="1440" w:gutter="0" w:footer="0" w:header="0"/>
        </w:sectPr>
      </w:pPr>
    </w:p>
    <w:bookmarkStart w:id="87" w:name="page88"/>
    <w:bookmarkEnd w:id="87"/>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copy of the existing By-laws of the Trustee. (Exhibit 4 to Form T-1 filed with Registration Statement No. 333-121195).</w:t>
      </w:r>
    </w:p>
    <w:p>
      <w:pPr>
        <w:spacing w:after="0" w:line="90" w:lineRule="exact"/>
        <w:rPr>
          <w:sz w:val="20"/>
          <w:szCs w:val="20"/>
          <w:color w:val="auto"/>
        </w:rPr>
      </w:pPr>
    </w:p>
    <w:p>
      <w:pPr>
        <w:ind w:left="446" w:hanging="446"/>
        <w:spacing w:after="0"/>
        <w:tabs>
          <w:tab w:leader="none" w:pos="446"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333-152735).</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pacing w:after="0" w:line="180" w:lineRule="exact"/>
        <w:rPr>
          <w:rFonts w:ascii="Arial" w:cs="Arial" w:eastAsia="Arial" w:hAnsi="Arial"/>
          <w:sz w:val="16"/>
          <w:szCs w:val="16"/>
          <w:color w:val="auto"/>
        </w:rPr>
      </w:pPr>
    </w:p>
    <w:p>
      <w:pPr>
        <w:ind w:left="5226" w:hanging="112"/>
        <w:spacing w:after="0"/>
        <w:tabs>
          <w:tab w:leader="none" w:pos="5226" w:val="left"/>
        </w:tabs>
        <w:numPr>
          <w:ilvl w:val="1"/>
          <w:numId w:val="79"/>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566"/>
          </w:cols>
          <w:pgMar w:left="694" w:top="280" w:right="6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20th day of April,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880" w:type="dxa"/>
            <w:vAlign w:val="bottom"/>
            <w:gridSpan w:val="2"/>
          </w:tcPr>
          <w:p>
            <w:pPr>
              <w:spacing w:after="0"/>
              <w:rPr>
                <w:sz w:val="20"/>
                <w:szCs w:val="20"/>
                <w:color w:val="auto"/>
              </w:rPr>
            </w:pPr>
            <w:r>
              <w:rPr>
                <w:rFonts w:ascii="Arial" w:cs="Arial" w:eastAsia="Arial" w:hAnsi="Arial"/>
                <w:sz w:val="18"/>
                <w:szCs w:val="18"/>
                <w:color w:val="auto"/>
              </w:rPr>
              <w:t>By: /S/</w:t>
            </w:r>
          </w:p>
        </w:tc>
        <w:tc>
          <w:tcPr>
            <w:tcW w:w="3680" w:type="dxa"/>
            <w:vAlign w:val="bottom"/>
          </w:tcPr>
          <w:p>
            <w:pPr>
              <w:ind w:left="80"/>
              <w:spacing w:after="0"/>
              <w:rPr>
                <w:sz w:val="20"/>
                <w:szCs w:val="20"/>
                <w:color w:val="auto"/>
              </w:rPr>
            </w:pPr>
            <w:r>
              <w:rPr>
                <w:rFonts w:ascii="Arial" w:cs="Arial" w:eastAsia="Arial" w:hAnsi="Arial"/>
                <w:sz w:val="18"/>
                <w:szCs w:val="18"/>
                <w:color w:val="auto"/>
              </w:rPr>
              <w:t>SCOTT KLEIN</w:t>
            </w:r>
          </w:p>
        </w:tc>
      </w:tr>
      <w:tr>
        <w:trPr>
          <w:trHeight w:val="202"/>
        </w:trPr>
        <w:tc>
          <w:tcPr>
            <w:tcW w:w="280" w:type="dxa"/>
            <w:vAlign w:val="bottom"/>
          </w:tcPr>
          <w:p>
            <w:pPr>
              <w:spacing w:after="0"/>
              <w:rPr>
                <w:sz w:val="17"/>
                <w:szCs w:val="17"/>
                <w:color w:val="auto"/>
              </w:rPr>
            </w:pPr>
          </w:p>
        </w:tc>
        <w:tc>
          <w:tcPr>
            <w:tcW w:w="600" w:type="dxa"/>
            <w:vAlign w:val="bottom"/>
            <w:tcBorders>
              <w:top w:val="single" w:sz="8" w:color="auto"/>
            </w:tcBorders>
          </w:tcPr>
          <w:p>
            <w:pPr>
              <w:ind w:left="60"/>
              <w:spacing w:after="0" w:line="202" w:lineRule="exact"/>
              <w:rPr>
                <w:sz w:val="20"/>
                <w:szCs w:val="20"/>
                <w:color w:val="auto"/>
              </w:rPr>
            </w:pPr>
            <w:r>
              <w:rPr>
                <w:rFonts w:ascii="Arial" w:cs="Arial" w:eastAsia="Arial" w:hAnsi="Arial"/>
                <w:sz w:val="18"/>
                <w:szCs w:val="18"/>
                <w:color w:val="auto"/>
                <w:w w:val="98"/>
              </w:rPr>
              <w:t>Name:</w:t>
            </w:r>
          </w:p>
        </w:tc>
        <w:tc>
          <w:tcPr>
            <w:tcW w:w="3680" w:type="dxa"/>
            <w:vAlign w:val="bottom"/>
            <w:tcBorders>
              <w:top w:val="single" w:sz="8" w:color="auto"/>
            </w:tcBorders>
          </w:tcPr>
          <w:p>
            <w:pPr>
              <w:ind w:left="80"/>
              <w:spacing w:after="0" w:line="202" w:lineRule="exact"/>
              <w:rPr>
                <w:sz w:val="20"/>
                <w:szCs w:val="20"/>
                <w:color w:val="auto"/>
              </w:rPr>
            </w:pPr>
            <w:r>
              <w:rPr>
                <w:rFonts w:ascii="Arial" w:cs="Arial" w:eastAsia="Arial" w:hAnsi="Arial"/>
                <w:sz w:val="18"/>
                <w:szCs w:val="18"/>
                <w:color w:val="auto"/>
              </w:rPr>
              <w:t>SCOTT KLEIN</w:t>
            </w:r>
          </w:p>
        </w:tc>
      </w:tr>
      <w:tr>
        <w:trPr>
          <w:trHeight w:val="222"/>
        </w:trPr>
        <w:tc>
          <w:tcPr>
            <w:tcW w:w="28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Title:</w:t>
            </w:r>
          </w:p>
        </w:tc>
        <w:tc>
          <w:tcPr>
            <w:tcW w:w="3680" w:type="dxa"/>
            <w:vAlign w:val="bottom"/>
          </w:tcPr>
          <w:p>
            <w:pPr>
              <w:ind w:left="80"/>
              <w:spacing w:after="0"/>
              <w:rPr>
                <w:sz w:val="20"/>
                <w:szCs w:val="20"/>
                <w:color w:val="auto"/>
              </w:rPr>
            </w:pPr>
            <w:r>
              <w:rPr>
                <w:rFonts w:ascii="Arial" w:cs="Arial" w:eastAsia="Arial" w:hAnsi="Arial"/>
                <w:sz w:val="18"/>
                <w:szCs w:val="18"/>
                <w:color w:val="auto"/>
              </w:rPr>
              <w:t>ASSISTANT TREASURER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8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7</w:t>
      </w:r>
    </w:p>
    <w:p>
      <w:pPr>
        <w:spacing w:after="0" w:line="1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Consolidated Report of Condition of</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THE BANK OF NEW YORK MELLON</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of One Wall Street, New York, N.Y. 10286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member of the Federal Reserve System, at the close of business December 31, 2008, published in accordance with a call made by the Federal Reserve Bank of this District pursuant to the provisions of the Federal Reserve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36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Dollar Amounts</w:t>
            </w:r>
          </w:p>
        </w:tc>
      </w:tr>
      <w:tr>
        <w:trPr>
          <w:trHeight w:val="161"/>
        </w:trPr>
        <w:tc>
          <w:tcPr>
            <w:tcW w:w="20" w:type="dxa"/>
            <w:vAlign w:val="bottom"/>
          </w:tcPr>
          <w:p>
            <w:pPr>
              <w:spacing w:after="0"/>
              <w:rPr>
                <w:sz w:val="14"/>
                <w:szCs w:val="14"/>
                <w:color w:val="auto"/>
              </w:rPr>
            </w:pPr>
          </w:p>
        </w:tc>
        <w:tc>
          <w:tcPr>
            <w:tcW w:w="1036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In Thousands</w:t>
            </w:r>
          </w:p>
        </w:tc>
      </w:tr>
      <w:tr>
        <w:trPr>
          <w:trHeight w:val="210"/>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Noninterest-bearing balances and currency and coin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Interest-bearing balances</w:t>
            </w:r>
          </w:p>
        </w:tc>
        <w:tc>
          <w:tcPr>
            <w:tcW w:w="1040" w:type="dxa"/>
            <w:vAlign w:val="bottom"/>
          </w:tcPr>
          <w:p>
            <w:pPr>
              <w:jc w:val="right"/>
              <w:spacing w:after="0"/>
              <w:rPr>
                <w:sz w:val="20"/>
                <w:szCs w:val="20"/>
                <w:color w:val="auto"/>
              </w:rPr>
            </w:pPr>
            <w:r>
              <w:rPr>
                <w:rFonts w:ascii="Arial" w:cs="Arial" w:eastAsia="Arial" w:hAnsi="Arial"/>
                <w:sz w:val="18"/>
                <w:szCs w:val="18"/>
                <w:color w:val="auto"/>
              </w:rPr>
              <w:t>87,807,000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Held-to-maturity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7,327,000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securities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32,572,000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funds sold in domestic offices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Securities purchased under agreements to resell</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Loans and leases held for sale</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32,827,000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LESS: Allowance for loan and lease losses</w:t>
            </w:r>
          </w:p>
        </w:tc>
        <w:tc>
          <w:tcPr>
            <w:tcW w:w="1040" w:type="dxa"/>
            <w:vAlign w:val="bottom"/>
          </w:tcPr>
          <w:p>
            <w:pPr>
              <w:jc w:val="right"/>
              <w:spacing w:after="0"/>
              <w:rPr>
                <w:sz w:val="20"/>
                <w:szCs w:val="20"/>
                <w:color w:val="auto"/>
              </w:rPr>
            </w:pPr>
            <w:r>
              <w:rPr>
                <w:rFonts w:ascii="Arial" w:cs="Arial" w:eastAsia="Arial" w:hAnsi="Arial"/>
                <w:sz w:val="18"/>
                <w:szCs w:val="18"/>
                <w:color w:val="auto"/>
              </w:rPr>
              <w:t>357,000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income and allowance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Trading assets</w:t>
            </w:r>
          </w:p>
        </w:tc>
        <w:tc>
          <w:tcPr>
            <w:tcW w:w="1040" w:type="dxa"/>
            <w:vAlign w:val="bottom"/>
          </w:tcPr>
          <w:p>
            <w:pPr>
              <w:jc w:val="right"/>
              <w:spacing w:after="0"/>
              <w:rPr>
                <w:sz w:val="20"/>
                <w:szCs w:val="20"/>
                <w:color w:val="auto"/>
              </w:rPr>
            </w:pPr>
            <w:r>
              <w:rPr>
                <w:rFonts w:ascii="Arial" w:cs="Arial" w:eastAsia="Arial" w:hAnsi="Arial"/>
                <w:sz w:val="18"/>
                <w:szCs w:val="18"/>
                <w:color w:val="auto"/>
              </w:rPr>
              <w:t>10,665,000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040" w:type="dxa"/>
            <w:vAlign w:val="bottom"/>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Not applicable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40" w:type="dxa"/>
            <w:vAlign w:val="bottom"/>
          </w:tcPr>
          <w:p>
            <w:pPr>
              <w:jc w:val="right"/>
              <w:spacing w:after="0"/>
              <w:rPr>
                <w:sz w:val="20"/>
                <w:szCs w:val="20"/>
                <w:color w:val="auto"/>
              </w:rPr>
            </w:pPr>
            <w:r>
              <w:rPr>
                <w:rFonts w:ascii="Arial" w:cs="Arial" w:eastAsia="Arial" w:hAnsi="Arial"/>
                <w:sz w:val="18"/>
                <w:szCs w:val="18"/>
                <w:color w:val="auto"/>
              </w:rPr>
              <w:t>4,908,000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1,606,000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11,095,000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195,164,000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90" w:name="page91"/>
    <w:bookmarkEnd w:id="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Deposits: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 domestic offices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Noninterest-bearing</w:t>
            </w:r>
          </w:p>
        </w:tc>
        <w:tc>
          <w:tcPr>
            <w:tcW w:w="1040" w:type="dxa"/>
            <w:vAlign w:val="bottom"/>
          </w:tcPr>
          <w:p>
            <w:pPr>
              <w:jc w:val="right"/>
              <w:spacing w:after="0"/>
              <w:rPr>
                <w:sz w:val="20"/>
                <w:szCs w:val="20"/>
                <w:color w:val="auto"/>
              </w:rPr>
            </w:pPr>
            <w:r>
              <w:rPr>
                <w:rFonts w:ascii="Arial" w:cs="Arial" w:eastAsia="Arial" w:hAnsi="Arial"/>
                <w:sz w:val="18"/>
                <w:szCs w:val="18"/>
                <w:color w:val="auto"/>
              </w:rPr>
              <w:t>54,008,000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 foreign offices, Edge and Agreement subsidiaries, and IBFs</w:t>
            </w:r>
          </w:p>
        </w:tc>
        <w:tc>
          <w:tcPr>
            <w:tcW w:w="1040" w:type="dxa"/>
            <w:vAlign w:val="bottom"/>
          </w:tcPr>
          <w:p>
            <w:pPr>
              <w:jc w:val="right"/>
              <w:spacing w:after="0"/>
              <w:rPr>
                <w:sz w:val="20"/>
                <w:szCs w:val="20"/>
                <w:color w:val="auto"/>
              </w:rPr>
            </w:pPr>
            <w:r>
              <w:rPr>
                <w:rFonts w:ascii="Arial" w:cs="Arial" w:eastAsia="Arial" w:hAnsi="Arial"/>
                <w:sz w:val="18"/>
                <w:szCs w:val="18"/>
                <w:color w:val="auto"/>
              </w:rPr>
              <w:t>72,497,000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Noninterest-bearing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Interest-bearing</w:t>
            </w:r>
          </w:p>
        </w:tc>
        <w:tc>
          <w:tcPr>
            <w:tcW w:w="1040" w:type="dxa"/>
            <w:vAlign w:val="bottom"/>
          </w:tcPr>
          <w:p>
            <w:pPr>
              <w:jc w:val="right"/>
              <w:spacing w:after="0"/>
              <w:rPr>
                <w:sz w:val="20"/>
                <w:szCs w:val="20"/>
                <w:color w:val="auto"/>
              </w:rPr>
            </w:pPr>
            <w:r>
              <w:rPr>
                <w:rFonts w:ascii="Arial" w:cs="Arial" w:eastAsia="Arial" w:hAnsi="Arial"/>
                <w:sz w:val="18"/>
                <w:szCs w:val="18"/>
                <w:color w:val="auto"/>
              </w:rPr>
              <w:t>70,939,000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Federal funds purchased in domestic offices</w:t>
            </w:r>
          </w:p>
        </w:tc>
        <w:tc>
          <w:tcPr>
            <w:tcW w:w="1040" w:type="dxa"/>
            <w:vAlign w:val="bottom"/>
          </w:tcPr>
          <w:p>
            <w:pPr>
              <w:jc w:val="right"/>
              <w:spacing w:after="0"/>
              <w:rPr>
                <w:sz w:val="20"/>
                <w:szCs w:val="20"/>
                <w:color w:val="auto"/>
              </w:rPr>
            </w:pPr>
            <w:r>
              <w:rPr>
                <w:rFonts w:ascii="Arial" w:cs="Arial" w:eastAsia="Arial" w:hAnsi="Arial"/>
                <w:sz w:val="18"/>
                <w:szCs w:val="18"/>
                <w:color w:val="auto"/>
              </w:rPr>
              <w:t>454,000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sold under agreements to repurchase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Trading liabilities</w:t>
            </w:r>
          </w:p>
        </w:tc>
        <w:tc>
          <w:tcPr>
            <w:tcW w:w="1040" w:type="dxa"/>
            <w:vAlign w:val="bottom"/>
          </w:tcPr>
          <w:p>
            <w:pPr>
              <w:jc w:val="right"/>
              <w:spacing w:after="0"/>
              <w:rPr>
                <w:sz w:val="20"/>
                <w:szCs w:val="20"/>
                <w:color w:val="auto"/>
              </w:rPr>
            </w:pPr>
            <w:r>
              <w:rPr>
                <w:rFonts w:ascii="Arial" w:cs="Arial" w:eastAsia="Arial" w:hAnsi="Arial"/>
                <w:sz w:val="18"/>
                <w:szCs w:val="18"/>
                <w:color w:val="auto"/>
              </w:rPr>
              <w:t>8,365,000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040" w:type="dxa"/>
            <w:vAlign w:val="bottom"/>
          </w:tcPr>
          <w:p>
            <w:pPr>
              <w:jc w:val="right"/>
              <w:spacing w:after="0"/>
              <w:rPr>
                <w:sz w:val="20"/>
                <w:szCs w:val="20"/>
                <w:color w:val="auto"/>
              </w:rPr>
            </w:pPr>
            <w:r>
              <w:rPr>
                <w:rFonts w:ascii="Arial" w:cs="Arial" w:eastAsia="Arial" w:hAnsi="Arial"/>
                <w:sz w:val="18"/>
                <w:szCs w:val="18"/>
                <w:color w:val="auto"/>
              </w:rPr>
              <w:t>6,256,000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Not applicable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liabilities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183,441,000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80" w:type="dxa"/>
            <w:vAlign w:val="bottom"/>
            <w:gridSpan w:val="2"/>
            <w:vMerge w:val="restart"/>
          </w:tcPr>
          <w:p>
            <w:pPr>
              <w:spacing w:after="0"/>
              <w:rPr>
                <w:sz w:val="20"/>
                <w:szCs w:val="20"/>
                <w:color w:val="auto"/>
              </w:rPr>
            </w:pPr>
            <w:r>
              <w:rPr>
                <w:rFonts w:ascii="Arial" w:cs="Arial" w:eastAsia="Arial" w:hAnsi="Arial"/>
                <w:sz w:val="18"/>
                <w:szCs w:val="18"/>
                <w:color w:val="auto"/>
              </w:rPr>
              <w:t>Minority interest in consolidated subsidiaries</w:t>
            </w: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380" w:type="dxa"/>
            <w:vAlign w:val="bottom"/>
            <w:gridSpan w:val="2"/>
            <w:vMerge w:val="continue"/>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CAPITAL</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8,276,000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-4,848,000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Total equity capital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11,373,000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equity capital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195,164,000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8" w:right="239" w:bottom="1440" w:gutter="0" w:footer="0" w:header="0"/>
        </w:sectPr>
      </w:pPr>
    </w:p>
    <w:bookmarkStart w:id="91" w:name="page92"/>
    <w:bookmarkEnd w:id="9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Thomas P. Gibbons, Chief Financial Officer of the above-named bank do hereby declare that this Report of Condition is true and correct to the best of my knowledge and belief.</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Thomas P. Gibbons,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Gerald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-125730</wp:posOffset>
            </wp:positionV>
            <wp:extent cx="154305" cy="411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4305" cy="411480"/>
                    </a:xfrm>
                    <a:prstGeom prst="rect">
                      <a:avLst/>
                    </a:prstGeom>
                    <a:noFill/>
                  </pic:spPr>
                </pic:pic>
              </a:graphicData>
            </a:graphic>
          </wp:anchor>
        </w:drawing>
      </w:r>
    </w:p>
    <w:p>
      <w:pPr>
        <w:spacing w:after="0"/>
        <w:tabs>
          <w:tab w:leader="none" w:pos="4800" w:val="left"/>
        </w:tabs>
        <w:rPr>
          <w:sz w:val="20"/>
          <w:szCs w:val="20"/>
          <w:color w:val="auto"/>
        </w:rPr>
      </w:pPr>
      <w:r>
        <w:rPr>
          <w:rFonts w:ascii="Arial" w:cs="Arial" w:eastAsia="Arial" w:hAnsi="Arial"/>
          <w:sz w:val="18"/>
          <w:szCs w:val="18"/>
          <w:color w:val="auto"/>
        </w:rPr>
        <w:t>Steven G. Elliott</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P. Kelly</w:t>
      </w:r>
    </w:p>
    <w:p>
      <w:pPr>
        <w:sectPr>
          <w:pgSz w:w="11900" w:h="16838" w:orient="portrait"/>
          <w:cols w:equalWidth="0" w:num="1">
            <w:col w:w="11420"/>
          </w:cols>
          <w:pgMar w:left="240" w:top="2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66040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92075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FORM T-1</w:t>
      </w:r>
    </w:p>
    <w:p>
      <w:pPr>
        <w:spacing w:after="0" w:line="18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STATEMENT OF ELIGIBILITY</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TRUST INDENTURE ACT OF 1939 OF 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CORPORATION DESIGNATED TO ACT AS TRUSTEE</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CHECK IF AN APPLICATION TO DETERMINE</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ELIGIBILITY OF A TRUSTEE PURSUANT TO</w:t>
      </w:r>
    </w:p>
    <w:p>
      <w:pPr>
        <w:spacing w:after="0" w:line="9" w:lineRule="exact"/>
        <w:rPr>
          <w:sz w:val="20"/>
          <w:szCs w:val="20"/>
          <w:color w:val="auto"/>
        </w:rPr>
      </w:pPr>
    </w:p>
    <w:p>
      <w:pPr>
        <w:jc w:val="center"/>
        <w:ind w:right="1200"/>
        <w:spacing w:after="0" w:line="207" w:lineRule="exact"/>
        <w:tabs>
          <w:tab w:leader="none" w:pos="320" w:val="left"/>
        </w:tabs>
        <w:rPr>
          <w:sz w:val="20"/>
          <w:szCs w:val="20"/>
          <w:color w:val="auto"/>
        </w:rPr>
      </w:pPr>
      <w:r>
        <w:rPr>
          <w:rFonts w:ascii="Arial" w:cs="Arial" w:eastAsia="Arial" w:hAnsi="Arial"/>
          <w:sz w:val="18"/>
          <w:szCs w:val="18"/>
          <w:b w:val="1"/>
          <w:bCs w:val="1"/>
          <w:color w:val="auto"/>
        </w:rPr>
        <w:t>SECTION 305(b)(2)</w:t>
      </w:r>
      <w:r>
        <w:rPr>
          <w:sz w:val="20"/>
          <w:szCs w:val="20"/>
          <w:color w:val="auto"/>
        </w:rPr>
        <w:tab/>
      </w: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118745</wp:posOffset>
            </wp:positionV>
            <wp:extent cx="15176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THE BANK OF NEW YORK MELLON</w:t>
      </w:r>
    </w:p>
    <w:p>
      <w:pPr>
        <w:spacing w:after="0" w:line="49"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auto"/>
        </w:rPr>
        <w:t>(Exact name of trustee as specified in its charter)</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218"/>
        </w:trPr>
        <w:tc>
          <w:tcPr>
            <w:tcW w:w="4500" w:type="dxa"/>
            <w:vAlign w:val="bottom"/>
          </w:tcPr>
          <w:p>
            <w:pPr>
              <w:jc w:val="center"/>
              <w:ind w:right="1964"/>
              <w:spacing w:after="0"/>
              <w:rPr>
                <w:sz w:val="20"/>
                <w:szCs w:val="20"/>
                <w:color w:val="auto"/>
              </w:rPr>
            </w:pPr>
            <w:r>
              <w:rPr>
                <w:rFonts w:ascii="Arial" w:cs="Arial" w:eastAsia="Arial" w:hAnsi="Arial"/>
                <w:sz w:val="18"/>
                <w:szCs w:val="18"/>
                <w:b w:val="1"/>
                <w:bCs w:val="1"/>
                <w:color w:val="auto"/>
                <w:w w:val="90"/>
              </w:rPr>
              <w:t>New York</w:t>
            </w:r>
          </w:p>
        </w:tc>
        <w:tc>
          <w:tcPr>
            <w:tcW w:w="3060" w:type="dxa"/>
            <w:vAlign w:val="bottom"/>
          </w:tcPr>
          <w:p>
            <w:pPr>
              <w:jc w:val="right"/>
              <w:ind w:right="24"/>
              <w:spacing w:after="0"/>
              <w:rPr>
                <w:sz w:val="20"/>
                <w:szCs w:val="20"/>
                <w:color w:val="auto"/>
              </w:rPr>
            </w:pPr>
            <w:r>
              <w:rPr>
                <w:rFonts w:ascii="Arial" w:cs="Arial" w:eastAsia="Arial" w:hAnsi="Arial"/>
                <w:sz w:val="18"/>
                <w:szCs w:val="18"/>
                <w:b w:val="1"/>
                <w:bCs w:val="1"/>
                <w:color w:val="auto"/>
              </w:rPr>
              <w:t>13-5160382</w:t>
            </w:r>
          </w:p>
        </w:tc>
      </w:tr>
      <w:tr>
        <w:trPr>
          <w:trHeight w:val="149"/>
        </w:trPr>
        <w:tc>
          <w:tcPr>
            <w:tcW w:w="4500" w:type="dxa"/>
            <w:vAlign w:val="bottom"/>
          </w:tcPr>
          <w:p>
            <w:pPr>
              <w:jc w:val="center"/>
              <w:ind w:right="1984"/>
              <w:spacing w:after="0" w:line="149" w:lineRule="exact"/>
              <w:rPr>
                <w:sz w:val="20"/>
                <w:szCs w:val="20"/>
                <w:color w:val="auto"/>
              </w:rPr>
            </w:pPr>
            <w:r>
              <w:rPr>
                <w:rFonts w:ascii="Arial" w:cs="Arial" w:eastAsia="Arial" w:hAnsi="Arial"/>
                <w:sz w:val="14"/>
                <w:szCs w:val="14"/>
                <w:b w:val="1"/>
                <w:bCs w:val="1"/>
                <w:color w:val="auto"/>
                <w:w w:val="87"/>
              </w:rPr>
              <w:t>(State of incorporation</w:t>
            </w:r>
          </w:p>
        </w:tc>
        <w:tc>
          <w:tcPr>
            <w:tcW w:w="3060" w:type="dxa"/>
            <w:vAlign w:val="bottom"/>
          </w:tcPr>
          <w:p>
            <w:pPr>
              <w:jc w:val="center"/>
              <w:ind w:left="1964"/>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4500" w:type="dxa"/>
            <w:vAlign w:val="bottom"/>
          </w:tcPr>
          <w:p>
            <w:pPr>
              <w:jc w:val="center"/>
              <w:ind w:right="1984"/>
              <w:spacing w:after="0"/>
              <w:rPr>
                <w:sz w:val="20"/>
                <w:szCs w:val="20"/>
                <w:color w:val="auto"/>
              </w:rPr>
            </w:pPr>
            <w:r>
              <w:rPr>
                <w:rFonts w:ascii="Arial" w:cs="Arial" w:eastAsia="Arial" w:hAnsi="Arial"/>
                <w:sz w:val="14"/>
                <w:szCs w:val="14"/>
                <w:b w:val="1"/>
                <w:bCs w:val="1"/>
                <w:color w:val="auto"/>
                <w:w w:val="88"/>
              </w:rPr>
              <w:t>if not a U.S. national bank)</w:t>
            </w:r>
          </w:p>
        </w:tc>
        <w:tc>
          <w:tcPr>
            <w:tcW w:w="3060" w:type="dxa"/>
            <w:vAlign w:val="bottom"/>
          </w:tcPr>
          <w:p>
            <w:pPr>
              <w:jc w:val="center"/>
              <w:ind w:left="1964"/>
              <w:spacing w:after="0"/>
              <w:rPr>
                <w:sz w:val="20"/>
                <w:szCs w:val="20"/>
                <w:color w:val="auto"/>
              </w:rPr>
            </w:pPr>
            <w:r>
              <w:rPr>
                <w:rFonts w:ascii="Arial" w:cs="Arial" w:eastAsia="Arial" w:hAnsi="Arial"/>
                <w:sz w:val="14"/>
                <w:szCs w:val="14"/>
                <w:b w:val="1"/>
                <w:bCs w:val="1"/>
                <w:color w:val="auto"/>
                <w:w w:val="87"/>
              </w:rPr>
              <w:t>identification no.)</w:t>
            </w:r>
          </w:p>
        </w:tc>
      </w:tr>
      <w:tr>
        <w:trPr>
          <w:trHeight w:val="420"/>
        </w:trPr>
        <w:tc>
          <w:tcPr>
            <w:tcW w:w="4500" w:type="dxa"/>
            <w:vAlign w:val="bottom"/>
          </w:tcPr>
          <w:p>
            <w:pPr>
              <w:jc w:val="center"/>
              <w:ind w:right="1984"/>
              <w:spacing w:after="0"/>
              <w:rPr>
                <w:sz w:val="20"/>
                <w:szCs w:val="20"/>
                <w:color w:val="auto"/>
              </w:rPr>
            </w:pPr>
            <w:r>
              <w:rPr>
                <w:rFonts w:ascii="Arial" w:cs="Arial" w:eastAsia="Arial" w:hAnsi="Arial"/>
                <w:sz w:val="18"/>
                <w:szCs w:val="18"/>
                <w:b w:val="1"/>
                <w:bCs w:val="1"/>
                <w:color w:val="auto"/>
                <w:w w:val="90"/>
              </w:rPr>
              <w:t>One Wall Street, New York, N.Y.</w:t>
            </w:r>
          </w:p>
        </w:tc>
        <w:tc>
          <w:tcPr>
            <w:tcW w:w="3060" w:type="dxa"/>
            <w:vAlign w:val="bottom"/>
          </w:tcPr>
          <w:p>
            <w:pPr>
              <w:jc w:val="right"/>
              <w:ind w:right="224"/>
              <w:spacing w:after="0"/>
              <w:rPr>
                <w:sz w:val="20"/>
                <w:szCs w:val="20"/>
                <w:color w:val="auto"/>
              </w:rPr>
            </w:pPr>
            <w:r>
              <w:rPr>
                <w:rFonts w:ascii="Arial" w:cs="Arial" w:eastAsia="Arial" w:hAnsi="Arial"/>
                <w:sz w:val="18"/>
                <w:szCs w:val="18"/>
                <w:b w:val="1"/>
                <w:bCs w:val="1"/>
                <w:color w:val="auto"/>
              </w:rPr>
              <w:t>10286</w:t>
            </w:r>
          </w:p>
        </w:tc>
      </w:tr>
      <w:tr>
        <w:trPr>
          <w:trHeight w:val="174"/>
        </w:trPr>
        <w:tc>
          <w:tcPr>
            <w:tcW w:w="4500" w:type="dxa"/>
            <w:vAlign w:val="bottom"/>
          </w:tcPr>
          <w:p>
            <w:pPr>
              <w:jc w:val="center"/>
              <w:ind w:right="198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060" w:type="dxa"/>
            <w:vAlign w:val="bottom"/>
          </w:tcPr>
          <w:p>
            <w:pPr>
              <w:jc w:val="center"/>
              <w:ind w:left="1964"/>
              <w:spacing w:after="0"/>
              <w:rPr>
                <w:sz w:val="20"/>
                <w:szCs w:val="20"/>
                <w:color w:val="auto"/>
              </w:rPr>
            </w:pPr>
            <w:r>
              <w:rPr>
                <w:rFonts w:ascii="Arial" w:cs="Arial" w:eastAsia="Arial" w:hAnsi="Arial"/>
                <w:sz w:val="14"/>
                <w:szCs w:val="14"/>
                <w:b w:val="1"/>
                <w:bCs w:val="1"/>
                <w:color w:val="auto"/>
                <w:w w:val="86"/>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94615</wp:posOffset>
            </wp:positionV>
            <wp:extent cx="15176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0"/>
          <w:szCs w:val="20"/>
          <w:color w:val="auto"/>
        </w:rPr>
      </w:pPr>
    </w:p>
    <w:tbl>
      <w:tblPr>
        <w:tblLayout w:type="fixed"/>
        <w:tblInd w:w="780" w:type="dxa"/>
        <w:tblCellMar>
          <w:top w:w="0" w:type="dxa"/>
          <w:left w:w="0" w:type="dxa"/>
          <w:bottom w:w="0" w:type="dxa"/>
          <w:right w:w="0" w:type="dxa"/>
        </w:tblCellMar>
      </w:tblPr>
      <w:tr>
        <w:trPr>
          <w:trHeight w:val="258"/>
        </w:trPr>
        <w:tc>
          <w:tcPr>
            <w:tcW w:w="1860" w:type="dxa"/>
            <w:vAlign w:val="bottom"/>
          </w:tcPr>
          <w:p>
            <w:pPr>
              <w:spacing w:after="0"/>
              <w:rPr>
                <w:sz w:val="22"/>
                <w:szCs w:val="22"/>
                <w:color w:val="auto"/>
              </w:rPr>
            </w:pPr>
          </w:p>
        </w:tc>
        <w:tc>
          <w:tcPr>
            <w:tcW w:w="5360" w:type="dxa"/>
            <w:vAlign w:val="bottom"/>
          </w:tcPr>
          <w:p>
            <w:pPr>
              <w:jc w:val="center"/>
              <w:ind w:right="1540"/>
              <w:spacing w:after="0"/>
              <w:rPr>
                <w:sz w:val="20"/>
                <w:szCs w:val="20"/>
                <w:color w:val="auto"/>
              </w:rPr>
            </w:pPr>
            <w:r>
              <w:rPr>
                <w:rFonts w:ascii="Arial" w:cs="Arial" w:eastAsia="Arial" w:hAnsi="Arial"/>
                <w:sz w:val="22"/>
                <w:szCs w:val="22"/>
                <w:b w:val="1"/>
                <w:bCs w:val="1"/>
                <w:color w:val="auto"/>
                <w:w w:val="89"/>
              </w:rPr>
              <w:t>Comcast Corporation</w:t>
            </w:r>
          </w:p>
        </w:tc>
      </w:tr>
      <w:tr>
        <w:trPr>
          <w:trHeight w:val="174"/>
        </w:trPr>
        <w:tc>
          <w:tcPr>
            <w:tcW w:w="1860" w:type="dxa"/>
            <w:vAlign w:val="bottom"/>
          </w:tcPr>
          <w:p>
            <w:pPr>
              <w:spacing w:after="0"/>
              <w:rPr>
                <w:sz w:val="15"/>
                <w:szCs w:val="15"/>
                <w:color w:val="auto"/>
              </w:rPr>
            </w:pPr>
          </w:p>
        </w:tc>
        <w:tc>
          <w:tcPr>
            <w:tcW w:w="5360" w:type="dxa"/>
            <w:vAlign w:val="bottom"/>
          </w:tcPr>
          <w:p>
            <w:pPr>
              <w:jc w:val="center"/>
              <w:ind w:right="1540"/>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393"/>
        </w:trPr>
        <w:tc>
          <w:tcPr>
            <w:tcW w:w="1860" w:type="dxa"/>
            <w:vAlign w:val="bottom"/>
          </w:tcPr>
          <w:p>
            <w:pPr>
              <w:jc w:val="center"/>
              <w:ind w:right="26"/>
              <w:spacing w:after="0"/>
              <w:rPr>
                <w:sz w:val="20"/>
                <w:szCs w:val="20"/>
                <w:color w:val="auto"/>
              </w:rPr>
            </w:pPr>
            <w:r>
              <w:rPr>
                <w:rFonts w:ascii="Arial" w:cs="Arial" w:eastAsia="Arial" w:hAnsi="Arial"/>
                <w:sz w:val="18"/>
                <w:szCs w:val="18"/>
                <w:b w:val="1"/>
                <w:bCs w:val="1"/>
                <w:color w:val="auto"/>
                <w:w w:val="86"/>
              </w:rPr>
              <w:t>Pennsylvania</w:t>
            </w:r>
          </w:p>
        </w:tc>
        <w:tc>
          <w:tcPr>
            <w:tcW w:w="5360" w:type="dxa"/>
            <w:vAlign w:val="bottom"/>
          </w:tcPr>
          <w:p>
            <w:pPr>
              <w:jc w:val="center"/>
              <w:ind w:left="4240"/>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18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360" w:type="dxa"/>
            <w:vAlign w:val="bottom"/>
          </w:tcPr>
          <w:p>
            <w:pPr>
              <w:jc w:val="center"/>
              <w:ind w:left="4260"/>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1860" w:type="dxa"/>
            <w:vAlign w:val="bottom"/>
          </w:tcPr>
          <w:p>
            <w:pPr>
              <w:jc w:val="center"/>
              <w:ind w:right="26"/>
              <w:spacing w:after="0"/>
              <w:rPr>
                <w:sz w:val="20"/>
                <w:szCs w:val="20"/>
                <w:color w:val="auto"/>
              </w:rPr>
            </w:pPr>
            <w:r>
              <w:rPr>
                <w:rFonts w:ascii="Arial" w:cs="Arial" w:eastAsia="Arial" w:hAnsi="Arial"/>
                <w:sz w:val="14"/>
                <w:szCs w:val="14"/>
                <w:b w:val="1"/>
                <w:bCs w:val="1"/>
                <w:color w:val="auto"/>
                <w:w w:val="88"/>
              </w:rPr>
              <w:t>incorporation or organization)</w:t>
            </w:r>
          </w:p>
        </w:tc>
        <w:tc>
          <w:tcPr>
            <w:tcW w:w="5360" w:type="dxa"/>
            <w:vAlign w:val="bottom"/>
          </w:tcPr>
          <w:p>
            <w:pPr>
              <w:jc w:val="center"/>
              <w:ind w:left="4260"/>
              <w:spacing w:after="0"/>
              <w:rPr>
                <w:sz w:val="20"/>
                <w:szCs w:val="20"/>
                <w:color w:val="auto"/>
              </w:rPr>
            </w:pPr>
            <w:r>
              <w:rPr>
                <w:rFonts w:ascii="Arial" w:cs="Arial" w:eastAsia="Arial" w:hAnsi="Arial"/>
                <w:sz w:val="14"/>
                <w:szCs w:val="14"/>
                <w:b w:val="1"/>
                <w:bCs w:val="1"/>
                <w:color w:val="auto"/>
                <w:w w:val="87"/>
              </w:rPr>
              <w:t>identification no.)</w:t>
            </w:r>
          </w:p>
        </w:tc>
      </w:tr>
      <w:tr>
        <w:trPr>
          <w:trHeight w:val="393"/>
        </w:trPr>
        <w:tc>
          <w:tcPr>
            <w:tcW w:w="1860" w:type="dxa"/>
            <w:vAlign w:val="bottom"/>
          </w:tcPr>
          <w:p>
            <w:pPr>
              <w:spacing w:after="0"/>
              <w:rPr>
                <w:sz w:val="24"/>
                <w:szCs w:val="24"/>
                <w:color w:val="auto"/>
              </w:rPr>
            </w:pPr>
          </w:p>
        </w:tc>
        <w:tc>
          <w:tcPr>
            <w:tcW w:w="5360" w:type="dxa"/>
            <w:vAlign w:val="bottom"/>
          </w:tcPr>
          <w:p>
            <w:pPr>
              <w:jc w:val="center"/>
              <w:ind w:right="1540"/>
              <w:spacing w:after="0"/>
              <w:rPr>
                <w:sz w:val="20"/>
                <w:szCs w:val="20"/>
                <w:color w:val="auto"/>
              </w:rPr>
            </w:pPr>
            <w:r>
              <w:rPr>
                <w:rFonts w:ascii="Arial" w:cs="Arial" w:eastAsia="Arial" w:hAnsi="Arial"/>
                <w:sz w:val="22"/>
                <w:szCs w:val="22"/>
                <w:b w:val="1"/>
                <w:bCs w:val="1"/>
                <w:color w:val="auto"/>
                <w:w w:val="89"/>
              </w:rPr>
              <w:t>Comcast Cable Communications, LLC</w:t>
            </w:r>
          </w:p>
        </w:tc>
      </w:tr>
      <w:tr>
        <w:trPr>
          <w:trHeight w:val="174"/>
        </w:trPr>
        <w:tc>
          <w:tcPr>
            <w:tcW w:w="1860" w:type="dxa"/>
            <w:vAlign w:val="bottom"/>
          </w:tcPr>
          <w:p>
            <w:pPr>
              <w:spacing w:after="0"/>
              <w:rPr>
                <w:sz w:val="15"/>
                <w:szCs w:val="15"/>
                <w:color w:val="auto"/>
              </w:rPr>
            </w:pPr>
          </w:p>
        </w:tc>
        <w:tc>
          <w:tcPr>
            <w:tcW w:w="5360" w:type="dxa"/>
            <w:vAlign w:val="bottom"/>
          </w:tcPr>
          <w:p>
            <w:pPr>
              <w:jc w:val="center"/>
              <w:ind w:right="1540"/>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393"/>
        </w:trPr>
        <w:tc>
          <w:tcPr>
            <w:tcW w:w="1860" w:type="dxa"/>
            <w:vAlign w:val="bottom"/>
          </w:tcPr>
          <w:p>
            <w:pPr>
              <w:jc w:val="center"/>
              <w:ind w:right="6"/>
              <w:spacing w:after="0"/>
              <w:rPr>
                <w:sz w:val="20"/>
                <w:szCs w:val="20"/>
                <w:color w:val="auto"/>
              </w:rPr>
            </w:pPr>
            <w:r>
              <w:rPr>
                <w:rFonts w:ascii="Arial" w:cs="Arial" w:eastAsia="Arial" w:hAnsi="Arial"/>
                <w:sz w:val="18"/>
                <w:szCs w:val="18"/>
                <w:b w:val="1"/>
                <w:bCs w:val="1"/>
                <w:color w:val="auto"/>
                <w:w w:val="88"/>
              </w:rPr>
              <w:t>Delaware</w:t>
            </w:r>
          </w:p>
        </w:tc>
        <w:tc>
          <w:tcPr>
            <w:tcW w:w="5360" w:type="dxa"/>
            <w:vAlign w:val="bottom"/>
          </w:tcPr>
          <w:p>
            <w:pPr>
              <w:jc w:val="center"/>
              <w:ind w:left="4240"/>
              <w:spacing w:after="0"/>
              <w:rPr>
                <w:sz w:val="20"/>
                <w:szCs w:val="20"/>
                <w:color w:val="auto"/>
              </w:rPr>
            </w:pPr>
            <w:r>
              <w:rPr>
                <w:rFonts w:ascii="Arial" w:cs="Arial" w:eastAsia="Arial" w:hAnsi="Arial"/>
                <w:sz w:val="18"/>
                <w:szCs w:val="18"/>
                <w:b w:val="1"/>
                <w:bCs w:val="1"/>
                <w:color w:val="auto"/>
                <w:w w:val="87"/>
              </w:rPr>
              <w:t>23-2175755</w:t>
            </w:r>
          </w:p>
        </w:tc>
      </w:tr>
      <w:tr>
        <w:trPr>
          <w:trHeight w:val="149"/>
        </w:trPr>
        <w:tc>
          <w:tcPr>
            <w:tcW w:w="18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360" w:type="dxa"/>
            <w:vAlign w:val="bottom"/>
          </w:tcPr>
          <w:p>
            <w:pPr>
              <w:jc w:val="center"/>
              <w:ind w:left="4260"/>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1860" w:type="dxa"/>
            <w:vAlign w:val="bottom"/>
          </w:tcPr>
          <w:p>
            <w:pPr>
              <w:jc w:val="center"/>
              <w:ind w:right="26"/>
              <w:spacing w:after="0"/>
              <w:rPr>
                <w:sz w:val="20"/>
                <w:szCs w:val="20"/>
                <w:color w:val="auto"/>
              </w:rPr>
            </w:pPr>
            <w:r>
              <w:rPr>
                <w:rFonts w:ascii="Arial" w:cs="Arial" w:eastAsia="Arial" w:hAnsi="Arial"/>
                <w:sz w:val="14"/>
                <w:szCs w:val="14"/>
                <w:b w:val="1"/>
                <w:bCs w:val="1"/>
                <w:color w:val="auto"/>
                <w:w w:val="88"/>
              </w:rPr>
              <w:t>incorporation or organization)</w:t>
            </w:r>
          </w:p>
        </w:tc>
        <w:tc>
          <w:tcPr>
            <w:tcW w:w="5360" w:type="dxa"/>
            <w:vAlign w:val="bottom"/>
          </w:tcPr>
          <w:p>
            <w:pPr>
              <w:jc w:val="center"/>
              <w:ind w:left="4260"/>
              <w:spacing w:after="0"/>
              <w:rPr>
                <w:sz w:val="20"/>
                <w:szCs w:val="20"/>
                <w:color w:val="auto"/>
              </w:rPr>
            </w:pPr>
            <w:r>
              <w:rPr>
                <w:rFonts w:ascii="Arial" w:cs="Arial" w:eastAsia="Arial" w:hAnsi="Arial"/>
                <w:sz w:val="14"/>
                <w:szCs w:val="14"/>
                <w:b w:val="1"/>
                <w:bCs w:val="1"/>
                <w:color w:val="auto"/>
                <w:w w:val="87"/>
              </w:rPr>
              <w:t>identification no.)</w:t>
            </w:r>
          </w:p>
        </w:tc>
      </w:tr>
    </w:tbl>
    <w:p>
      <w:pPr>
        <w:sectPr>
          <w:pgSz w:w="11900" w:h="16838" w:orient="portrait"/>
          <w:cols w:equalWidth="0" w:num="1">
            <w:col w:w="10220"/>
          </w:cols>
          <w:pgMar w:left="1440" w:top="12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Cable Communications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(Exact name of obligor as specified in its charter)</w:t>
      </w:r>
    </w:p>
    <w:p>
      <w:pPr>
        <w:spacing w:after="0" w:line="175" w:lineRule="exact"/>
        <w:rPr>
          <w:sz w:val="20"/>
          <w:szCs w:val="20"/>
          <w:color w:val="auto"/>
        </w:rPr>
      </w:pPr>
    </w:p>
    <w:tbl>
      <w:tblPr>
        <w:tblLayout w:type="fixed"/>
        <w:tblInd w:w="1980" w:type="dxa"/>
        <w:tblCellMar>
          <w:top w:w="0" w:type="dxa"/>
          <w:left w:w="0" w:type="dxa"/>
          <w:bottom w:w="0" w:type="dxa"/>
          <w:right w:w="0" w:type="dxa"/>
        </w:tblCellMar>
      </w:tblPr>
      <w:tr>
        <w:trPr>
          <w:trHeight w:val="218"/>
        </w:trPr>
        <w:tc>
          <w:tcPr>
            <w:tcW w:w="3980" w:type="dxa"/>
            <w:vAlign w:val="bottom"/>
          </w:tcPr>
          <w:p>
            <w:pPr>
              <w:jc w:val="center"/>
              <w:ind w:right="2126"/>
              <w:spacing w:after="0"/>
              <w:rPr>
                <w:sz w:val="20"/>
                <w:szCs w:val="20"/>
                <w:color w:val="auto"/>
              </w:rPr>
            </w:pPr>
            <w:r>
              <w:rPr>
                <w:rFonts w:ascii="Arial" w:cs="Arial" w:eastAsia="Arial" w:hAnsi="Arial"/>
                <w:sz w:val="18"/>
                <w:szCs w:val="18"/>
                <w:b w:val="1"/>
                <w:bCs w:val="1"/>
                <w:color w:val="auto"/>
                <w:w w:val="88"/>
              </w:rPr>
              <w:t>Delaware</w:t>
            </w:r>
          </w:p>
        </w:tc>
        <w:tc>
          <w:tcPr>
            <w:tcW w:w="3240" w:type="dxa"/>
            <w:vAlign w:val="bottom"/>
          </w:tcPr>
          <w:p>
            <w:pPr>
              <w:jc w:val="center"/>
              <w:ind w:left="2126"/>
              <w:spacing w:after="0"/>
              <w:rPr>
                <w:sz w:val="20"/>
                <w:szCs w:val="20"/>
                <w:color w:val="auto"/>
              </w:rPr>
            </w:pPr>
            <w:r>
              <w:rPr>
                <w:rFonts w:ascii="Arial" w:cs="Arial" w:eastAsia="Arial" w:hAnsi="Arial"/>
                <w:sz w:val="18"/>
                <w:szCs w:val="18"/>
                <w:b w:val="1"/>
                <w:bCs w:val="1"/>
                <w:color w:val="auto"/>
                <w:w w:val="87"/>
              </w:rPr>
              <w:t>04-3592397</w:t>
            </w:r>
          </w:p>
        </w:tc>
      </w:tr>
      <w:tr>
        <w:trPr>
          <w:trHeight w:val="149"/>
        </w:trPr>
        <w:tc>
          <w:tcPr>
            <w:tcW w:w="3980" w:type="dxa"/>
            <w:vAlign w:val="bottom"/>
          </w:tcPr>
          <w:p>
            <w:pPr>
              <w:jc w:val="center"/>
              <w:ind w:right="214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240" w:type="dxa"/>
            <w:vAlign w:val="bottom"/>
          </w:tcPr>
          <w:p>
            <w:pPr>
              <w:jc w:val="center"/>
              <w:ind w:left="2146"/>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3980" w:type="dxa"/>
            <w:vAlign w:val="bottom"/>
          </w:tcPr>
          <w:p>
            <w:pPr>
              <w:jc w:val="center"/>
              <w:ind w:right="2146"/>
              <w:spacing w:after="0"/>
              <w:rPr>
                <w:sz w:val="20"/>
                <w:szCs w:val="20"/>
                <w:color w:val="auto"/>
              </w:rPr>
            </w:pPr>
            <w:r>
              <w:rPr>
                <w:rFonts w:ascii="Arial" w:cs="Arial" w:eastAsia="Arial" w:hAnsi="Arial"/>
                <w:sz w:val="14"/>
                <w:szCs w:val="14"/>
                <w:b w:val="1"/>
                <w:bCs w:val="1"/>
                <w:color w:val="auto"/>
                <w:w w:val="88"/>
              </w:rPr>
              <w:t>incorporation or organization)</w:t>
            </w:r>
          </w:p>
        </w:tc>
        <w:tc>
          <w:tcPr>
            <w:tcW w:w="3240" w:type="dxa"/>
            <w:vAlign w:val="bottom"/>
          </w:tcPr>
          <w:p>
            <w:pPr>
              <w:jc w:val="center"/>
              <w:ind w:left="2146"/>
              <w:spacing w:after="0"/>
              <w:rPr>
                <w:sz w:val="20"/>
                <w:szCs w:val="20"/>
                <w:color w:val="auto"/>
              </w:rPr>
            </w:pPr>
            <w:r>
              <w:rPr>
                <w:rFonts w:ascii="Arial" w:cs="Arial" w:eastAsia="Arial" w:hAnsi="Arial"/>
                <w:sz w:val="14"/>
                <w:szCs w:val="14"/>
                <w:b w:val="1"/>
                <w:bCs w:val="1"/>
                <w:color w:val="auto"/>
                <w:w w:val="87"/>
              </w:rPr>
              <w:t>identification no.)</w:t>
            </w: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860" w:type="dxa"/>
            <w:vAlign w:val="bottom"/>
            <w:gridSpan w:val="3"/>
          </w:tcPr>
          <w:p>
            <w:pPr>
              <w:jc w:val="center"/>
              <w:ind w:left="3502"/>
              <w:spacing w:after="0"/>
              <w:rPr>
                <w:sz w:val="20"/>
                <w:szCs w:val="20"/>
                <w:color w:val="auto"/>
              </w:rPr>
            </w:pPr>
            <w:r>
              <w:rPr>
                <w:rFonts w:ascii="Arial" w:cs="Arial" w:eastAsia="Arial" w:hAnsi="Arial"/>
                <w:sz w:val="22"/>
                <w:szCs w:val="22"/>
                <w:b w:val="1"/>
                <w:bCs w:val="1"/>
                <w:color w:val="auto"/>
                <w:w w:val="90"/>
              </w:rPr>
              <w:t>Comcast Cable Holdings, LLC</w:t>
            </w:r>
          </w:p>
        </w:tc>
        <w:tc>
          <w:tcPr>
            <w:tcW w:w="3560" w:type="dxa"/>
            <w:vAlign w:val="bottom"/>
          </w:tcPr>
          <w:p>
            <w:pPr>
              <w:spacing w:after="0"/>
              <w:rPr>
                <w:sz w:val="22"/>
                <w:szCs w:val="22"/>
                <w:color w:val="auto"/>
              </w:rPr>
            </w:pPr>
          </w:p>
        </w:tc>
      </w:tr>
      <w:tr>
        <w:trPr>
          <w:trHeight w:val="174"/>
        </w:trPr>
        <w:tc>
          <w:tcPr>
            <w:tcW w:w="7860" w:type="dxa"/>
            <w:vAlign w:val="bottom"/>
            <w:gridSpan w:val="3"/>
          </w:tcPr>
          <w:p>
            <w:pPr>
              <w:jc w:val="center"/>
              <w:ind w:left="3482"/>
              <w:spacing w:after="0"/>
              <w:rPr>
                <w:sz w:val="20"/>
                <w:szCs w:val="20"/>
                <w:color w:val="auto"/>
              </w:rPr>
            </w:pPr>
            <w:r>
              <w:rPr>
                <w:rFonts w:ascii="Arial" w:cs="Arial" w:eastAsia="Arial" w:hAnsi="Arial"/>
                <w:sz w:val="14"/>
                <w:szCs w:val="14"/>
                <w:b w:val="1"/>
                <w:bCs w:val="1"/>
                <w:color w:val="auto"/>
                <w:w w:val="86"/>
              </w:rPr>
              <w:t>(Exact name of obligor as specified in its charter)</w:t>
            </w:r>
          </w:p>
        </w:tc>
        <w:tc>
          <w:tcPr>
            <w:tcW w:w="3560" w:type="dxa"/>
            <w:vAlign w:val="bottom"/>
          </w:tcPr>
          <w:p>
            <w:pPr>
              <w:spacing w:after="0"/>
              <w:rPr>
                <w:sz w:val="15"/>
                <w:szCs w:val="15"/>
                <w:color w:val="auto"/>
              </w:rPr>
            </w:pPr>
          </w:p>
        </w:tc>
      </w:tr>
      <w:tr>
        <w:trPr>
          <w:trHeight w:val="393"/>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jc w:val="center"/>
              <w:ind w:right="1845"/>
              <w:spacing w:after="0"/>
              <w:rPr>
                <w:sz w:val="20"/>
                <w:szCs w:val="20"/>
                <w:color w:val="auto"/>
              </w:rPr>
            </w:pPr>
            <w:r>
              <w:rPr>
                <w:rFonts w:ascii="Arial" w:cs="Arial" w:eastAsia="Arial" w:hAnsi="Arial"/>
                <w:sz w:val="18"/>
                <w:szCs w:val="18"/>
                <w:b w:val="1"/>
                <w:bCs w:val="1"/>
                <w:color w:val="auto"/>
                <w:w w:val="87"/>
              </w:rPr>
              <w:t>84-1260157</w:t>
            </w:r>
          </w:p>
        </w:tc>
      </w:tr>
      <w:tr>
        <w:trPr>
          <w:trHeight w:val="149"/>
        </w:trPr>
        <w:tc>
          <w:tcPr>
            <w:tcW w:w="786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560" w:type="dxa"/>
            <w:vAlign w:val="bottom"/>
          </w:tcPr>
          <w:p>
            <w:pPr>
              <w:jc w:val="center"/>
              <w:ind w:right="1825"/>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incorporation or organization)</w:t>
            </w:r>
          </w:p>
        </w:tc>
        <w:tc>
          <w:tcPr>
            <w:tcW w:w="3560" w:type="dxa"/>
            <w:vAlign w:val="bottom"/>
          </w:tcPr>
          <w:p>
            <w:pPr>
              <w:jc w:val="center"/>
              <w:ind w:right="1825"/>
              <w:spacing w:after="0"/>
              <w:rPr>
                <w:sz w:val="20"/>
                <w:szCs w:val="20"/>
                <w:color w:val="auto"/>
              </w:rPr>
            </w:pPr>
            <w:r>
              <w:rPr>
                <w:rFonts w:ascii="Arial" w:cs="Arial" w:eastAsia="Arial" w:hAnsi="Arial"/>
                <w:sz w:val="14"/>
                <w:szCs w:val="14"/>
                <w:b w:val="1"/>
                <w:bCs w:val="1"/>
                <w:color w:val="auto"/>
                <w:w w:val="87"/>
              </w:rPr>
              <w:t>identification no.)</w:t>
            </w:r>
          </w:p>
        </w:tc>
      </w:tr>
      <w:tr>
        <w:trPr>
          <w:trHeight w:val="393"/>
        </w:trPr>
        <w:tc>
          <w:tcPr>
            <w:tcW w:w="4520" w:type="dxa"/>
            <w:vAlign w:val="bottom"/>
          </w:tcPr>
          <w:p>
            <w:pPr>
              <w:spacing w:after="0"/>
              <w:rPr>
                <w:sz w:val="24"/>
                <w:szCs w:val="24"/>
                <w:color w:val="auto"/>
              </w:rPr>
            </w:pPr>
          </w:p>
        </w:tc>
        <w:tc>
          <w:tcPr>
            <w:tcW w:w="3340" w:type="dxa"/>
            <w:vAlign w:val="bottom"/>
            <w:gridSpan w:val="2"/>
          </w:tcPr>
          <w:p>
            <w:pPr>
              <w:jc w:val="center"/>
              <w:ind w:right="940"/>
              <w:spacing w:after="0"/>
              <w:rPr>
                <w:sz w:val="20"/>
                <w:szCs w:val="20"/>
                <w:color w:val="auto"/>
              </w:rPr>
            </w:pPr>
            <w:r>
              <w:rPr>
                <w:rFonts w:ascii="Arial" w:cs="Arial" w:eastAsia="Arial" w:hAnsi="Arial"/>
                <w:sz w:val="22"/>
                <w:szCs w:val="22"/>
                <w:b w:val="1"/>
                <w:bCs w:val="1"/>
                <w:color w:val="auto"/>
                <w:w w:val="91"/>
              </w:rPr>
              <w:t>Comcast MO Group, Inc.</w:t>
            </w:r>
          </w:p>
        </w:tc>
        <w:tc>
          <w:tcPr>
            <w:tcW w:w="3560" w:type="dxa"/>
            <w:vAlign w:val="bottom"/>
          </w:tcPr>
          <w:p>
            <w:pPr>
              <w:spacing w:after="0"/>
              <w:rPr>
                <w:sz w:val="24"/>
                <w:szCs w:val="24"/>
                <w:color w:val="auto"/>
              </w:rPr>
            </w:pPr>
          </w:p>
        </w:tc>
      </w:tr>
      <w:tr>
        <w:trPr>
          <w:trHeight w:val="174"/>
        </w:trPr>
        <w:tc>
          <w:tcPr>
            <w:tcW w:w="7860" w:type="dxa"/>
            <w:vAlign w:val="bottom"/>
            <w:gridSpan w:val="3"/>
          </w:tcPr>
          <w:p>
            <w:pPr>
              <w:jc w:val="center"/>
              <w:ind w:left="3482"/>
              <w:spacing w:after="0"/>
              <w:rPr>
                <w:sz w:val="20"/>
                <w:szCs w:val="20"/>
                <w:color w:val="auto"/>
              </w:rPr>
            </w:pPr>
            <w:r>
              <w:rPr>
                <w:rFonts w:ascii="Arial" w:cs="Arial" w:eastAsia="Arial" w:hAnsi="Arial"/>
                <w:sz w:val="14"/>
                <w:szCs w:val="14"/>
                <w:b w:val="1"/>
                <w:bCs w:val="1"/>
                <w:color w:val="auto"/>
                <w:w w:val="86"/>
              </w:rPr>
              <w:t>(Exact name of obligor as specified in its charter)</w:t>
            </w:r>
          </w:p>
        </w:tc>
        <w:tc>
          <w:tcPr>
            <w:tcW w:w="3560" w:type="dxa"/>
            <w:vAlign w:val="bottom"/>
          </w:tcPr>
          <w:p>
            <w:pPr>
              <w:spacing w:after="0"/>
              <w:rPr>
                <w:sz w:val="15"/>
                <w:szCs w:val="15"/>
                <w:color w:val="auto"/>
              </w:rPr>
            </w:pPr>
          </w:p>
        </w:tc>
      </w:tr>
      <w:tr>
        <w:trPr>
          <w:trHeight w:val="393"/>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jc w:val="center"/>
              <w:ind w:right="1845"/>
              <w:spacing w:after="0"/>
              <w:rPr>
                <w:sz w:val="20"/>
                <w:szCs w:val="20"/>
                <w:color w:val="auto"/>
              </w:rPr>
            </w:pPr>
            <w:r>
              <w:rPr>
                <w:rFonts w:ascii="Arial" w:cs="Arial" w:eastAsia="Arial" w:hAnsi="Arial"/>
                <w:sz w:val="18"/>
                <w:szCs w:val="18"/>
                <w:b w:val="1"/>
                <w:bCs w:val="1"/>
                <w:color w:val="auto"/>
                <w:w w:val="87"/>
              </w:rPr>
              <w:t>91-2047743</w:t>
            </w:r>
          </w:p>
        </w:tc>
      </w:tr>
      <w:tr>
        <w:trPr>
          <w:trHeight w:val="149"/>
        </w:trPr>
        <w:tc>
          <w:tcPr>
            <w:tcW w:w="786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560" w:type="dxa"/>
            <w:vAlign w:val="bottom"/>
          </w:tcPr>
          <w:p>
            <w:pPr>
              <w:jc w:val="center"/>
              <w:ind w:right="1825"/>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incorporation or organization)</w:t>
            </w:r>
          </w:p>
        </w:tc>
        <w:tc>
          <w:tcPr>
            <w:tcW w:w="3560" w:type="dxa"/>
            <w:vAlign w:val="bottom"/>
          </w:tcPr>
          <w:p>
            <w:pPr>
              <w:jc w:val="center"/>
              <w:ind w:right="1825"/>
              <w:spacing w:after="0"/>
              <w:rPr>
                <w:sz w:val="20"/>
                <w:szCs w:val="20"/>
                <w:color w:val="auto"/>
              </w:rPr>
            </w:pPr>
            <w:r>
              <w:rPr>
                <w:rFonts w:ascii="Arial" w:cs="Arial" w:eastAsia="Arial" w:hAnsi="Arial"/>
                <w:sz w:val="14"/>
                <w:szCs w:val="14"/>
                <w:b w:val="1"/>
                <w:bCs w:val="1"/>
                <w:color w:val="auto"/>
                <w:w w:val="87"/>
              </w:rPr>
              <w:t>identification no.)</w:t>
            </w:r>
          </w:p>
        </w:tc>
      </w:tr>
      <w:tr>
        <w:trPr>
          <w:trHeight w:val="393"/>
        </w:trPr>
        <w:tc>
          <w:tcPr>
            <w:tcW w:w="7860" w:type="dxa"/>
            <w:vAlign w:val="bottom"/>
            <w:gridSpan w:val="3"/>
          </w:tcPr>
          <w:p>
            <w:pPr>
              <w:jc w:val="center"/>
              <w:ind w:left="3482"/>
              <w:spacing w:after="0"/>
              <w:rPr>
                <w:sz w:val="20"/>
                <w:szCs w:val="20"/>
                <w:color w:val="auto"/>
              </w:rPr>
            </w:pPr>
            <w:r>
              <w:rPr>
                <w:rFonts w:ascii="Arial" w:cs="Arial" w:eastAsia="Arial" w:hAnsi="Arial"/>
                <w:sz w:val="22"/>
                <w:szCs w:val="22"/>
                <w:b w:val="1"/>
                <w:bCs w:val="1"/>
                <w:color w:val="auto"/>
                <w:w w:val="92"/>
              </w:rPr>
              <w:t>Comcast MO of Delaware, LLC</w:t>
            </w:r>
          </w:p>
        </w:tc>
        <w:tc>
          <w:tcPr>
            <w:tcW w:w="3560" w:type="dxa"/>
            <w:vAlign w:val="bottom"/>
          </w:tcPr>
          <w:p>
            <w:pPr>
              <w:spacing w:after="0"/>
              <w:rPr>
                <w:sz w:val="24"/>
                <w:szCs w:val="24"/>
                <w:color w:val="auto"/>
              </w:rPr>
            </w:pPr>
          </w:p>
        </w:tc>
      </w:tr>
      <w:tr>
        <w:trPr>
          <w:trHeight w:val="174"/>
        </w:trPr>
        <w:tc>
          <w:tcPr>
            <w:tcW w:w="7860" w:type="dxa"/>
            <w:vAlign w:val="bottom"/>
            <w:gridSpan w:val="3"/>
          </w:tcPr>
          <w:p>
            <w:pPr>
              <w:jc w:val="center"/>
              <w:ind w:left="3482"/>
              <w:spacing w:after="0"/>
              <w:rPr>
                <w:sz w:val="20"/>
                <w:szCs w:val="20"/>
                <w:color w:val="auto"/>
              </w:rPr>
            </w:pPr>
            <w:r>
              <w:rPr>
                <w:rFonts w:ascii="Arial" w:cs="Arial" w:eastAsia="Arial" w:hAnsi="Arial"/>
                <w:sz w:val="14"/>
                <w:szCs w:val="14"/>
                <w:b w:val="1"/>
                <w:bCs w:val="1"/>
                <w:color w:val="auto"/>
                <w:w w:val="86"/>
              </w:rPr>
              <w:t>(Exact name of obligor as specified in its charter)</w:t>
            </w:r>
          </w:p>
        </w:tc>
        <w:tc>
          <w:tcPr>
            <w:tcW w:w="3560" w:type="dxa"/>
            <w:vAlign w:val="bottom"/>
          </w:tcPr>
          <w:p>
            <w:pPr>
              <w:spacing w:after="0"/>
              <w:rPr>
                <w:sz w:val="15"/>
                <w:szCs w:val="15"/>
                <w:color w:val="auto"/>
              </w:rPr>
            </w:pPr>
          </w:p>
        </w:tc>
      </w:tr>
      <w:tr>
        <w:trPr>
          <w:trHeight w:val="393"/>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jc w:val="center"/>
              <w:ind w:right="1845"/>
              <w:spacing w:after="0"/>
              <w:rPr>
                <w:sz w:val="20"/>
                <w:szCs w:val="20"/>
                <w:color w:val="auto"/>
              </w:rPr>
            </w:pPr>
            <w:r>
              <w:rPr>
                <w:rFonts w:ascii="Arial" w:cs="Arial" w:eastAsia="Arial" w:hAnsi="Arial"/>
                <w:sz w:val="18"/>
                <w:szCs w:val="18"/>
                <w:b w:val="1"/>
                <w:bCs w:val="1"/>
                <w:color w:val="auto"/>
                <w:w w:val="87"/>
              </w:rPr>
              <w:t>84-1372033</w:t>
            </w:r>
          </w:p>
        </w:tc>
      </w:tr>
      <w:tr>
        <w:trPr>
          <w:trHeight w:val="149"/>
        </w:trPr>
        <w:tc>
          <w:tcPr>
            <w:tcW w:w="786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560" w:type="dxa"/>
            <w:vAlign w:val="bottom"/>
          </w:tcPr>
          <w:p>
            <w:pPr>
              <w:jc w:val="center"/>
              <w:ind w:right="1825"/>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incorporation or organization)</w:t>
            </w:r>
          </w:p>
        </w:tc>
        <w:tc>
          <w:tcPr>
            <w:tcW w:w="3560" w:type="dxa"/>
            <w:vAlign w:val="bottom"/>
          </w:tcPr>
          <w:p>
            <w:pPr>
              <w:jc w:val="center"/>
              <w:ind w:right="1825"/>
              <w:spacing w:after="0"/>
              <w:rPr>
                <w:sz w:val="20"/>
                <w:szCs w:val="20"/>
                <w:color w:val="auto"/>
              </w:rPr>
            </w:pPr>
            <w:r>
              <w:rPr>
                <w:rFonts w:ascii="Arial" w:cs="Arial" w:eastAsia="Arial" w:hAnsi="Arial"/>
                <w:sz w:val="14"/>
                <w:szCs w:val="14"/>
                <w:b w:val="1"/>
                <w:bCs w:val="1"/>
                <w:color w:val="auto"/>
                <w:w w:val="87"/>
              </w:rPr>
              <w:t>identification no.)</w:t>
            </w:r>
          </w:p>
        </w:tc>
      </w:tr>
      <w:tr>
        <w:trPr>
          <w:trHeight w:val="406"/>
        </w:trPr>
        <w:tc>
          <w:tcPr>
            <w:tcW w:w="78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87"/>
              </w:rPr>
              <w:t>One Comcast Center Philadelphia, Pennsylvania</w:t>
            </w:r>
          </w:p>
        </w:tc>
        <w:tc>
          <w:tcPr>
            <w:tcW w:w="3560" w:type="dxa"/>
            <w:vAlign w:val="bottom"/>
          </w:tcPr>
          <w:p>
            <w:pPr>
              <w:jc w:val="center"/>
              <w:ind w:right="1845"/>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560" w:type="dxa"/>
            <w:vAlign w:val="bottom"/>
          </w:tcPr>
          <w:p>
            <w:pPr>
              <w:jc w:val="center"/>
              <w:ind w:right="1825"/>
              <w:spacing w:after="0"/>
              <w:rPr>
                <w:sz w:val="20"/>
                <w:szCs w:val="20"/>
                <w:color w:val="auto"/>
              </w:rPr>
            </w:pPr>
            <w:r>
              <w:rPr>
                <w:rFonts w:ascii="Arial" w:cs="Arial" w:eastAsia="Arial" w:hAnsi="Arial"/>
                <w:sz w:val="14"/>
                <w:szCs w:val="14"/>
                <w:b w:val="1"/>
                <w:bCs w:val="1"/>
                <w:color w:val="auto"/>
                <w:w w:val="86"/>
              </w:rPr>
              <w:t>(Zip code)</w:t>
            </w: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3560" w:type="dxa"/>
            <w:vAlign w:val="bottom"/>
          </w:tcPr>
          <w:p>
            <w:pPr>
              <w:spacing w:after="0"/>
              <w:rPr>
                <w:sz w:val="12"/>
                <w:szCs w:val="12"/>
                <w:color w:val="auto"/>
              </w:rPr>
            </w:pPr>
          </w:p>
        </w:tc>
      </w:tr>
      <w:tr>
        <w:trPr>
          <w:trHeight w:val="276"/>
        </w:trPr>
        <w:tc>
          <w:tcPr>
            <w:tcW w:w="4520" w:type="dxa"/>
            <w:vAlign w:val="bottom"/>
          </w:tcPr>
          <w:p>
            <w:pPr>
              <w:spacing w:after="0"/>
              <w:rPr>
                <w:sz w:val="24"/>
                <w:szCs w:val="24"/>
                <w:color w:val="auto"/>
              </w:rPr>
            </w:pPr>
          </w:p>
        </w:tc>
        <w:tc>
          <w:tcPr>
            <w:tcW w:w="334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7"/>
              </w:rPr>
              <w:t>Subordinated Debt Securities</w:t>
            </w:r>
          </w:p>
        </w:tc>
        <w:tc>
          <w:tcPr>
            <w:tcW w:w="3560" w:type="dxa"/>
            <w:vAlign w:val="bottom"/>
          </w:tcPr>
          <w:p>
            <w:pPr>
              <w:spacing w:after="0"/>
              <w:rPr>
                <w:sz w:val="24"/>
                <w:szCs w:val="24"/>
                <w:color w:val="auto"/>
              </w:rPr>
            </w:pPr>
          </w:p>
        </w:tc>
      </w:tr>
      <w:tr>
        <w:trPr>
          <w:trHeight w:val="218"/>
        </w:trPr>
        <w:tc>
          <w:tcPr>
            <w:tcW w:w="7860" w:type="dxa"/>
            <w:vAlign w:val="bottom"/>
            <w:gridSpan w:val="3"/>
          </w:tcPr>
          <w:p>
            <w:pPr>
              <w:jc w:val="center"/>
              <w:ind w:left="3502"/>
              <w:spacing w:after="0"/>
              <w:rPr>
                <w:sz w:val="20"/>
                <w:szCs w:val="20"/>
                <w:color w:val="auto"/>
              </w:rPr>
            </w:pPr>
            <w:r>
              <w:rPr>
                <w:rFonts w:ascii="Arial" w:cs="Arial" w:eastAsia="Arial" w:hAnsi="Arial"/>
                <w:sz w:val="18"/>
                <w:szCs w:val="18"/>
                <w:b w:val="1"/>
                <w:bCs w:val="1"/>
                <w:color w:val="auto"/>
                <w:w w:val="87"/>
              </w:rPr>
              <w:t>and Guarantees of Subordinated Debt Securities</w:t>
            </w:r>
          </w:p>
        </w:tc>
        <w:tc>
          <w:tcPr>
            <w:tcW w:w="3560" w:type="dxa"/>
            <w:vAlign w:val="bottom"/>
          </w:tcPr>
          <w:p>
            <w:pPr>
              <w:spacing w:after="0"/>
              <w:rPr>
                <w:sz w:val="18"/>
                <w:szCs w:val="18"/>
                <w:color w:val="auto"/>
              </w:rPr>
            </w:pPr>
          </w:p>
        </w:tc>
      </w:tr>
      <w:tr>
        <w:trPr>
          <w:trHeight w:val="174"/>
        </w:trPr>
        <w:tc>
          <w:tcPr>
            <w:tcW w:w="4520" w:type="dxa"/>
            <w:vAlign w:val="bottom"/>
          </w:tcPr>
          <w:p>
            <w:pPr>
              <w:spacing w:after="0"/>
              <w:rPr>
                <w:sz w:val="15"/>
                <w:szCs w:val="15"/>
                <w:color w:val="auto"/>
              </w:rPr>
            </w:pPr>
          </w:p>
        </w:tc>
        <w:tc>
          <w:tcPr>
            <w:tcW w:w="33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6"/>
              </w:rPr>
              <w:t>(Title of the indenture securities)</w:t>
            </w:r>
          </w:p>
        </w:tc>
        <w:tc>
          <w:tcPr>
            <w:tcW w:w="3560" w:type="dxa"/>
            <w:vAlign w:val="bottom"/>
          </w:tcPr>
          <w:p>
            <w:pPr>
              <w:spacing w:after="0"/>
              <w:rPr>
                <w:sz w:val="15"/>
                <w:szCs w:val="15"/>
                <w:color w:val="auto"/>
              </w:rPr>
            </w:pPr>
          </w:p>
        </w:tc>
      </w:tr>
      <w:tr>
        <w:trPr>
          <w:trHeight w:val="352"/>
        </w:trPr>
        <w:tc>
          <w:tcPr>
            <w:tcW w:w="4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r>
        <w:trPr>
          <w:trHeight w:val="34"/>
        </w:trPr>
        <w:tc>
          <w:tcPr>
            <w:tcW w:w="45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61" w:right="239" w:bottom="1440" w:gutter="0" w:footer="0" w:header="0"/>
        </w:sectPr>
      </w:pPr>
    </w:p>
    <w:bookmarkStart w:id="94" w:name="page95"/>
    <w:bookmarkEnd w:id="94"/>
    <w:p>
      <w:pPr>
        <w:ind w:left="452" w:hanging="452"/>
        <w:spacing w:after="0"/>
        <w:tabs>
          <w:tab w:leader="none" w:pos="45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information. Furnish the following information as to the Trustee:</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13"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Name</w:t>
            </w:r>
          </w:p>
        </w:tc>
        <w:tc>
          <w:tcPr>
            <w:tcW w:w="16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Address</w:t>
            </w:r>
          </w:p>
        </w:tc>
        <w:tc>
          <w:tcPr>
            <w:tcW w:w="1840" w:type="dxa"/>
            <w:vAlign w:val="bottom"/>
          </w:tcPr>
          <w:p>
            <w:pPr>
              <w:spacing w:after="0"/>
              <w:rPr>
                <w:sz w:val="14"/>
                <w:szCs w:val="14"/>
                <w:color w:val="auto"/>
              </w:rPr>
            </w:pPr>
          </w:p>
        </w:tc>
      </w:tr>
      <w:tr>
        <w:trPr>
          <w:trHeight w:val="309"/>
        </w:trPr>
        <w:tc>
          <w:tcPr>
            <w:tcW w:w="4440" w:type="dxa"/>
            <w:vAlign w:val="bottom"/>
            <w:gridSpan w:val="3"/>
          </w:tcPr>
          <w:p>
            <w:pPr>
              <w:spacing w:after="0"/>
              <w:rPr>
                <w:sz w:val="20"/>
                <w:szCs w:val="20"/>
                <w:color w:val="auto"/>
              </w:rPr>
            </w:pPr>
            <w:r>
              <w:rPr>
                <w:rFonts w:ascii="Arial" w:cs="Arial" w:eastAsia="Arial" w:hAnsi="Arial"/>
                <w:sz w:val="18"/>
                <w:szCs w:val="18"/>
                <w:color w:val="auto"/>
              </w:rPr>
              <w:t>Superintendent of Banks of the State of New York</w:t>
            </w:r>
          </w:p>
        </w:tc>
        <w:tc>
          <w:tcPr>
            <w:tcW w:w="5460" w:type="dxa"/>
            <w:vAlign w:val="bottom"/>
            <w:gridSpan w:val="3"/>
          </w:tcPr>
          <w:p>
            <w:pPr>
              <w:ind w:left="920"/>
              <w:spacing w:after="0"/>
              <w:rPr>
                <w:sz w:val="20"/>
                <w:szCs w:val="20"/>
                <w:color w:val="auto"/>
              </w:rPr>
            </w:pPr>
            <w:r>
              <w:rPr>
                <w:rFonts w:ascii="Arial" w:cs="Arial" w:eastAsia="Arial" w:hAnsi="Arial"/>
                <w:sz w:val="18"/>
                <w:szCs w:val="18"/>
                <w:color w:val="auto"/>
                <w:w w:val="88"/>
              </w:rPr>
              <w:t>One State Street, New York, N.Y. 10004-1417, and Albany, N.Y.</w:t>
            </w:r>
          </w:p>
        </w:tc>
      </w:tr>
      <w:tr>
        <w:trPr>
          <w:trHeight w:val="222"/>
        </w:trPr>
        <w:tc>
          <w:tcPr>
            <w:tcW w:w="2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20" w:type="dxa"/>
            <w:vAlign w:val="bottom"/>
          </w:tcPr>
          <w:p>
            <w:pPr>
              <w:ind w:left="920"/>
              <w:spacing w:after="0"/>
              <w:rPr>
                <w:sz w:val="20"/>
                <w:szCs w:val="20"/>
                <w:color w:val="auto"/>
              </w:rPr>
            </w:pPr>
            <w:r>
              <w:rPr>
                <w:rFonts w:ascii="Arial" w:cs="Arial" w:eastAsia="Arial" w:hAnsi="Arial"/>
                <w:sz w:val="18"/>
                <w:szCs w:val="18"/>
                <w:color w:val="auto"/>
              </w:rPr>
              <w:t>12223</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Federal Reserve Bank of New York</w:t>
            </w:r>
          </w:p>
        </w:tc>
        <w:tc>
          <w:tcPr>
            <w:tcW w:w="5460" w:type="dxa"/>
            <w:vAlign w:val="bottom"/>
            <w:gridSpan w:val="3"/>
          </w:tcPr>
          <w:p>
            <w:pPr>
              <w:ind w:left="920"/>
              <w:spacing w:after="0"/>
              <w:rPr>
                <w:sz w:val="20"/>
                <w:szCs w:val="20"/>
                <w:color w:val="auto"/>
              </w:rPr>
            </w:pPr>
            <w:r>
              <w:rPr>
                <w:rFonts w:ascii="Arial" w:cs="Arial" w:eastAsia="Arial" w:hAnsi="Arial"/>
                <w:sz w:val="18"/>
                <w:szCs w:val="18"/>
                <w:color w:val="auto"/>
              </w:rPr>
              <w:t>33 Liberty Street, New York, N.Y. 10045</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Federal Deposit Insurance Corporation</w:t>
            </w:r>
          </w:p>
        </w:tc>
        <w:tc>
          <w:tcPr>
            <w:tcW w:w="5460" w:type="dxa"/>
            <w:vAlign w:val="bottom"/>
            <w:gridSpan w:val="3"/>
          </w:tcPr>
          <w:p>
            <w:pPr>
              <w:ind w:left="920"/>
              <w:spacing w:after="0"/>
              <w:rPr>
                <w:sz w:val="20"/>
                <w:szCs w:val="20"/>
                <w:color w:val="auto"/>
              </w:rPr>
            </w:pPr>
            <w:r>
              <w:rPr>
                <w:rFonts w:ascii="Arial" w:cs="Arial" w:eastAsia="Arial" w:hAnsi="Arial"/>
                <w:sz w:val="18"/>
                <w:szCs w:val="18"/>
                <w:color w:val="auto"/>
              </w:rPr>
              <w:t>Washington, D.C. 20429</w:t>
            </w: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New York Clearing House Association</w:t>
            </w:r>
          </w:p>
        </w:tc>
        <w:tc>
          <w:tcPr>
            <w:tcW w:w="5460" w:type="dxa"/>
            <w:vAlign w:val="bottom"/>
            <w:gridSpan w:val="3"/>
          </w:tcPr>
          <w:p>
            <w:pPr>
              <w:ind w:left="920"/>
              <w:spacing w:after="0"/>
              <w:rPr>
                <w:sz w:val="20"/>
                <w:szCs w:val="20"/>
                <w:color w:val="auto"/>
              </w:rPr>
            </w:pPr>
            <w:r>
              <w:rPr>
                <w:rFonts w:ascii="Arial" w:cs="Arial" w:eastAsia="Arial" w:hAnsi="Arial"/>
                <w:sz w:val="18"/>
                <w:szCs w:val="18"/>
                <w:color w:val="auto"/>
              </w:rPr>
              <w:t>New York, New York 10005</w:t>
            </w:r>
          </w:p>
        </w:tc>
      </w:tr>
    </w:tbl>
    <w:p>
      <w:pPr>
        <w:spacing w:after="0" w:line="69" w:lineRule="exact"/>
        <w:rPr>
          <w:sz w:val="20"/>
          <w:szCs w:val="20"/>
          <w:color w:val="auto"/>
        </w:rPr>
      </w:pPr>
    </w:p>
    <w:p>
      <w:pPr>
        <w:ind w:left="892" w:hanging="446"/>
        <w:spacing w:after="0"/>
        <w:tabs>
          <w:tab w:leader="none" w:pos="89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1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Yes.</w:t>
      </w:r>
    </w:p>
    <w:p>
      <w:pPr>
        <w:spacing w:after="0" w:line="84" w:lineRule="exact"/>
        <w:rPr>
          <w:sz w:val="20"/>
          <w:szCs w:val="20"/>
          <w:color w:val="auto"/>
        </w:rPr>
      </w:pPr>
    </w:p>
    <w:p>
      <w:pPr>
        <w:ind w:left="452" w:hanging="452"/>
        <w:spacing w:after="0"/>
        <w:tabs>
          <w:tab w:leader="none" w:pos="4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If the obligor is an affiliate of the trustee, describe each such affiliation.</w:t>
      </w:r>
    </w:p>
    <w:p>
      <w:pPr>
        <w:spacing w:after="0" w:line="1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ind w:left="452" w:hanging="452"/>
        <w:spacing w:after="0"/>
        <w:tabs>
          <w:tab w:leader="none" w:pos="4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90" w:lineRule="exact"/>
        <w:rPr>
          <w:rFonts w:ascii="Arial" w:cs="Arial" w:eastAsia="Arial" w:hAnsi="Arial"/>
          <w:sz w:val="18"/>
          <w:szCs w:val="18"/>
          <w:b w:val="1"/>
          <w:bCs w:val="1"/>
          <w:color w:val="auto"/>
        </w:rPr>
      </w:pPr>
    </w:p>
    <w:p>
      <w:pPr>
        <w:ind w:left="452"/>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44" w:lineRule="exact"/>
        <w:rPr>
          <w:rFonts w:ascii="Arial" w:cs="Arial" w:eastAsia="Arial" w:hAnsi="Arial"/>
          <w:sz w:val="18"/>
          <w:szCs w:val="18"/>
          <w:b w:val="1"/>
          <w:bCs w:val="1"/>
          <w:color w:val="auto"/>
        </w:rPr>
      </w:pPr>
    </w:p>
    <w:p>
      <w:pPr>
        <w:ind w:left="892" w:right="40" w:hanging="446"/>
        <w:spacing w:after="0" w:line="294" w:lineRule="auto"/>
        <w:tabs>
          <w:tab w:leader="none" w:pos="892" w:val="left"/>
        </w:tabs>
        <w:numPr>
          <w:ilvl w:val="1"/>
          <w:numId w:val="83"/>
        </w:numPr>
        <w:rPr>
          <w:rFonts w:ascii="Arial" w:cs="Arial" w:eastAsia="Arial" w:hAnsi="Arial"/>
          <w:sz w:val="16"/>
          <w:szCs w:val="16"/>
          <w:color w:val="auto"/>
        </w:rPr>
      </w:pPr>
      <w:r>
        <w:rPr>
          <w:rFonts w:ascii="Arial" w:cs="Arial" w:eastAsia="Arial" w:hAnsi="Arial"/>
          <w:sz w:val="16"/>
          <w:szCs w:val="16"/>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ectPr>
          <w:pgSz w:w="11900" w:h="16838" w:orient="portrait"/>
          <w:cols w:equalWidth="0" w:num="1">
            <w:col w:w="11312"/>
          </w:cols>
          <w:pgMar w:left="248" w:top="274" w:right="339" w:bottom="1440" w:gutter="0" w:footer="0" w:header="0"/>
        </w:sectPr>
      </w:pPr>
    </w:p>
    <w:bookmarkStart w:id="95" w:name="page96"/>
    <w:bookmarkEnd w:id="95"/>
    <w:p>
      <w:pPr>
        <w:ind w:left="446" w:hanging="446"/>
        <w:spacing w:after="0"/>
        <w:tabs>
          <w:tab w:leader="none" w:pos="446"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copy of the existing By-laws of the Trustee. (Exhibit 4 to Form T-1 filed with Registration Statement No. 333-121195).</w:t>
      </w:r>
    </w:p>
    <w:p>
      <w:pPr>
        <w:spacing w:after="0" w:line="90" w:lineRule="exact"/>
        <w:rPr>
          <w:sz w:val="20"/>
          <w:szCs w:val="20"/>
          <w:color w:val="auto"/>
        </w:rPr>
      </w:pPr>
    </w:p>
    <w:p>
      <w:pPr>
        <w:ind w:left="446" w:hanging="446"/>
        <w:spacing w:after="0"/>
        <w:tabs>
          <w:tab w:leader="none" w:pos="446"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333-152735).</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ectPr>
          <w:pgSz w:w="11900" w:h="16838" w:orient="portrait"/>
          <w:cols w:equalWidth="0" w:num="1">
            <w:col w:w="10566"/>
          </w:cols>
          <w:pgMar w:left="694" w:top="280" w:right="6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20th day of April,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880" w:type="dxa"/>
            <w:vAlign w:val="bottom"/>
            <w:gridSpan w:val="2"/>
          </w:tcPr>
          <w:p>
            <w:pPr>
              <w:spacing w:after="0"/>
              <w:rPr>
                <w:sz w:val="20"/>
                <w:szCs w:val="20"/>
                <w:color w:val="auto"/>
              </w:rPr>
            </w:pPr>
            <w:r>
              <w:rPr>
                <w:rFonts w:ascii="Arial" w:cs="Arial" w:eastAsia="Arial" w:hAnsi="Arial"/>
                <w:sz w:val="18"/>
                <w:szCs w:val="18"/>
                <w:color w:val="auto"/>
              </w:rPr>
              <w:t>By: /S/</w:t>
            </w:r>
          </w:p>
        </w:tc>
        <w:tc>
          <w:tcPr>
            <w:tcW w:w="3680" w:type="dxa"/>
            <w:vAlign w:val="bottom"/>
          </w:tcPr>
          <w:p>
            <w:pPr>
              <w:ind w:left="80"/>
              <w:spacing w:after="0"/>
              <w:rPr>
                <w:sz w:val="20"/>
                <w:szCs w:val="20"/>
                <w:color w:val="auto"/>
              </w:rPr>
            </w:pPr>
            <w:r>
              <w:rPr>
                <w:rFonts w:ascii="Arial" w:cs="Arial" w:eastAsia="Arial" w:hAnsi="Arial"/>
                <w:sz w:val="18"/>
                <w:szCs w:val="18"/>
                <w:color w:val="auto"/>
              </w:rPr>
              <w:t>SCOTT KLEIN</w:t>
            </w:r>
          </w:p>
        </w:tc>
      </w:tr>
      <w:tr>
        <w:trPr>
          <w:trHeight w:val="202"/>
        </w:trPr>
        <w:tc>
          <w:tcPr>
            <w:tcW w:w="280" w:type="dxa"/>
            <w:vAlign w:val="bottom"/>
          </w:tcPr>
          <w:p>
            <w:pPr>
              <w:spacing w:after="0"/>
              <w:rPr>
                <w:sz w:val="17"/>
                <w:szCs w:val="17"/>
                <w:color w:val="auto"/>
              </w:rPr>
            </w:pPr>
          </w:p>
        </w:tc>
        <w:tc>
          <w:tcPr>
            <w:tcW w:w="600" w:type="dxa"/>
            <w:vAlign w:val="bottom"/>
            <w:tcBorders>
              <w:top w:val="single" w:sz="8" w:color="auto"/>
            </w:tcBorders>
          </w:tcPr>
          <w:p>
            <w:pPr>
              <w:ind w:left="60"/>
              <w:spacing w:after="0" w:line="202" w:lineRule="exact"/>
              <w:rPr>
                <w:sz w:val="20"/>
                <w:szCs w:val="20"/>
                <w:color w:val="auto"/>
              </w:rPr>
            </w:pPr>
            <w:r>
              <w:rPr>
                <w:rFonts w:ascii="Arial" w:cs="Arial" w:eastAsia="Arial" w:hAnsi="Arial"/>
                <w:sz w:val="18"/>
                <w:szCs w:val="18"/>
                <w:color w:val="auto"/>
                <w:w w:val="98"/>
              </w:rPr>
              <w:t>Name:</w:t>
            </w:r>
          </w:p>
        </w:tc>
        <w:tc>
          <w:tcPr>
            <w:tcW w:w="3680" w:type="dxa"/>
            <w:vAlign w:val="bottom"/>
            <w:tcBorders>
              <w:top w:val="single" w:sz="8" w:color="auto"/>
            </w:tcBorders>
          </w:tcPr>
          <w:p>
            <w:pPr>
              <w:ind w:left="80"/>
              <w:spacing w:after="0" w:line="202" w:lineRule="exact"/>
              <w:rPr>
                <w:sz w:val="20"/>
                <w:szCs w:val="20"/>
                <w:color w:val="auto"/>
              </w:rPr>
            </w:pPr>
            <w:r>
              <w:rPr>
                <w:rFonts w:ascii="Arial" w:cs="Arial" w:eastAsia="Arial" w:hAnsi="Arial"/>
                <w:sz w:val="18"/>
                <w:szCs w:val="18"/>
                <w:color w:val="auto"/>
              </w:rPr>
              <w:t>SCOTT KLEIN</w:t>
            </w:r>
          </w:p>
        </w:tc>
      </w:tr>
      <w:tr>
        <w:trPr>
          <w:trHeight w:val="222"/>
        </w:trPr>
        <w:tc>
          <w:tcPr>
            <w:tcW w:w="28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Title:</w:t>
            </w:r>
          </w:p>
        </w:tc>
        <w:tc>
          <w:tcPr>
            <w:tcW w:w="3680" w:type="dxa"/>
            <w:vAlign w:val="bottom"/>
          </w:tcPr>
          <w:p>
            <w:pPr>
              <w:ind w:left="80"/>
              <w:spacing w:after="0"/>
              <w:rPr>
                <w:sz w:val="20"/>
                <w:szCs w:val="20"/>
                <w:color w:val="auto"/>
              </w:rPr>
            </w:pPr>
            <w:r>
              <w:rPr>
                <w:rFonts w:ascii="Arial" w:cs="Arial" w:eastAsia="Arial" w:hAnsi="Arial"/>
                <w:sz w:val="18"/>
                <w:szCs w:val="18"/>
                <w:color w:val="auto"/>
              </w:rPr>
              <w:t>ASSISTANT TREASURER</w:t>
            </w:r>
          </w:p>
        </w:tc>
      </w:tr>
    </w:tbl>
    <w:p>
      <w:pPr>
        <w:sectPr>
          <w:pgSz w:w="11900" w:h="16838" w:orient="portrait"/>
          <w:cols w:equalWidth="0" w:num="1">
            <w:col w:w="11420"/>
          </w:cols>
          <w:pgMar w:left="240" w:top="2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7</w:t>
      </w:r>
    </w:p>
    <w:p>
      <w:pPr>
        <w:spacing w:after="0" w:line="1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Consolidated Report of Condition of</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THE BANK OF NEW YORK MELLON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of One Wall Street, New York, N.Y.10286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member of the Federal Reserve System, at the close of business December 31, 2008, published in accordance with a call made by the Federal Reserve Bank of this District pursuant to the provisions of the Federal Reserve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36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Dollar Amounts</w:t>
            </w:r>
          </w:p>
        </w:tc>
      </w:tr>
      <w:tr>
        <w:trPr>
          <w:trHeight w:val="161"/>
        </w:trPr>
        <w:tc>
          <w:tcPr>
            <w:tcW w:w="20" w:type="dxa"/>
            <w:vAlign w:val="bottom"/>
          </w:tcPr>
          <w:p>
            <w:pPr>
              <w:spacing w:after="0"/>
              <w:rPr>
                <w:sz w:val="14"/>
                <w:szCs w:val="14"/>
                <w:color w:val="auto"/>
              </w:rPr>
            </w:pPr>
          </w:p>
        </w:tc>
        <w:tc>
          <w:tcPr>
            <w:tcW w:w="1036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In Thousands</w:t>
            </w:r>
          </w:p>
        </w:tc>
      </w:tr>
      <w:tr>
        <w:trPr>
          <w:trHeight w:val="210"/>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Noninterest-bearing balances and currency and coin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Interest-bearing balances</w:t>
            </w:r>
          </w:p>
        </w:tc>
        <w:tc>
          <w:tcPr>
            <w:tcW w:w="1040" w:type="dxa"/>
            <w:vAlign w:val="bottom"/>
          </w:tcPr>
          <w:p>
            <w:pPr>
              <w:jc w:val="right"/>
              <w:spacing w:after="0"/>
              <w:rPr>
                <w:sz w:val="20"/>
                <w:szCs w:val="20"/>
                <w:color w:val="auto"/>
              </w:rPr>
            </w:pPr>
            <w:r>
              <w:rPr>
                <w:rFonts w:ascii="Arial" w:cs="Arial" w:eastAsia="Arial" w:hAnsi="Arial"/>
                <w:sz w:val="18"/>
                <w:szCs w:val="18"/>
                <w:color w:val="auto"/>
              </w:rPr>
              <w:t>87,807,000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Held-to-maturity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7,327,000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securities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32,572,000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funds sold in domestic offices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Securities purchased under agreements to resell</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Loans and leases held for sale</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32,827,000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LESS: Allowance for loan and lease losses</w:t>
            </w:r>
          </w:p>
        </w:tc>
        <w:tc>
          <w:tcPr>
            <w:tcW w:w="1040" w:type="dxa"/>
            <w:vAlign w:val="bottom"/>
          </w:tcPr>
          <w:p>
            <w:pPr>
              <w:jc w:val="right"/>
              <w:spacing w:after="0"/>
              <w:rPr>
                <w:sz w:val="20"/>
                <w:szCs w:val="20"/>
                <w:color w:val="auto"/>
              </w:rPr>
            </w:pPr>
            <w:r>
              <w:rPr>
                <w:rFonts w:ascii="Arial" w:cs="Arial" w:eastAsia="Arial" w:hAnsi="Arial"/>
                <w:sz w:val="18"/>
                <w:szCs w:val="18"/>
                <w:color w:val="auto"/>
              </w:rPr>
              <w:t>357,000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income and allowance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Trading assets</w:t>
            </w:r>
          </w:p>
        </w:tc>
        <w:tc>
          <w:tcPr>
            <w:tcW w:w="1040" w:type="dxa"/>
            <w:vAlign w:val="bottom"/>
          </w:tcPr>
          <w:p>
            <w:pPr>
              <w:jc w:val="right"/>
              <w:spacing w:after="0"/>
              <w:rPr>
                <w:sz w:val="20"/>
                <w:szCs w:val="20"/>
                <w:color w:val="auto"/>
              </w:rPr>
            </w:pPr>
            <w:r>
              <w:rPr>
                <w:rFonts w:ascii="Arial" w:cs="Arial" w:eastAsia="Arial" w:hAnsi="Arial"/>
                <w:sz w:val="18"/>
                <w:szCs w:val="18"/>
                <w:color w:val="auto"/>
              </w:rPr>
              <w:t>10,665,000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040" w:type="dxa"/>
            <w:vAlign w:val="bottom"/>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Not applicable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40" w:type="dxa"/>
            <w:vAlign w:val="bottom"/>
          </w:tcPr>
          <w:p>
            <w:pPr>
              <w:jc w:val="right"/>
              <w:spacing w:after="0"/>
              <w:rPr>
                <w:sz w:val="20"/>
                <w:szCs w:val="20"/>
                <w:color w:val="auto"/>
              </w:rPr>
            </w:pPr>
            <w:r>
              <w:rPr>
                <w:rFonts w:ascii="Arial" w:cs="Arial" w:eastAsia="Arial" w:hAnsi="Arial"/>
                <w:sz w:val="18"/>
                <w:szCs w:val="18"/>
                <w:color w:val="auto"/>
              </w:rPr>
              <w:t>4,908,000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1,606,000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11,095,000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195,164,000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98" w:name="page99"/>
    <w:bookmarkEnd w:id="9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Deposits: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 domestic offices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Noninterest-bearing</w:t>
            </w:r>
          </w:p>
        </w:tc>
        <w:tc>
          <w:tcPr>
            <w:tcW w:w="1040" w:type="dxa"/>
            <w:vAlign w:val="bottom"/>
          </w:tcPr>
          <w:p>
            <w:pPr>
              <w:jc w:val="right"/>
              <w:spacing w:after="0"/>
              <w:rPr>
                <w:sz w:val="20"/>
                <w:szCs w:val="20"/>
                <w:color w:val="auto"/>
              </w:rPr>
            </w:pPr>
            <w:r>
              <w:rPr>
                <w:rFonts w:ascii="Arial" w:cs="Arial" w:eastAsia="Arial" w:hAnsi="Arial"/>
                <w:sz w:val="18"/>
                <w:szCs w:val="18"/>
                <w:color w:val="auto"/>
              </w:rPr>
              <w:t>54,008,000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 foreign offices, Edge and Agreement subsidiaries, and IBFs</w:t>
            </w:r>
          </w:p>
        </w:tc>
        <w:tc>
          <w:tcPr>
            <w:tcW w:w="1040" w:type="dxa"/>
            <w:vAlign w:val="bottom"/>
          </w:tcPr>
          <w:p>
            <w:pPr>
              <w:jc w:val="right"/>
              <w:spacing w:after="0"/>
              <w:rPr>
                <w:sz w:val="20"/>
                <w:szCs w:val="20"/>
                <w:color w:val="auto"/>
              </w:rPr>
            </w:pPr>
            <w:r>
              <w:rPr>
                <w:rFonts w:ascii="Arial" w:cs="Arial" w:eastAsia="Arial" w:hAnsi="Arial"/>
                <w:sz w:val="18"/>
                <w:szCs w:val="18"/>
                <w:color w:val="auto"/>
              </w:rPr>
              <w:t>72,497,000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Noninterest-bearing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Interest-bearing</w:t>
            </w:r>
          </w:p>
        </w:tc>
        <w:tc>
          <w:tcPr>
            <w:tcW w:w="1040" w:type="dxa"/>
            <w:vAlign w:val="bottom"/>
          </w:tcPr>
          <w:p>
            <w:pPr>
              <w:jc w:val="right"/>
              <w:spacing w:after="0"/>
              <w:rPr>
                <w:sz w:val="20"/>
                <w:szCs w:val="20"/>
                <w:color w:val="auto"/>
              </w:rPr>
            </w:pPr>
            <w:r>
              <w:rPr>
                <w:rFonts w:ascii="Arial" w:cs="Arial" w:eastAsia="Arial" w:hAnsi="Arial"/>
                <w:sz w:val="18"/>
                <w:szCs w:val="18"/>
                <w:color w:val="auto"/>
              </w:rPr>
              <w:t>70,939,000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Federal funds purchased in domestic offices</w:t>
            </w:r>
          </w:p>
        </w:tc>
        <w:tc>
          <w:tcPr>
            <w:tcW w:w="1040" w:type="dxa"/>
            <w:vAlign w:val="bottom"/>
          </w:tcPr>
          <w:p>
            <w:pPr>
              <w:jc w:val="right"/>
              <w:spacing w:after="0"/>
              <w:rPr>
                <w:sz w:val="20"/>
                <w:szCs w:val="20"/>
                <w:color w:val="auto"/>
              </w:rPr>
            </w:pPr>
            <w:r>
              <w:rPr>
                <w:rFonts w:ascii="Arial" w:cs="Arial" w:eastAsia="Arial" w:hAnsi="Arial"/>
                <w:sz w:val="18"/>
                <w:szCs w:val="18"/>
                <w:color w:val="auto"/>
              </w:rPr>
              <w:t>454,000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sold under agreements to repurchase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Trading liabilities</w:t>
            </w:r>
          </w:p>
        </w:tc>
        <w:tc>
          <w:tcPr>
            <w:tcW w:w="1040" w:type="dxa"/>
            <w:vAlign w:val="bottom"/>
          </w:tcPr>
          <w:p>
            <w:pPr>
              <w:jc w:val="right"/>
              <w:spacing w:after="0"/>
              <w:rPr>
                <w:sz w:val="20"/>
                <w:szCs w:val="20"/>
                <w:color w:val="auto"/>
              </w:rPr>
            </w:pPr>
            <w:r>
              <w:rPr>
                <w:rFonts w:ascii="Arial" w:cs="Arial" w:eastAsia="Arial" w:hAnsi="Arial"/>
                <w:sz w:val="18"/>
                <w:szCs w:val="18"/>
                <w:color w:val="auto"/>
              </w:rPr>
              <w:t>8,365,000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040" w:type="dxa"/>
            <w:vAlign w:val="bottom"/>
          </w:tcPr>
          <w:p>
            <w:pPr>
              <w:jc w:val="right"/>
              <w:spacing w:after="0"/>
              <w:rPr>
                <w:sz w:val="20"/>
                <w:szCs w:val="20"/>
                <w:color w:val="auto"/>
              </w:rPr>
            </w:pPr>
            <w:r>
              <w:rPr>
                <w:rFonts w:ascii="Arial" w:cs="Arial" w:eastAsia="Arial" w:hAnsi="Arial"/>
                <w:sz w:val="18"/>
                <w:szCs w:val="18"/>
                <w:color w:val="auto"/>
              </w:rPr>
              <w:t>6,256,000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Not applicable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liabilities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183,441,000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80" w:type="dxa"/>
            <w:vAlign w:val="bottom"/>
            <w:gridSpan w:val="2"/>
            <w:vMerge w:val="restart"/>
          </w:tcPr>
          <w:p>
            <w:pPr>
              <w:spacing w:after="0"/>
              <w:rPr>
                <w:sz w:val="20"/>
                <w:szCs w:val="20"/>
                <w:color w:val="auto"/>
              </w:rPr>
            </w:pPr>
            <w:r>
              <w:rPr>
                <w:rFonts w:ascii="Arial" w:cs="Arial" w:eastAsia="Arial" w:hAnsi="Arial"/>
                <w:sz w:val="18"/>
                <w:szCs w:val="18"/>
                <w:color w:val="auto"/>
              </w:rPr>
              <w:t>Minority interest in consolidated subsidiaries</w:t>
            </w: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380" w:type="dxa"/>
            <w:vAlign w:val="bottom"/>
            <w:gridSpan w:val="2"/>
            <w:vMerge w:val="continue"/>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CAPITAL</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8,276,000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-4,848,000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Total equity capital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11,373,000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equity capital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195,164,000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8" w:right="239" w:bottom="1440" w:gutter="0" w:footer="0" w:header="0"/>
        </w:sectPr>
      </w:pPr>
    </w:p>
    <w:bookmarkStart w:id="99" w:name="page100"/>
    <w:bookmarkEnd w:id="9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Thomas P. Gibbons, Chief Financial Officer of the above-named bank do hereby declare that this Report of Condition is true and correct to the best of my knowledge and belief.</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Thomas P. Gibbons,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Gerald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-125730</wp:posOffset>
            </wp:positionV>
            <wp:extent cx="154305" cy="411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411480"/>
                    </a:xfrm>
                    <a:prstGeom prst="rect">
                      <a:avLst/>
                    </a:prstGeom>
                    <a:noFill/>
                  </pic:spPr>
                </pic:pic>
              </a:graphicData>
            </a:graphic>
          </wp:anchor>
        </w:drawing>
      </w:r>
    </w:p>
    <w:p>
      <w:pPr>
        <w:spacing w:after="0"/>
        <w:tabs>
          <w:tab w:leader="none" w:pos="4800" w:val="left"/>
        </w:tabs>
        <w:rPr>
          <w:sz w:val="20"/>
          <w:szCs w:val="20"/>
          <w:color w:val="auto"/>
        </w:rPr>
      </w:pPr>
      <w:r>
        <w:rPr>
          <w:rFonts w:ascii="Arial" w:cs="Arial" w:eastAsia="Arial" w:hAnsi="Arial"/>
          <w:sz w:val="18"/>
          <w:szCs w:val="18"/>
          <w:color w:val="auto"/>
        </w:rPr>
        <w:t>Steven G. Elliott</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P. Kelly</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decimal"/>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decimal"/>
      <w:start w:val="1"/>
    </w:lvl>
  </w:abstractNum>
  <w:abstractNum w:abstractNumId="5">
    <w:nsid w:val="7A6D8D3C"/>
    <w:multiLevelType w:val="hybridMultilevel"/>
    <w:lvl w:ilvl="0">
      <w:lvlJc w:val="left"/>
      <w:lvlText w:val="(%1)"/>
      <w:numFmt w:val="lowerRoman"/>
      <w:start w:val="10"/>
    </w:lvl>
  </w:abstractNum>
  <w:abstractNum w:abstractNumId="6">
    <w:nsid w:val="4B588F54"/>
    <w:multiLevelType w:val="hybridMultilevel"/>
    <w:lvl w:ilvl="0">
      <w:lvlJc w:val="left"/>
      <w:lvlText w:val="(%1)"/>
      <w:numFmt w:val="lowerLetter"/>
      <w:start w:val="1"/>
    </w:lvl>
  </w:abstractNum>
  <w:abstractNum w:abstractNumId="7">
    <w:nsid w:val="542289EC"/>
    <w:multiLevelType w:val="hybridMultilevel"/>
    <w:lvl w:ilvl="0">
      <w:lvlJc w:val="left"/>
      <w:lvlText w:val="(%1)"/>
      <w:numFmt w:val="lowerLetter"/>
      <w:start w:val="23"/>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lvl w:ilvl="1">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lvl w:ilvl="1">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lvl w:ilvl="1">
      <w:lvlJc w:val="left"/>
      <w:lvlText w:val="(%2)"/>
      <w:numFmt w:val="decimal"/>
      <w:start w:val="1"/>
    </w:lvl>
  </w:abstractNum>
  <w:abstractNum w:abstractNumId="20">
    <w:nsid w:val="70C6A529"/>
    <w:multiLevelType w:val="hybridMultilevel"/>
    <w:lvl w:ilvl="0">
      <w:lvlJc w:val="left"/>
      <w:lvlText w:val="•"/>
      <w:numFmt w:val="bullet"/>
      <w:start w:val="1"/>
    </w:lvl>
    <w:lvl w:ilvl="1">
      <w:lvlJc w:val="left"/>
      <w:lvlText w:val="(%2)"/>
      <w:numFmt w:val="decimal"/>
      <w:start w:val="6"/>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lvl w:ilvl="1">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lvl w:ilvl="1">
      <w:lvlJc w:val="left"/>
      <w:lvlText w:val="•"/>
      <w:numFmt w:val="bullet"/>
      <w:start w:val="1"/>
    </w:lvl>
  </w:abstractNum>
  <w:abstractNum w:abstractNumId="26">
    <w:nsid w:val="275AC794"/>
    <w:multiLevelType w:val="hybridMultilevel"/>
    <w:lvl w:ilvl="0">
      <w:lvlJc w:val="left"/>
      <w:lvlText w:val="•"/>
      <w:numFmt w:val="bullet"/>
      <w:start w:val="1"/>
    </w:lvl>
    <w:lvl w:ilvl="1">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1)"/>
      <w:numFmt w:val="decimal"/>
      <w:start w:val="1"/>
    </w:lvl>
  </w:abstractNum>
  <w:abstractNum w:abstractNumId="38">
    <w:nsid w:val="6157409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9">
    <w:nsid w:val="7E0C57B1"/>
    <w:multiLevelType w:val="hybridMultilevel"/>
    <w:lvl w:ilvl="0">
      <w:lvlJc w:val="left"/>
      <w:lvlText w:val="(%1)"/>
      <w:numFmt w:val="decimal"/>
      <w:start w:val="2"/>
    </w:lvl>
  </w:abstractNum>
  <w:abstractNum w:abstractNumId="40">
    <w:nsid w:val="77AE35EB"/>
    <w:multiLevelType w:val="hybridMultilevel"/>
    <w:lvl w:ilvl="0">
      <w:lvlJc w:val="left"/>
      <w:lvlText w:val="(%1)"/>
      <w:numFmt w:val="decimal"/>
      <w:start w:val="4"/>
    </w:lvl>
    <w:lvl w:ilvl="1">
      <w:lvlJc w:val="left"/>
      <w:lvlText w:val="(%2)"/>
      <w:numFmt w:val="lowerRoman"/>
      <w:start w:val="1"/>
    </w:lvl>
  </w:abstractNum>
  <w:abstractNum w:abstractNumId="41">
    <w:nsid w:val="579BE4F1"/>
    <w:multiLevelType w:val="hybridMultilevel"/>
    <w:lvl w:ilvl="0">
      <w:lvlJc w:val="left"/>
      <w:lvlText w:val="%1"/>
      <w:numFmt w:val="lowerLetter"/>
      <w:start w:val="1"/>
    </w:lvl>
    <w:lvl w:ilvl="1">
      <w:lvlJc w:val="left"/>
      <w:lvlText w:val="(%2)"/>
      <w:numFmt w:val="lowerRoman"/>
      <w:start w:val="1"/>
    </w:lvl>
  </w:abstractNum>
  <w:abstractNum w:abstractNumId="42">
    <w:nsid w:val="310C50B3"/>
    <w:multiLevelType w:val="hybridMultilevel"/>
    <w:lvl w:ilvl="0">
      <w:lvlJc w:val="left"/>
      <w:lvlText w:val="(%1)"/>
      <w:numFmt w:val="lowerLetter"/>
      <w:start w:val="2"/>
    </w:lvl>
    <w:lvl w:ilvl="1">
      <w:lvlJc w:val="left"/>
      <w:lvlText w:val="%2"/>
      <w:numFmt w:val="lowerRoman"/>
      <w:start w:val="1"/>
    </w:lvl>
  </w:abstractNum>
  <w:abstractNum w:abstractNumId="43">
    <w:nsid w:val="5FF87E05"/>
    <w:multiLevelType w:val="hybridMultilevel"/>
    <w:lvl w:ilvl="0">
      <w:lvlJc w:val="left"/>
      <w:lvlText w:val="(%1)"/>
      <w:numFmt w:val="lowerLetter"/>
      <w:start w:val="4"/>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1."/>
      <w:numFmt w:val="decimal"/>
      <w:start w:val="1"/>
    </w:lvl>
    <w:lvl w:ilvl="1">
      <w:lvlJc w:val="left"/>
      <w:lvlText w:val="(%2)"/>
      <w:numFmt w:val="lowerLetter"/>
      <w:start w:val="1"/>
    </w:lvl>
  </w:abstractNum>
  <w:abstractNum w:abstractNumId="48">
    <w:nsid w:val="1F48EAA1"/>
    <w:multiLevelType w:val="hybridMultilevel"/>
    <w:lvl w:ilvl="0">
      <w:lvlJc w:val="left"/>
      <w:lvlText w:val="(%1)"/>
      <w:numFmt w:val="lowerLetter"/>
      <w:start w:val="5"/>
    </w:lvl>
  </w:abstractNum>
  <w:abstractNum w:abstractNumId="49">
    <w:nsid w:val="1381823A"/>
    <w:multiLevelType w:val="hybridMultilevel"/>
    <w:lvl w:ilvl="0">
      <w:lvlJc w:val="left"/>
      <w:lvlText w:val="%1."/>
      <w:numFmt w:val="decimal"/>
      <w:start w:val="2"/>
    </w:lvl>
    <w:lvl w:ilvl="1">
      <w:lvlJc w:val="left"/>
      <w:lvlText w:val="(%2)"/>
      <w:numFmt w:val="lowerLetter"/>
      <w:start w:val="1"/>
    </w:lvl>
  </w:abstractNum>
  <w:abstractNum w:abstractNumId="50">
    <w:nsid w:val="5DB70AE5"/>
    <w:multiLevelType w:val="hybridMultilevel"/>
    <w:lvl w:ilvl="0">
      <w:lvlJc w:val="left"/>
      <w:lvlText w:val="(%1)"/>
      <w:numFmt w:val="lowerRoman"/>
      <w:start w:val="1"/>
    </w:lvl>
  </w:abstractNum>
  <w:abstractNum w:abstractNumId="51">
    <w:nsid w:val="100F8FCA"/>
    <w:multiLevelType w:val="hybridMultilevel"/>
    <w:lvl w:ilvl="0">
      <w:lvlJc w:val="left"/>
      <w:lvlText w:val="(%1)"/>
      <w:numFmt w:val="lowerRoman"/>
      <w:start w:val="8"/>
    </w:lvl>
  </w:abstractNum>
  <w:abstractNum w:abstractNumId="52">
    <w:nsid w:val="6590700B"/>
    <w:multiLevelType w:val="hybridMultilevel"/>
    <w:lvl w:ilvl="0">
      <w:lvlJc w:val="left"/>
      <w:lvlText w:val="1"/>
      <w:numFmt w:val="bullet"/>
      <w:start w:val="1"/>
    </w:lvl>
  </w:abstractNum>
  <w:abstractNum w:abstractNumId="53">
    <w:nsid w:val="15014ACB"/>
    <w:multiLevelType w:val="hybridMultilevel"/>
    <w:lvl w:ilvl="0">
      <w:lvlJc w:val="left"/>
      <w:lvlText w:val="(%1)"/>
      <w:numFmt w:val="lowerRoman"/>
      <w:start w:val="11"/>
    </w:lvl>
  </w:abstractNum>
  <w:abstractNum w:abstractNumId="54">
    <w:nsid w:val="5F5E7FD0"/>
    <w:multiLevelType w:val="hybridMultilevel"/>
    <w:lvl w:ilvl="0">
      <w:lvlJc w:val="left"/>
      <w:lvlText w:val="(%1)"/>
      <w:numFmt w:val="lowerLetter"/>
      <w:start w:val="4"/>
    </w:lvl>
    <w:lvl w:ilvl="1">
      <w:lvlJc w:val="left"/>
      <w:lvlText w:val="(%2)"/>
      <w:numFmt w:val="lowerRoman"/>
      <w:start w:val="1"/>
    </w:lvl>
  </w:abstractNum>
  <w:abstractNum w:abstractNumId="55">
    <w:nsid w:val="98A3148"/>
    <w:multiLevelType w:val="hybridMultilevel"/>
    <w:lvl w:ilvl="0">
      <w:lvlJc w:val="left"/>
      <w:lvlText w:val="(%1)"/>
      <w:numFmt w:val="lowerRoman"/>
      <w:start w:val="4"/>
    </w:lvl>
  </w:abstractNum>
  <w:abstractNum w:abstractNumId="56">
    <w:nsid w:val="799D0247"/>
    <w:multiLevelType w:val="hybridMultilevel"/>
    <w:lvl w:ilvl="0">
      <w:lvlJc w:val="left"/>
      <w:lvlText w:val="(%1)"/>
      <w:numFmt w:val="lowerLetter"/>
      <w:start w:val="5"/>
    </w:lvl>
    <w:lvl w:ilvl="1">
      <w:lvlJc w:val="left"/>
      <w:lvlText w:val="(%2)"/>
      <w:numFmt w:val="lowerRoman"/>
      <w:start w:val="1"/>
    </w:lvl>
  </w:abstractNum>
  <w:abstractNum w:abstractNumId="57">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8">
    <w:nsid w:val="42C296BD"/>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59">
    <w:nsid w:val="168E121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0">
    <w:nsid w:val="1EBA5D23"/>
    <w:multiLevelType w:val="hybridMultilevel"/>
    <w:lvl w:ilvl="0">
      <w:lvlJc w:val="left"/>
      <w:lvlText w:val="(%1)"/>
      <w:numFmt w:val="lowerLetter"/>
      <w:start w:val="2"/>
    </w:lvl>
  </w:abstractNum>
  <w:abstractNum w:abstractNumId="61">
    <w:nsid w:val="661E3F1E"/>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62">
    <w:nsid w:val="5DC79EA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3">
    <w:nsid w:val="540A471C"/>
    <w:multiLevelType w:val="hybridMultilevel"/>
    <w:lvl w:ilvl="0">
      <w:lvlJc w:val="left"/>
      <w:lvlText w:val="(%1)"/>
      <w:numFmt w:val="lowerRoman"/>
      <w:start w:val="1"/>
    </w:lvl>
  </w:abstractNum>
  <w:abstractNum w:abstractNumId="64">
    <w:nsid w:val="7BD3EE7B"/>
    <w:multiLevelType w:val="hybridMultilevel"/>
    <w:lvl w:ilvl="0">
      <w:lvlJc w:val="left"/>
      <w:lvlText w:val="%1"/>
      <w:numFmt w:val="lowerLetter"/>
      <w:start w:val="1"/>
    </w:lvl>
    <w:lvl w:ilvl="1">
      <w:lvlJc w:val="left"/>
      <w:lvlText w:val="%2."/>
      <w:numFmt w:val="decimal"/>
      <w:start w:val="8"/>
    </w:lvl>
  </w:abstractNum>
  <w:abstractNum w:abstractNumId="65">
    <w:nsid w:val="51D9C564"/>
    <w:multiLevelType w:val="hybridMultilevel"/>
    <w:lvl w:ilvl="0">
      <w:lvlJc w:val="left"/>
      <w:lvlText w:val="(%1)"/>
      <w:numFmt w:val="lowerLetter"/>
      <w:start w:val="1"/>
    </w:lvl>
    <w:lvl w:ilvl="1">
      <w:lvlJc w:val="left"/>
      <w:lvlText w:val="%2"/>
      <w:numFmt w:val="decimal"/>
      <w:start w:val="1"/>
    </w:lvl>
  </w:abstractNum>
  <w:abstractNum w:abstractNumId="66">
    <w:nsid w:val="613EFDC5"/>
    <w:multiLevelType w:val="hybridMultilevel"/>
    <w:lvl w:ilvl="0">
      <w:lvlJc w:val="left"/>
      <w:lvlText w:val="(%1)"/>
      <w:numFmt w:val="lowerLetter"/>
      <w:start w:val="6"/>
    </w:lvl>
  </w:abstractNum>
  <w:abstractNum w:abstractNumId="67">
    <w:nsid w:val="BF72B14"/>
    <w:multiLevelType w:val="hybridMultilevel"/>
    <w:lvl w:ilvl="0">
      <w:lvlJc w:val="left"/>
      <w:lvlText w:val="%1."/>
      <w:numFmt w:val="decimal"/>
      <w:start w:val="9"/>
    </w:lvl>
  </w:abstractNum>
  <w:abstractNum w:abstractNumId="68">
    <w:nsid w:val="11447B73"/>
    <w:multiLevelType w:val="hybridMultilevel"/>
    <w:lvl w:ilvl="0">
      <w:lvlJc w:val="left"/>
      <w:lvlText w:val="(%1)"/>
      <w:numFmt w:val="lowerRoman"/>
      <w:start w:val="8"/>
    </w:lvl>
  </w:abstractNum>
  <w:abstractNum w:abstractNumId="69">
    <w:nsid w:val="42963E5A"/>
    <w:multiLevelType w:val="hybridMultilevel"/>
    <w:lvl w:ilvl="0">
      <w:lvlJc w:val="left"/>
      <w:lvlText w:val="%1."/>
      <w:numFmt w:val="decimal"/>
      <w:start w:val="1"/>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1."/>
      <w:numFmt w:val="decimal"/>
      <w:start w:val="2"/>
    </w:lvl>
  </w:abstractNum>
  <w:abstractNum w:abstractNumId="72">
    <w:nsid w:val="1A32234B"/>
    <w:multiLevelType w:val="hybridMultilevel"/>
    <w:lvl w:ilvl="0">
      <w:lvlJc w:val="left"/>
      <w:lvlText w:val="%1."/>
      <w:numFmt w:val="decimal"/>
      <w:start w:val="5"/>
    </w:lvl>
  </w:abstractNum>
  <w:abstractNum w:abstractNumId="73">
    <w:nsid w:val="3B0FD379"/>
    <w:multiLevelType w:val="hybridMultilevel"/>
    <w:lvl w:ilvl="0">
      <w:lvlJc w:val="left"/>
      <w:lvlText w:val="%1."/>
      <w:numFmt w:val="decimal"/>
      <w:start w:val="1"/>
    </w:lvl>
    <w:lvl w:ilvl="1">
      <w:lvlJc w:val="left"/>
      <w:lvlText w:val="(%2)"/>
      <w:numFmt w:val="lowerLetter"/>
      <w:start w:val="1"/>
    </w:lvl>
  </w:abstractNum>
  <w:abstractNum w:abstractNumId="74">
    <w:nsid w:val="68EB2F63"/>
    <w:multiLevelType w:val="hybridMultilevel"/>
    <w:lvl w:ilvl="0">
      <w:lvlJc w:val="left"/>
      <w:lvlText w:val="(%1)"/>
      <w:numFmt w:val="lowerLetter"/>
      <w:start w:val="2"/>
    </w:lvl>
  </w:abstractNum>
  <w:abstractNum w:abstractNumId="75">
    <w:nsid w:val="4962813B"/>
    <w:multiLevelType w:val="hybridMultilevel"/>
    <w:lvl w:ilvl="0">
      <w:lvlJc w:val="left"/>
      <w:lvlText w:val="%1."/>
      <w:numFmt w:val="decimal"/>
      <w:start w:val="2"/>
    </w:lvl>
  </w:abstractNum>
  <w:abstractNum w:abstractNumId="76">
    <w:nsid w:val="60B6DF70"/>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77">
    <w:nsid w:val="6A5EE64"/>
    <w:multiLevelType w:val="hybridMultilevel"/>
    <w:lvl w:ilvl="0">
      <w:lvlJc w:val="left"/>
      <w:lvlText w:val="%1."/>
      <w:numFmt w:val="decimal"/>
      <w:start w:val="4"/>
    </w:lvl>
  </w:abstractNum>
  <w:abstractNum w:abstractNumId="78">
    <w:nsid w:val="14330624"/>
    <w:multiLevelType w:val="hybridMultilevel"/>
    <w:lvl w:ilvl="0">
      <w:lvlJc w:val="left"/>
      <w:lvlText w:val="%1."/>
      <w:numFmt w:val="decimal"/>
      <w:start w:val="6"/>
    </w:lvl>
    <w:lvl w:ilvl="1">
      <w:lvlJc w:val="left"/>
      <w:lvlText w:val="-"/>
      <w:numFmt w:val="bullet"/>
      <w:start w:val="1"/>
    </w:lvl>
  </w:abstractNum>
  <w:abstractNum w:abstractNumId="79">
    <w:nsid w:val="7FFFCA11"/>
    <w:multiLevelType w:val="hybridMultilevel"/>
    <w:lvl w:ilvl="0">
      <w:lvlJc w:val="left"/>
      <w:lvlText w:val="%1."/>
      <w:numFmt w:val="decimal"/>
      <w:start w:val="1"/>
    </w:lvl>
    <w:lvl w:ilvl="1">
      <w:lvlJc w:val="left"/>
      <w:lvlText w:val="(%2)"/>
      <w:numFmt w:val="lowerLetter"/>
      <w:start w:val="1"/>
    </w:lvl>
  </w:abstractNum>
  <w:abstractNum w:abstractNumId="80">
    <w:nsid w:val="1A27709E"/>
    <w:multiLevelType w:val="hybridMultilevel"/>
    <w:lvl w:ilvl="0">
      <w:lvlJc w:val="left"/>
      <w:lvlText w:val="(%1)"/>
      <w:numFmt w:val="lowerLetter"/>
      <w:start w:val="2"/>
    </w:lvl>
  </w:abstractNum>
  <w:abstractNum w:abstractNumId="81">
    <w:nsid w:val="71EA1109"/>
    <w:multiLevelType w:val="hybridMultilevel"/>
    <w:lvl w:ilvl="0">
      <w:lvlJc w:val="left"/>
      <w:lvlText w:val="%1."/>
      <w:numFmt w:val="decimal"/>
      <w:start w:val="2"/>
    </w:lvl>
  </w:abstractNum>
  <w:abstractNum w:abstractNumId="82">
    <w:nsid w:val="100F59DC"/>
    <w:multiLevelType w:val="hybridMultilevel"/>
    <w:lvl w:ilvl="0">
      <w:lvlJc w:val="left"/>
      <w:lvlText w:val="%1."/>
      <w:numFmt w:val="decimal"/>
      <w:start w:val="16"/>
    </w:lvl>
    <w:lvl w:ilvl="1">
      <w:lvlJc w:val="left"/>
      <w:lvlText w:val="%2."/>
      <w:numFmt w:val="decimal"/>
      <w:start w:val="1"/>
    </w:lvl>
  </w:abstractNum>
  <w:abstractNum w:abstractNumId="83">
    <w:nsid w:val="7FB7E0AA"/>
    <w:multiLevelType w:val="hybridMultilevel"/>
    <w:lvl w:ilvl="0">
      <w:lvlJc w:val="left"/>
      <w:lvlText w:val="%1."/>
      <w:numFmt w:val="decimal"/>
      <w:start w:val="4"/>
    </w:lvl>
  </w:abstractNum>
  <w:abstractNum w:abstractNumId="84">
    <w:nsid w:val="6EB5BD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2019-12-20T20:12:49Z</dcterms:created>
  <dcterms:modified xsi:type="dcterms:W3CDTF">2019-12-20T20:12:49Z</dcterms:modified>
</cp:coreProperties>
</file>