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31,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40"/>
          </w:cols>
          <w:pgMar w:left="240" w:top="908" w:right="5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860"/>
        <w:spacing w:after="0" w:line="277" w:lineRule="auto"/>
        <w:rPr>
          <w:sz w:val="20"/>
          <w:szCs w:val="20"/>
          <w:color w:val="auto"/>
        </w:rPr>
      </w:pPr>
      <w:r>
        <w:rPr>
          <w:rFonts w:ascii="Arial" w:cs="Arial" w:eastAsia="Arial" w:hAnsi="Arial"/>
          <w:sz w:val="18"/>
          <w:szCs w:val="18"/>
          <w:color w:val="auto"/>
        </w:rPr>
        <w:t>Notice of disclosure filed in the Annual Report on Form 10-K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580"/>
          </w:cols>
          <w:pgMar w:left="240" w:top="908" w:right="5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2017, which was filed with the Securities and Exchange Commission on January 31, 2018.</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140"/>
      </w:cols>
      <w:pgMar w:left="240" w:top="90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2019-12-06T19:15:01Z</dcterms:created>
  <dcterms:modified xsi:type="dcterms:W3CDTF">2019-12-06T19:15:01Z</dcterms:modified>
</cp:coreProperties>
</file>