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Pursuant to Section 13 or 15(d) of</w:t>
            </w:r>
          </w:p>
        </w:tc>
        <w:tc>
          <w:tcPr>
            <w:tcW w:w="322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The Securities Exchange Act of 1934</w:t>
            </w:r>
          </w:p>
        </w:tc>
        <w:tc>
          <w:tcPr>
            <w:tcW w:w="32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August 22, 2018</w:t>
            </w:r>
          </w:p>
        </w:tc>
        <w:tc>
          <w:tcPr>
            <w:tcW w:w="3220" w:type="dxa"/>
            <w:vAlign w:val="bottom"/>
          </w:tcPr>
          <w:p>
            <w:pPr>
              <w:spacing w:after="0"/>
              <w:rPr>
                <w:sz w:val="24"/>
                <w:szCs w:val="24"/>
                <w:color w:val="auto"/>
              </w:rPr>
            </w:pPr>
          </w:p>
        </w:tc>
      </w:tr>
      <w:tr>
        <w:trPr>
          <w:trHeight w:val="414"/>
        </w:trPr>
        <w:tc>
          <w:tcPr>
            <w:tcW w:w="3060" w:type="dxa"/>
            <w:vAlign w:val="bottom"/>
          </w:tcPr>
          <w:p>
            <w:pPr>
              <w:spacing w:after="0"/>
              <w:rPr>
                <w:sz w:val="24"/>
                <w:szCs w:val="24"/>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Incorporation; Address and Telephone Number of</w:t>
            </w:r>
          </w:p>
        </w:tc>
        <w:tc>
          <w:tcPr>
            <w:tcW w:w="3220" w:type="dxa"/>
            <w:vAlign w:val="bottom"/>
          </w:tcPr>
          <w:p>
            <w:pPr>
              <w:spacing w:after="0"/>
              <w:rPr>
                <w:sz w:val="18"/>
                <w:szCs w:val="18"/>
                <w:color w:val="auto"/>
              </w:rPr>
            </w:pPr>
          </w:p>
        </w:tc>
      </w:tr>
      <w:tr>
        <w:trPr>
          <w:trHeight w:val="234"/>
        </w:trPr>
        <w:tc>
          <w:tcPr>
            <w:tcW w:w="30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1"/>
              </w:rPr>
              <w:t>Commission File Number</w:t>
            </w:r>
          </w:p>
        </w:tc>
        <w:tc>
          <w:tcPr>
            <w:tcW w:w="51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Principal Executive Offices</w:t>
            </w:r>
          </w:p>
        </w:tc>
        <w:tc>
          <w:tcPr>
            <w:tcW w:w="32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060" w:type="dxa"/>
            <w:vAlign w:val="bottom"/>
          </w:tcPr>
          <w:p>
            <w:pPr>
              <w:jc w:val="center"/>
              <w:ind w:left="630"/>
              <w:spacing w:after="0" w:line="195" w:lineRule="exact"/>
              <w:rPr>
                <w:sz w:val="20"/>
                <w:szCs w:val="20"/>
                <w:color w:val="auto"/>
              </w:rPr>
            </w:pPr>
            <w:r>
              <w:rPr>
                <w:rFonts w:ascii="Arial" w:cs="Arial" w:eastAsia="Arial" w:hAnsi="Arial"/>
                <w:sz w:val="18"/>
                <w:szCs w:val="18"/>
                <w:color w:val="auto"/>
                <w:w w:val="90"/>
              </w:rPr>
              <w:t>001-32871</w:t>
            </w:r>
          </w:p>
        </w:tc>
        <w:tc>
          <w:tcPr>
            <w:tcW w:w="5140" w:type="dxa"/>
            <w:vAlign w:val="bottom"/>
          </w:tcPr>
          <w:p>
            <w:pPr>
              <w:jc w:val="center"/>
              <w:ind w:left="90"/>
              <w:spacing w:after="0" w:line="195" w:lineRule="exact"/>
              <w:rPr>
                <w:sz w:val="20"/>
                <w:szCs w:val="20"/>
                <w:color w:val="auto"/>
              </w:rPr>
            </w:pPr>
            <w:r>
              <w:rPr>
                <w:rFonts w:ascii="Arial" w:cs="Arial" w:eastAsia="Arial" w:hAnsi="Arial"/>
                <w:sz w:val="18"/>
                <w:szCs w:val="18"/>
                <w:b w:val="1"/>
                <w:bCs w:val="1"/>
                <w:color w:val="auto"/>
              </w:rPr>
              <w:t>COMCAST CORPORATION</w:t>
            </w:r>
          </w:p>
        </w:tc>
        <w:tc>
          <w:tcPr>
            <w:tcW w:w="3220" w:type="dxa"/>
            <w:vAlign w:val="bottom"/>
          </w:tcPr>
          <w:p>
            <w:pPr>
              <w:jc w:val="center"/>
              <w:ind w:right="45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060" w:type="dxa"/>
            <w:vAlign w:val="bottom"/>
          </w:tcPr>
          <w:p>
            <w:pPr>
              <w:spacing w:after="0"/>
              <w:rPr>
                <w:sz w:val="18"/>
                <w:szCs w:val="18"/>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8"/>
              </w:rPr>
              <w:t>PENNSYLVANIA</w:t>
            </w:r>
          </w:p>
        </w:tc>
        <w:tc>
          <w:tcPr>
            <w:tcW w:w="32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110"/>
              <w:spacing w:after="0"/>
              <w:rPr>
                <w:sz w:val="20"/>
                <w:szCs w:val="20"/>
                <w:color w:val="auto"/>
              </w:rPr>
            </w:pPr>
            <w:r>
              <w:rPr>
                <w:rFonts w:ascii="Arial" w:cs="Arial" w:eastAsia="Arial" w:hAnsi="Arial"/>
                <w:sz w:val="18"/>
                <w:szCs w:val="18"/>
                <w:color w:val="auto"/>
                <w:w w:val="88"/>
              </w:rPr>
              <w:t>One Comcast Center</w:t>
            </w:r>
          </w:p>
        </w:tc>
        <w:tc>
          <w:tcPr>
            <w:tcW w:w="32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0"/>
              </w:rPr>
              <w:t>Philadelphia, PA 19103-2838</w:t>
            </w:r>
          </w:p>
        </w:tc>
        <w:tc>
          <w:tcPr>
            <w:tcW w:w="32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0"/>
              </w:rPr>
              <w:t>(215) 286-1700</w:t>
            </w:r>
          </w:p>
        </w:tc>
        <w:tc>
          <w:tcPr>
            <w:tcW w:w="3220" w:type="dxa"/>
            <w:vAlign w:val="bottom"/>
          </w:tcPr>
          <w:p>
            <w:pPr>
              <w:spacing w:after="0"/>
              <w:rPr>
                <w:sz w:val="20"/>
                <w:szCs w:val="20"/>
                <w:color w:val="auto"/>
              </w:rPr>
            </w:pPr>
          </w:p>
        </w:tc>
      </w:tr>
      <w:tr>
        <w:trPr>
          <w:trHeight w:val="418"/>
        </w:trPr>
        <w:tc>
          <w:tcPr>
            <w:tcW w:w="3060" w:type="dxa"/>
            <w:vAlign w:val="bottom"/>
          </w:tcPr>
          <w:p>
            <w:pPr>
              <w:jc w:val="center"/>
              <w:ind w:left="630"/>
              <w:spacing w:after="0"/>
              <w:rPr>
                <w:sz w:val="20"/>
                <w:szCs w:val="20"/>
                <w:color w:val="auto"/>
              </w:rPr>
            </w:pPr>
            <w:r>
              <w:rPr>
                <w:rFonts w:ascii="Arial" w:cs="Arial" w:eastAsia="Arial" w:hAnsi="Arial"/>
                <w:sz w:val="18"/>
                <w:szCs w:val="18"/>
                <w:color w:val="auto"/>
                <w:w w:val="90"/>
              </w:rPr>
              <w:t>001-36438</w:t>
            </w: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rPr>
              <w:t>NBCUNIVERSAL MEDIA, LLC</w:t>
            </w:r>
          </w:p>
        </w:tc>
        <w:tc>
          <w:tcPr>
            <w:tcW w:w="3220" w:type="dxa"/>
            <w:vAlign w:val="bottom"/>
          </w:tcPr>
          <w:p>
            <w:pPr>
              <w:jc w:val="center"/>
              <w:ind w:right="450"/>
              <w:spacing w:after="0"/>
              <w:rPr>
                <w:sz w:val="20"/>
                <w:szCs w:val="20"/>
                <w:color w:val="auto"/>
              </w:rPr>
            </w:pPr>
            <w:r>
              <w:rPr>
                <w:rFonts w:ascii="Arial" w:cs="Arial" w:eastAsia="Arial" w:hAnsi="Arial"/>
                <w:sz w:val="18"/>
                <w:szCs w:val="18"/>
                <w:color w:val="auto"/>
                <w:w w:val="91"/>
              </w:rPr>
              <w:t>14-1682529</w:t>
            </w:r>
          </w:p>
        </w:tc>
      </w:tr>
      <w:tr>
        <w:trPr>
          <w:trHeight w:val="216"/>
        </w:trPr>
        <w:tc>
          <w:tcPr>
            <w:tcW w:w="3060" w:type="dxa"/>
            <w:vAlign w:val="bottom"/>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4"/>
              </w:rPr>
              <w:t>DELAWARE</w:t>
            </w:r>
          </w:p>
        </w:tc>
        <w:tc>
          <w:tcPr>
            <w:tcW w:w="32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110"/>
              <w:spacing w:after="0"/>
              <w:rPr>
                <w:sz w:val="20"/>
                <w:szCs w:val="20"/>
                <w:color w:val="auto"/>
              </w:rPr>
            </w:pPr>
            <w:r>
              <w:rPr>
                <w:rFonts w:ascii="Arial" w:cs="Arial" w:eastAsia="Arial" w:hAnsi="Arial"/>
                <w:sz w:val="18"/>
                <w:szCs w:val="18"/>
                <w:color w:val="auto"/>
                <w:w w:val="90"/>
              </w:rPr>
              <w:t>30 Rockefeller Plaza</w:t>
            </w:r>
          </w:p>
        </w:tc>
        <w:tc>
          <w:tcPr>
            <w:tcW w:w="32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3"/>
              </w:rPr>
              <w:t>New York, NY 10112-0015</w:t>
            </w:r>
          </w:p>
        </w:tc>
        <w:tc>
          <w:tcPr>
            <w:tcW w:w="32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0"/>
              </w:rPr>
              <w:t>(212) 664-4444</w:t>
            </w:r>
          </w:p>
        </w:tc>
        <w:tc>
          <w:tcPr>
            <w:tcW w:w="3220" w:type="dxa"/>
            <w:vAlign w:val="bottom"/>
          </w:tcPr>
          <w:p>
            <w:pPr>
              <w:spacing w:after="0"/>
              <w:rPr>
                <w:sz w:val="20"/>
                <w:szCs w:val="20"/>
                <w:color w:val="auto"/>
              </w:rPr>
            </w:pPr>
          </w:p>
        </w:tc>
      </w:tr>
    </w:tbl>
    <w:p>
      <w:pPr>
        <w:spacing w:after="0" w:line="202" w:lineRule="exact"/>
        <w:rPr>
          <w:sz w:val="24"/>
          <w:szCs w:val="24"/>
          <w:color w:val="auto"/>
        </w:rPr>
      </w:pPr>
    </w:p>
    <w:p>
      <w:pPr>
        <w:ind w:right="620" w:firstLine="23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60" w:hanging="32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560" w:hanging="32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60" w:hanging="32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756"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756"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756" w:right="239" w:bottom="1440" w:gutter="0" w:footer="0" w:header="0"/>
          <w:type w:val="continuous"/>
        </w:sectPr>
      </w:pPr>
    </w:p>
    <w:p>
      <w:pPr>
        <w:spacing w:after="0" w:line="3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527"/>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56" w:right="239" w:bottom="1440" w:gutter="0" w:footer="0" w:header="0"/>
          <w:type w:val="continuous"/>
        </w:sectPr>
      </w:pPr>
    </w:p>
    <w:bookmarkStart w:id="1" w:name="page2"/>
    <w:bookmarkEnd w:id="1"/>
    <w:p>
      <w:pPr>
        <w:ind w:left="60"/>
        <w:spacing w:after="0"/>
        <w:tabs>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 Loan Credit Agreement</w:t>
      </w:r>
    </w:p>
    <w:p>
      <w:pPr>
        <w:spacing w:after="0" w:line="221" w:lineRule="exact"/>
        <w:rPr>
          <w:sz w:val="20"/>
          <w:szCs w:val="20"/>
          <w:color w:val="auto"/>
        </w:rPr>
      </w:pPr>
    </w:p>
    <w:p>
      <w:pPr>
        <w:ind w:firstLine="238"/>
        <w:spacing w:after="0" w:line="256" w:lineRule="auto"/>
        <w:rPr>
          <w:sz w:val="20"/>
          <w:szCs w:val="20"/>
          <w:color w:val="auto"/>
        </w:rPr>
      </w:pPr>
      <w:r>
        <w:rPr>
          <w:rFonts w:ascii="Arial" w:cs="Arial" w:eastAsia="Arial" w:hAnsi="Arial"/>
          <w:sz w:val="18"/>
          <w:szCs w:val="18"/>
          <w:color w:val="auto"/>
        </w:rPr>
        <w:t>On August 22, 2018,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entered into a 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(the “</w:t>
      </w:r>
      <w:r>
        <w:rPr>
          <w:rFonts w:ascii="Arial" w:cs="Arial" w:eastAsia="Arial" w:hAnsi="Arial"/>
          <w:sz w:val="18"/>
          <w:szCs w:val="18"/>
          <w:b w:val="1"/>
          <w:bCs w:val="1"/>
          <w:color w:val="auto"/>
        </w:rPr>
        <w:t>Term Loan Credit Agreement</w:t>
      </w:r>
      <w:r>
        <w:rPr>
          <w:rFonts w:ascii="Arial" w:cs="Arial" w:eastAsia="Arial" w:hAnsi="Arial"/>
          <w:sz w:val="18"/>
          <w:szCs w:val="18"/>
          <w:color w:val="auto"/>
        </w:rPr>
        <w:t>”). The Term Loan Credit Agreement was entered into in connection with the extension of Comcast’s all-cash offer for the entire issued and to be issued share capital of Sky plc (“</w:t>
      </w:r>
      <w:r>
        <w:rPr>
          <w:rFonts w:ascii="Arial" w:cs="Arial" w:eastAsia="Arial" w:hAnsi="Arial"/>
          <w:sz w:val="18"/>
          <w:szCs w:val="18"/>
          <w:b w:val="1"/>
          <w:bCs w:val="1"/>
          <w:color w:val="auto"/>
        </w:rPr>
        <w:t>Sky</w:t>
      </w:r>
      <w:r>
        <w:rPr>
          <w:rFonts w:ascii="Arial" w:cs="Arial" w:eastAsia="Arial" w:hAnsi="Arial"/>
          <w:sz w:val="18"/>
          <w:szCs w:val="18"/>
          <w:color w:val="auto"/>
        </w:rPr>
        <w:t>”), described below in Item 7.01, and the proceeds of the loans under the Term Loan Credit Agreement are intended to be used for the purposes of financing such transaction.</w:t>
      </w:r>
    </w:p>
    <w:p>
      <w:pPr>
        <w:spacing w:after="0" w:line="188" w:lineRule="exact"/>
        <w:rPr>
          <w:sz w:val="20"/>
          <w:szCs w:val="20"/>
          <w:color w:val="auto"/>
        </w:rPr>
      </w:pPr>
    </w:p>
    <w:p>
      <w:pPr>
        <w:ind w:firstLine="238"/>
        <w:spacing w:after="0" w:line="298" w:lineRule="auto"/>
        <w:rPr>
          <w:sz w:val="20"/>
          <w:szCs w:val="20"/>
          <w:color w:val="auto"/>
        </w:rPr>
      </w:pPr>
      <w:r>
        <w:rPr>
          <w:rFonts w:ascii="Arial" w:cs="Arial" w:eastAsia="Arial" w:hAnsi="Arial"/>
          <w:sz w:val="16"/>
          <w:szCs w:val="16"/>
          <w:color w:val="auto"/>
        </w:rPr>
        <w:t>The Term Loan Credit Agreement provides for a $6 billion unsecured term loan credit facility (the “</w:t>
      </w:r>
      <w:r>
        <w:rPr>
          <w:rFonts w:ascii="Arial" w:cs="Arial" w:eastAsia="Arial" w:hAnsi="Arial"/>
          <w:sz w:val="16"/>
          <w:szCs w:val="16"/>
          <w:b w:val="1"/>
          <w:bCs w:val="1"/>
          <w:color w:val="auto"/>
        </w:rPr>
        <w:t>Term Loan Facility</w:t>
      </w:r>
      <w:r>
        <w:rPr>
          <w:rFonts w:ascii="Arial" w:cs="Arial" w:eastAsia="Arial" w:hAnsi="Arial"/>
          <w:sz w:val="16"/>
          <w:szCs w:val="16"/>
          <w:color w:val="auto"/>
        </w:rPr>
        <w:t>”) to Comcast. The Term Loan Facility is comprised of a single tranche that will mature on the date that is 4 years after the date of the initial borrowing thereof. Loans under the Term Loan Credit Agreement shall be borrowed in U.S. dollars. The commitments under the Term Loan Credit Agreement will remain in effect until July 25, 2019 or the date on which certain termination events customary for U.K. public acquisition financings, occur. Amortization payments are not required for loans under the Term Loan Facility. The Term Loan Facility is guaranteed by Comcast Cable Communications, LLC and NBCUniversal Media, LLC (the “</w:t>
      </w:r>
      <w:r>
        <w:rPr>
          <w:rFonts w:ascii="Arial" w:cs="Arial" w:eastAsia="Arial" w:hAnsi="Arial"/>
          <w:sz w:val="16"/>
          <w:szCs w:val="16"/>
          <w:b w:val="1"/>
          <w:bCs w:val="1"/>
          <w:color w:val="auto"/>
        </w:rPr>
        <w:t>Guarantors</w:t>
      </w:r>
      <w:r>
        <w:rPr>
          <w:rFonts w:ascii="Arial" w:cs="Arial" w:eastAsia="Arial" w:hAnsi="Arial"/>
          <w:sz w:val="16"/>
          <w:szCs w:val="16"/>
          <w:color w:val="auto"/>
        </w:rPr>
        <w:t>”).</w:t>
      </w:r>
    </w:p>
    <w:p>
      <w:pPr>
        <w:spacing w:after="0" w:line="158" w:lineRule="exact"/>
        <w:rPr>
          <w:sz w:val="20"/>
          <w:szCs w:val="20"/>
          <w:color w:val="auto"/>
        </w:rPr>
      </w:pPr>
    </w:p>
    <w:p>
      <w:pPr>
        <w:ind w:right="40" w:firstLine="238"/>
        <w:spacing w:after="0" w:line="259" w:lineRule="auto"/>
        <w:rPr>
          <w:sz w:val="20"/>
          <w:szCs w:val="20"/>
          <w:color w:val="auto"/>
        </w:rPr>
      </w:pPr>
      <w:r>
        <w:rPr>
          <w:rFonts w:ascii="Arial" w:cs="Arial" w:eastAsia="Arial" w:hAnsi="Arial"/>
          <w:sz w:val="18"/>
          <w:szCs w:val="18"/>
          <w:color w:val="auto"/>
        </w:rPr>
        <w:t>Subject to receipt of commitments from new or existing lenders and subject to other customary conditions, Comcast may increase the commitments under the Term Loan Facility, so long as there is no event of default continuing under the Term Loan Credit Agreement after giving effect to such increase. At this time, Comcast has not borrowed any funds under the Term Loan Credit Agreement. Under the Term Loan Facility, interest is based on either (i) the base rate formula or (ii) the Eurodollar rate formula.</w:t>
      </w:r>
    </w:p>
    <w:p>
      <w:pPr>
        <w:spacing w:after="0" w:line="187" w:lineRule="exact"/>
        <w:rPr>
          <w:sz w:val="20"/>
          <w:szCs w:val="20"/>
          <w:color w:val="auto"/>
        </w:rPr>
      </w:pPr>
    </w:p>
    <w:p>
      <w:pPr>
        <w:ind w:right="80" w:firstLine="238"/>
        <w:spacing w:after="0" w:line="293" w:lineRule="auto"/>
        <w:rPr>
          <w:sz w:val="20"/>
          <w:szCs w:val="20"/>
          <w:color w:val="auto"/>
        </w:rPr>
      </w:pPr>
      <w:r>
        <w:rPr>
          <w:rFonts w:ascii="Arial" w:cs="Arial" w:eastAsia="Arial" w:hAnsi="Arial"/>
          <w:sz w:val="16"/>
          <w:szCs w:val="16"/>
          <w:color w:val="auto"/>
        </w:rPr>
        <w:t>The Term Loan Credit Agreement contains customary representations and warranties as well as customary affirmative and negative covenants and events of default. Negative covenants include, among others, limitations on incurrence of liens by Comcast and certain of its subsidiaries and limitations on incurrence of indebtedness by certain of Comcast’s subsidiaries (other than the Guarantors), and a requirement that the leverage ratio (as defined in the Term Loan Credit Agreement) as of the end of any fiscal quarter is not greater than 5.75 to 1.00. If any of the events of default occur and are not cured within applicable grace periods or waived, any unpaid amounts under the Term Loan Credit Agreement may be declared immediately due and payable and the commitments may be terminated, but in each case subject to further customary “certain funds” limitations during the applicable period.</w:t>
      </w:r>
    </w:p>
    <w:p>
      <w:pPr>
        <w:spacing w:after="0" w:line="165" w:lineRule="exact"/>
        <w:rPr>
          <w:sz w:val="20"/>
          <w:szCs w:val="20"/>
          <w:color w:val="auto"/>
        </w:rPr>
      </w:pPr>
    </w:p>
    <w:p>
      <w:pPr>
        <w:ind w:right="100" w:firstLine="233"/>
        <w:spacing w:after="0" w:line="286" w:lineRule="auto"/>
        <w:rPr>
          <w:sz w:val="20"/>
          <w:szCs w:val="20"/>
          <w:color w:val="auto"/>
        </w:rPr>
      </w:pPr>
      <w:r>
        <w:rPr>
          <w:rFonts w:ascii="Arial" w:cs="Arial" w:eastAsia="Arial" w:hAnsi="Arial"/>
          <w:sz w:val="17"/>
          <w:szCs w:val="17"/>
          <w:color w:val="auto"/>
        </w:rPr>
        <w:t>In the ordinary course of their respective businesses, certain of the lenders and the other parties to the Term Loan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description above is a summary and is qualified in its entirety by the Term Loan Credit Agreement, which is filed as Exhibit 10.1 to this report.</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Modification of Bridge Credit Agreement</w:t>
      </w:r>
    </w:p>
    <w:p>
      <w:pPr>
        <w:spacing w:after="0" w:line="225" w:lineRule="exact"/>
        <w:rPr>
          <w:sz w:val="20"/>
          <w:szCs w:val="20"/>
          <w:color w:val="auto"/>
        </w:rPr>
      </w:pPr>
    </w:p>
    <w:p>
      <w:pPr>
        <w:ind w:right="20" w:firstLine="233"/>
        <w:spacing w:after="0" w:line="297" w:lineRule="auto"/>
        <w:rPr>
          <w:sz w:val="20"/>
          <w:szCs w:val="20"/>
          <w:color w:val="auto"/>
        </w:rPr>
      </w:pPr>
      <w:r>
        <w:rPr>
          <w:rFonts w:ascii="Arial" w:cs="Arial" w:eastAsia="Arial" w:hAnsi="Arial"/>
          <w:sz w:val="16"/>
          <w:szCs w:val="16"/>
          <w:color w:val="auto"/>
        </w:rPr>
        <w:t>Effective on August 22, 2018, Comcast entered into Amendment No. 1 with respect to that certain 364-day bridge credit agreement, dated as of April 25, 2018,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(the “</w:t>
      </w:r>
      <w:r>
        <w:rPr>
          <w:rFonts w:ascii="Arial" w:cs="Arial" w:eastAsia="Arial" w:hAnsi="Arial"/>
          <w:sz w:val="16"/>
          <w:szCs w:val="16"/>
          <w:b w:val="1"/>
          <w:bCs w:val="1"/>
          <w:color w:val="auto"/>
        </w:rPr>
        <w:t>Bridge Credit Agreement</w:t>
      </w:r>
      <w:r>
        <w:rPr>
          <w:rFonts w:ascii="Arial" w:cs="Arial" w:eastAsia="Arial" w:hAnsi="Arial"/>
          <w:sz w:val="16"/>
          <w:szCs w:val="16"/>
          <w:color w:val="auto"/>
        </w:rPr>
        <w:t>”, and such amendment, “</w:t>
      </w:r>
      <w:r>
        <w:rPr>
          <w:rFonts w:ascii="Arial" w:cs="Arial" w:eastAsia="Arial" w:hAnsi="Arial"/>
          <w:sz w:val="16"/>
          <w:szCs w:val="16"/>
          <w:b w:val="1"/>
          <w:bCs w:val="1"/>
          <w:color w:val="auto"/>
        </w:rPr>
        <w:t>Amendment No. 1</w:t>
      </w:r>
      <w:r>
        <w:rPr>
          <w:rFonts w:ascii="Arial" w:cs="Arial" w:eastAsia="Arial" w:hAnsi="Arial"/>
          <w:sz w:val="16"/>
          <w:szCs w:val="16"/>
          <w:color w:val="auto"/>
        </w:rPr>
        <w:t>”). Amendment No. 1 provides for a reduction in commitments of £3.1 billion (from an initial aggregate commitment amount of £16 billion) and also effectuates certain technical amendments to accommodate the Term Loan Facility.</w:t>
      </w:r>
    </w:p>
    <w:p>
      <w:pPr>
        <w:spacing w:after="0" w:line="158" w:lineRule="exact"/>
        <w:rPr>
          <w:sz w:val="20"/>
          <w:szCs w:val="20"/>
          <w:color w:val="auto"/>
        </w:rPr>
      </w:pPr>
    </w:p>
    <w:p>
      <w:pPr>
        <w:ind w:right="80" w:firstLine="233"/>
        <w:spacing w:after="0" w:line="277" w:lineRule="auto"/>
        <w:rPr>
          <w:sz w:val="20"/>
          <w:szCs w:val="20"/>
          <w:color w:val="auto"/>
        </w:rPr>
      </w:pPr>
      <w:r>
        <w:rPr>
          <w:rFonts w:ascii="Arial" w:cs="Arial" w:eastAsia="Arial" w:hAnsi="Arial"/>
          <w:sz w:val="18"/>
          <w:szCs w:val="18"/>
          <w:color w:val="auto"/>
        </w:rPr>
        <w:t>The description above is a summary and is qualified in its entirety by Amendment No. 1 to the Bridge Credit Agreement, which is filed as Exhibit 10.2 to this report.</w:t>
      </w:r>
    </w:p>
    <w:p>
      <w:pPr>
        <w:spacing w:after="0" w:line="166"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21" w:right="279" w:bottom="1440" w:gutter="0" w:footer="0" w:header="0"/>
        </w:sectPr>
      </w:pPr>
    </w:p>
    <w:bookmarkStart w:id="2" w:name="page3"/>
    <w:bookmarkEnd w:id="2"/>
    <w:p>
      <w:pPr>
        <w:jc w:val="both"/>
        <w:ind w:firstLine="2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information required by Item 2.03 and included under the heading “Term Loan Credit Agreement” in Item 1.01 of this Current Report on Form 8-K is incorporated herein by reference.</w:t>
      </w:r>
    </w:p>
    <w:p>
      <w:pPr>
        <w:spacing w:after="0" w:line="166"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238"/>
        <w:spacing w:after="0" w:line="258" w:lineRule="auto"/>
        <w:rPr>
          <w:sz w:val="20"/>
          <w:szCs w:val="20"/>
          <w:color w:val="auto"/>
        </w:rPr>
      </w:pPr>
      <w:r>
        <w:rPr>
          <w:rFonts w:ascii="Arial" w:cs="Arial" w:eastAsia="Arial" w:hAnsi="Arial"/>
          <w:sz w:val="18"/>
          <w:szCs w:val="18"/>
          <w:color w:val="auto"/>
        </w:rPr>
        <w:t>On August 22, further to the publication on July 13, 2018 of an offer document (the “</w:t>
      </w:r>
      <w:r>
        <w:rPr>
          <w:rFonts w:ascii="Arial" w:cs="Arial" w:eastAsia="Arial" w:hAnsi="Arial"/>
          <w:sz w:val="18"/>
          <w:szCs w:val="18"/>
          <w:b w:val="1"/>
          <w:bCs w:val="1"/>
          <w:color w:val="auto"/>
        </w:rPr>
        <w:t>Offer Document</w:t>
      </w:r>
      <w:r>
        <w:rPr>
          <w:rFonts w:ascii="Arial" w:cs="Arial" w:eastAsia="Arial" w:hAnsi="Arial"/>
          <w:sz w:val="18"/>
          <w:szCs w:val="18"/>
          <w:color w:val="auto"/>
        </w:rPr>
        <w:t>”) containing the terms and conditions of Comcast’s recommended superior cash offer for the entire issued and to be issued share capital of Sky (the “</w:t>
      </w:r>
      <w:r>
        <w:rPr>
          <w:rFonts w:ascii="Arial" w:cs="Arial" w:eastAsia="Arial" w:hAnsi="Arial"/>
          <w:sz w:val="18"/>
          <w:szCs w:val="18"/>
          <w:b w:val="1"/>
          <w:bCs w:val="1"/>
          <w:color w:val="auto"/>
        </w:rPr>
        <w:t>Offer</w:t>
      </w:r>
      <w:r>
        <w:rPr>
          <w:rFonts w:ascii="Arial" w:cs="Arial" w:eastAsia="Arial" w:hAnsi="Arial"/>
          <w:sz w:val="18"/>
          <w:szCs w:val="18"/>
          <w:color w:val="auto"/>
        </w:rPr>
        <w:t>”), Comcast announced that it was extending the period for acceptances of its Offer from 1.00 p.m. (UK time) on August 22, 2018 until 1.00 p.m. (UK time) on September 12, 2018 (the “</w:t>
      </w:r>
      <w:r>
        <w:rPr>
          <w:rFonts w:ascii="Arial" w:cs="Arial" w:eastAsia="Arial" w:hAnsi="Arial"/>
          <w:sz w:val="18"/>
          <w:szCs w:val="18"/>
          <w:b w:val="1"/>
          <w:bCs w:val="1"/>
          <w:color w:val="auto"/>
        </w:rPr>
        <w:t>Offer 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UK Announcement</w:t>
      </w:r>
      <w:r>
        <w:rPr>
          <w:rFonts w:ascii="Arial" w:cs="Arial" w:eastAsia="Arial" w:hAnsi="Arial"/>
          <w:sz w:val="18"/>
          <w:szCs w:val="18"/>
          <w:color w:val="auto"/>
        </w:rPr>
        <w:t>”). The Offer, as extended, remains subject to the terms and conditions set out in the Offer Document. The Offer is being made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an indirect wholly-owned subsidiary of Comcast.</w:t>
      </w:r>
    </w:p>
    <w:p>
      <w:pPr>
        <w:spacing w:after="0" w:line="188"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8"/>
          <w:szCs w:val="18"/>
          <w:color w:val="auto"/>
        </w:rPr>
        <w:t>The foregoing summary of the Offer Extension UK Announcement does not purport to be complete and is subject to, and qualified in its entirety by, the full text of the Offer Extension UK Announcement. The Offer Extension UK Announcement is attached hereto as Exhibit 99.1 and is incorporated herein by reference.</w:t>
      </w:r>
    </w:p>
    <w:p>
      <w:pPr>
        <w:spacing w:after="0" w:line="181" w:lineRule="exact"/>
        <w:rPr>
          <w:sz w:val="20"/>
          <w:szCs w:val="20"/>
          <w:color w:val="auto"/>
        </w:rPr>
      </w:pPr>
    </w:p>
    <w:p>
      <w:pPr>
        <w:jc w:val="both"/>
        <w:ind w:firstLine="300"/>
        <w:spacing w:after="0" w:line="264" w:lineRule="auto"/>
        <w:rPr>
          <w:sz w:val="20"/>
          <w:szCs w:val="20"/>
          <w:color w:val="auto"/>
        </w:rPr>
      </w:pPr>
      <w:r>
        <w:rPr>
          <w:rFonts w:ascii="Arial" w:cs="Arial" w:eastAsia="Arial" w:hAnsi="Arial"/>
          <w:sz w:val="18"/>
          <w:szCs w:val="18"/>
          <w:color w:val="auto"/>
        </w:rPr>
        <w:t>The information contained under Item 7.01 of this report, including Exhibit 99.1, shall not be deemed “filed” with the U.S. Securities and Exchange Commission nor incorporated by reference in any registration statement filed by Comcast Corporation or NBCUniversal Media, LLC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 w:name="page4"/>
    <w:bookmarkEnd w:id="3"/>
    <w:p>
      <w:pPr>
        <w:ind w:left="60"/>
        <w:spacing w:after="0"/>
        <w:tabs>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jc w:val="both"/>
        <w:ind w:left="620" w:right="140" w:hanging="553"/>
        <w:spacing w:after="0" w:line="264"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7">
        <w:r>
          <w:rPr>
            <w:rFonts w:ascii="Arial" w:cs="Arial" w:eastAsia="Arial" w:hAnsi="Arial"/>
            <w:sz w:val="18"/>
            <w:szCs w:val="18"/>
            <w:u w:val="single" w:color="auto"/>
            <w:color w:val="0000EE"/>
          </w:rPr>
          <w:t>Term Loan Credit Agreement among Comcast, the financial institutions party thereto, Bank of America, N.A., as administrative agent, Wells Fargo</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Bank, National Association, as syndication agent, and Merrill Lynch, Pierce, Fenner &amp; Smith Incorporated and Wells Fargo Securities LLC, as joint</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lead arrangers and joint bookrunners, dated August 22, 2018.</w:t>
        </w:r>
      </w:hyperlink>
    </w:p>
    <w:p>
      <w:pPr>
        <w:spacing w:after="0" w:line="181" w:lineRule="exact"/>
        <w:rPr>
          <w:rFonts w:ascii="Arial" w:cs="Arial" w:eastAsia="Arial" w:hAnsi="Arial"/>
          <w:sz w:val="18"/>
          <w:szCs w:val="18"/>
          <w:u w:val="single" w:color="auto"/>
          <w:color w:val="0000EE"/>
        </w:rPr>
      </w:pPr>
    </w:p>
    <w:p>
      <w:pPr>
        <w:ind w:left="620" w:right="420" w:hanging="553"/>
        <w:spacing w:after="0" w:line="308" w:lineRule="auto"/>
        <w:tabs>
          <w:tab w:leader="none" w:pos="60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w:anchor="page142">
        <w:r>
          <w:rPr>
            <w:rFonts w:ascii="Arial" w:cs="Arial" w:eastAsia="Arial" w:hAnsi="Arial"/>
            <w:sz w:val="17"/>
            <w:szCs w:val="17"/>
            <w:u w:val="single" w:color="auto"/>
            <w:color w:val="0000EE"/>
          </w:rPr>
          <w:t>Amendment No. 1 to 364-Day Bridge Credit Agreement among Comcast, the financial institutions party thereto, and Bank of America, N.A., as</w:t>
        </w:r>
      </w:hyperlink>
      <w:r>
        <w:rPr>
          <w:rFonts w:ascii="Arial" w:cs="Arial" w:eastAsia="Arial" w:hAnsi="Arial"/>
          <w:sz w:val="17"/>
          <w:szCs w:val="17"/>
          <w:u w:val="single" w:color="auto"/>
          <w:color w:val="0000EE"/>
        </w:rPr>
        <w:t xml:space="preserve"> </w:t>
      </w:r>
      <w:hyperlink w:anchor="page142">
        <w:r>
          <w:rPr>
            <w:rFonts w:ascii="Arial" w:cs="Arial" w:eastAsia="Arial" w:hAnsi="Arial"/>
            <w:sz w:val="17"/>
            <w:szCs w:val="17"/>
            <w:u w:val="single" w:color="auto"/>
            <w:color w:val="0000EE"/>
          </w:rPr>
          <w:t>administrative agent, and Wells Fargo Bank, National Association, as syndication agent, dated as of August 22, 2018.</w:t>
        </w:r>
      </w:hyperlink>
    </w:p>
    <w:p>
      <w:pPr>
        <w:spacing w:after="0" w:line="147" w:lineRule="exact"/>
        <w:rPr>
          <w:sz w:val="20"/>
          <w:szCs w:val="20"/>
          <w:color w:val="auto"/>
        </w:rPr>
      </w:pPr>
    </w:p>
    <w:p>
      <w:pPr>
        <w:ind w:left="60"/>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63">
        <w:r>
          <w:rPr>
            <w:rFonts w:ascii="Arial" w:cs="Arial" w:eastAsia="Arial" w:hAnsi="Arial"/>
            <w:sz w:val="16"/>
            <w:szCs w:val="16"/>
            <w:u w:val="single" w:color="auto"/>
            <w:color w:val="0000EE"/>
          </w:rPr>
          <w:t>Offer Extension UK Announcement.</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document in any jurisdiction in contravention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NBCUniversal Media, LLC (“ </w:t>
      </w:r>
      <w:r>
        <w:rPr>
          <w:rFonts w:ascii="Arial" w:cs="Arial" w:eastAsia="Arial" w:hAnsi="Arial"/>
          <w:sz w:val="16"/>
          <w:szCs w:val="16"/>
          <w:b w:val="1"/>
          <w:bCs w:val="1"/>
          <w:color w:val="auto"/>
        </w:rPr>
        <w:t>NBCUniversal</w:t>
      </w:r>
      <w:r>
        <w:rPr>
          <w:rFonts w:ascii="Arial" w:cs="Arial" w:eastAsia="Arial" w:hAnsi="Arial"/>
          <w:sz w:val="16"/>
          <w:szCs w:val="16"/>
          <w:color w:val="auto"/>
        </w:rPr>
        <w:t xml:space="preserve"> ”) and Sky and their respective associated companies will operate in the future and are subject to risks and uncertainties that could cause actual results to differ materially from those expressed or implied by those statements.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forward-looking statements contained in this document may relate to the financial position, business strategy, plans and objectives of management for future operations of Comcast, NBCUniversal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NBCUniversal nor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 should not place any reliance on forward looking statements, which speak only as of the date of the relevant document. Each of Comcast and NBCUniversal expressly disclaims any obligation or undertaking to update or revise any forward-looking statement (except to the extent legally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SIGNATURES</w:t>
      </w:r>
    </w:p>
    <w:p>
      <w:pPr>
        <w:spacing w:after="0" w:line="225" w:lineRule="exact"/>
        <w:rPr>
          <w:sz w:val="20"/>
          <w:szCs w:val="20"/>
          <w:color w:val="auto"/>
        </w:rPr>
      </w:pPr>
    </w:p>
    <w:p>
      <w:pPr>
        <w:ind w:right="900" w:firstLine="2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660" w:type="dxa"/>
            <w:vAlign w:val="bottom"/>
            <w:gridSpan w:val="3"/>
          </w:tcPr>
          <w:p>
            <w:pPr>
              <w:ind w:left="198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80"/>
              <w:spacing w:after="0"/>
              <w:rPr>
                <w:sz w:val="20"/>
                <w:szCs w:val="20"/>
                <w:color w:val="auto"/>
              </w:rPr>
            </w:pPr>
            <w:r>
              <w:rPr>
                <w:rFonts w:ascii="Arial" w:cs="Arial" w:eastAsia="Arial" w:hAnsi="Arial"/>
                <w:sz w:val="18"/>
                <w:szCs w:val="18"/>
                <w:color w:val="auto"/>
              </w:rPr>
              <w:t>August 22, 2018</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C. Murdock</w:t>
            </w:r>
          </w:p>
        </w:tc>
      </w:tr>
      <w:tr>
        <w:trPr>
          <w:trHeight w:val="195"/>
        </w:trPr>
        <w:tc>
          <w:tcPr>
            <w:tcW w:w="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Name:  Daniel C. Murdock</w:t>
            </w:r>
          </w:p>
        </w:tc>
      </w:tr>
      <w:tr>
        <w:trPr>
          <w:trHeight w:val="230"/>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100"/>
              <w:spacing w:after="0"/>
              <w:rPr>
                <w:sz w:val="20"/>
                <w:szCs w:val="20"/>
                <w:color w:val="auto"/>
              </w:rPr>
            </w:pPr>
            <w:r>
              <w:rPr>
                <w:rFonts w:ascii="Arial" w:cs="Arial" w:eastAsia="Arial" w:hAnsi="Arial"/>
                <w:sz w:val="18"/>
                <w:szCs w:val="18"/>
                <w:color w:val="auto"/>
                <w:w w:val="93"/>
              </w:rPr>
              <w:t>Senior Vice President, Chief Accounting Officer and Controller</w:t>
            </w:r>
          </w:p>
        </w:tc>
      </w:tr>
      <w:tr>
        <w:trPr>
          <w:trHeight w:val="648"/>
        </w:trPr>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60" w:type="dxa"/>
            <w:vAlign w:val="bottom"/>
            <w:gridSpan w:val="3"/>
          </w:tcPr>
          <w:p>
            <w:pPr>
              <w:ind w:left="198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80"/>
              <w:spacing w:after="0"/>
              <w:rPr>
                <w:sz w:val="20"/>
                <w:szCs w:val="20"/>
                <w:color w:val="auto"/>
              </w:rPr>
            </w:pPr>
            <w:r>
              <w:rPr>
                <w:rFonts w:ascii="Arial" w:cs="Arial" w:eastAsia="Arial" w:hAnsi="Arial"/>
                <w:sz w:val="18"/>
                <w:szCs w:val="18"/>
                <w:color w:val="auto"/>
              </w:rPr>
              <w:t>August 22, 2018</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C. Murdock</w:t>
            </w:r>
          </w:p>
        </w:tc>
      </w:tr>
      <w:tr>
        <w:trPr>
          <w:trHeight w:val="195"/>
        </w:trPr>
        <w:tc>
          <w:tcPr>
            <w:tcW w:w="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gridSpan w:val="2"/>
          </w:tcPr>
          <w:p>
            <w:pPr>
              <w:spacing w:after="0" w:line="195" w:lineRule="exact"/>
              <w:rPr>
                <w:sz w:val="20"/>
                <w:szCs w:val="20"/>
                <w:color w:val="auto"/>
              </w:rPr>
            </w:pPr>
            <w:r>
              <w:rPr>
                <w:rFonts w:ascii="Arial" w:cs="Arial" w:eastAsia="Arial" w:hAnsi="Arial"/>
                <w:sz w:val="18"/>
                <w:szCs w:val="18"/>
                <w:color w:val="auto"/>
              </w:rPr>
              <w:t>Name:  Daniel C. Murdock</w:t>
            </w:r>
          </w:p>
        </w:tc>
      </w:tr>
      <w:tr>
        <w:trPr>
          <w:trHeight w:val="230"/>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540"/>
        </w:trPr>
        <w:tc>
          <w:tcPr>
            <w:tcW w:w="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25"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Exhibit No.</w:t>
            </w:r>
          </w:p>
        </w:tc>
        <w:tc>
          <w:tcPr>
            <w:tcW w:w="10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Term Loan Credit Agreement among Comcast, the financial institutions party thereto, Bank of America, N.A., as administrative agent, Wells</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Fargo Bank, National Association, as syndication agent, and Merrill Lynch, Pierce, Fenner &amp; Smith Incorporated and Wells Fargo Securities</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LLC, as joint lead arrangers and joint bookrunners, dated August 22, 2018.</w:t>
            </w:r>
          </w:p>
        </w:tc>
      </w:tr>
      <w:tr>
        <w:trPr>
          <w:trHeight w:val="418"/>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5"/>
              </w:rPr>
              <w:t>Amendment No. 1 to 364-Day Bridge Credit Agreement among Comcast, the financial institutions party thereto, and Bank of America,</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N.A., as administrative agent, and Wells Fargo Bank, National Association, as syndication agent, dated as of August 22, 2018.</w:t>
            </w:r>
          </w:p>
        </w:tc>
      </w:tr>
      <w:tr>
        <w:trPr>
          <w:trHeight w:val="432"/>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99.1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Offer Extension UK Announcement.</w:t>
            </w:r>
          </w:p>
        </w:tc>
      </w:tr>
      <w:tr>
        <w:trPr>
          <w:trHeight w:val="540"/>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CUSIP: 20030PAM8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LOAN FACILITY CUSIP: 20030PAN6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Financial Institutions Party Hereto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Syndication Agent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August 22, 2018</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WELLS FARGO SECURITIES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Joint Bookrunners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MERRILL LYNCH, PIERCE, FENNER &amp; SMITH INCORPORATED, WELLS FARGO SECURITIES LLC, SG AMERICAS, LLC, SUMITOMO MITSUI</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BANKING CORPORATION AND MIZUHO BANK, LTD.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ind w:right="20"/>
        <w:spacing w:after="0" w:line="254" w:lineRule="auto"/>
        <w:rPr>
          <w:sz w:val="20"/>
          <w:szCs w:val="20"/>
          <w:color w:val="auto"/>
        </w:rPr>
      </w:pPr>
      <w:r>
        <w:rPr>
          <w:rFonts w:ascii="Arial" w:cs="Arial" w:eastAsia="Arial" w:hAnsi="Arial"/>
          <w:sz w:val="18"/>
          <w:szCs w:val="18"/>
          <w:color w:val="auto"/>
        </w:rPr>
        <w:t>MERRILL LYNCH, PIERCE, FENNER &amp; SMITH INCORPORATED, WELLS FARGO SECURITIES LLC, SG AMERICAS, LLC, SUMITOMO MITSUI BANKING CORPORATION, MIZUHO BANK, LTD., SANTANDER BANK, N.A., AGRICULTURAL BANK OF CHINA LTD., NEW YORK BRANCH, BANK OF CHINA, NEW YORK BRANCH, ING, A BRANCH OF ING-DIBA AG, NATIONAL WESTMINSTER BANK PLC AND THE BANK OF NOVA SCOTIA</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55" w:right="239" w:bottom="1440" w:gutter="0" w:footer="0" w:header="0"/>
        </w:sectPr>
      </w:pPr>
    </w:p>
    <w:bookmarkStart w:id="7" w:name="page8"/>
    <w:bookmarkEnd w:id="7"/>
    <w:p>
      <w:pPr>
        <w:jc w:val="center"/>
        <w:ind w:left="11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 AND ACCOUNTING TERMS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4640" w:type="dxa"/>
            <w:vAlign w:val="bottom"/>
          </w:tcPr>
          <w:p>
            <w:pPr>
              <w:ind w:left="260"/>
              <w:spacing w:after="0"/>
              <w:rPr>
                <w:sz w:val="20"/>
                <w:szCs w:val="20"/>
                <w:color w:val="auto"/>
              </w:rPr>
            </w:pPr>
            <w:r>
              <w:rPr>
                <w:rFonts w:ascii="Arial" w:cs="Arial" w:eastAsia="Arial" w:hAnsi="Arial"/>
                <w:sz w:val="18"/>
                <w:szCs w:val="18"/>
                <w:color w:val="auto"/>
              </w:rPr>
              <w:t>Defined Terms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4640" w:type="dxa"/>
            <w:vAlign w:val="bottom"/>
          </w:tcPr>
          <w:p>
            <w:pPr>
              <w:ind w:left="260"/>
              <w:spacing w:after="0"/>
              <w:rPr>
                <w:sz w:val="20"/>
                <w:szCs w:val="20"/>
                <w:color w:val="auto"/>
              </w:rPr>
            </w:pPr>
            <w:r>
              <w:rPr>
                <w:rFonts w:ascii="Arial" w:cs="Arial" w:eastAsia="Arial" w:hAnsi="Arial"/>
                <w:sz w:val="18"/>
                <w:szCs w:val="18"/>
                <w:color w:val="auto"/>
              </w:rPr>
              <w:t>Use of Certain Terms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4640" w:type="dxa"/>
            <w:vAlign w:val="bottom"/>
          </w:tcPr>
          <w:p>
            <w:pPr>
              <w:ind w:left="260"/>
              <w:spacing w:after="0"/>
              <w:rPr>
                <w:sz w:val="20"/>
                <w:szCs w:val="20"/>
                <w:color w:val="auto"/>
              </w:rPr>
            </w:pPr>
            <w:r>
              <w:rPr>
                <w:rFonts w:ascii="Arial" w:cs="Arial" w:eastAsia="Arial" w:hAnsi="Arial"/>
                <w:sz w:val="18"/>
                <w:szCs w:val="18"/>
                <w:color w:val="auto"/>
              </w:rPr>
              <w:t>Accounting Terms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4640" w:type="dxa"/>
            <w:vAlign w:val="bottom"/>
          </w:tcPr>
          <w:p>
            <w:pPr>
              <w:ind w:left="260"/>
              <w:spacing w:after="0"/>
              <w:rPr>
                <w:sz w:val="20"/>
                <w:szCs w:val="20"/>
                <w:color w:val="auto"/>
              </w:rPr>
            </w:pPr>
            <w:r>
              <w:rPr>
                <w:rFonts w:ascii="Arial" w:cs="Arial" w:eastAsia="Arial" w:hAnsi="Arial"/>
                <w:sz w:val="18"/>
                <w:szCs w:val="18"/>
                <w:color w:val="auto"/>
              </w:rPr>
              <w:t>Rounding</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4640" w:type="dxa"/>
            <w:vAlign w:val="bottom"/>
          </w:tcPr>
          <w:p>
            <w:pPr>
              <w:ind w:left="260"/>
              <w:spacing w:after="0"/>
              <w:rPr>
                <w:sz w:val="20"/>
                <w:szCs w:val="20"/>
                <w:color w:val="auto"/>
              </w:rPr>
            </w:pPr>
            <w:r>
              <w:rPr>
                <w:rFonts w:ascii="Arial" w:cs="Arial" w:eastAsia="Arial" w:hAnsi="Arial"/>
                <w:sz w:val="18"/>
                <w:szCs w:val="18"/>
                <w:color w:val="auto"/>
              </w:rPr>
              <w:t>Exhibits and Schedules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4640" w:type="dxa"/>
            <w:vAlign w:val="bottom"/>
          </w:tcPr>
          <w:p>
            <w:pPr>
              <w:ind w:left="260"/>
              <w:spacing w:after="0"/>
              <w:rPr>
                <w:sz w:val="20"/>
                <w:szCs w:val="20"/>
                <w:color w:val="auto"/>
              </w:rPr>
            </w:pPr>
            <w:r>
              <w:rPr>
                <w:rFonts w:ascii="Arial" w:cs="Arial" w:eastAsia="Arial" w:hAnsi="Arial"/>
                <w:sz w:val="18"/>
                <w:szCs w:val="18"/>
                <w:color w:val="auto"/>
              </w:rPr>
              <w:t>References to Agreements and Laws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4640" w:type="dxa"/>
            <w:vAlign w:val="bottom"/>
          </w:tcPr>
          <w:p>
            <w:pPr>
              <w:ind w:left="260"/>
              <w:spacing w:after="0"/>
              <w:rPr>
                <w:sz w:val="20"/>
                <w:szCs w:val="20"/>
                <w:color w:val="auto"/>
              </w:rPr>
            </w:pPr>
            <w:r>
              <w:rPr>
                <w:rFonts w:ascii="Arial" w:cs="Arial" w:eastAsia="Arial" w:hAnsi="Arial"/>
                <w:sz w:val="18"/>
                <w:szCs w:val="18"/>
                <w:color w:val="auto"/>
              </w:rPr>
              <w:t>Pro Forma Calculations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4640" w:type="dxa"/>
            <w:vAlign w:val="bottom"/>
          </w:tcPr>
          <w:p>
            <w:pPr>
              <w:ind w:left="260"/>
              <w:spacing w:after="0"/>
              <w:rPr>
                <w:sz w:val="20"/>
                <w:szCs w:val="20"/>
                <w:color w:val="auto"/>
              </w:rPr>
            </w:pPr>
            <w:r>
              <w:rPr>
                <w:rFonts w:ascii="Arial" w:cs="Arial" w:eastAsia="Arial" w:hAnsi="Arial"/>
                <w:sz w:val="18"/>
                <w:szCs w:val="18"/>
                <w:color w:val="auto"/>
              </w:rPr>
              <w:t>Rates</w:t>
            </w:r>
          </w:p>
        </w:tc>
      </w:tr>
      <w:tr>
        <w:trPr>
          <w:trHeight w:val="351"/>
        </w:trPr>
        <w:tc>
          <w:tcPr>
            <w:tcW w:w="5540" w:type="dxa"/>
            <w:vAlign w:val="bottom"/>
            <w:gridSpan w:val="2"/>
          </w:tcPr>
          <w:p>
            <w:pPr>
              <w:spacing w:after="0"/>
              <w:rPr>
                <w:sz w:val="20"/>
                <w:szCs w:val="20"/>
                <w:color w:val="auto"/>
              </w:rPr>
            </w:pPr>
            <w:r>
              <w:rPr>
                <w:rFonts w:ascii="Arial" w:cs="Arial" w:eastAsia="Arial" w:hAnsi="Arial"/>
                <w:sz w:val="18"/>
                <w:szCs w:val="18"/>
                <w:color w:val="auto"/>
              </w:rPr>
              <w:t>SECTION 2 THE COMMITMENTS AND EXTENSIONS OF CREDIT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2.01</w:t>
            </w:r>
          </w:p>
        </w:tc>
        <w:tc>
          <w:tcPr>
            <w:tcW w:w="4640" w:type="dxa"/>
            <w:vAlign w:val="bottom"/>
          </w:tcPr>
          <w:p>
            <w:pPr>
              <w:ind w:left="260"/>
              <w:spacing w:after="0"/>
              <w:rPr>
                <w:sz w:val="20"/>
                <w:szCs w:val="20"/>
                <w:color w:val="auto"/>
              </w:rPr>
            </w:pPr>
            <w:r>
              <w:rPr>
                <w:rFonts w:ascii="Arial" w:cs="Arial" w:eastAsia="Arial" w:hAnsi="Arial"/>
                <w:sz w:val="18"/>
                <w:szCs w:val="18"/>
                <w:color w:val="auto"/>
              </w:rPr>
              <w:t>Amount and Terms of Commitments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2.02</w:t>
            </w:r>
          </w:p>
        </w:tc>
        <w:tc>
          <w:tcPr>
            <w:tcW w:w="4640" w:type="dxa"/>
            <w:vAlign w:val="bottom"/>
          </w:tcPr>
          <w:p>
            <w:pPr>
              <w:ind w:left="260"/>
              <w:spacing w:after="0"/>
              <w:rPr>
                <w:sz w:val="20"/>
                <w:szCs w:val="20"/>
                <w:color w:val="auto"/>
              </w:rPr>
            </w:pPr>
            <w:r>
              <w:rPr>
                <w:rFonts w:ascii="Arial" w:cs="Arial" w:eastAsia="Arial" w:hAnsi="Arial"/>
                <w:sz w:val="18"/>
                <w:szCs w:val="18"/>
                <w:color w:val="auto"/>
              </w:rPr>
              <w:t>Procedure for Borrowings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2.03</w:t>
            </w:r>
          </w:p>
        </w:tc>
        <w:tc>
          <w:tcPr>
            <w:tcW w:w="4640" w:type="dxa"/>
            <w:vAlign w:val="bottom"/>
          </w:tcPr>
          <w:p>
            <w:pPr>
              <w:ind w:left="260"/>
              <w:spacing w:after="0"/>
              <w:rPr>
                <w:sz w:val="20"/>
                <w:szCs w:val="20"/>
                <w:color w:val="auto"/>
              </w:rPr>
            </w:pPr>
            <w:r>
              <w:rPr>
                <w:rFonts w:ascii="Arial" w:cs="Arial" w:eastAsia="Arial" w:hAnsi="Arial"/>
                <w:sz w:val="18"/>
                <w:szCs w:val="18"/>
                <w:color w:val="auto"/>
              </w:rPr>
              <w:t>[Reserved]</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2.04</w:t>
            </w:r>
          </w:p>
        </w:tc>
        <w:tc>
          <w:tcPr>
            <w:tcW w:w="4640" w:type="dxa"/>
            <w:vAlign w:val="bottom"/>
          </w:tcPr>
          <w:p>
            <w:pPr>
              <w:ind w:left="260"/>
              <w:spacing w:after="0"/>
              <w:rPr>
                <w:sz w:val="20"/>
                <w:szCs w:val="20"/>
                <w:color w:val="auto"/>
              </w:rPr>
            </w:pPr>
            <w:r>
              <w:rPr>
                <w:rFonts w:ascii="Arial" w:cs="Arial" w:eastAsia="Arial" w:hAnsi="Arial"/>
                <w:sz w:val="18"/>
                <w:szCs w:val="18"/>
                <w:color w:val="auto"/>
              </w:rPr>
              <w:t>[Reserved]</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2.05</w:t>
            </w:r>
          </w:p>
        </w:tc>
        <w:tc>
          <w:tcPr>
            <w:tcW w:w="4640" w:type="dxa"/>
            <w:vAlign w:val="bottom"/>
          </w:tcPr>
          <w:p>
            <w:pPr>
              <w:ind w:left="260"/>
              <w:spacing w:after="0"/>
              <w:rPr>
                <w:sz w:val="20"/>
                <w:szCs w:val="20"/>
                <w:color w:val="auto"/>
              </w:rPr>
            </w:pPr>
            <w:r>
              <w:rPr>
                <w:rFonts w:ascii="Arial" w:cs="Arial" w:eastAsia="Arial" w:hAnsi="Arial"/>
                <w:sz w:val="18"/>
                <w:szCs w:val="18"/>
                <w:color w:val="auto"/>
              </w:rPr>
              <w:t>Reduction or Termination of Commitments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2.06</w:t>
            </w:r>
          </w:p>
        </w:tc>
        <w:tc>
          <w:tcPr>
            <w:tcW w:w="4640" w:type="dxa"/>
            <w:vAlign w:val="bottom"/>
          </w:tcPr>
          <w:p>
            <w:pPr>
              <w:ind w:left="260"/>
              <w:spacing w:after="0"/>
              <w:rPr>
                <w:sz w:val="20"/>
                <w:szCs w:val="20"/>
                <w:color w:val="auto"/>
              </w:rPr>
            </w:pPr>
            <w:r>
              <w:rPr>
                <w:rFonts w:ascii="Arial" w:cs="Arial" w:eastAsia="Arial" w:hAnsi="Arial"/>
                <w:sz w:val="18"/>
                <w:szCs w:val="18"/>
                <w:color w:val="auto"/>
              </w:rPr>
              <w:t>Prepayments and Repayments of Term Loans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2.07</w:t>
            </w:r>
          </w:p>
        </w:tc>
        <w:tc>
          <w:tcPr>
            <w:tcW w:w="4640" w:type="dxa"/>
            <w:vAlign w:val="bottom"/>
          </w:tcPr>
          <w:p>
            <w:pPr>
              <w:ind w:left="260"/>
              <w:spacing w:after="0"/>
              <w:rPr>
                <w:sz w:val="20"/>
                <w:szCs w:val="20"/>
                <w:color w:val="auto"/>
              </w:rPr>
            </w:pPr>
            <w:r>
              <w:rPr>
                <w:rFonts w:ascii="Arial" w:cs="Arial" w:eastAsia="Arial" w:hAnsi="Arial"/>
                <w:sz w:val="18"/>
                <w:szCs w:val="18"/>
                <w:color w:val="auto"/>
              </w:rPr>
              <w:t>Documentation of Term Loans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2.08</w:t>
            </w:r>
          </w:p>
        </w:tc>
        <w:tc>
          <w:tcPr>
            <w:tcW w:w="4640" w:type="dxa"/>
            <w:vAlign w:val="bottom"/>
          </w:tcPr>
          <w:p>
            <w:pPr>
              <w:ind w:left="260"/>
              <w:spacing w:after="0"/>
              <w:rPr>
                <w:sz w:val="20"/>
                <w:szCs w:val="20"/>
                <w:color w:val="auto"/>
              </w:rPr>
            </w:pPr>
            <w:r>
              <w:rPr>
                <w:rFonts w:ascii="Arial" w:cs="Arial" w:eastAsia="Arial" w:hAnsi="Arial"/>
                <w:sz w:val="18"/>
                <w:szCs w:val="18"/>
                <w:color w:val="auto"/>
              </w:rPr>
              <w:t>Continuation and Conversion Option</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2.09</w:t>
            </w:r>
          </w:p>
        </w:tc>
        <w:tc>
          <w:tcPr>
            <w:tcW w:w="4640" w:type="dxa"/>
            <w:vAlign w:val="bottom"/>
          </w:tcPr>
          <w:p>
            <w:pPr>
              <w:ind w:left="260"/>
              <w:spacing w:after="0"/>
              <w:rPr>
                <w:sz w:val="20"/>
                <w:szCs w:val="20"/>
                <w:color w:val="auto"/>
              </w:rPr>
            </w:pPr>
            <w:r>
              <w:rPr>
                <w:rFonts w:ascii="Arial" w:cs="Arial" w:eastAsia="Arial" w:hAnsi="Arial"/>
                <w:sz w:val="18"/>
                <w:szCs w:val="18"/>
                <w:color w:val="auto"/>
              </w:rPr>
              <w:t>Interest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2.10</w:t>
            </w:r>
          </w:p>
        </w:tc>
        <w:tc>
          <w:tcPr>
            <w:tcW w:w="4640" w:type="dxa"/>
            <w:vAlign w:val="bottom"/>
          </w:tcPr>
          <w:p>
            <w:pPr>
              <w:ind w:left="260"/>
              <w:spacing w:after="0"/>
              <w:rPr>
                <w:sz w:val="20"/>
                <w:szCs w:val="20"/>
                <w:color w:val="auto"/>
              </w:rPr>
            </w:pPr>
            <w:r>
              <w:rPr>
                <w:rFonts w:ascii="Arial" w:cs="Arial" w:eastAsia="Arial" w:hAnsi="Arial"/>
                <w:sz w:val="18"/>
                <w:szCs w:val="18"/>
                <w:color w:val="auto"/>
              </w:rPr>
              <w:t>Fees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4640" w:type="dxa"/>
            <w:vAlign w:val="bottom"/>
          </w:tcPr>
          <w:p>
            <w:pPr>
              <w:ind w:left="260"/>
              <w:spacing w:after="0"/>
              <w:rPr>
                <w:sz w:val="20"/>
                <w:szCs w:val="20"/>
                <w:color w:val="auto"/>
              </w:rPr>
            </w:pPr>
            <w:r>
              <w:rPr>
                <w:rFonts w:ascii="Arial" w:cs="Arial" w:eastAsia="Arial" w:hAnsi="Arial"/>
                <w:sz w:val="18"/>
                <w:szCs w:val="18"/>
                <w:color w:val="auto"/>
              </w:rPr>
              <w:t>Computation of Interest and Fees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2.12</w:t>
            </w:r>
          </w:p>
        </w:tc>
        <w:tc>
          <w:tcPr>
            <w:tcW w:w="4640" w:type="dxa"/>
            <w:vAlign w:val="bottom"/>
          </w:tcPr>
          <w:p>
            <w:pPr>
              <w:ind w:left="260"/>
              <w:spacing w:after="0"/>
              <w:rPr>
                <w:sz w:val="20"/>
                <w:szCs w:val="20"/>
                <w:color w:val="auto"/>
              </w:rPr>
            </w:pPr>
            <w:r>
              <w:rPr>
                <w:rFonts w:ascii="Arial" w:cs="Arial" w:eastAsia="Arial" w:hAnsi="Arial"/>
                <w:sz w:val="18"/>
                <w:szCs w:val="18"/>
                <w:color w:val="auto"/>
              </w:rPr>
              <w:t>Making Payments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2.13</w:t>
            </w:r>
          </w:p>
        </w:tc>
        <w:tc>
          <w:tcPr>
            <w:tcW w:w="4640" w:type="dxa"/>
            <w:vAlign w:val="bottom"/>
          </w:tcPr>
          <w:p>
            <w:pPr>
              <w:ind w:left="260"/>
              <w:spacing w:after="0"/>
              <w:rPr>
                <w:sz w:val="20"/>
                <w:szCs w:val="20"/>
                <w:color w:val="auto"/>
              </w:rPr>
            </w:pPr>
            <w:r>
              <w:rPr>
                <w:rFonts w:ascii="Arial" w:cs="Arial" w:eastAsia="Arial" w:hAnsi="Arial"/>
                <w:sz w:val="18"/>
                <w:szCs w:val="18"/>
                <w:color w:val="auto"/>
              </w:rPr>
              <w:t>Funding Sources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2.14</w:t>
            </w:r>
          </w:p>
        </w:tc>
        <w:tc>
          <w:tcPr>
            <w:tcW w:w="4640" w:type="dxa"/>
            <w:vAlign w:val="bottom"/>
          </w:tcPr>
          <w:p>
            <w:pPr>
              <w:ind w:left="260"/>
              <w:spacing w:after="0"/>
              <w:rPr>
                <w:sz w:val="20"/>
                <w:szCs w:val="20"/>
                <w:color w:val="auto"/>
              </w:rPr>
            </w:pPr>
            <w:r>
              <w:rPr>
                <w:rFonts w:ascii="Arial" w:cs="Arial" w:eastAsia="Arial" w:hAnsi="Arial"/>
                <w:sz w:val="18"/>
                <w:szCs w:val="18"/>
                <w:color w:val="auto"/>
              </w:rPr>
              <w:t>Defaulting Lenders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2.15</w:t>
            </w:r>
          </w:p>
        </w:tc>
        <w:tc>
          <w:tcPr>
            <w:tcW w:w="4640" w:type="dxa"/>
            <w:vAlign w:val="bottom"/>
          </w:tcPr>
          <w:p>
            <w:pPr>
              <w:ind w:left="260"/>
              <w:spacing w:after="0"/>
              <w:rPr>
                <w:sz w:val="20"/>
                <w:szCs w:val="20"/>
                <w:color w:val="auto"/>
              </w:rPr>
            </w:pPr>
            <w:r>
              <w:rPr>
                <w:rFonts w:ascii="Arial" w:cs="Arial" w:eastAsia="Arial" w:hAnsi="Arial"/>
                <w:sz w:val="18"/>
                <w:szCs w:val="18"/>
                <w:color w:val="auto"/>
              </w:rPr>
              <w:t>Increase in Term Commitments</w:t>
            </w:r>
          </w:p>
        </w:tc>
      </w:tr>
      <w:tr>
        <w:trPr>
          <w:trHeight w:val="351"/>
        </w:trPr>
        <w:tc>
          <w:tcPr>
            <w:tcW w:w="554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3.01</w:t>
            </w:r>
          </w:p>
        </w:tc>
        <w:tc>
          <w:tcPr>
            <w:tcW w:w="4640" w:type="dxa"/>
            <w:vAlign w:val="bottom"/>
          </w:tcPr>
          <w:p>
            <w:pPr>
              <w:ind w:left="260"/>
              <w:spacing w:after="0"/>
              <w:rPr>
                <w:sz w:val="20"/>
                <w:szCs w:val="20"/>
                <w:color w:val="auto"/>
              </w:rPr>
            </w:pPr>
            <w:r>
              <w:rPr>
                <w:rFonts w:ascii="Arial" w:cs="Arial" w:eastAsia="Arial" w:hAnsi="Arial"/>
                <w:sz w:val="18"/>
                <w:szCs w:val="18"/>
                <w:color w:val="auto"/>
              </w:rPr>
              <w:t>Taxes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3.02</w:t>
            </w:r>
          </w:p>
        </w:tc>
        <w:tc>
          <w:tcPr>
            <w:tcW w:w="4640" w:type="dxa"/>
            <w:vAlign w:val="bottom"/>
          </w:tcPr>
          <w:p>
            <w:pPr>
              <w:ind w:left="260"/>
              <w:spacing w:after="0"/>
              <w:rPr>
                <w:sz w:val="20"/>
                <w:szCs w:val="20"/>
                <w:color w:val="auto"/>
              </w:rPr>
            </w:pPr>
            <w:r>
              <w:rPr>
                <w:rFonts w:ascii="Arial" w:cs="Arial" w:eastAsia="Arial" w:hAnsi="Arial"/>
                <w:sz w:val="18"/>
                <w:szCs w:val="18"/>
                <w:color w:val="auto"/>
              </w:rPr>
              <w:t>Illegality</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3.03</w:t>
            </w:r>
          </w:p>
        </w:tc>
        <w:tc>
          <w:tcPr>
            <w:tcW w:w="4640" w:type="dxa"/>
            <w:vAlign w:val="bottom"/>
          </w:tcPr>
          <w:p>
            <w:pPr>
              <w:ind w:left="260"/>
              <w:spacing w:after="0"/>
              <w:rPr>
                <w:sz w:val="20"/>
                <w:szCs w:val="20"/>
                <w:color w:val="auto"/>
              </w:rPr>
            </w:pPr>
            <w:r>
              <w:rPr>
                <w:rFonts w:ascii="Arial" w:cs="Arial" w:eastAsia="Arial" w:hAnsi="Arial"/>
                <w:sz w:val="18"/>
                <w:szCs w:val="18"/>
                <w:color w:val="auto"/>
              </w:rPr>
              <w:t>Inability to Determine Eurodollar Rates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3.04</w:t>
            </w:r>
          </w:p>
        </w:tc>
        <w:tc>
          <w:tcPr>
            <w:tcW w:w="4640" w:type="dxa"/>
            <w:vAlign w:val="bottom"/>
          </w:tcPr>
          <w:p>
            <w:pPr>
              <w:ind w:left="260"/>
              <w:spacing w:after="0"/>
              <w:rPr>
                <w:sz w:val="20"/>
                <w:szCs w:val="20"/>
                <w:color w:val="auto"/>
              </w:rPr>
            </w:pPr>
            <w:r>
              <w:rPr>
                <w:rFonts w:ascii="Arial" w:cs="Arial" w:eastAsia="Arial" w:hAnsi="Arial"/>
                <w:sz w:val="18"/>
                <w:szCs w:val="18"/>
                <w:color w:val="auto"/>
                <w:w w:val="98"/>
              </w:rPr>
              <w:t>Increased Cost and Reduced Return; Capital Adequacy</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3.05</w:t>
            </w:r>
          </w:p>
        </w:tc>
        <w:tc>
          <w:tcPr>
            <w:tcW w:w="4640" w:type="dxa"/>
            <w:vAlign w:val="bottom"/>
          </w:tcPr>
          <w:p>
            <w:pPr>
              <w:ind w:left="260"/>
              <w:spacing w:after="0"/>
              <w:rPr>
                <w:sz w:val="20"/>
                <w:szCs w:val="20"/>
                <w:color w:val="auto"/>
              </w:rPr>
            </w:pPr>
            <w:r>
              <w:rPr>
                <w:rFonts w:ascii="Arial" w:cs="Arial" w:eastAsia="Arial" w:hAnsi="Arial"/>
                <w:sz w:val="18"/>
                <w:szCs w:val="18"/>
                <w:color w:val="auto"/>
              </w:rPr>
              <w:t>Breakfunding Costs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3.06</w:t>
            </w:r>
          </w:p>
        </w:tc>
        <w:tc>
          <w:tcPr>
            <w:tcW w:w="4640" w:type="dxa"/>
            <w:vAlign w:val="bottom"/>
          </w:tcPr>
          <w:p>
            <w:pPr>
              <w:ind w:left="260"/>
              <w:spacing w:after="0"/>
              <w:rPr>
                <w:sz w:val="20"/>
                <w:szCs w:val="20"/>
                <w:color w:val="auto"/>
              </w:rPr>
            </w:pPr>
            <w:r>
              <w:rPr>
                <w:rFonts w:ascii="Arial" w:cs="Arial" w:eastAsia="Arial" w:hAnsi="Arial"/>
                <w:sz w:val="18"/>
                <w:szCs w:val="18"/>
                <w:color w:val="auto"/>
              </w:rPr>
              <w:t>Matters Applicable to all Requests for Compensation</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3.07</w:t>
            </w:r>
          </w:p>
        </w:tc>
        <w:tc>
          <w:tcPr>
            <w:tcW w:w="4640" w:type="dxa"/>
            <w:vAlign w:val="bottom"/>
          </w:tcPr>
          <w:p>
            <w:pPr>
              <w:ind w:left="260"/>
              <w:spacing w:after="0"/>
              <w:rPr>
                <w:sz w:val="20"/>
                <w:szCs w:val="20"/>
                <w:color w:val="auto"/>
              </w:rPr>
            </w:pPr>
            <w:r>
              <w:rPr>
                <w:rFonts w:ascii="Arial" w:cs="Arial" w:eastAsia="Arial" w:hAnsi="Arial"/>
                <w:sz w:val="18"/>
                <w:szCs w:val="18"/>
                <w:color w:val="auto"/>
              </w:rPr>
              <w:t>Survival</w:t>
            </w:r>
          </w:p>
        </w:tc>
      </w:tr>
      <w:tr>
        <w:trPr>
          <w:trHeight w:val="351"/>
        </w:trPr>
        <w:tc>
          <w:tcPr>
            <w:tcW w:w="5540" w:type="dxa"/>
            <w:vAlign w:val="bottom"/>
            <w:gridSpan w:val="2"/>
          </w:tcPr>
          <w:p>
            <w:pPr>
              <w:spacing w:after="0"/>
              <w:rPr>
                <w:sz w:val="20"/>
                <w:szCs w:val="20"/>
                <w:color w:val="auto"/>
              </w:rPr>
            </w:pPr>
            <w:r>
              <w:rPr>
                <w:rFonts w:ascii="Arial" w:cs="Arial" w:eastAsia="Arial" w:hAnsi="Arial"/>
                <w:sz w:val="18"/>
                <w:szCs w:val="18"/>
                <w:color w:val="auto"/>
                <w:w w:val="94"/>
              </w:rPr>
              <w:t>SECTION 4 CONDITIONS PRECEDENT TO EXTENSIONS OF CREDIT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4.01</w:t>
            </w:r>
          </w:p>
        </w:tc>
        <w:tc>
          <w:tcPr>
            <w:tcW w:w="4640" w:type="dxa"/>
            <w:vAlign w:val="bottom"/>
          </w:tcPr>
          <w:p>
            <w:pPr>
              <w:ind w:left="260"/>
              <w:spacing w:after="0"/>
              <w:rPr>
                <w:sz w:val="20"/>
                <w:szCs w:val="20"/>
                <w:color w:val="auto"/>
              </w:rPr>
            </w:pPr>
            <w:r>
              <w:rPr>
                <w:rFonts w:ascii="Arial" w:cs="Arial" w:eastAsia="Arial" w:hAnsi="Arial"/>
                <w:sz w:val="18"/>
                <w:szCs w:val="18"/>
                <w:color w:val="auto"/>
              </w:rPr>
              <w:t>Conditions Precedent to Effective Date</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4.02</w:t>
            </w:r>
          </w:p>
        </w:tc>
        <w:tc>
          <w:tcPr>
            <w:tcW w:w="4640" w:type="dxa"/>
            <w:vAlign w:val="bottom"/>
          </w:tcPr>
          <w:p>
            <w:pPr>
              <w:ind w:left="260"/>
              <w:spacing w:after="0"/>
              <w:rPr>
                <w:sz w:val="20"/>
                <w:szCs w:val="20"/>
                <w:color w:val="auto"/>
              </w:rPr>
            </w:pPr>
            <w:r>
              <w:rPr>
                <w:rFonts w:ascii="Arial" w:cs="Arial" w:eastAsia="Arial" w:hAnsi="Arial"/>
                <w:sz w:val="18"/>
                <w:szCs w:val="18"/>
                <w:color w:val="auto"/>
              </w:rPr>
              <w:t>Conditions Precedent to Borrowings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4.03</w:t>
            </w:r>
          </w:p>
        </w:tc>
        <w:tc>
          <w:tcPr>
            <w:tcW w:w="4640" w:type="dxa"/>
            <w:vAlign w:val="bottom"/>
          </w:tcPr>
          <w:p>
            <w:pPr>
              <w:ind w:left="260"/>
              <w:spacing w:after="0"/>
              <w:rPr>
                <w:sz w:val="20"/>
                <w:szCs w:val="20"/>
                <w:color w:val="auto"/>
              </w:rPr>
            </w:pPr>
            <w:r>
              <w:rPr>
                <w:rFonts w:ascii="Arial" w:cs="Arial" w:eastAsia="Arial" w:hAnsi="Arial"/>
                <w:sz w:val="18"/>
                <w:szCs w:val="18"/>
                <w:color w:val="auto"/>
              </w:rPr>
              <w:t>Determinations Under Sections 4.01 and 4.02</w:t>
            </w:r>
          </w:p>
        </w:tc>
      </w:tr>
    </w:tbl>
    <w:p>
      <w:pPr>
        <w:spacing w:after="0" w:line="200" w:lineRule="exact"/>
        <w:rPr>
          <w:sz w:val="20"/>
          <w:szCs w:val="20"/>
          <w:color w:val="auto"/>
        </w:rPr>
      </w:pPr>
    </w:p>
    <w:p>
      <w:pPr>
        <w:spacing w:after="0" w:line="204"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10340" w:space="720"/>
            <w:col w:w="360"/>
          </w:cols>
          <w:pgMar w:left="240" w:top="580" w:right="2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4.04</w:t>
            </w:r>
          </w:p>
        </w:tc>
        <w:tc>
          <w:tcPr>
            <w:tcW w:w="4020" w:type="dxa"/>
            <w:vAlign w:val="bottom"/>
          </w:tcPr>
          <w:p>
            <w:pPr>
              <w:ind w:left="260"/>
              <w:spacing w:after="0"/>
              <w:rPr>
                <w:sz w:val="20"/>
                <w:szCs w:val="20"/>
                <w:color w:val="auto"/>
              </w:rPr>
            </w:pPr>
            <w:r>
              <w:rPr>
                <w:rFonts w:ascii="Arial" w:cs="Arial" w:eastAsia="Arial" w:hAnsi="Arial"/>
                <w:sz w:val="18"/>
                <w:szCs w:val="18"/>
                <w:color w:val="auto"/>
                <w:w w:val="96"/>
              </w:rPr>
              <w:t>Actions by Lenders During Certain Funds Period</w:t>
            </w:r>
          </w:p>
        </w:tc>
      </w:tr>
      <w:tr>
        <w:trPr>
          <w:trHeight w:val="351"/>
        </w:trPr>
        <w:tc>
          <w:tcPr>
            <w:tcW w:w="492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5.01</w:t>
            </w:r>
          </w:p>
        </w:tc>
        <w:tc>
          <w:tcPr>
            <w:tcW w:w="4020" w:type="dxa"/>
            <w:vAlign w:val="bottom"/>
          </w:tcPr>
          <w:p>
            <w:pPr>
              <w:ind w:left="260"/>
              <w:spacing w:after="0"/>
              <w:rPr>
                <w:sz w:val="20"/>
                <w:szCs w:val="20"/>
                <w:color w:val="auto"/>
              </w:rPr>
            </w:pPr>
            <w:r>
              <w:rPr>
                <w:rFonts w:ascii="Arial" w:cs="Arial" w:eastAsia="Arial" w:hAnsi="Arial"/>
                <w:sz w:val="18"/>
                <w:szCs w:val="18"/>
                <w:color w:val="auto"/>
                <w:w w:val="92"/>
              </w:rPr>
              <w:t>Existence and Qualification; Compliance with Laws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4020" w:type="dxa"/>
            <w:vAlign w:val="bottom"/>
          </w:tcPr>
          <w:p>
            <w:pPr>
              <w:ind w:left="260"/>
              <w:spacing w:after="0"/>
              <w:rPr>
                <w:sz w:val="20"/>
                <w:szCs w:val="20"/>
                <w:color w:val="auto"/>
              </w:rPr>
            </w:pPr>
            <w:r>
              <w:rPr>
                <w:rFonts w:ascii="Arial" w:cs="Arial" w:eastAsia="Arial" w:hAnsi="Arial"/>
                <w:sz w:val="18"/>
                <w:szCs w:val="18"/>
                <w:color w:val="auto"/>
              </w:rPr>
              <w:t>Power; Authorization; Enforceable Obligations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5.03</w:t>
            </w:r>
          </w:p>
        </w:tc>
        <w:tc>
          <w:tcPr>
            <w:tcW w:w="4020" w:type="dxa"/>
            <w:vAlign w:val="bottom"/>
          </w:tcPr>
          <w:p>
            <w:pPr>
              <w:ind w:left="260"/>
              <w:spacing w:after="0"/>
              <w:rPr>
                <w:sz w:val="20"/>
                <w:szCs w:val="20"/>
                <w:color w:val="auto"/>
              </w:rPr>
            </w:pPr>
            <w:r>
              <w:rPr>
                <w:rFonts w:ascii="Arial" w:cs="Arial" w:eastAsia="Arial" w:hAnsi="Arial"/>
                <w:sz w:val="18"/>
                <w:szCs w:val="18"/>
                <w:color w:val="auto"/>
              </w:rPr>
              <w:t>No Legal Bar</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5.04</w:t>
            </w:r>
          </w:p>
        </w:tc>
        <w:tc>
          <w:tcPr>
            <w:tcW w:w="4020" w:type="dxa"/>
            <w:vAlign w:val="bottom"/>
          </w:tcPr>
          <w:p>
            <w:pPr>
              <w:ind w:left="260"/>
              <w:spacing w:after="0"/>
              <w:rPr>
                <w:sz w:val="20"/>
                <w:szCs w:val="20"/>
                <w:color w:val="auto"/>
              </w:rPr>
            </w:pPr>
            <w:r>
              <w:rPr>
                <w:rFonts w:ascii="Arial" w:cs="Arial" w:eastAsia="Arial" w:hAnsi="Arial"/>
                <w:sz w:val="18"/>
                <w:szCs w:val="18"/>
                <w:color w:val="auto"/>
                <w:w w:val="95"/>
              </w:rPr>
              <w:t>Financial Statements; No Material Adverse Effect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5.05</w:t>
            </w:r>
          </w:p>
        </w:tc>
        <w:tc>
          <w:tcPr>
            <w:tcW w:w="402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5.06</w:t>
            </w:r>
          </w:p>
        </w:tc>
        <w:tc>
          <w:tcPr>
            <w:tcW w:w="4020" w:type="dxa"/>
            <w:vAlign w:val="bottom"/>
          </w:tcPr>
          <w:p>
            <w:pPr>
              <w:ind w:left="260"/>
              <w:spacing w:after="0"/>
              <w:rPr>
                <w:sz w:val="20"/>
                <w:szCs w:val="20"/>
                <w:color w:val="auto"/>
              </w:rPr>
            </w:pPr>
            <w:r>
              <w:rPr>
                <w:rFonts w:ascii="Arial" w:cs="Arial" w:eastAsia="Arial" w:hAnsi="Arial"/>
                <w:sz w:val="18"/>
                <w:szCs w:val="18"/>
                <w:color w:val="auto"/>
              </w:rPr>
              <w:t>Use of Proceeds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5.07</w:t>
            </w:r>
          </w:p>
        </w:tc>
        <w:tc>
          <w:tcPr>
            <w:tcW w:w="4020" w:type="dxa"/>
            <w:vAlign w:val="bottom"/>
          </w:tcPr>
          <w:p>
            <w:pPr>
              <w:ind w:left="260"/>
              <w:spacing w:after="0"/>
              <w:rPr>
                <w:sz w:val="20"/>
                <w:szCs w:val="20"/>
                <w:color w:val="auto"/>
              </w:rPr>
            </w:pPr>
            <w:r>
              <w:rPr>
                <w:rFonts w:ascii="Arial" w:cs="Arial" w:eastAsia="Arial" w:hAnsi="Arial"/>
                <w:sz w:val="18"/>
                <w:szCs w:val="18"/>
                <w:color w:val="auto"/>
              </w:rPr>
              <w:t>Anti-Corruption Laws and Sanctions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5.08</w:t>
            </w:r>
          </w:p>
        </w:tc>
        <w:tc>
          <w:tcPr>
            <w:tcW w:w="4020" w:type="dxa"/>
            <w:vAlign w:val="bottom"/>
          </w:tcPr>
          <w:p>
            <w:pPr>
              <w:ind w:left="260"/>
              <w:spacing w:after="0"/>
              <w:rPr>
                <w:sz w:val="20"/>
                <w:szCs w:val="20"/>
                <w:color w:val="auto"/>
              </w:rPr>
            </w:pPr>
            <w:r>
              <w:rPr>
                <w:rFonts w:ascii="Arial" w:cs="Arial" w:eastAsia="Arial" w:hAnsi="Arial"/>
                <w:sz w:val="18"/>
                <w:szCs w:val="18"/>
                <w:color w:val="auto"/>
              </w:rPr>
              <w:t>Target Acquisition Documents</w:t>
            </w:r>
          </w:p>
        </w:tc>
      </w:tr>
      <w:tr>
        <w:trPr>
          <w:trHeight w:val="351"/>
        </w:trPr>
        <w:tc>
          <w:tcPr>
            <w:tcW w:w="492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6.01</w:t>
            </w:r>
          </w:p>
        </w:tc>
        <w:tc>
          <w:tcPr>
            <w:tcW w:w="4020" w:type="dxa"/>
            <w:vAlign w:val="bottom"/>
          </w:tcPr>
          <w:p>
            <w:pPr>
              <w:ind w:left="260"/>
              <w:spacing w:after="0"/>
              <w:rPr>
                <w:sz w:val="20"/>
                <w:szCs w:val="20"/>
                <w:color w:val="auto"/>
              </w:rPr>
            </w:pPr>
            <w:r>
              <w:rPr>
                <w:rFonts w:ascii="Arial" w:cs="Arial" w:eastAsia="Arial" w:hAnsi="Arial"/>
                <w:sz w:val="18"/>
                <w:szCs w:val="18"/>
                <w:color w:val="auto"/>
              </w:rPr>
              <w:t>Financial Statements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6.02</w:t>
            </w:r>
          </w:p>
        </w:tc>
        <w:tc>
          <w:tcPr>
            <w:tcW w:w="4020" w:type="dxa"/>
            <w:vAlign w:val="bottom"/>
          </w:tcPr>
          <w:p>
            <w:pPr>
              <w:ind w:left="260"/>
              <w:spacing w:after="0"/>
              <w:rPr>
                <w:sz w:val="20"/>
                <w:szCs w:val="20"/>
                <w:color w:val="auto"/>
              </w:rPr>
            </w:pPr>
            <w:r>
              <w:rPr>
                <w:rFonts w:ascii="Arial" w:cs="Arial" w:eastAsia="Arial" w:hAnsi="Arial"/>
                <w:sz w:val="18"/>
                <w:szCs w:val="18"/>
                <w:color w:val="auto"/>
              </w:rPr>
              <w:t>Certificates, Notices and Other Information</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6.03</w:t>
            </w:r>
          </w:p>
        </w:tc>
        <w:tc>
          <w:tcPr>
            <w:tcW w:w="4020" w:type="dxa"/>
            <w:vAlign w:val="bottom"/>
          </w:tcPr>
          <w:p>
            <w:pPr>
              <w:ind w:left="260"/>
              <w:spacing w:after="0"/>
              <w:rPr>
                <w:sz w:val="20"/>
                <w:szCs w:val="20"/>
                <w:color w:val="auto"/>
              </w:rPr>
            </w:pPr>
            <w:r>
              <w:rPr>
                <w:rFonts w:ascii="Arial" w:cs="Arial" w:eastAsia="Arial" w:hAnsi="Arial"/>
                <w:sz w:val="18"/>
                <w:szCs w:val="18"/>
                <w:color w:val="auto"/>
              </w:rPr>
              <w:t>Payment of Taxes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6.04</w:t>
            </w:r>
          </w:p>
        </w:tc>
        <w:tc>
          <w:tcPr>
            <w:tcW w:w="4020" w:type="dxa"/>
            <w:vAlign w:val="bottom"/>
          </w:tcPr>
          <w:p>
            <w:pPr>
              <w:ind w:left="260"/>
              <w:spacing w:after="0"/>
              <w:rPr>
                <w:sz w:val="20"/>
                <w:szCs w:val="20"/>
                <w:color w:val="auto"/>
              </w:rPr>
            </w:pPr>
            <w:r>
              <w:rPr>
                <w:rFonts w:ascii="Arial" w:cs="Arial" w:eastAsia="Arial" w:hAnsi="Arial"/>
                <w:sz w:val="18"/>
                <w:szCs w:val="18"/>
                <w:color w:val="auto"/>
              </w:rPr>
              <w:t>Preservation of Existence</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6.05</w:t>
            </w:r>
          </w:p>
        </w:tc>
        <w:tc>
          <w:tcPr>
            <w:tcW w:w="4020" w:type="dxa"/>
            <w:vAlign w:val="bottom"/>
          </w:tcPr>
          <w:p>
            <w:pPr>
              <w:ind w:left="260"/>
              <w:spacing w:after="0"/>
              <w:rPr>
                <w:sz w:val="20"/>
                <w:szCs w:val="20"/>
                <w:color w:val="auto"/>
              </w:rPr>
            </w:pPr>
            <w:r>
              <w:rPr>
                <w:rFonts w:ascii="Arial" w:cs="Arial" w:eastAsia="Arial" w:hAnsi="Arial"/>
                <w:sz w:val="18"/>
                <w:szCs w:val="18"/>
                <w:color w:val="auto"/>
              </w:rPr>
              <w:t>Compliance With Laws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6.06</w:t>
            </w:r>
          </w:p>
        </w:tc>
        <w:tc>
          <w:tcPr>
            <w:tcW w:w="4020" w:type="dxa"/>
            <w:vAlign w:val="bottom"/>
          </w:tcPr>
          <w:p>
            <w:pPr>
              <w:ind w:left="260"/>
              <w:spacing w:after="0"/>
              <w:rPr>
                <w:sz w:val="20"/>
                <w:szCs w:val="20"/>
                <w:color w:val="auto"/>
              </w:rPr>
            </w:pPr>
            <w:r>
              <w:rPr>
                <w:rFonts w:ascii="Arial" w:cs="Arial" w:eastAsia="Arial" w:hAnsi="Arial"/>
                <w:sz w:val="18"/>
                <w:szCs w:val="18"/>
                <w:color w:val="auto"/>
              </w:rPr>
              <w:t>Inspection Rights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6.07</w:t>
            </w:r>
          </w:p>
        </w:tc>
        <w:tc>
          <w:tcPr>
            <w:tcW w:w="4020" w:type="dxa"/>
            <w:vAlign w:val="bottom"/>
          </w:tcPr>
          <w:p>
            <w:pPr>
              <w:ind w:left="260"/>
              <w:spacing w:after="0"/>
              <w:rPr>
                <w:sz w:val="20"/>
                <w:szCs w:val="20"/>
                <w:color w:val="auto"/>
              </w:rPr>
            </w:pPr>
            <w:r>
              <w:rPr>
                <w:rFonts w:ascii="Arial" w:cs="Arial" w:eastAsia="Arial" w:hAnsi="Arial"/>
                <w:sz w:val="18"/>
                <w:szCs w:val="18"/>
                <w:color w:val="auto"/>
              </w:rPr>
              <w:t>Keeping of Records and Books of Account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6.08</w:t>
            </w:r>
          </w:p>
        </w:tc>
        <w:tc>
          <w:tcPr>
            <w:tcW w:w="4020" w:type="dxa"/>
            <w:vAlign w:val="bottom"/>
          </w:tcPr>
          <w:p>
            <w:pPr>
              <w:ind w:left="260"/>
              <w:spacing w:after="0"/>
              <w:rPr>
                <w:sz w:val="20"/>
                <w:szCs w:val="20"/>
                <w:color w:val="auto"/>
              </w:rPr>
            </w:pPr>
            <w:r>
              <w:rPr>
                <w:rFonts w:ascii="Arial" w:cs="Arial" w:eastAsia="Arial" w:hAnsi="Arial"/>
                <w:sz w:val="18"/>
                <w:szCs w:val="18"/>
                <w:color w:val="auto"/>
              </w:rPr>
              <w:t>Designation of Unrestricted Subsidiaries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6.09</w:t>
            </w:r>
          </w:p>
        </w:tc>
        <w:tc>
          <w:tcPr>
            <w:tcW w:w="4020" w:type="dxa"/>
            <w:vAlign w:val="bottom"/>
          </w:tcPr>
          <w:p>
            <w:pPr>
              <w:ind w:left="260"/>
              <w:spacing w:after="0"/>
              <w:rPr>
                <w:sz w:val="20"/>
                <w:szCs w:val="20"/>
                <w:color w:val="auto"/>
              </w:rPr>
            </w:pPr>
            <w:r>
              <w:rPr>
                <w:rFonts w:ascii="Arial" w:cs="Arial" w:eastAsia="Arial" w:hAnsi="Arial"/>
                <w:sz w:val="18"/>
                <w:szCs w:val="18"/>
                <w:color w:val="auto"/>
              </w:rPr>
              <w:t>Anti-Corruption Laws and Sanctions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6.10</w:t>
            </w:r>
          </w:p>
        </w:tc>
        <w:tc>
          <w:tcPr>
            <w:tcW w:w="4020" w:type="dxa"/>
            <w:vAlign w:val="bottom"/>
          </w:tcPr>
          <w:p>
            <w:pPr>
              <w:ind w:left="260"/>
              <w:spacing w:after="0"/>
              <w:rPr>
                <w:sz w:val="20"/>
                <w:szCs w:val="20"/>
                <w:color w:val="auto"/>
              </w:rPr>
            </w:pPr>
            <w:r>
              <w:rPr>
                <w:rFonts w:ascii="Arial" w:cs="Arial" w:eastAsia="Arial" w:hAnsi="Arial"/>
                <w:sz w:val="18"/>
                <w:szCs w:val="18"/>
                <w:color w:val="auto"/>
              </w:rPr>
              <w:t>Guarantors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6.11</w:t>
            </w:r>
          </w:p>
        </w:tc>
        <w:tc>
          <w:tcPr>
            <w:tcW w:w="4020" w:type="dxa"/>
            <w:vAlign w:val="bottom"/>
          </w:tcPr>
          <w:p>
            <w:pPr>
              <w:ind w:left="260"/>
              <w:spacing w:after="0"/>
              <w:rPr>
                <w:sz w:val="20"/>
                <w:szCs w:val="20"/>
                <w:color w:val="auto"/>
              </w:rPr>
            </w:pPr>
            <w:r>
              <w:rPr>
                <w:rFonts w:ascii="Arial" w:cs="Arial" w:eastAsia="Arial" w:hAnsi="Arial"/>
                <w:sz w:val="18"/>
                <w:szCs w:val="18"/>
                <w:color w:val="auto"/>
              </w:rPr>
              <w:t>Scheme and Offer</w:t>
            </w:r>
          </w:p>
        </w:tc>
      </w:tr>
      <w:tr>
        <w:trPr>
          <w:trHeight w:val="351"/>
        </w:trPr>
        <w:tc>
          <w:tcPr>
            <w:tcW w:w="492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7.01</w:t>
            </w:r>
          </w:p>
        </w:tc>
        <w:tc>
          <w:tcPr>
            <w:tcW w:w="4020" w:type="dxa"/>
            <w:vAlign w:val="bottom"/>
          </w:tcPr>
          <w:p>
            <w:pPr>
              <w:ind w:left="260"/>
              <w:spacing w:after="0"/>
              <w:rPr>
                <w:sz w:val="20"/>
                <w:szCs w:val="20"/>
                <w:color w:val="auto"/>
              </w:rPr>
            </w:pPr>
            <w:r>
              <w:rPr>
                <w:rFonts w:ascii="Arial" w:cs="Arial" w:eastAsia="Arial" w:hAnsi="Arial"/>
                <w:sz w:val="18"/>
                <w:szCs w:val="18"/>
                <w:color w:val="auto"/>
              </w:rPr>
              <w:t>Liens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7.02</w:t>
            </w:r>
          </w:p>
        </w:tc>
        <w:tc>
          <w:tcPr>
            <w:tcW w:w="4020" w:type="dxa"/>
            <w:vAlign w:val="bottom"/>
          </w:tcPr>
          <w:p>
            <w:pPr>
              <w:ind w:left="260"/>
              <w:spacing w:after="0"/>
              <w:rPr>
                <w:sz w:val="20"/>
                <w:szCs w:val="20"/>
                <w:color w:val="auto"/>
              </w:rPr>
            </w:pPr>
            <w:r>
              <w:rPr>
                <w:rFonts w:ascii="Arial" w:cs="Arial" w:eastAsia="Arial" w:hAnsi="Arial"/>
                <w:sz w:val="18"/>
                <w:szCs w:val="18"/>
                <w:color w:val="auto"/>
              </w:rPr>
              <w:t>Non-Guarantor Subsidiary Indebtedness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7.03</w:t>
            </w:r>
          </w:p>
        </w:tc>
        <w:tc>
          <w:tcPr>
            <w:tcW w:w="4020" w:type="dxa"/>
            <w:vAlign w:val="bottom"/>
          </w:tcPr>
          <w:p>
            <w:pPr>
              <w:ind w:left="260"/>
              <w:spacing w:after="0"/>
              <w:rPr>
                <w:sz w:val="20"/>
                <w:szCs w:val="20"/>
                <w:color w:val="auto"/>
              </w:rPr>
            </w:pPr>
            <w:r>
              <w:rPr>
                <w:rFonts w:ascii="Arial" w:cs="Arial" w:eastAsia="Arial" w:hAnsi="Arial"/>
                <w:sz w:val="18"/>
                <w:szCs w:val="18"/>
                <w:color w:val="auto"/>
              </w:rPr>
              <w:t>Fundamental Changes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7.04</w:t>
            </w:r>
          </w:p>
        </w:tc>
        <w:tc>
          <w:tcPr>
            <w:tcW w:w="4020" w:type="dxa"/>
            <w:vAlign w:val="bottom"/>
          </w:tcPr>
          <w:p>
            <w:pPr>
              <w:ind w:left="260"/>
              <w:spacing w:after="0"/>
              <w:rPr>
                <w:sz w:val="20"/>
                <w:szCs w:val="20"/>
                <w:color w:val="auto"/>
              </w:rPr>
            </w:pPr>
            <w:r>
              <w:rPr>
                <w:rFonts w:ascii="Arial" w:cs="Arial" w:eastAsia="Arial" w:hAnsi="Arial"/>
                <w:sz w:val="18"/>
                <w:szCs w:val="18"/>
                <w:color w:val="auto"/>
              </w:rPr>
              <w:t>ERISA</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7.05</w:t>
            </w:r>
          </w:p>
        </w:tc>
        <w:tc>
          <w:tcPr>
            <w:tcW w:w="4020" w:type="dxa"/>
            <w:vAlign w:val="bottom"/>
          </w:tcPr>
          <w:p>
            <w:pPr>
              <w:ind w:left="260"/>
              <w:spacing w:after="0"/>
              <w:rPr>
                <w:sz w:val="20"/>
                <w:szCs w:val="20"/>
                <w:color w:val="auto"/>
              </w:rPr>
            </w:pPr>
            <w:r>
              <w:rPr>
                <w:rFonts w:ascii="Arial" w:cs="Arial" w:eastAsia="Arial" w:hAnsi="Arial"/>
                <w:sz w:val="18"/>
                <w:szCs w:val="18"/>
                <w:color w:val="auto"/>
              </w:rPr>
              <w:t>Anti-Corruption Laws and Sanctions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7.06</w:t>
            </w:r>
          </w:p>
        </w:tc>
        <w:tc>
          <w:tcPr>
            <w:tcW w:w="4020" w:type="dxa"/>
            <w:vAlign w:val="bottom"/>
          </w:tcPr>
          <w:p>
            <w:pPr>
              <w:ind w:left="260"/>
              <w:spacing w:after="0"/>
              <w:rPr>
                <w:sz w:val="20"/>
                <w:szCs w:val="20"/>
                <w:color w:val="auto"/>
              </w:rPr>
            </w:pPr>
            <w:r>
              <w:rPr>
                <w:rFonts w:ascii="Arial" w:cs="Arial" w:eastAsia="Arial" w:hAnsi="Arial"/>
                <w:sz w:val="18"/>
                <w:szCs w:val="18"/>
                <w:color w:val="auto"/>
              </w:rPr>
              <w:t>Financial Covenant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7.07</w:t>
            </w:r>
          </w:p>
        </w:tc>
        <w:tc>
          <w:tcPr>
            <w:tcW w:w="4020" w:type="dxa"/>
            <w:vAlign w:val="bottom"/>
          </w:tcPr>
          <w:p>
            <w:pPr>
              <w:ind w:left="260"/>
              <w:spacing w:after="0"/>
              <w:rPr>
                <w:sz w:val="20"/>
                <w:szCs w:val="20"/>
                <w:color w:val="auto"/>
              </w:rPr>
            </w:pPr>
            <w:r>
              <w:rPr>
                <w:rFonts w:ascii="Arial" w:cs="Arial" w:eastAsia="Arial" w:hAnsi="Arial"/>
                <w:sz w:val="18"/>
                <w:szCs w:val="18"/>
                <w:color w:val="auto"/>
              </w:rPr>
              <w:t>Scheme and Offer</w:t>
            </w:r>
          </w:p>
        </w:tc>
      </w:tr>
      <w:tr>
        <w:trPr>
          <w:trHeight w:val="351"/>
        </w:trPr>
        <w:tc>
          <w:tcPr>
            <w:tcW w:w="492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8.01</w:t>
            </w:r>
          </w:p>
        </w:tc>
        <w:tc>
          <w:tcPr>
            <w:tcW w:w="4020" w:type="dxa"/>
            <w:vAlign w:val="bottom"/>
          </w:tcPr>
          <w:p>
            <w:pPr>
              <w:ind w:left="260"/>
              <w:spacing w:after="0"/>
              <w:rPr>
                <w:sz w:val="20"/>
                <w:szCs w:val="20"/>
                <w:color w:val="auto"/>
              </w:rPr>
            </w:pPr>
            <w:r>
              <w:rPr>
                <w:rFonts w:ascii="Arial" w:cs="Arial" w:eastAsia="Arial" w:hAnsi="Arial"/>
                <w:sz w:val="18"/>
                <w:szCs w:val="18"/>
                <w:color w:val="auto"/>
              </w:rPr>
              <w:t>Events of Default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8.02</w:t>
            </w:r>
          </w:p>
        </w:tc>
        <w:tc>
          <w:tcPr>
            <w:tcW w:w="4020" w:type="dxa"/>
            <w:vAlign w:val="bottom"/>
          </w:tcPr>
          <w:p>
            <w:pPr>
              <w:ind w:left="260"/>
              <w:spacing w:after="0"/>
              <w:rPr>
                <w:sz w:val="20"/>
                <w:szCs w:val="20"/>
                <w:color w:val="auto"/>
              </w:rPr>
            </w:pPr>
            <w:r>
              <w:rPr>
                <w:rFonts w:ascii="Arial" w:cs="Arial" w:eastAsia="Arial" w:hAnsi="Arial"/>
                <w:sz w:val="18"/>
                <w:szCs w:val="18"/>
                <w:color w:val="auto"/>
              </w:rPr>
              <w:t>Remedies Upon Event of Default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8.03</w:t>
            </w:r>
          </w:p>
        </w:tc>
        <w:tc>
          <w:tcPr>
            <w:tcW w:w="4020" w:type="dxa"/>
            <w:vAlign w:val="bottom"/>
          </w:tcPr>
          <w:p>
            <w:pPr>
              <w:ind w:left="260"/>
              <w:spacing w:after="0"/>
              <w:rPr>
                <w:sz w:val="20"/>
                <w:szCs w:val="20"/>
                <w:color w:val="auto"/>
              </w:rPr>
            </w:pPr>
            <w:r>
              <w:rPr>
                <w:rFonts w:ascii="Arial" w:cs="Arial" w:eastAsia="Arial" w:hAnsi="Arial"/>
                <w:sz w:val="18"/>
                <w:szCs w:val="18"/>
                <w:color w:val="auto"/>
              </w:rPr>
              <w:t>Clean-Up Period</w:t>
            </w:r>
          </w:p>
        </w:tc>
      </w:tr>
      <w:tr>
        <w:trPr>
          <w:trHeight w:val="351"/>
        </w:trPr>
        <w:tc>
          <w:tcPr>
            <w:tcW w:w="4920" w:type="dxa"/>
            <w:vAlign w:val="bottom"/>
            <w:gridSpan w:val="2"/>
          </w:tcPr>
          <w:p>
            <w:pPr>
              <w:spacing w:after="0"/>
              <w:rPr>
                <w:sz w:val="20"/>
                <w:szCs w:val="20"/>
                <w:color w:val="auto"/>
              </w:rPr>
            </w:pPr>
            <w:r>
              <w:rPr>
                <w:rFonts w:ascii="Arial" w:cs="Arial" w:eastAsia="Arial" w:hAnsi="Arial"/>
                <w:sz w:val="18"/>
                <w:szCs w:val="18"/>
                <w:color w:val="auto"/>
              </w:rPr>
              <w:t>SECTION 9 THE AGENTS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9.01</w:t>
            </w:r>
          </w:p>
        </w:tc>
        <w:tc>
          <w:tcPr>
            <w:tcW w:w="4020" w:type="dxa"/>
            <w:vAlign w:val="bottom"/>
          </w:tcPr>
          <w:p>
            <w:pPr>
              <w:ind w:left="260"/>
              <w:spacing w:after="0"/>
              <w:rPr>
                <w:sz w:val="20"/>
                <w:szCs w:val="20"/>
                <w:color w:val="auto"/>
              </w:rPr>
            </w:pPr>
            <w:r>
              <w:rPr>
                <w:rFonts w:ascii="Arial" w:cs="Arial" w:eastAsia="Arial" w:hAnsi="Arial"/>
                <w:sz w:val="18"/>
                <w:szCs w:val="18"/>
                <w:color w:val="auto"/>
              </w:rPr>
              <w:t>Appointment</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9.02</w:t>
            </w:r>
          </w:p>
        </w:tc>
        <w:tc>
          <w:tcPr>
            <w:tcW w:w="4020" w:type="dxa"/>
            <w:vAlign w:val="bottom"/>
          </w:tcPr>
          <w:p>
            <w:pPr>
              <w:ind w:left="260"/>
              <w:spacing w:after="0"/>
              <w:rPr>
                <w:sz w:val="20"/>
                <w:szCs w:val="20"/>
                <w:color w:val="auto"/>
              </w:rPr>
            </w:pPr>
            <w:r>
              <w:rPr>
                <w:rFonts w:ascii="Arial" w:cs="Arial" w:eastAsia="Arial" w:hAnsi="Arial"/>
                <w:sz w:val="18"/>
                <w:szCs w:val="18"/>
                <w:color w:val="auto"/>
              </w:rPr>
              <w:t>Delegation of Duties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9.03</w:t>
            </w:r>
          </w:p>
        </w:tc>
        <w:tc>
          <w:tcPr>
            <w:tcW w:w="4020" w:type="dxa"/>
            <w:vAlign w:val="bottom"/>
          </w:tcPr>
          <w:p>
            <w:pPr>
              <w:ind w:left="260"/>
              <w:spacing w:after="0"/>
              <w:rPr>
                <w:sz w:val="20"/>
                <w:szCs w:val="20"/>
                <w:color w:val="auto"/>
              </w:rPr>
            </w:pPr>
            <w:r>
              <w:rPr>
                <w:rFonts w:ascii="Arial" w:cs="Arial" w:eastAsia="Arial" w:hAnsi="Arial"/>
                <w:sz w:val="18"/>
                <w:szCs w:val="18"/>
                <w:color w:val="auto"/>
              </w:rPr>
              <w:t>Exculpatory Provisions</w:t>
            </w:r>
          </w:p>
        </w:tc>
      </w:tr>
      <w:tr>
        <w:trPr>
          <w:trHeight w:val="351"/>
        </w:trPr>
        <w:tc>
          <w:tcPr>
            <w:tcW w:w="900" w:type="dxa"/>
            <w:vAlign w:val="bottom"/>
          </w:tcPr>
          <w:p>
            <w:pPr>
              <w:jc w:val="right"/>
              <w:ind w:right="170"/>
              <w:spacing w:after="0"/>
              <w:rPr>
                <w:sz w:val="20"/>
                <w:szCs w:val="20"/>
                <w:color w:val="auto"/>
              </w:rPr>
            </w:pPr>
            <w:r>
              <w:rPr>
                <w:rFonts w:ascii="Arial" w:cs="Arial" w:eastAsia="Arial" w:hAnsi="Arial"/>
                <w:sz w:val="18"/>
                <w:szCs w:val="18"/>
                <w:color w:val="auto"/>
              </w:rPr>
              <w:t>9.04</w:t>
            </w:r>
          </w:p>
        </w:tc>
        <w:tc>
          <w:tcPr>
            <w:tcW w:w="4020" w:type="dxa"/>
            <w:vAlign w:val="bottom"/>
          </w:tcPr>
          <w:p>
            <w:pPr>
              <w:ind w:left="260"/>
              <w:spacing w:after="0"/>
              <w:rPr>
                <w:sz w:val="20"/>
                <w:szCs w:val="20"/>
                <w:color w:val="auto"/>
              </w:rPr>
            </w:pPr>
            <w:r>
              <w:rPr>
                <w:rFonts w:ascii="Arial" w:cs="Arial" w:eastAsia="Arial" w:hAnsi="Arial"/>
                <w:sz w:val="18"/>
                <w:szCs w:val="18"/>
                <w:color w:val="auto"/>
              </w:rPr>
              <w:t>Reliance by Administrative Agent</w:t>
            </w:r>
          </w:p>
        </w:tc>
      </w:tr>
    </w:tbl>
    <w:p>
      <w:pPr>
        <w:spacing w:after="0" w:line="200" w:lineRule="exact"/>
        <w:rPr>
          <w:sz w:val="20"/>
          <w:szCs w:val="20"/>
          <w:color w:val="auto"/>
        </w:rPr>
      </w:pPr>
    </w:p>
    <w:p>
      <w:pPr>
        <w:spacing w:after="0" w:line="204"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ectPr>
          <w:pgSz w:w="11900" w:h="16838" w:orient="portrait"/>
          <w:cols w:equalWidth="0" w:num="2">
            <w:col w:w="10520" w:space="720"/>
            <w:col w:w="180"/>
          </w:cols>
          <w:pgMar w:left="240" w:top="584" w:right="239" w:bottom="1440" w:gutter="0" w:footer="0" w:header="0"/>
        </w:sectPr>
      </w:pPr>
    </w:p>
    <w:bookmarkStart w:id="9" w:name="page10"/>
    <w:bookmarkEnd w:id="9"/>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340"/>
              <w:spacing w:after="0"/>
              <w:rPr>
                <w:sz w:val="20"/>
                <w:szCs w:val="20"/>
                <w:color w:val="auto"/>
              </w:rPr>
            </w:pPr>
            <w:r>
              <w:rPr>
                <w:rFonts w:ascii="Arial" w:cs="Arial" w:eastAsia="Arial" w:hAnsi="Arial"/>
                <w:sz w:val="18"/>
                <w:szCs w:val="18"/>
                <w:color w:val="auto"/>
              </w:rPr>
              <w:t>9.05</w:t>
            </w:r>
          </w:p>
        </w:tc>
        <w:tc>
          <w:tcPr>
            <w:tcW w:w="6120" w:type="dxa"/>
            <w:vAlign w:val="bottom"/>
          </w:tcPr>
          <w:p>
            <w:pPr>
              <w:ind w:left="220"/>
              <w:spacing w:after="0"/>
              <w:rPr>
                <w:sz w:val="20"/>
                <w:szCs w:val="20"/>
                <w:color w:val="auto"/>
              </w:rPr>
            </w:pPr>
            <w:r>
              <w:rPr>
                <w:rFonts w:ascii="Arial" w:cs="Arial" w:eastAsia="Arial" w:hAnsi="Arial"/>
                <w:sz w:val="18"/>
                <w:szCs w:val="18"/>
                <w:color w:val="auto"/>
              </w:rPr>
              <w:t>Notice of Default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9.06</w:t>
            </w:r>
          </w:p>
        </w:tc>
        <w:tc>
          <w:tcPr>
            <w:tcW w:w="6120" w:type="dxa"/>
            <w:vAlign w:val="bottom"/>
          </w:tcPr>
          <w:p>
            <w:pPr>
              <w:ind w:left="220"/>
              <w:spacing w:after="0"/>
              <w:rPr>
                <w:sz w:val="20"/>
                <w:szCs w:val="20"/>
                <w:color w:val="auto"/>
              </w:rPr>
            </w:pPr>
            <w:r>
              <w:rPr>
                <w:rFonts w:ascii="Arial" w:cs="Arial" w:eastAsia="Arial" w:hAnsi="Arial"/>
                <w:sz w:val="18"/>
                <w:szCs w:val="18"/>
                <w:color w:val="auto"/>
              </w:rPr>
              <w:t>Non-Reliance on Agents and Other Lenders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9.07</w:t>
            </w:r>
          </w:p>
        </w:tc>
        <w:tc>
          <w:tcPr>
            <w:tcW w:w="6120" w:type="dxa"/>
            <w:vAlign w:val="bottom"/>
          </w:tcPr>
          <w:p>
            <w:pPr>
              <w:ind w:left="220"/>
              <w:spacing w:after="0"/>
              <w:rPr>
                <w:sz w:val="20"/>
                <w:szCs w:val="20"/>
                <w:color w:val="auto"/>
              </w:rPr>
            </w:pPr>
            <w:r>
              <w:rPr>
                <w:rFonts w:ascii="Arial" w:cs="Arial" w:eastAsia="Arial" w:hAnsi="Arial"/>
                <w:sz w:val="18"/>
                <w:szCs w:val="18"/>
                <w:color w:val="auto"/>
              </w:rPr>
              <w:t>Indemnification</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9.08</w:t>
            </w:r>
          </w:p>
        </w:tc>
        <w:tc>
          <w:tcPr>
            <w:tcW w:w="6120" w:type="dxa"/>
            <w:vAlign w:val="bottom"/>
          </w:tcPr>
          <w:p>
            <w:pPr>
              <w:ind w:left="220"/>
              <w:spacing w:after="0"/>
              <w:rPr>
                <w:sz w:val="20"/>
                <w:szCs w:val="20"/>
                <w:color w:val="auto"/>
              </w:rPr>
            </w:pPr>
            <w:r>
              <w:rPr>
                <w:rFonts w:ascii="Arial" w:cs="Arial" w:eastAsia="Arial" w:hAnsi="Arial"/>
                <w:sz w:val="18"/>
                <w:szCs w:val="18"/>
                <w:color w:val="auto"/>
              </w:rPr>
              <w:t>Agent in Its Individual Capacity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9.09</w:t>
            </w:r>
          </w:p>
        </w:tc>
        <w:tc>
          <w:tcPr>
            <w:tcW w:w="6120" w:type="dxa"/>
            <w:vAlign w:val="bottom"/>
          </w:tcPr>
          <w:p>
            <w:pPr>
              <w:ind w:left="220"/>
              <w:spacing w:after="0"/>
              <w:rPr>
                <w:sz w:val="20"/>
                <w:szCs w:val="20"/>
                <w:color w:val="auto"/>
              </w:rPr>
            </w:pPr>
            <w:r>
              <w:rPr>
                <w:rFonts w:ascii="Arial" w:cs="Arial" w:eastAsia="Arial" w:hAnsi="Arial"/>
                <w:sz w:val="18"/>
                <w:szCs w:val="18"/>
                <w:color w:val="auto"/>
              </w:rPr>
              <w:t>Successor Administrative Agent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9.10</w:t>
            </w:r>
          </w:p>
        </w:tc>
        <w:tc>
          <w:tcPr>
            <w:tcW w:w="6120" w:type="dxa"/>
            <w:vAlign w:val="bottom"/>
          </w:tcPr>
          <w:p>
            <w:pPr>
              <w:ind w:left="220"/>
              <w:spacing w:after="0"/>
              <w:rPr>
                <w:sz w:val="20"/>
                <w:szCs w:val="20"/>
                <w:color w:val="auto"/>
              </w:rPr>
            </w:pPr>
            <w:r>
              <w:rPr>
                <w:rFonts w:ascii="Arial" w:cs="Arial" w:eastAsia="Arial" w:hAnsi="Arial"/>
                <w:sz w:val="18"/>
                <w:szCs w:val="18"/>
                <w:color w:val="auto"/>
              </w:rPr>
              <w:t>Syndication Agent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9.11</w:t>
            </w:r>
          </w:p>
        </w:tc>
        <w:tc>
          <w:tcPr>
            <w:tcW w:w="6120" w:type="dxa"/>
            <w:vAlign w:val="bottom"/>
          </w:tcPr>
          <w:p>
            <w:pPr>
              <w:ind w:left="220"/>
              <w:spacing w:after="0"/>
              <w:rPr>
                <w:sz w:val="20"/>
                <w:szCs w:val="20"/>
                <w:color w:val="auto"/>
              </w:rPr>
            </w:pPr>
            <w:r>
              <w:rPr>
                <w:rFonts w:ascii="Arial" w:cs="Arial" w:eastAsia="Arial" w:hAnsi="Arial"/>
                <w:sz w:val="18"/>
                <w:szCs w:val="18"/>
                <w:color w:val="auto"/>
              </w:rPr>
              <w:t>Certain ERISA Matters</w:t>
            </w:r>
          </w:p>
        </w:tc>
      </w:tr>
      <w:tr>
        <w:trPr>
          <w:trHeight w:val="351"/>
        </w:trPr>
        <w:tc>
          <w:tcPr>
            <w:tcW w:w="70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10.01</w:t>
            </w:r>
          </w:p>
        </w:tc>
        <w:tc>
          <w:tcPr>
            <w:tcW w:w="6120" w:type="dxa"/>
            <w:vAlign w:val="bottom"/>
          </w:tcPr>
          <w:p>
            <w:pPr>
              <w:ind w:left="220"/>
              <w:spacing w:after="0"/>
              <w:rPr>
                <w:sz w:val="20"/>
                <w:szCs w:val="20"/>
                <w:color w:val="auto"/>
              </w:rPr>
            </w:pPr>
            <w:r>
              <w:rPr>
                <w:rFonts w:ascii="Arial" w:cs="Arial" w:eastAsia="Arial" w:hAnsi="Arial"/>
                <w:sz w:val="18"/>
                <w:szCs w:val="18"/>
                <w:color w:val="auto"/>
              </w:rPr>
              <w:t>Amendments; Consents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10.02</w:t>
            </w:r>
          </w:p>
        </w:tc>
        <w:tc>
          <w:tcPr>
            <w:tcW w:w="6120" w:type="dxa"/>
            <w:vAlign w:val="bottom"/>
          </w:tcPr>
          <w:p>
            <w:pPr>
              <w:ind w:left="220"/>
              <w:spacing w:after="0"/>
              <w:rPr>
                <w:sz w:val="20"/>
                <w:szCs w:val="20"/>
                <w:color w:val="auto"/>
              </w:rPr>
            </w:pPr>
            <w:r>
              <w:rPr>
                <w:rFonts w:ascii="Arial" w:cs="Arial" w:eastAsia="Arial" w:hAnsi="Arial"/>
                <w:sz w:val="18"/>
                <w:szCs w:val="18"/>
                <w:color w:val="auto"/>
              </w:rPr>
              <w:t>Requisite Notice; Electronic Communications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10.03</w:t>
            </w:r>
          </w:p>
        </w:tc>
        <w:tc>
          <w:tcPr>
            <w:tcW w:w="6120" w:type="dxa"/>
            <w:vAlign w:val="bottom"/>
          </w:tcPr>
          <w:p>
            <w:pPr>
              <w:ind w:left="220"/>
              <w:spacing w:after="0"/>
              <w:rPr>
                <w:sz w:val="20"/>
                <w:szCs w:val="20"/>
                <w:color w:val="auto"/>
              </w:rPr>
            </w:pPr>
            <w:r>
              <w:rPr>
                <w:rFonts w:ascii="Arial" w:cs="Arial" w:eastAsia="Arial" w:hAnsi="Arial"/>
                <w:sz w:val="18"/>
                <w:szCs w:val="18"/>
                <w:color w:val="auto"/>
              </w:rPr>
              <w:t>Attorney Costs and Expenses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10.04</w:t>
            </w:r>
          </w:p>
        </w:tc>
        <w:tc>
          <w:tcPr>
            <w:tcW w:w="6120" w:type="dxa"/>
            <w:vAlign w:val="bottom"/>
          </w:tcPr>
          <w:p>
            <w:pPr>
              <w:ind w:left="220"/>
              <w:spacing w:after="0"/>
              <w:rPr>
                <w:sz w:val="20"/>
                <w:szCs w:val="20"/>
                <w:color w:val="auto"/>
              </w:rPr>
            </w:pPr>
            <w:r>
              <w:rPr>
                <w:rFonts w:ascii="Arial" w:cs="Arial" w:eastAsia="Arial" w:hAnsi="Arial"/>
                <w:sz w:val="18"/>
                <w:szCs w:val="18"/>
                <w:color w:val="auto"/>
              </w:rPr>
              <w:t>Binding Effect; Assignment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10.05</w:t>
            </w:r>
          </w:p>
        </w:tc>
        <w:tc>
          <w:tcPr>
            <w:tcW w:w="6120" w:type="dxa"/>
            <w:vAlign w:val="bottom"/>
          </w:tcPr>
          <w:p>
            <w:pPr>
              <w:ind w:left="220"/>
              <w:spacing w:after="0"/>
              <w:rPr>
                <w:sz w:val="20"/>
                <w:szCs w:val="20"/>
                <w:color w:val="auto"/>
              </w:rPr>
            </w:pPr>
            <w:r>
              <w:rPr>
                <w:rFonts w:ascii="Arial" w:cs="Arial" w:eastAsia="Arial" w:hAnsi="Arial"/>
                <w:sz w:val="18"/>
                <w:szCs w:val="18"/>
                <w:color w:val="auto"/>
              </w:rPr>
              <w:t>Set-off</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10.06</w:t>
            </w:r>
          </w:p>
        </w:tc>
        <w:tc>
          <w:tcPr>
            <w:tcW w:w="6120" w:type="dxa"/>
            <w:vAlign w:val="bottom"/>
          </w:tcPr>
          <w:p>
            <w:pPr>
              <w:ind w:left="220"/>
              <w:spacing w:after="0"/>
              <w:rPr>
                <w:sz w:val="20"/>
                <w:szCs w:val="20"/>
                <w:color w:val="auto"/>
              </w:rPr>
            </w:pPr>
            <w:r>
              <w:rPr>
                <w:rFonts w:ascii="Arial" w:cs="Arial" w:eastAsia="Arial" w:hAnsi="Arial"/>
                <w:sz w:val="18"/>
                <w:szCs w:val="18"/>
                <w:color w:val="auto"/>
              </w:rPr>
              <w:t>Sharing of Payments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10.07</w:t>
            </w:r>
          </w:p>
        </w:tc>
        <w:tc>
          <w:tcPr>
            <w:tcW w:w="6120" w:type="dxa"/>
            <w:vAlign w:val="bottom"/>
          </w:tcPr>
          <w:p>
            <w:pPr>
              <w:ind w:left="220"/>
              <w:spacing w:after="0"/>
              <w:rPr>
                <w:sz w:val="20"/>
                <w:szCs w:val="20"/>
                <w:color w:val="auto"/>
              </w:rPr>
            </w:pPr>
            <w:r>
              <w:rPr>
                <w:rFonts w:ascii="Arial" w:cs="Arial" w:eastAsia="Arial" w:hAnsi="Arial"/>
                <w:sz w:val="18"/>
                <w:szCs w:val="18"/>
                <w:color w:val="auto"/>
              </w:rPr>
              <w:t>No Waiver; Cumulative Remedies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10.08</w:t>
            </w:r>
          </w:p>
        </w:tc>
        <w:tc>
          <w:tcPr>
            <w:tcW w:w="6120" w:type="dxa"/>
            <w:vAlign w:val="bottom"/>
          </w:tcPr>
          <w:p>
            <w:pPr>
              <w:ind w:left="220"/>
              <w:spacing w:after="0"/>
              <w:rPr>
                <w:sz w:val="20"/>
                <w:szCs w:val="20"/>
                <w:color w:val="auto"/>
              </w:rPr>
            </w:pPr>
            <w:r>
              <w:rPr>
                <w:rFonts w:ascii="Arial" w:cs="Arial" w:eastAsia="Arial" w:hAnsi="Arial"/>
                <w:sz w:val="18"/>
                <w:szCs w:val="18"/>
                <w:color w:val="auto"/>
              </w:rPr>
              <w:t>Usury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10.09</w:t>
            </w:r>
          </w:p>
        </w:tc>
        <w:tc>
          <w:tcPr>
            <w:tcW w:w="6120" w:type="dxa"/>
            <w:vAlign w:val="bottom"/>
          </w:tcPr>
          <w:p>
            <w:pPr>
              <w:ind w:left="220"/>
              <w:spacing w:after="0"/>
              <w:rPr>
                <w:sz w:val="20"/>
                <w:szCs w:val="20"/>
                <w:color w:val="auto"/>
              </w:rPr>
            </w:pPr>
            <w:r>
              <w:rPr>
                <w:rFonts w:ascii="Arial" w:cs="Arial" w:eastAsia="Arial" w:hAnsi="Arial"/>
                <w:sz w:val="18"/>
                <w:szCs w:val="18"/>
                <w:color w:val="auto"/>
                <w:w w:val="90"/>
              </w:rPr>
              <w:t>Counterparts, Electronic Execution of Assignments and Certain Other Documents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10.10</w:t>
            </w:r>
          </w:p>
        </w:tc>
        <w:tc>
          <w:tcPr>
            <w:tcW w:w="6120" w:type="dxa"/>
            <w:vAlign w:val="bottom"/>
          </w:tcPr>
          <w:p>
            <w:pPr>
              <w:ind w:left="220"/>
              <w:spacing w:after="0"/>
              <w:rPr>
                <w:sz w:val="20"/>
                <w:szCs w:val="20"/>
                <w:color w:val="auto"/>
              </w:rPr>
            </w:pPr>
            <w:r>
              <w:rPr>
                <w:rFonts w:ascii="Arial" w:cs="Arial" w:eastAsia="Arial" w:hAnsi="Arial"/>
                <w:sz w:val="18"/>
                <w:szCs w:val="18"/>
                <w:color w:val="auto"/>
              </w:rPr>
              <w:t>Integration</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10.11</w:t>
            </w:r>
          </w:p>
        </w:tc>
        <w:tc>
          <w:tcPr>
            <w:tcW w:w="6120" w:type="dxa"/>
            <w:vAlign w:val="bottom"/>
          </w:tcPr>
          <w:p>
            <w:pPr>
              <w:ind w:left="220"/>
              <w:spacing w:after="0"/>
              <w:rPr>
                <w:sz w:val="20"/>
                <w:szCs w:val="20"/>
                <w:color w:val="auto"/>
              </w:rPr>
            </w:pPr>
            <w:r>
              <w:rPr>
                <w:rFonts w:ascii="Arial" w:cs="Arial" w:eastAsia="Arial" w:hAnsi="Arial"/>
                <w:sz w:val="18"/>
                <w:szCs w:val="18"/>
                <w:color w:val="auto"/>
              </w:rPr>
              <w:t>Nature of Lenders’ Obligations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10.12</w:t>
            </w:r>
          </w:p>
        </w:tc>
        <w:tc>
          <w:tcPr>
            <w:tcW w:w="612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10.13</w:t>
            </w:r>
          </w:p>
        </w:tc>
        <w:tc>
          <w:tcPr>
            <w:tcW w:w="6120" w:type="dxa"/>
            <w:vAlign w:val="bottom"/>
          </w:tcPr>
          <w:p>
            <w:pPr>
              <w:ind w:left="220"/>
              <w:spacing w:after="0"/>
              <w:rPr>
                <w:sz w:val="20"/>
                <w:szCs w:val="20"/>
                <w:color w:val="auto"/>
              </w:rPr>
            </w:pPr>
            <w:r>
              <w:rPr>
                <w:rFonts w:ascii="Arial" w:cs="Arial" w:eastAsia="Arial" w:hAnsi="Arial"/>
                <w:sz w:val="18"/>
                <w:szCs w:val="18"/>
                <w:color w:val="auto"/>
              </w:rPr>
              <w:t>Indemnity by Borrower</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10.14</w:t>
            </w:r>
          </w:p>
        </w:tc>
        <w:tc>
          <w:tcPr>
            <w:tcW w:w="6120" w:type="dxa"/>
            <w:vAlign w:val="bottom"/>
          </w:tcPr>
          <w:p>
            <w:pPr>
              <w:ind w:left="220"/>
              <w:spacing w:after="0"/>
              <w:rPr>
                <w:sz w:val="20"/>
                <w:szCs w:val="20"/>
                <w:color w:val="auto"/>
              </w:rPr>
            </w:pPr>
            <w:r>
              <w:rPr>
                <w:rFonts w:ascii="Arial" w:cs="Arial" w:eastAsia="Arial" w:hAnsi="Arial"/>
                <w:sz w:val="18"/>
                <w:szCs w:val="18"/>
                <w:color w:val="auto"/>
              </w:rPr>
              <w:t>Nonliability of Lenders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10.15</w:t>
            </w:r>
          </w:p>
        </w:tc>
        <w:tc>
          <w:tcPr>
            <w:tcW w:w="6120" w:type="dxa"/>
            <w:vAlign w:val="bottom"/>
          </w:tcPr>
          <w:p>
            <w:pPr>
              <w:ind w:left="220"/>
              <w:spacing w:after="0"/>
              <w:rPr>
                <w:sz w:val="20"/>
                <w:szCs w:val="20"/>
                <w:color w:val="auto"/>
              </w:rPr>
            </w:pPr>
            <w:r>
              <w:rPr>
                <w:rFonts w:ascii="Arial" w:cs="Arial" w:eastAsia="Arial" w:hAnsi="Arial"/>
                <w:sz w:val="18"/>
                <w:szCs w:val="18"/>
                <w:color w:val="auto"/>
              </w:rPr>
              <w:t>No Third Parties Benefitted</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10.16</w:t>
            </w:r>
          </w:p>
        </w:tc>
        <w:tc>
          <w:tcPr>
            <w:tcW w:w="6120" w:type="dxa"/>
            <w:vAlign w:val="bottom"/>
          </w:tcPr>
          <w:p>
            <w:pPr>
              <w:ind w:left="220"/>
              <w:spacing w:after="0"/>
              <w:rPr>
                <w:sz w:val="20"/>
                <w:szCs w:val="20"/>
                <w:color w:val="auto"/>
              </w:rPr>
            </w:pPr>
            <w:r>
              <w:rPr>
                <w:rFonts w:ascii="Arial" w:cs="Arial" w:eastAsia="Arial" w:hAnsi="Arial"/>
                <w:sz w:val="18"/>
                <w:szCs w:val="18"/>
                <w:color w:val="auto"/>
              </w:rPr>
              <w:t>Severability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10.17</w:t>
            </w:r>
          </w:p>
        </w:tc>
        <w:tc>
          <w:tcPr>
            <w:tcW w:w="6120" w:type="dxa"/>
            <w:vAlign w:val="bottom"/>
          </w:tcPr>
          <w:p>
            <w:pPr>
              <w:ind w:left="220"/>
              <w:spacing w:after="0"/>
              <w:rPr>
                <w:sz w:val="20"/>
                <w:szCs w:val="20"/>
                <w:color w:val="auto"/>
              </w:rPr>
            </w:pPr>
            <w:r>
              <w:rPr>
                <w:rFonts w:ascii="Arial" w:cs="Arial" w:eastAsia="Arial" w:hAnsi="Arial"/>
                <w:sz w:val="18"/>
                <w:szCs w:val="18"/>
                <w:color w:val="auto"/>
              </w:rPr>
              <w:t>Confidentiality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10.18</w:t>
            </w:r>
          </w:p>
        </w:tc>
        <w:tc>
          <w:tcPr>
            <w:tcW w:w="6120" w:type="dxa"/>
            <w:vAlign w:val="bottom"/>
          </w:tcPr>
          <w:p>
            <w:pPr>
              <w:ind w:left="220"/>
              <w:spacing w:after="0"/>
              <w:rPr>
                <w:sz w:val="20"/>
                <w:szCs w:val="20"/>
                <w:color w:val="auto"/>
              </w:rPr>
            </w:pPr>
            <w:r>
              <w:rPr>
                <w:rFonts w:ascii="Arial" w:cs="Arial" w:eastAsia="Arial" w:hAnsi="Arial"/>
                <w:sz w:val="18"/>
                <w:szCs w:val="18"/>
                <w:color w:val="auto"/>
              </w:rPr>
              <w:t>Headings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10.19</w:t>
            </w:r>
          </w:p>
        </w:tc>
        <w:tc>
          <w:tcPr>
            <w:tcW w:w="6120" w:type="dxa"/>
            <w:vAlign w:val="bottom"/>
          </w:tcPr>
          <w:p>
            <w:pPr>
              <w:ind w:left="220"/>
              <w:spacing w:after="0"/>
              <w:rPr>
                <w:sz w:val="20"/>
                <w:szCs w:val="20"/>
                <w:color w:val="auto"/>
              </w:rPr>
            </w:pPr>
            <w:r>
              <w:rPr>
                <w:rFonts w:ascii="Arial" w:cs="Arial" w:eastAsia="Arial" w:hAnsi="Arial"/>
                <w:sz w:val="18"/>
                <w:szCs w:val="18"/>
                <w:color w:val="auto"/>
              </w:rPr>
              <w:t>Time of the Essence</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10.20</w:t>
            </w:r>
          </w:p>
        </w:tc>
        <w:tc>
          <w:tcPr>
            <w:tcW w:w="6120" w:type="dxa"/>
            <w:vAlign w:val="bottom"/>
          </w:tcPr>
          <w:p>
            <w:pPr>
              <w:ind w:left="220"/>
              <w:spacing w:after="0"/>
              <w:rPr>
                <w:sz w:val="20"/>
                <w:szCs w:val="20"/>
                <w:color w:val="auto"/>
              </w:rPr>
            </w:pPr>
            <w:r>
              <w:rPr>
                <w:rFonts w:ascii="Arial" w:cs="Arial" w:eastAsia="Arial" w:hAnsi="Arial"/>
                <w:sz w:val="18"/>
                <w:szCs w:val="18"/>
                <w:color w:val="auto"/>
              </w:rPr>
              <w:t>Status of Lenders and Administrative Agent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10.21</w:t>
            </w:r>
          </w:p>
        </w:tc>
        <w:tc>
          <w:tcPr>
            <w:tcW w:w="6120" w:type="dxa"/>
            <w:vAlign w:val="bottom"/>
          </w:tcPr>
          <w:p>
            <w:pPr>
              <w:ind w:left="220"/>
              <w:spacing w:after="0"/>
              <w:rPr>
                <w:sz w:val="20"/>
                <w:szCs w:val="20"/>
                <w:color w:val="auto"/>
              </w:rPr>
            </w:pPr>
            <w:r>
              <w:rPr>
                <w:rFonts w:ascii="Arial" w:cs="Arial" w:eastAsia="Arial" w:hAnsi="Arial"/>
                <w:sz w:val="18"/>
                <w:szCs w:val="18"/>
                <w:color w:val="auto"/>
              </w:rPr>
              <w:t>Removal and Replacement of Lenders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10.22</w:t>
            </w:r>
          </w:p>
        </w:tc>
        <w:tc>
          <w:tcPr>
            <w:tcW w:w="6120" w:type="dxa"/>
            <w:vAlign w:val="bottom"/>
          </w:tcPr>
          <w:p>
            <w:pPr>
              <w:ind w:left="220"/>
              <w:spacing w:after="0"/>
              <w:rPr>
                <w:sz w:val="20"/>
                <w:szCs w:val="20"/>
                <w:color w:val="auto"/>
              </w:rPr>
            </w:pPr>
            <w:r>
              <w:rPr>
                <w:rFonts w:ascii="Arial" w:cs="Arial" w:eastAsia="Arial" w:hAnsi="Arial"/>
                <w:sz w:val="18"/>
                <w:szCs w:val="18"/>
                <w:color w:val="auto"/>
              </w:rPr>
              <w:t>Governing Law; Submission to Jurisdiction; Waivers</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10.23</w:t>
            </w:r>
          </w:p>
        </w:tc>
        <w:tc>
          <w:tcPr>
            <w:tcW w:w="6120" w:type="dxa"/>
            <w:vAlign w:val="bottom"/>
          </w:tcPr>
          <w:p>
            <w:pPr>
              <w:ind w:left="220"/>
              <w:spacing w:after="0"/>
              <w:rPr>
                <w:sz w:val="20"/>
                <w:szCs w:val="20"/>
                <w:color w:val="auto"/>
              </w:rPr>
            </w:pPr>
            <w:r>
              <w:rPr>
                <w:rFonts w:ascii="Arial" w:cs="Arial" w:eastAsia="Arial" w:hAnsi="Arial"/>
                <w:sz w:val="18"/>
                <w:szCs w:val="18"/>
                <w:color w:val="auto"/>
              </w:rPr>
              <w:t>Waiver of Right to Trial by Jury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10.24</w:t>
            </w:r>
          </w:p>
        </w:tc>
        <w:tc>
          <w:tcPr>
            <w:tcW w:w="6120" w:type="dxa"/>
            <w:vAlign w:val="bottom"/>
          </w:tcPr>
          <w:p>
            <w:pPr>
              <w:ind w:left="220"/>
              <w:spacing w:after="0"/>
              <w:rPr>
                <w:sz w:val="20"/>
                <w:szCs w:val="20"/>
                <w:color w:val="auto"/>
              </w:rPr>
            </w:pPr>
            <w:r>
              <w:rPr>
                <w:rFonts w:ascii="Arial" w:cs="Arial" w:eastAsia="Arial" w:hAnsi="Arial"/>
                <w:sz w:val="18"/>
                <w:szCs w:val="18"/>
                <w:color w:val="auto"/>
              </w:rPr>
              <w:t>USA PATRIOT Act</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10.25</w:t>
            </w:r>
          </w:p>
        </w:tc>
        <w:tc>
          <w:tcPr>
            <w:tcW w:w="6120" w:type="dxa"/>
            <w:vAlign w:val="bottom"/>
          </w:tcPr>
          <w:p>
            <w:pPr>
              <w:ind w:left="220"/>
              <w:spacing w:after="0"/>
              <w:rPr>
                <w:sz w:val="20"/>
                <w:szCs w:val="20"/>
                <w:color w:val="auto"/>
              </w:rPr>
            </w:pPr>
            <w:r>
              <w:rPr>
                <w:rFonts w:ascii="Arial" w:cs="Arial" w:eastAsia="Arial" w:hAnsi="Arial"/>
                <w:sz w:val="18"/>
                <w:szCs w:val="18"/>
                <w:color w:val="auto"/>
              </w:rPr>
              <w:t>Judgment Currency</w:t>
            </w:r>
          </w:p>
        </w:tc>
      </w:tr>
      <w:tr>
        <w:trPr>
          <w:trHeight w:val="351"/>
        </w:trPr>
        <w:tc>
          <w:tcPr>
            <w:tcW w:w="940" w:type="dxa"/>
            <w:vAlign w:val="bottom"/>
          </w:tcPr>
          <w:p>
            <w:pPr>
              <w:ind w:left="340"/>
              <w:spacing w:after="0"/>
              <w:rPr>
                <w:sz w:val="20"/>
                <w:szCs w:val="20"/>
                <w:color w:val="auto"/>
              </w:rPr>
            </w:pPr>
            <w:r>
              <w:rPr>
                <w:rFonts w:ascii="Arial" w:cs="Arial" w:eastAsia="Arial" w:hAnsi="Arial"/>
                <w:sz w:val="18"/>
                <w:szCs w:val="18"/>
                <w:color w:val="auto"/>
              </w:rPr>
              <w:t>10.26</w:t>
            </w:r>
          </w:p>
        </w:tc>
        <w:tc>
          <w:tcPr>
            <w:tcW w:w="612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EEA Financial Institutions</w:t>
            </w:r>
          </w:p>
        </w:tc>
      </w:tr>
      <w:tr>
        <w:trPr>
          <w:trHeight w:val="392"/>
        </w:trPr>
        <w:tc>
          <w:tcPr>
            <w:tcW w:w="940" w:type="dxa"/>
            <w:vAlign w:val="bottom"/>
          </w:tcPr>
          <w:p>
            <w:pPr>
              <w:spacing w:after="0"/>
              <w:rPr>
                <w:sz w:val="24"/>
                <w:szCs w:val="24"/>
                <w:color w:val="auto"/>
              </w:rPr>
            </w:pPr>
          </w:p>
        </w:tc>
        <w:tc>
          <w:tcPr>
            <w:tcW w:w="6120" w:type="dxa"/>
            <w:vAlign w:val="bottom"/>
          </w:tcPr>
          <w:p>
            <w:pPr>
              <w:ind w:left="4680"/>
              <w:spacing w:after="0"/>
              <w:rPr>
                <w:sz w:val="20"/>
                <w:szCs w:val="20"/>
                <w:color w:val="auto"/>
              </w:rPr>
            </w:pPr>
            <w:r>
              <w:rPr>
                <w:rFonts w:ascii="Arial" w:cs="Arial" w:eastAsia="Arial" w:hAnsi="Arial"/>
                <w:sz w:val="18"/>
                <w:szCs w:val="18"/>
                <w:color w:val="auto"/>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ectPr>
          <w:pgSz w:w="11900" w:h="16838" w:orient="portrait"/>
          <w:cols w:equalWidth="0" w:num="2">
            <w:col w:w="10520" w:space="720"/>
            <w:col w:w="18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23"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Compliance Certificate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Form of Assignment and Assumption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[Reserved]</w:t>
      </w:r>
    </w:p>
    <w:p>
      <w:pPr>
        <w:spacing w:after="0" w:line="9" w:lineRule="exact"/>
        <w:rPr>
          <w:rFonts w:ascii="Arial" w:cs="Arial" w:eastAsia="Arial" w:hAnsi="Arial"/>
          <w:sz w:val="18"/>
          <w:szCs w:val="18"/>
          <w:color w:val="auto"/>
        </w:rPr>
      </w:pPr>
    </w:p>
    <w:p>
      <w:pPr>
        <w:spacing w:after="0" w:line="281" w:lineRule="auto"/>
        <w:rPr>
          <w:rFonts w:ascii="Arial" w:cs="Arial" w:eastAsia="Arial" w:hAnsi="Arial"/>
          <w:sz w:val="18"/>
          <w:szCs w:val="18"/>
          <w:color w:val="auto"/>
        </w:rPr>
      </w:pPr>
      <w:r>
        <w:rPr>
          <w:rFonts w:ascii="Arial" w:cs="Arial" w:eastAsia="Arial" w:hAnsi="Arial"/>
          <w:sz w:val="16"/>
          <w:szCs w:val="16"/>
          <w:color w:val="auto"/>
        </w:rPr>
        <w:t>F-1 Form of U.S. Tax Compliance Certificate (For Non-U.S. Lenders That Are Not Partnerships For U.S. Federal Income Tax Purposes) F-2 Form of U.S. Tax Compliance Certificate (For Non-U.S. Participants That Are Not Partnerships For U.S. Federal Income Tax Purposes) F-3 Form of U.S. Tax Compliance Certificate (For Non-U.S. Participants That Are Partnerships For U.S. Federal Income Tax Purposes) F-4 Form of U.S. Tax Compliance Certificate (For Non-U.S. Lenders That Are Partnerships For U.S. Federal Income Tax Purposes)</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Form of Target Acquisition Certificate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ind w:right="7440" w:firstLine="8"/>
        <w:spacing w:after="0" w:line="258" w:lineRule="auto"/>
        <w:tabs>
          <w:tab w:leader="none" w:pos="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Monetization Transactions 2.01 Commitments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6.08   Unrestricted Subsidiaries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10.02  Addresses for Notices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240" w:top="584" w:right="1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TERM LOAN CREDIT AGREEMENT</w:t>
      </w:r>
    </w:p>
    <w:p>
      <w:pPr>
        <w:spacing w:after="0" w:line="229"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This TERM LOAN CREDIT AGREEMENT is entered into as of August 22, 2018, by and among Comcast Corporation, a Pennsylvania corporation (“Borrower”), each lender from time to time party hereto (collectively, “Lenders” and individually, a “Lender”), BANK OF AMERICA, N.A., as Administrative Agent, and WELLS FARGO BANK, NATIONAL ASSOCIATION, as syndication agent (in such capacity, “Syndication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WHEREAS, Borrower has requested that the Lenders and Administrative Agent provide the Term Loan Facility (as defined below), and the Lenders and Administrative Agent are willing to do so on the terms and conditions set forth herein;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“Acceptance Condition” means, with respect to an Offer, the condition set forth in the Offer Documents with respect to the number of acceptances to an Offer which must be secured to declare such Offer unconditional as to acceptances which shall be more than 50% of the Target shares carrying voting rights.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the Target Acquisition or any other acquisition that is a Material Acquisition in accordance with clause (ii) of the definition thereof and any related transactions or series of related transactions in respect of the Target Acquisition or any other acquisition that is a Material Acquisition in accordance with clause (ii) of the definition thereof (including for the purpose of refinancing or replacing all or a portion of any pre-existing Indebtedness of the Target Group or the Person(s) or assets to be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the Target Acquisition or such Material Acquisition and, pending such release, such proceeds are held in escrow (and, if the definitive agreement (or, in the case of a tender offer or similar transaction, the definitive offer document) for the Target Acquisition or such Material Acquisition is terminated prior to the consummation thereof or if the Target Acquisition or such Material Acquisition is otherwise not consummated by the date specified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the Target Acquisition or such Material Acquisition is not consummated by the date specified in the definitive documentation relating to such Indebtedness (and if the definitive agreement (or, in the case of a tender offer or similar transaction, the definitive offer document) for the Target Acquisition or such Material Acquisition is terminated in accordance with its terms prior to the consummation of the Target Acquisition or such Material Acquisition or the Target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6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“Administrative Agent” means Bank of America, N.A., in its capacity as administrative agent under any of the Loan Documents, or any successor administrative agent permitted under the Loan Documents.</w:t>
      </w:r>
    </w:p>
    <w:p>
      <w:pPr>
        <w:spacing w:after="0" w:line="170"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and Syndication Agent.</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“Aggregate Exposure” means, with respect to any Lender at any time, an amount equal to the sum of such Lender’s Loans then outstanding and such Lender’s Commitments then in effect.</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“Agreement” means this Term Loan Credit Agreement, as amended, restated, extended, supplemented or otherwise modified in writing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“Annualized EBITDA” means, at any date of determination, EBITDA for the two (2) fiscal quarter periods then most recently ended times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(2).</w:t>
      </w:r>
    </w:p>
    <w:p>
      <w:pPr>
        <w:spacing w:after="0" w:line="21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“Applicable Amount” means, with respect to the Loans and Commitments, the rate per annum, in basis points, set forth under the relevant column heading below based upon the applicable Debt Ratings: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Debt Ratings</w:t>
            </w:r>
          </w:p>
        </w:tc>
        <w:tc>
          <w:tcPr>
            <w:tcW w:w="218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Pricing Level</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S&amp;P/Moody’s</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Commitment Fee</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Base Rate</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Eurodollar Rate</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A+/A1</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75.0</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A/A2</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87.5</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A-/A3</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100.0</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BBB+/Baa1</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11.0</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12.5</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112.5</w:t>
            </w:r>
          </w:p>
        </w:tc>
      </w:tr>
      <w:tr>
        <w:trPr>
          <w:trHeight w:val="210"/>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BBB/Baa2</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11.0</w:t>
            </w: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w:t>
            </w:r>
          </w:p>
        </w:tc>
        <w:tc>
          <w:tcPr>
            <w:tcW w:w="2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125.0</w:t>
            </w:r>
          </w:p>
        </w:tc>
      </w:tr>
    </w:tbl>
    <w:p>
      <w:pPr>
        <w:spacing w:after="0" w:line="202"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81"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“Applicable Payment Date” means, (a) as to any Eurodollar Rate Loan, the last day of the relevant Interest Period, any date that such Term Loan is prepaid or Converted in whole or in part and the maturity date of such Term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interest shall also be paid on the Business Day which falls every three months after the beginning of such Interest Period; and (b) as to any other Obligations, the last Business Day of each calendar quarter and the maturity date of such Obligation, except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ind w:left="11340"/>
        <w:spacing w:after="0"/>
        <w:rPr>
          <w:sz w:val="20"/>
          <w:szCs w:val="20"/>
          <w:color w:val="auto"/>
        </w:rPr>
      </w:pPr>
      <w:r>
        <w:rPr>
          <w:rFonts w:ascii="Arial" w:cs="Arial" w:eastAsia="Arial" w:hAnsi="Arial"/>
          <w:sz w:val="14"/>
          <w:szCs w:val="14"/>
          <w:color w:val="auto"/>
        </w:rPr>
        <w:t>4</w:t>
      </w:r>
    </w:p>
    <w:p>
      <w:pPr>
        <w:spacing w:after="0" w:line="163"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“Applicable Percentage” means as to any Lender at any time, the percentage which the sum of such Lender’s undrawn Commitment and the aggregate principal amount of such Lender’s Loans then outstanding in respect of Commitments constitutes of the aggregate principal amount of the sum of the undrawn Commitments and the Loans then outstanding in respect of Commitments.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City time.</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“Approved Fund”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“Arranger” means each of MLPFS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and WFS, in their respective capacity as a Joint Lead Arranger and Joint Bookrunner hereunder and each of SG Americas, LLC, Sumitomo Mitsui Banking Corporation and Mizuho Bank, Ltd., in their respective capacity as Joint Lead Arranger (collectively, the “Arrangers”).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any other form (including electronic documentation generated by use of an electronic platform) approved by the Administrative Agent and the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“Attorney Costs” means the reasonable and documented or invoiced fees and disbursements of a law firm or other external counsel.</w:t>
      </w:r>
    </w:p>
    <w:p>
      <w:pPr>
        <w:spacing w:after="0" w:line="237"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66"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means Bank of America, N.A.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“Bank of America Fee Letter” means that certain Fee Letter, dated as of August 6, 2018, by and among Borrower, MLPFS and Bank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“Base Rate” means for any day a fluctuating rate per annum equal to the highest of (a) the Federal Funds Rate in effect for such day plus 1/2 of 1%, (b) the rate of interest in effect for such day as publicly announced from time to time by Bank of America as its “prime rate” in effect at its principal office in New York City (the prime rate not being intended to be the lowest rate of interest charged by Bank of America in connection with extensions of credit to debtors) and (c) the Eurodollar Rate that would be calculated as of such day (or, if such day is not a Business Day, as of the next preceding Business Day) in respect of a proposed Eurodollar Rate Loan with a one month Interest Period plus 1%.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 Rate Loan” means a Loan made hereunder that bears interest based upon the Base Rate and is funded in Dollars.</w:t>
      </w:r>
    </w:p>
    <w:p>
      <w:pPr>
        <w:spacing w:after="0" w:line="225"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“Beneficial Ownership Regulation” means 31 C.F.R. § 1010.230.</w:t>
      </w:r>
    </w:p>
    <w:p>
      <w:pPr>
        <w:spacing w:after="0" w:line="225" w:lineRule="exact"/>
        <w:rPr>
          <w:sz w:val="20"/>
          <w:szCs w:val="20"/>
          <w:color w:val="auto"/>
        </w:rPr>
      </w:pPr>
    </w:p>
    <w:p>
      <w:pPr>
        <w:jc w:val="both"/>
        <w:ind w:right="460" w:firstLine="1297"/>
        <w:spacing w:after="0" w:line="264" w:lineRule="auto"/>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“Bidco” means a wholly-owned Subsidiary of Borrower formed for the purpose of acquiring all or a portion of the Target shares as set forth in the Offer Document.</w:t>
      </w:r>
    </w:p>
    <w:p>
      <w:pPr>
        <w:spacing w:after="0" w:line="170"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Term Loans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Materials” has the meaning set forth in Section 6.02.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Commitments” means the Commitments (as defined in the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“Bridge Credit Agreement” means that certain 364-Day Bridge Credit Agreement dated as of April 25, 2018, by and among Comcast Corporation, the lenders party thereto, Bank of America, as administrative agent, and Wells Fargo, as syndication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Loans” means the Loans (as defined in the Bridge Credit Agreement).</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“Business Day” means any day other than a Saturday, Sunday or other day on which commercial banks in New York, New York or in London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“Business Day”, when used in connection with any Eurodollar Rate Loan (or Base Rate Loan the rate of which is based on the Eurodollar Rate), shall also exclude any day on which banks are not open for dealings in Dollar deposits in the London interbank market.</w:t>
      </w:r>
    </w:p>
    <w:p>
      <w:pPr>
        <w:spacing w:after="0" w:line="188"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Period” means the period from and including the Effective Date to and including the first to occur of:</w:t>
      </w:r>
    </w:p>
    <w:p>
      <w:pPr>
        <w:spacing w:after="0" w:line="225" w:lineRule="exact"/>
        <w:rPr>
          <w:sz w:val="20"/>
          <w:szCs w:val="20"/>
          <w:color w:val="auto"/>
        </w:rPr>
      </w:pPr>
    </w:p>
    <w:p>
      <w:pPr>
        <w:ind w:left="1540" w:hanging="235"/>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11:59 p.m. (New York City time) on July 25, 2019;</w:t>
      </w:r>
    </w:p>
    <w:p>
      <w:pPr>
        <w:spacing w:after="0" w:line="225" w:lineRule="exact"/>
        <w:rPr>
          <w:rFonts w:ascii="Arial" w:cs="Arial" w:eastAsia="Arial" w:hAnsi="Arial"/>
          <w:sz w:val="18"/>
          <w:szCs w:val="18"/>
          <w:color w:val="auto"/>
        </w:rPr>
      </w:pPr>
    </w:p>
    <w:p>
      <w:pPr>
        <w:ind w:right="140" w:firstLine="1305"/>
        <w:spacing w:after="0" w:line="264" w:lineRule="auto"/>
        <w:tabs>
          <w:tab w:leader="none" w:pos="1551"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an Offer lapses, terminates or is withdrawn (unless, within ten Business Days of such date, Borrower has notified Administrative Agent that it intends to launch a Scheme or a new Offer and a Rule 2.7 Announcement in respect of that Scheme or Offer, as applicable, is issued;</w:t>
      </w:r>
    </w:p>
    <w:p>
      <w:pPr>
        <w:spacing w:after="0" w:line="181" w:lineRule="exact"/>
        <w:rPr>
          <w:rFonts w:ascii="Arial" w:cs="Arial" w:eastAsia="Arial" w:hAnsi="Arial"/>
          <w:sz w:val="18"/>
          <w:szCs w:val="18"/>
          <w:color w:val="auto"/>
        </w:rPr>
      </w:pPr>
    </w:p>
    <w:p>
      <w:pPr>
        <w:ind w:right="20" w:firstLine="1305"/>
        <w:spacing w:after="0" w:line="259" w:lineRule="auto"/>
        <w:tabs>
          <w:tab w:leader="none" w:pos="1541"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11:59 p.m. (New York City time) on the date which is twenty-one (21) days after the later of (i) the date on which an Offer has become or has been declared unconditional in all respects and (ii) the date on which an Offer has closed for acceptances (unless, in each case, compulsory squeeze-out procedures for the acquisition of minority shareholdings in the Target pursuant to Part 28 of the Companies Act (“Compulsory Acquisition Procedures”) have commenced before such date);</w:t>
      </w:r>
    </w:p>
    <w:p>
      <w:pPr>
        <w:spacing w:after="0" w:line="186" w:lineRule="exact"/>
        <w:rPr>
          <w:rFonts w:ascii="Arial" w:cs="Arial" w:eastAsia="Arial" w:hAnsi="Arial"/>
          <w:sz w:val="18"/>
          <w:szCs w:val="18"/>
          <w:color w:val="auto"/>
        </w:rPr>
      </w:pPr>
    </w:p>
    <w:p>
      <w:pPr>
        <w:ind w:right="120" w:firstLine="1305"/>
        <w:spacing w:after="0" w:line="264" w:lineRule="auto"/>
        <w:tabs>
          <w:tab w:leader="none" w:pos="1551"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11:59 p.m. (New York City time) on the date on which the Target becomes a direct or indirect wholly-owned Subsidiary of Borrower and Borrower has paid all sums due pursuant to or in connection with, the Target Acquisition and any surrender or cancellation of options or awards over the shares of the Target;</w:t>
      </w:r>
    </w:p>
    <w:p>
      <w:pPr>
        <w:spacing w:after="0" w:line="181" w:lineRule="exact"/>
        <w:rPr>
          <w:rFonts w:ascii="Arial" w:cs="Arial" w:eastAsia="Arial" w:hAnsi="Arial"/>
          <w:sz w:val="18"/>
          <w:szCs w:val="18"/>
          <w:color w:val="auto"/>
        </w:rPr>
      </w:pPr>
    </w:p>
    <w:p>
      <w:pPr>
        <w:ind w:right="140" w:firstLine="1305"/>
        <w:spacing w:after="0" w:line="264" w:lineRule="auto"/>
        <w:tabs>
          <w:tab w:leader="none" w:pos="1541"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Target Acquisition is effected by way of a Scheme, 11:59 p.m. (New York City time) on the date falling 14 days after the Scheme Effective Date or, if later, the date immediately following any extension of the period for settlement of consideration provided by the Panel pursuant to the Takeover Code; and</w:t>
      </w:r>
    </w:p>
    <w:p>
      <w:pPr>
        <w:spacing w:after="0" w:line="181" w:lineRule="exact"/>
        <w:rPr>
          <w:rFonts w:ascii="Arial" w:cs="Arial" w:eastAsia="Arial" w:hAnsi="Arial"/>
          <w:sz w:val="18"/>
          <w:szCs w:val="18"/>
          <w:color w:val="auto"/>
        </w:rPr>
      </w:pPr>
    </w:p>
    <w:p>
      <w:pPr>
        <w:ind w:firstLine="1305"/>
        <w:spacing w:after="0" w:line="264" w:lineRule="auto"/>
        <w:tabs>
          <w:tab w:leader="none" w:pos="1521"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 Scheme lapses, terminates or is withdrawn (or the same is rejected by the High Court or is not approved by the requisite shareholders of the Target (unless, within ten Business Days of such date, Borrower has notified Administrative Agent that it intends to launch an Offer and a Rule 2.7 Announcement in respect of that Offer is issued).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Termination Date” means the date that is the last day of the Certain Funds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ind w:left="11340"/>
        <w:spacing w:after="0"/>
        <w:rPr>
          <w:sz w:val="20"/>
          <w:szCs w:val="20"/>
          <w:color w:val="auto"/>
        </w:rPr>
      </w:pPr>
      <w:r>
        <w:rPr>
          <w:rFonts w:ascii="Arial" w:cs="Arial" w:eastAsia="Arial" w:hAnsi="Arial"/>
          <w:sz w:val="14"/>
          <w:szCs w:val="14"/>
          <w:color w:val="auto"/>
        </w:rPr>
        <w:t>7</w:t>
      </w:r>
    </w:p>
    <w:p>
      <w:pPr>
        <w:spacing w:after="0" w:line="163"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193"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“Clean-Up Period Termination Date” means the date that is 120 days after the earlier of (x) the Final Closing Date and (y) the Final Closing Date (as defined in the Initial Term Loan Credit Agreement or the Bridge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“Comcast Cable” means Comcast Cable Communications, LLC, a Delaware limited liability company.</w:t>
      </w:r>
    </w:p>
    <w:p>
      <w:pPr>
        <w:spacing w:after="0" w:line="225"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“Commitment” means, for each Lender, the amount set forth under the heading “Term Commitment” opposite such Lender’s name on Schedule 2.01 or in the Assignment and Assumption pursuant to which such Lender became a party to this Agreement, as such amount may be reduced or adjusted from time to time in accordance with the terms of this Agreement. As of the Effective Date, the aggregate amount of the Commitments of all Lenders is $6,000,000,000.</w:t>
      </w:r>
    </w:p>
    <w:p>
      <w:pPr>
        <w:spacing w:after="0" w:line="187"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or any Lender by means of electronic communications pursuant to Section 10.02(e), including through an Electronic System.</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“Companies Act” means the Companies Act 2006 of the United Kingdom,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“Compliance Certificate” means a certificate substantially in the form of Exhibit C, properly completed and signed by a Responsible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Borrower.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“Compulsory Acquisition Procedures” has the meaning set forth in the definition of Certain Funds Period.</w:t>
      </w:r>
    </w:p>
    <w:p>
      <w:pPr>
        <w:spacing w:after="0" w:line="22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6.01(a) or, at any time prior to the initial delivery of such consolidated balance sheet pursuant to Section 6.01(a), the consolidated balance sheet of Borrower and its consolidated Subsidiaries as set forth in Borrower’s annual report most recently filed on Form 10-K with the U.S. Securities and Exchange Commission.</w:t>
      </w:r>
    </w:p>
    <w:p>
      <w:pPr>
        <w:spacing w:after="0" w:line="158"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87"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“Default Rate” means an interest rate equal to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81" w:lineRule="exact"/>
        <w:rPr>
          <w:sz w:val="20"/>
          <w:szCs w:val="20"/>
          <w:color w:val="auto"/>
        </w:rPr>
      </w:pPr>
    </w:p>
    <w:p>
      <w:pPr>
        <w:ind w:right="120" w:firstLine="1297"/>
        <w:spacing w:after="0" w:line="284"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within three Business Days of the date on which it shall have been required to fund the same (or, in the case of any Borrowing on the Initial Closing Date, on the Initial Closing Date), (b) notified Borrower, Administrative Agent or any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w:t>
      </w:r>
    </w:p>
    <w:p>
      <w:pPr>
        <w:spacing w:after="0" w:line="3" w:lineRule="exact"/>
        <w:rPr>
          <w:sz w:val="20"/>
          <w:szCs w:val="20"/>
          <w:color w:val="auto"/>
        </w:rPr>
      </w:pPr>
    </w:p>
    <w:p>
      <w:pPr>
        <w:ind w:right="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failed to pay over to Administrative Agent or any other Lender any other amount required to be paid by it hereunder within three Business Days of the date when due, unless the subject of a good faith dispute, (e)(i) been (or has a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and Administrative Agent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8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 plus (e) any and all Transaction Costs incurred by Borrower and/or its Restricted Subsidiaries (in each case whether paid in cash or accrued).</w:t>
      </w:r>
    </w:p>
    <w:p>
      <w:pPr>
        <w:spacing w:after="0" w:line="189"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11240"/>
        <w:spacing w:after="0"/>
        <w:rPr>
          <w:sz w:val="20"/>
          <w:szCs w:val="20"/>
          <w:color w:val="auto"/>
        </w:rPr>
      </w:pPr>
      <w:r>
        <w:rPr>
          <w:rFonts w:ascii="Arial" w:cs="Arial" w:eastAsia="Arial" w:hAnsi="Arial"/>
          <w:sz w:val="16"/>
          <w:szCs w:val="16"/>
          <w:color w:val="auto"/>
        </w:rPr>
        <w:t>10</w:t>
      </w:r>
    </w:p>
    <w:p>
      <w:pPr>
        <w:spacing w:after="0" w:line="14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w:t>
      </w:r>
    </w:p>
    <w:p>
      <w:pPr>
        <w:spacing w:after="0" w:line="229" w:lineRule="exact"/>
        <w:rPr>
          <w:sz w:val="20"/>
          <w:szCs w:val="20"/>
          <w:color w:val="auto"/>
        </w:rPr>
      </w:pPr>
    </w:p>
    <w:p>
      <w:pPr>
        <w:ind w:right="760" w:firstLine="1297"/>
        <w:spacing w:after="0" w:line="210"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ClearPar®, Debt Domain, Syndtrak, FpML messaging and any other Internet or extranet-based site.</w:t>
      </w:r>
    </w:p>
    <w:p>
      <w:pPr>
        <w:spacing w:after="0" w:line="202"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16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“Equity Interests” means shares,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“ERISA” means the Employee Retirement Income Security Act of 1974, as amended, and the rules and regulations promulgated thereunder.</w:t>
      </w:r>
    </w:p>
    <w:p>
      <w:pPr>
        <w:spacing w:after="0" w:line="248" w:lineRule="exact"/>
        <w:rPr>
          <w:sz w:val="20"/>
          <w:szCs w:val="20"/>
          <w:color w:val="auto"/>
        </w:rPr>
      </w:pPr>
    </w:p>
    <w:p>
      <w:pPr>
        <w:ind w:right="200" w:firstLine="1297"/>
        <w:spacing w:after="0" w:line="308" w:lineRule="auto"/>
        <w:rPr>
          <w:sz w:val="20"/>
          <w:szCs w:val="20"/>
          <w:color w:val="auto"/>
        </w:rPr>
      </w:pPr>
      <w:r>
        <w:rPr>
          <w:rFonts w:ascii="Arial" w:cs="Arial" w:eastAsia="Arial" w:hAnsi="Arial"/>
          <w:sz w:val="17"/>
          <w:szCs w:val="17"/>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11</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Rate” means:</w:t>
      </w:r>
    </w:p>
    <w:p>
      <w:pPr>
        <w:spacing w:after="0" w:line="225" w:lineRule="exact"/>
        <w:rPr>
          <w:sz w:val="20"/>
          <w:szCs w:val="20"/>
          <w:color w:val="auto"/>
        </w:rPr>
      </w:pPr>
    </w:p>
    <w:p>
      <w:pPr>
        <w:jc w:val="both"/>
        <w:ind w:left="660" w:firstLine="645"/>
        <w:spacing w:after="0" w:line="276" w:lineRule="auto"/>
        <w:tabs>
          <w:tab w:leader="none" w:pos="1847"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(“LIBOR”) or successor rate, which rate is approved by the Administrative Agent, as published on the applicable Bloomberg screen page (or such other comparable commercially available source providing such quotations as may be designated by the Administrative Agent from time to time in its reasonable discretion) at approximately 11:00 a.m., London time, two Business Days prior to the commencement of such Interest Period, for Dollar deposits (for delivery on the first day of such Interest Period) with a term equivalent to such Interest Period; and</w:t>
      </w:r>
    </w:p>
    <w:p>
      <w:pPr>
        <w:spacing w:after="0" w:line="172" w:lineRule="exact"/>
        <w:rPr>
          <w:rFonts w:ascii="Arial" w:cs="Arial" w:eastAsia="Arial" w:hAnsi="Arial"/>
          <w:sz w:val="17"/>
          <w:szCs w:val="17"/>
          <w:color w:val="auto"/>
        </w:rPr>
      </w:pPr>
    </w:p>
    <w:p>
      <w:pPr>
        <w:ind w:left="660" w:right="20" w:firstLine="645"/>
        <w:spacing w:after="0" w:line="308" w:lineRule="auto"/>
        <w:tabs>
          <w:tab w:leader="none" w:pos="1761"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LIBOR, at or about 11:00 a.m., London time determined two Business Days prior to such date for Dollars deposits with a term of one month commencing that day; and</w:t>
      </w:r>
    </w:p>
    <w:p>
      <w:pPr>
        <w:spacing w:after="0" w:line="146" w:lineRule="exact"/>
        <w:rPr>
          <w:rFonts w:ascii="Arial" w:cs="Arial" w:eastAsia="Arial" w:hAnsi="Arial"/>
          <w:sz w:val="17"/>
          <w:szCs w:val="17"/>
          <w:color w:val="auto"/>
        </w:rPr>
      </w:pPr>
    </w:p>
    <w:p>
      <w:pPr>
        <w:ind w:left="1720" w:hanging="415"/>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Eurodollar Rate shall be less than zero, such rate shall be deemed zero for purposes of this Agreement;</w:t>
      </w:r>
    </w:p>
    <w:p>
      <w:pPr>
        <w:spacing w:after="0" w:line="225" w:lineRule="exact"/>
        <w:rPr>
          <w:sz w:val="20"/>
          <w:szCs w:val="20"/>
          <w:color w:val="auto"/>
        </w:rPr>
      </w:pPr>
    </w:p>
    <w:p>
      <w:pPr>
        <w:ind w:right="440" w:firstLine="1297"/>
        <w:spacing w:after="0" w:line="312" w:lineRule="auto"/>
        <w:rPr>
          <w:sz w:val="20"/>
          <w:szCs w:val="20"/>
          <w:color w:val="auto"/>
        </w:rPr>
      </w:pPr>
      <w:r>
        <w:rPr>
          <w:rFonts w:ascii="Arial" w:cs="Arial" w:eastAsia="Arial" w:hAnsi="Arial"/>
          <w:sz w:val="16"/>
          <w:szCs w:val="16"/>
          <w:color w:val="auto"/>
        </w:rPr>
        <w:t>provided that to the extent a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Rate Loan” means a Loan bearing interest based on the Eurodollar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“Existing Restricted Subsidiaries” means all Subsidiaries of Borrower in existence as such on March 28, 2018 and not designated as “Unrestricted Subsidiaries” pursuant to the terms of the Revolving Credit Agreement as of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of Credit” means a Borrowing, Conversion or Continuation of Loans and (collectively, the “Extensions of Credit”).</w:t>
      </w:r>
    </w:p>
    <w:p>
      <w:pPr>
        <w:spacing w:after="0" w:line="225"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law, regulation, rule, promulgation, or official agreement implementing an official intergovernmental agreement with respect to such sections or regulations.</w:t>
      </w:r>
    </w:p>
    <w:p>
      <w:pPr>
        <w:spacing w:after="0" w:line="187"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“Federal Funds Rate” means, for any day, the rate per annum equal to the weighted average of the rates on overnight Federal funds transactions with members of the Federal Reserve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12</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If the Federal Funds Rate shall be less than zero, such rate shall be deemed to be zero for purposes of this Agreement.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“Fee Letters” means the Bank of America Fee Letter and the Wells Fargo Fee Letter.</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“Final Closing Date” means the first date on which the conditions set forth in clause (c) (unless Compulsory Acquisition Procedures have commenced before such date), (d) or (e) of the definition of Certain Funds Period shall have occurred.</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“Guarantors” means Comcast Cable, NBCU and each Restricted Subsidiary that becomes a party to the Guarantee Agreement pursuant to Section 6.10 (in each case to the extent not released as contemplated by this Agreement).</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 Court” means the High Court of Justice of England and Wales.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“Incremental Facility” has the meaning set forth in Section 2.15(a).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13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“Incremental Loan” has the meaning set forth in Section 2.15(a).</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right="20" w:firstLine="8"/>
        <w:spacing w:after="0" w:line="269"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Indebtedness shall not include (i) 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amount of any Indebtedness described in clause (e) above shall be the lesser of the amount of the Indebtedness or the fair market value of the property securing such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“Initial Closing Date” means the date upon which all the conditions precedent in Section 4.02 have been satisfied or waived with respect to the initial Borrowing of Loans hereunder and such initial Borrowing of Loans occurs.</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“Initial Term Loan Credit Agreement” means that certain Term Loan Credit Agreement dated as of April 25, 2018, by and among Comcast Corporation, the lenders party thereto, Bank of America, as administrative agent, and Wells Fargo, as syndication agent.</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“Interest Period” means, for each Eurodollar Rate Loan, (a) initially, the period commencing on the date such Eurodollar Rate Loan is disbursed or Continued as, or Converted into, such Eurodollar Rate Loan and (b) thereafter, the period commencing on the last day of the preceding Interest Period, and ending, in each case, on the earlier of (i) the scheduled maturity date of such Loan, or (ii) one, two, three, six or, if agreed to by each Lender, 12 months or periods less than one month,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660" w:firstLine="645"/>
        <w:spacing w:after="0" w:line="342" w:lineRule="auto"/>
        <w:tabs>
          <w:tab w:leader="none" w:pos="16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ind w:left="660" w:right="280" w:firstLine="645"/>
        <w:spacing w:after="0" w:line="264" w:lineRule="auto"/>
        <w:tabs>
          <w:tab w:leader="none" w:pos="1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16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Administrative Agent otherwise consents, there may not be more than ten (10) Interest Periods for Eurodollar Rate Loans in effect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14</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jc w:val="both"/>
        <w:ind w:right="560" w:firstLine="1297"/>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“Lender” means each lender from time to time party hereto and, subject to the terms and conditions of this Agreement, their respective successors and assigns (but not any purchaser of a participation hereunder unless otherwise a party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or any Lender.</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any time after (x) in connection with the Target Acquisition or with respect to any acquisition that is a Material Acquisition in accordance with clause (ii) of the definition thereof to which the United Kingdom City Code on Takeovers and Mergers (or any comparable laws, rules or regulations in any other jurisdiction) applies, on (i) April 25, 2018 in connection with the Target Acquisition or (ii) the date on which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has the meaning set forth in the definition of Eurodollar Rate.</w:t>
      </w:r>
    </w:p>
    <w:p>
      <w:pPr>
        <w:spacing w:after="0" w:line="225"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“LIBOR Screen Rate” means, the LIBOR quote on the applicable screen page the Administrative Agent designates to determine LIBOR (or such other comparable commercially available source providing such quotations as may be designated by the Administrative Agent from time to time).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Successor Rate” has the meaning set forth in Section 3.03(b).</w:t>
      </w:r>
    </w:p>
    <w:p>
      <w:pPr>
        <w:spacing w:after="0" w:line="22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“LIBOR Successor Rate Conforming Changes” means, with respect to any proposed LIBOR Successor Rate, any conforming changes to the definitions of “Base Rate” and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timing and frequency of determining rates and making payments of interest and other administrative matters as may 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73"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any Term Loan.</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“Loan Documents” means this Agreement, the Guarantee Agreement, each Note, each Request for Extension of Credit, each Compliance Certificate, each fee letter (including the Fee Letters) and each other instrument or agreement from time to time delivered by any Loan Party pursuant to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“Major Event of Default” means an Event of Default arising from any of the following with respect to Borrower and the Guarantors only (and not, for the avoidance of doubt, (a) in relation to any other Subsidiary of Borrower or the Target Group or (b) in respect of any obligation to procure any action by any other Subsidiary of Borrower or the Target Group):</w:t>
      </w:r>
    </w:p>
    <w:p>
      <w:pPr>
        <w:spacing w:after="0" w:line="181" w:lineRule="exact"/>
        <w:rPr>
          <w:sz w:val="20"/>
          <w:szCs w:val="20"/>
          <w:color w:val="auto"/>
        </w:rPr>
      </w:pPr>
    </w:p>
    <w:p>
      <w:pPr>
        <w:ind w:left="1700" w:hanging="395"/>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8.01(a);</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8.01(b);</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7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8.01(c), but solely as it relates to the failure to perform or observe any of covenants set forth in Section 7.03 (</w:t>
      </w:r>
      <w:r>
        <w:rPr>
          <w:rFonts w:ascii="Arial" w:cs="Arial" w:eastAsia="Arial" w:hAnsi="Arial"/>
          <w:sz w:val="18"/>
          <w:szCs w:val="18"/>
          <w:i w:val="1"/>
          <w:iCs w:val="1"/>
          <w:color w:val="auto"/>
        </w:rPr>
        <w:t>Fundamental Changes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7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8.01(d), but solely as it relates to the failure to perform or observe any of the covenants set forth in Section 6.04 (</w:t>
      </w:r>
      <w:r>
        <w:rPr>
          <w:rFonts w:ascii="Arial" w:cs="Arial" w:eastAsia="Arial" w:hAnsi="Arial"/>
          <w:sz w:val="18"/>
          <w:szCs w:val="18"/>
          <w:i w:val="1"/>
          <w:iCs w:val="1"/>
          <w:color w:val="auto"/>
        </w:rPr>
        <w:t>Preservation of Existence</w:t>
      </w:r>
      <w:r>
        <w:rPr>
          <w:rFonts w:ascii="Arial" w:cs="Arial" w:eastAsia="Arial" w:hAnsi="Arial"/>
          <w:sz w:val="18"/>
          <w:szCs w:val="18"/>
          <w:color w:val="auto"/>
        </w:rPr>
        <w:t>) but only insofar as it refers to “existence” therein, 6.11(a) and (c)(ii) (only) (</w:t>
      </w:r>
      <w:r>
        <w:rPr>
          <w:rFonts w:ascii="Arial" w:cs="Arial" w:eastAsia="Arial" w:hAnsi="Arial"/>
          <w:sz w:val="18"/>
          <w:szCs w:val="18"/>
          <w:i w:val="1"/>
          <w:iCs w:val="1"/>
          <w:color w:val="auto"/>
        </w:rPr>
        <w:t>Scheme and Offer</w:t>
      </w:r>
      <w:r>
        <w:rPr>
          <w:rFonts w:ascii="Arial" w:cs="Arial" w:eastAsia="Arial" w:hAnsi="Arial"/>
          <w:sz w:val="18"/>
          <w:szCs w:val="18"/>
          <w:color w:val="auto"/>
        </w:rPr>
        <w:t>), 7.01 (</w:t>
      </w:r>
      <w:r>
        <w:rPr>
          <w:rFonts w:ascii="Arial" w:cs="Arial" w:eastAsia="Arial" w:hAnsi="Arial"/>
          <w:sz w:val="18"/>
          <w:szCs w:val="18"/>
          <w:i w:val="1"/>
          <w:iCs w:val="1"/>
          <w:color w:val="auto"/>
        </w:rPr>
        <w:t>Liens</w:t>
      </w:r>
      <w:r>
        <w:rPr>
          <w:rFonts w:ascii="Arial" w:cs="Arial" w:eastAsia="Arial" w:hAnsi="Arial"/>
          <w:sz w:val="18"/>
          <w:szCs w:val="18"/>
          <w:color w:val="auto"/>
        </w:rPr>
        <w:t>), 7.05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or 7.07 (</w:t>
      </w:r>
      <w:r>
        <w:rPr>
          <w:rFonts w:ascii="Arial" w:cs="Arial" w:eastAsia="Arial" w:hAnsi="Arial"/>
          <w:sz w:val="18"/>
          <w:szCs w:val="18"/>
          <w:i w:val="1"/>
          <w:iCs w:val="1"/>
          <w:color w:val="auto"/>
        </w:rPr>
        <w:t>Scheme and Offer</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20" w:firstLine="645"/>
        <w:spacing w:after="0" w:line="302" w:lineRule="auto"/>
        <w:tabs>
          <w:tab w:leader="none" w:pos="16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circumstance constituting an Event of Default under Section 8.01(e), but solely as it relates to the inaccuracy of any representation or warranty set forth in Section 5.01 (</w:t>
      </w:r>
      <w:r>
        <w:rPr>
          <w:rFonts w:ascii="Arial" w:cs="Arial" w:eastAsia="Arial" w:hAnsi="Arial"/>
          <w:sz w:val="16"/>
          <w:szCs w:val="16"/>
          <w:i w:val="1"/>
          <w:iCs w:val="1"/>
          <w:color w:val="auto"/>
        </w:rPr>
        <w:t>Existence and Qualification; Compliance with Laws</w:t>
      </w:r>
      <w:r>
        <w:rPr>
          <w:rFonts w:ascii="Arial" w:cs="Arial" w:eastAsia="Arial" w:hAnsi="Arial"/>
          <w:sz w:val="16"/>
          <w:szCs w:val="16"/>
          <w:color w:val="auto"/>
        </w:rPr>
        <w:t>), 5.02 (</w:t>
      </w:r>
      <w:r>
        <w:rPr>
          <w:rFonts w:ascii="Arial" w:cs="Arial" w:eastAsia="Arial" w:hAnsi="Arial"/>
          <w:sz w:val="16"/>
          <w:szCs w:val="16"/>
          <w:i w:val="1"/>
          <w:iCs w:val="1"/>
          <w:color w:val="auto"/>
        </w:rPr>
        <w:t>Power; Authorization; Enforceable Obligations</w:t>
      </w:r>
      <w:r>
        <w:rPr>
          <w:rFonts w:ascii="Arial" w:cs="Arial" w:eastAsia="Arial" w:hAnsi="Arial"/>
          <w:sz w:val="16"/>
          <w:szCs w:val="16"/>
          <w:color w:val="auto"/>
        </w:rPr>
        <w:t>), 5.03(a)(i), (ii) and (iii) (</w:t>
      </w:r>
      <w:r>
        <w:rPr>
          <w:rFonts w:ascii="Arial" w:cs="Arial" w:eastAsia="Arial" w:hAnsi="Arial"/>
          <w:sz w:val="16"/>
          <w:szCs w:val="16"/>
          <w:i w:val="1"/>
          <w:iCs w:val="1"/>
          <w:color w:val="auto"/>
        </w:rPr>
        <w:t>No Legal Bar</w:t>
      </w:r>
      <w:r>
        <w:rPr>
          <w:rFonts w:ascii="Arial" w:cs="Arial" w:eastAsia="Arial" w:hAnsi="Arial"/>
          <w:sz w:val="16"/>
          <w:szCs w:val="16"/>
          <w:color w:val="auto"/>
        </w:rPr>
        <w:t>) (but only in respect of Section 5.03(iii) with respect to any Contractual Obligation that is Indebtedness for borrowed money incurred or issued by a Loan Party in an aggregate principal amount equal to or greater than the Threshold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5.06 (</w:t>
      </w:r>
      <w:r>
        <w:rPr>
          <w:rFonts w:ascii="Arial" w:cs="Arial" w:eastAsia="Arial" w:hAnsi="Arial"/>
          <w:sz w:val="18"/>
          <w:szCs w:val="18"/>
          <w:i w:val="1"/>
          <w:iCs w:val="1"/>
          <w:color w:val="auto"/>
        </w:rPr>
        <w:t>Use of Proceeds</w:t>
      </w:r>
      <w:r>
        <w:rPr>
          <w:rFonts w:ascii="Arial" w:cs="Arial" w:eastAsia="Arial" w:hAnsi="Arial"/>
          <w:sz w:val="18"/>
          <w:szCs w:val="18"/>
          <w:color w:val="auto"/>
        </w:rPr>
        <w:t>) (solely with respect to the second sentence thereof) or 5.08 (</w:t>
      </w:r>
      <w:r>
        <w:rPr>
          <w:rFonts w:ascii="Arial" w:cs="Arial" w:eastAsia="Arial" w:hAnsi="Arial"/>
          <w:sz w:val="18"/>
          <w:szCs w:val="18"/>
          <w:i w:val="1"/>
          <w:iCs w:val="1"/>
          <w:color w:val="auto"/>
        </w:rPr>
        <w:t>Target Acquisition Documents</w:t>
      </w:r>
      <w:r>
        <w:rPr>
          <w:rFonts w:ascii="Arial" w:cs="Arial" w:eastAsia="Arial" w:hAnsi="Arial"/>
          <w:sz w:val="18"/>
          <w:szCs w:val="18"/>
          <w:color w:val="auto"/>
        </w:rPr>
        <w:t>);</w:t>
      </w:r>
    </w:p>
    <w:p>
      <w:pPr>
        <w:spacing w:after="0" w:line="225" w:lineRule="exact"/>
        <w:rPr>
          <w:sz w:val="20"/>
          <w:szCs w:val="20"/>
          <w:color w:val="auto"/>
        </w:rPr>
      </w:pPr>
    </w:p>
    <w:p>
      <w:pPr>
        <w:ind w:left="1700" w:hanging="395"/>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8.01(g); and</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7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8.01(i) (but excluding, in relation to involuntary proceedings, any Event of Default caused by a frivolous or vexatious (and, in either case, lacking in merit) action, proceeding or petition in respect of which no order or decree in respect of such involuntary proceeding shall have been entered).</w:t>
      </w:r>
    </w:p>
    <w:p>
      <w:pPr>
        <w:spacing w:after="0" w:line="18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93"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3"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7"/>
          <w:szCs w:val="17"/>
          <w:color w:val="auto"/>
        </w:rPr>
        <w:t>“Materially Adverse Amendment” means a modification, amendment or waiver to or of the terms or conditions of any Target Acquisition Document that is, when compared to the terms and conditions that are included in the Rule 2.7 Announcement issued by the Borrower on April 25, 2018, materially prejudicial to the interests of the Lenders (taken as a whole), it being acknowledged that (a) a waiver of a pre-condition which then becomes a condition to be satisfied in connection with the Target Acquisition or an increase to the price of the Target Acquisition would not be materially prejudicial to the interests of the Lenders (taken as a whole), and (b) any modification, amendment or waiver required by the Takeover Code, the Panel, any other competent regulatory body or by a court of competent jurisdiction shall not be a Materially Adverse Amendment.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“Maturity Date” means the fourth anniversary of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17</w:t>
      </w:r>
    </w:p>
    <w:p>
      <w:pPr>
        <w:spacing w:after="0" w:line="117"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Minimum Amount</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Multiples in excess thereof</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8"/>
              </w:rPr>
              <w:t>Borrowing or prepayment of, or Conversion into,</w:t>
            </w:r>
          </w:p>
        </w:tc>
        <w:tc>
          <w:tcPr>
            <w:tcW w:w="37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 Rate Loans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$15,000,000</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$1,500,000</w:t>
            </w: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$15,000,000</w:t>
            </w: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Reduction of Commitments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$20,000,000</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Assignments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$20,000,000</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None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“MLPFS” means Merrill Lynch, Pierce, Fenner &amp; Smith Incorporated.</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“NBCU” means NBCUniversal Media,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jc w:val="both"/>
        <w:ind w:right="500" w:firstLine="1297"/>
        <w:spacing w:after="0" w:line="312" w:lineRule="auto"/>
        <w:rPr>
          <w:sz w:val="20"/>
          <w:szCs w:val="20"/>
          <w:color w:val="auto"/>
        </w:rPr>
      </w:pPr>
      <w:r>
        <w:rPr>
          <w:rFonts w:ascii="Arial" w:cs="Arial" w:eastAsia="Arial" w:hAnsi="Arial"/>
          <w:sz w:val="16"/>
          <w:szCs w:val="16"/>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4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“Offer” means a public offer by, or made on behalf of, Borrower in accordance with the Takeover Code and the provisions of the Companies Act for Borrower (or a Subsidiary thereof, including Bidco) to acquire all of the shares of the Target not owned, held or agreed to be acquired by Borrower (or a Subsidiary thereof, including Bidco).</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“Offer Documents” means (a) any Offer Press Release, (b) any document published in accordance with the Takeover Code pursuant to which an Offer is made to the shareholders of the Target (including, without limitation, any revision to an Offer and any alternative Offer) and (c) any other document designated in writing as such by Borrower and Administrative Agent.</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“Offer Press Release” means a press release announcing, in compliance with Rule 2.7, a firm intention to make an Offer or, as the case may be, a switch to an Offer in accordance with Section 8 of Appendix 7 to the Takeover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18</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“Outstanding Obligations” means, as of any date, and giving effect to making any Extension of Credit requested on such date and all payments, repayments and prepayments made on such date, (a) when reference is made to all Lenders, the aggregate outstanding principal amount of all Term Loans and (b) when reference is made to one Lender, the aggregate outstanding principal amount of all Term Loans made by such Lender.</w:t>
      </w:r>
    </w:p>
    <w:p>
      <w:pPr>
        <w:spacing w:after="0" w:line="16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“Panel” means The Panel on Takeovers and Mergers established in 1968 and designated as the supervisory authority in the United Kingdom to carry out certain regulatory functions in relation to takeovers pursuant to the EU Directive on Takeover Bids (2004/25/EC).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“PATRIOT Act” has the meaning set forth in Section 10.24.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“Permanent Financing” means the issuance of debt securities by Borrower or a Subsidiary thereof, through a public offering or in a private placement, the proceeds of which are used (in whole or in part) to consummate the Target Acquisition or to replace or refinance some or all of the Bridge Loans.</w:t>
      </w:r>
    </w:p>
    <w:p>
      <w:pPr>
        <w:spacing w:after="0" w:line="181"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“Public Lenders” has the meaning set forth in Section 6.02.</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Statements” means (a) the audited consolidated financial statements of Borrower and its Subsidiaries for the most recent fiscal year ended prior to the Effective Date as to which such financial statements are available and (b) the unaudited interim consolidated financial statements of Borrower and its Subsidiaries for each quarterly period, if any, ended subsequent to the date of the financial statements referenced in clause (a) above and prior to the Effective Date as to which such financial statements are available</w:t>
      </w:r>
      <w:r>
        <w:rPr>
          <w:rFonts w:ascii="Arial" w:cs="Arial" w:eastAsia="Arial" w:hAnsi="Arial"/>
          <w:sz w:val="18"/>
          <w:szCs w:val="18"/>
          <w:u w:val="single" w:color="auto"/>
          <w:color w:val="0000FF"/>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left="11240"/>
        <w:spacing w:after="0"/>
        <w:rPr>
          <w:sz w:val="20"/>
          <w:szCs w:val="20"/>
          <w:color w:val="auto"/>
        </w:rPr>
      </w:pPr>
      <w:r>
        <w:rPr>
          <w:rFonts w:ascii="Arial" w:cs="Arial" w:eastAsia="Arial" w:hAnsi="Arial"/>
          <w:sz w:val="16"/>
          <w:szCs w:val="16"/>
          <w:color w:val="auto"/>
        </w:rPr>
        <w:t>19</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“Request for Extension of Credit” means, unless otherwise specified herein, with respect to a Borrowing, Conversion or Continuation of Loans, a written request substantially in the form of Exhibit B or such other form as may be 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the sum of (x) the unused Commitments at such time and (y) the aggregate principal amount of the Term Loans outstanding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Applicable Time</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Date of Action</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Delivery of Request for Extension of Credit for, or</w:t>
            </w:r>
          </w:p>
        </w:tc>
        <w:tc>
          <w:tcPr>
            <w:tcW w:w="37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notice for, or determination of any LIBOR Screen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Rate related to:</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of Base Rate Loans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One Business Day prior to such Loans Borrowing</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of Base Rate Loans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Same Business Day as such Loans prepayment</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 into Base Rate Loans</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Same day as such Conversion</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 Business Days prior to such prepayment,</w:t>
            </w: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Borrowing, Continuation or Conversion</w:t>
            </w:r>
          </w:p>
        </w:tc>
      </w:tr>
      <w:tr>
        <w:trPr>
          <w:trHeight w:val="418"/>
        </w:trPr>
        <w:tc>
          <w:tcPr>
            <w:tcW w:w="3900" w:type="dxa"/>
            <w:vAlign w:val="bottom"/>
            <w:tcBorders>
              <w:left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Determination of a LIBOR Screen Rate at 11:00</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a.m. (London Time) 2 Business Days prior to the</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requested Borrowing, Continuation or</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Conversion</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Voluntary reduction in or termination of</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 Business Days prior to such reduction or</w:t>
            </w: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Commitments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termination</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Payments by Lenders or Borrower to</w:t>
            </w:r>
          </w:p>
        </w:tc>
        <w:tc>
          <w:tcPr>
            <w:tcW w:w="3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the date payment is due</w:t>
            </w: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Administrative Agent (other than Payments by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Lenders to Administrative Agent of Base Rate</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Payments by Lenders to Administrative Agent of</w:t>
            </w:r>
          </w:p>
        </w:tc>
        <w:tc>
          <w:tcPr>
            <w:tcW w:w="378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2.00 p.m.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the date payment is due</w:t>
            </w:r>
          </w:p>
        </w:tc>
      </w:tr>
      <w:tr>
        <w:trPr>
          <w:trHeight w:val="230"/>
        </w:trPr>
        <w:tc>
          <w:tcPr>
            <w:tcW w:w="39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 Rate 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102"/>
        </w:trPr>
        <w:tc>
          <w:tcPr>
            <w:tcW w:w="39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3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20</w:t>
      </w:r>
    </w:p>
    <w:p>
      <w:pPr>
        <w:spacing w:after="0" w:line="11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“Responsible Officer” means, as to any Person, the president, any vice president, the controller, the chief financial officer, the treasurer or any assistant treasurer of such Person and, solely for purposes of notices given pursuant to Section 2, any other officer of the applicable Loan Party so designated by any of the foregoing officers in a notice to the Administrative Agent or any other officer of the applicable Loan Party designated in or pursuant to an agreement between the applicable Loan Party and the Administrative Agent.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225"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“Revolving Credit Agreement” means that certain Credit Agreement dated as of May 26, 2016, by and among Comcast Corporation, the lenders party thereto, JPMorgan Chase Bank, N.A., as administrative agent, Citibank, N.A., as syndication agent, and Morgan Stanley MUFG Loan Partners, LLC (acting through Morgan Stanley Senior Funding, Inc. and MUFG Bank, Ltd. (f/k/a The Bank of Tokyo-Mitsubishi UFJ, Ltd.), Wells Fargo and Mizuho Bank, Ltd., as co-documentation agents (as it may be amended, restated, amended and restated, supplemented or otherwise modified from time to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 2.7” means Rule 2.7 of the Takeover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“Rule 2.7 Announcement” means (in relation to a Scheme) a Scheme Press Release or (in relation to an Offer) an Offer Press Release.</w:t>
      </w:r>
    </w:p>
    <w:p>
      <w:pPr>
        <w:spacing w:after="0" w:line="248"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16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ind w:left="11240"/>
        <w:spacing w:after="0"/>
        <w:rPr>
          <w:sz w:val="20"/>
          <w:szCs w:val="20"/>
          <w:color w:val="auto"/>
        </w:rPr>
      </w:pPr>
      <w:r>
        <w:rPr>
          <w:rFonts w:ascii="Arial" w:cs="Arial" w:eastAsia="Arial" w:hAnsi="Arial"/>
          <w:sz w:val="16"/>
          <w:szCs w:val="16"/>
          <w:color w:val="auto"/>
        </w:rPr>
        <w:t>21</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Sanctioned Country (except any U.S. Person with a location in a Sanctioned Country pursuant to an OFAC license), or (c) any Person owned fifty percent or more or Controlled by any Person or Persons described in clause (a) or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“Scheduled Unavailability Date” has the meaning set forth in Section 3.03(b).</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“Scheme” means a scheme of arrangement made pursuant to Part 26 of the Companies Act between the Target and the holders of the Target shares in relation to the transfer of the entire issued share capital of the Target to Bidco (or another Subsidiary of Borrower) as contemplated by a Scheme Circular (as such Scheme Circular may be amended in accordance with the terms of this Agreement) as such Scheme may from time to time be amended, added to, revised, renewed or waived in accordance with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“Scheme Circular” means any circular to the shareholders of the Target to be issued by the Target setting out the proposals for any Scheme.</w:t>
      </w:r>
    </w:p>
    <w:p>
      <w:pPr>
        <w:spacing w:after="0" w:line="24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“Scheme Documents” means (a) any Scheme Press Release, (b) the Scheme Circular (if any) and (c) any other document designated in writing as such by Borrower and Administrative Agent.</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“Scheme Effective Date” means the date on which a copy of the High Court order sanctioning a Scheme is duly filed on behalf of the Target with the Registrar of Companies in accordance with section 899 of the Companies Act.</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“Scheme Press Release” means a press release to be issued by or on behalf of Borrower or the Target announcing, in compliance with Rule 2.7, a firm intention to make an offer which is to be implemented by means of a Scheme or, as the case may be, a switch to a Scheme in accordance with Section 8 of Appendix 7 of the Takeover Code.</w:t>
      </w:r>
    </w:p>
    <w:p>
      <w:pPr>
        <w:spacing w:after="0" w:line="181"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“Significant Subsidiary” means (i) for so long as each shall remain a Guarantor hereunder, Comcast Cable and NBCU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54"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“Takeover Code” means the City Code on Takeovers and Mergers (as amended) issued by the Panel.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Sky plc, incorporated in England and Wales with registered number 02247735.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22</w:t>
      </w:r>
    </w:p>
    <w:p>
      <w:pPr>
        <w:spacing w:after="0" w:line="117"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“Target Acquisition” means the acquisition by Borrower or one of its Subsidiaries (which may include Bidco) of at least a majority of the share capital of the Target. For the avoidance of doubt, the Target Acquisition may, at Borrower’s election, involve acquisition of greater than a majority of the share capital of the Target and may be consummated in several stages.</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“Target Acquisition Certificate” means a certificate substantially in the form of Exhibit G, properly completed and signed by a Responsible Officer of Borrower.</w:t>
      </w:r>
    </w:p>
    <w:p>
      <w:pPr>
        <w:spacing w:after="0" w:line="170" w:lineRule="exact"/>
        <w:rPr>
          <w:sz w:val="20"/>
          <w:szCs w:val="20"/>
          <w:color w:val="auto"/>
        </w:rPr>
      </w:pPr>
    </w:p>
    <w:p>
      <w:pPr>
        <w:ind w:right="660" w:firstLine="1297"/>
        <w:spacing w:after="0" w:line="308" w:lineRule="auto"/>
        <w:rPr>
          <w:sz w:val="20"/>
          <w:szCs w:val="20"/>
          <w:color w:val="auto"/>
        </w:rPr>
      </w:pPr>
      <w:r>
        <w:rPr>
          <w:rFonts w:ascii="Arial" w:cs="Arial" w:eastAsia="Arial" w:hAnsi="Arial"/>
          <w:sz w:val="17"/>
          <w:szCs w:val="17"/>
          <w:color w:val="auto"/>
        </w:rPr>
        <w:t>“Target Acquisition Documents” means any Rule 2.7 Announcement, any Offer Documents, any Scheme Documents and any other document designated in writing by Borrower and Administrative Agent as a “Target Acquisition Document”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Group” means the Target and its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Commitment Increase” has the meaning set forth in Section 2.15(a).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Loan”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Loan Facility” means the Commitments and the Extensions of Credit made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 Costs” means all fees, costs and expenses incurred or payable by Borrower or any of its Subsidiaries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“Transactions” means, collectively, (a) the execution, delivery and performance by each Loan Party of the Loan Documents (including this Agreement) to which it is to be a party and any Borrowings hereunder (at any time), (b) the execution, delivery and performance by each Loan Party of the Loan Documents (as defined in the Bridge Credit Agreement) to which it is to be a party and the borrowing of the Loans (as defined in the Bridge Credit Agreement) on April 25, 2018 or at any time thereafter, (c) the execution, delivery and performance by each Loan Party of any amendments or modifications to the Revolving Credit Agreement undertaken in connection with the Target Acquisition and any other documents executed in connection with any such amendments or modifications, (d) any Permanent Financing transaction and/or the incurrence of any other interim financing for the Target Acquisition and any refinancing thereof, (e) the consummation of the Target Acquisition (including any acquisition of Target shares after the Initial Closing Date), (f) the execution, delivery and performance by each Loan Party of the Loan Documents (as defined in the Initial Term Loan Credit Agreement) to which it is to be a party and the borrowing of the Loans (as defined in the Initial Term Loan Credit Agreement Credit Agreement) on April 25, 2018 or at any time thereafter and (g) the payment of the Transaction Costs.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“type” of Term Loan means, as to any Term Loan, its nature as a Base Rate Loan or a Eurodollar Rate Loan.</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23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means Wells Fargo Bank, National Association.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Fee Letter” means that certain Fee Letter, dated as of August 7, 2018, by and among Borrower and WFS.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“WFS” means Wells Fargo Securities LLC.</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left="260" w:right="480" w:firstLine="1288"/>
        <w:spacing w:after="0" w:line="277" w:lineRule="auto"/>
        <w:tabs>
          <w:tab w:leader="none" w:pos="19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include one another.</w:t>
      </w:r>
    </w:p>
    <w:p>
      <w:pPr>
        <w:spacing w:after="0" w:line="210" w:lineRule="exact"/>
        <w:rPr>
          <w:rFonts w:ascii="Arial" w:cs="Arial" w:eastAsia="Arial" w:hAnsi="Arial"/>
          <w:sz w:val="16"/>
          <w:szCs w:val="16"/>
          <w:color w:val="auto"/>
        </w:rPr>
      </w:pPr>
    </w:p>
    <w:p>
      <w:pPr>
        <w:ind w:left="260" w:firstLine="1288"/>
        <w:spacing w:after="0" w:line="312" w:lineRule="auto"/>
        <w:tabs>
          <w:tab w:leader="none" w:pos="19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1940" w:hanging="392"/>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69"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24</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79" w:lineRule="exact"/>
        <w:rPr>
          <w:sz w:val="20"/>
          <w:szCs w:val="20"/>
          <w:color w:val="auto"/>
        </w:rPr>
      </w:pPr>
    </w:p>
    <w:p>
      <w:pPr>
        <w:jc w:val="both"/>
        <w:ind w:right="200" w:firstLine="1297"/>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25</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7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Rates</w:t>
      </w:r>
      <w:r>
        <w:rPr>
          <w:rFonts w:ascii="Arial" w:cs="Arial" w:eastAsia="Arial" w:hAnsi="Arial"/>
          <w:sz w:val="18"/>
          <w:szCs w:val="18"/>
          <w:color w:val="auto"/>
        </w:rPr>
        <w:t xml:space="preserv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liability arising out of the bad faith, willful misconduct or gross negligence of the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COMMITMENTS AND EXTENSIONS OF CREDIT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Commitments</w:t>
      </w:r>
      <w:r>
        <w:rPr>
          <w:rFonts w:ascii="Arial" w:cs="Arial" w:eastAsia="Arial" w:hAnsi="Arial"/>
          <w:sz w:val="16"/>
          <w:szCs w:val="16"/>
          <w:color w:val="auto"/>
        </w:rPr>
        <w:t>.</w:t>
      </w:r>
    </w:p>
    <w:p>
      <w:pPr>
        <w:spacing w:after="0" w:line="225" w:lineRule="exact"/>
        <w:rPr>
          <w:sz w:val="20"/>
          <w:szCs w:val="20"/>
          <w:color w:val="auto"/>
        </w:rPr>
      </w:pPr>
    </w:p>
    <w:p>
      <w:pPr>
        <w:ind w:left="260" w:right="60" w:firstLine="1288"/>
        <w:spacing w:after="0" w:line="276" w:lineRule="auto"/>
        <w:tabs>
          <w:tab w:leader="none" w:pos="1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during the Certain Funds Period, each Lender with a Commitment severally agrees to make, Convert and Continue loans in Dollars (each such loan, a “Term Loan”) in such amounts as Borrower may from time to time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amount of the Term Loans to be made by any Lender at any time shall not exceed such Lender’s Commitment at such time. Term Loans borrowed pursuant to this Section 2.01(a) and repaid or prepaid may not be reborrowed. Upon the making of any Term Loan by a Lender, such Lender’s Commitment shall be permanently reduced by the Dollar amount of such Term Loan.</w:t>
      </w:r>
    </w:p>
    <w:p>
      <w:pPr>
        <w:spacing w:after="0" w:line="172" w:lineRule="exact"/>
        <w:rPr>
          <w:rFonts w:ascii="Arial" w:cs="Arial" w:eastAsia="Arial" w:hAnsi="Arial"/>
          <w:sz w:val="17"/>
          <w:szCs w:val="17"/>
          <w:color w:val="auto"/>
        </w:rPr>
      </w:pPr>
    </w:p>
    <w:p>
      <w:pPr>
        <w:ind w:left="1940" w:hanging="392"/>
        <w:spacing w:after="0"/>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60" w:right="120" w:firstLine="1288"/>
        <w:spacing w:after="0" w:line="259" w:lineRule="auto"/>
        <w:tabs>
          <w:tab w:leader="none" w:pos="19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Term Loans hereunder shall be available to be drawn on no more than three occasions (in the aggregate) during the Certain Funds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Lender shall have failed to make any Term Loan required to be made by it under </w:t>
      </w:r>
      <w:r>
        <w:rPr>
          <w:rFonts w:ascii="Arial" w:cs="Arial" w:eastAsia="Arial" w:hAnsi="Arial"/>
          <w:sz w:val="18"/>
          <w:szCs w:val="18"/>
          <w:u w:val="single" w:color="auto"/>
          <w:color w:val="auto"/>
        </w:rPr>
        <w:t>Section 2.01</w:t>
      </w:r>
      <w:r>
        <w:rPr>
          <w:rFonts w:ascii="Arial" w:cs="Arial" w:eastAsia="Arial" w:hAnsi="Arial"/>
          <w:sz w:val="18"/>
          <w:szCs w:val="18"/>
          <w:color w:val="auto"/>
        </w:rPr>
        <w:t>, and the Borrower shall request an additional borrowing of Term Loans, the Borrower shall not be deemed to have requested an additional Borrowing.</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Borrowings</w:t>
      </w:r>
      <w:r>
        <w:rPr>
          <w:rFonts w:ascii="Arial" w:cs="Arial" w:eastAsia="Arial" w:hAnsi="Arial"/>
          <w:sz w:val="16"/>
          <w:szCs w:val="16"/>
          <w:color w:val="auto"/>
        </w:rPr>
        <w:t>.</w:t>
      </w:r>
    </w:p>
    <w:p>
      <w:pPr>
        <w:spacing w:after="0" w:line="225" w:lineRule="exact"/>
        <w:rPr>
          <w:sz w:val="20"/>
          <w:szCs w:val="20"/>
          <w:color w:val="auto"/>
        </w:rPr>
      </w:pPr>
    </w:p>
    <w:p>
      <w:pPr>
        <w:ind w:left="260" w:right="200" w:firstLine="1288"/>
        <w:spacing w:after="0" w:line="276" w:lineRule="auto"/>
        <w:tabs>
          <w:tab w:leader="none" w:pos="1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Borrower may request a Borrowing of Term Loans in a Minimum Amount therefor by (A) telephone, or (B) delivering a Request for Extension of Credit therefor by Requisite Notice to Administrative Agent not later than the Requisite Time therefor; provided that any telephonic notice must be confirmed immediately by delivery to the Administrative Agent of a Request for Extension of Credit. All Borrowings shall constitute Eurodollar Rate Loans with an Interest Period of one month unless properly and timely otherwise designated as set forth in the prior sentence. Requests for Borrowings may be made contingent on the closing of the Target Acquisition (or a portion of the Target Acquisition).</w:t>
      </w:r>
    </w:p>
    <w:p>
      <w:pPr>
        <w:spacing w:after="0" w:line="172" w:lineRule="exact"/>
        <w:rPr>
          <w:rFonts w:ascii="Arial" w:cs="Arial" w:eastAsia="Arial" w:hAnsi="Arial"/>
          <w:sz w:val="17"/>
          <w:szCs w:val="17"/>
          <w:color w:val="auto"/>
        </w:rPr>
      </w:pPr>
    </w:p>
    <w:p>
      <w:pPr>
        <w:ind w:left="260" w:right="120" w:firstLine="1288"/>
        <w:spacing w:after="0" w:line="264" w:lineRule="auto"/>
        <w:tabs>
          <w:tab w:leader="none" w:pos="19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Applicable Percentage thereof. Each Lender (subject to clause (d) below) shall make the funds for its Term Loan available to Administrative Agent at Administrative Agent’s Office not later than the Requisite Time therefor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26</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Business Day specified in such Request for Extension of Credit. Upon satisfaction of the applicable conditions set forth in Section 4.02, all funds so received shall be made available to Borrower in like funds received.</w:t>
      </w:r>
    </w:p>
    <w:p>
      <w:pPr>
        <w:spacing w:after="0" w:line="170" w:lineRule="exact"/>
        <w:rPr>
          <w:sz w:val="20"/>
          <w:szCs w:val="20"/>
          <w:color w:val="auto"/>
        </w:rPr>
      </w:pPr>
    </w:p>
    <w:p>
      <w:pPr>
        <w:ind w:right="100" w:firstLine="1288"/>
        <w:spacing w:after="0" w:line="259" w:lineRule="auto"/>
        <w:tabs>
          <w:tab w:leader="none" w:pos="1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any Lender to make any Term Loan on any date shall not relieve any other Lender of any obligation to make a Term Loan on such date, but the Commitments of the Lenders are several and no Lender shall be responsible for the failure of any other Lender to so make its Term Loan. Borrower shall have the right to replace any Lender which fails to make a Term Loan when obligated to do so in accordance with Section 10.21.</w:t>
      </w:r>
    </w:p>
    <w:p>
      <w:pPr>
        <w:spacing w:after="0" w:line="186" w:lineRule="exact"/>
        <w:rPr>
          <w:rFonts w:ascii="Arial" w:cs="Arial" w:eastAsia="Arial" w:hAnsi="Arial"/>
          <w:sz w:val="18"/>
          <w:szCs w:val="18"/>
          <w:color w:val="auto"/>
        </w:rPr>
      </w:pPr>
    </w:p>
    <w:p>
      <w:pPr>
        <w:jc w:val="both"/>
        <w:ind w:right="80" w:firstLine="1288"/>
        <w:spacing w:after="0" w:line="257" w:lineRule="auto"/>
        <w:tabs>
          <w:tab w:leader="none" w:pos="16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Term Loan available to Borrower by causing any foreign or domestic branch or Affiliate of such Lender to make such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Borrower to repay such Term Loan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88"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Reduction or Termination of Commitments</w:t>
      </w:r>
      <w:r>
        <w:rPr>
          <w:rFonts w:ascii="Arial" w:cs="Arial" w:eastAsia="Arial" w:hAnsi="Arial"/>
          <w:sz w:val="16"/>
          <w:szCs w:val="16"/>
          <w:color w:val="auto"/>
        </w:rPr>
        <w:t>.</w:t>
      </w:r>
    </w:p>
    <w:p>
      <w:pPr>
        <w:spacing w:after="0" w:line="225" w:lineRule="exact"/>
        <w:rPr>
          <w:sz w:val="20"/>
          <w:szCs w:val="20"/>
          <w:color w:val="auto"/>
        </w:rPr>
      </w:pPr>
    </w:p>
    <w:p>
      <w:pPr>
        <w:ind w:right="20" w:firstLine="1288"/>
        <w:spacing w:after="0" w:line="272" w:lineRule="auto"/>
        <w:tabs>
          <w:tab w:leader="none" w:pos="16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Upon Requisite Notice to Administrative Agent not later than the Requisite Time therefor, Borrower may at any time and from time to time, without premium or penalty, permanently and irrevocably reduce or terminate any of the Commitments. Any such Requisite Notice may state that such Requisite Notice is conditioned on the effectiveness of other credit facilities or other financing transactions, in which case such Requisite Notice may be revoked by Borrower (by written notice to Administrative Agent on or prior to the specified effective time) if such condition is not satisfied. Any such reduction or termination shall be accompanied by payment of all accrued and unpaid commitment fees with respect to the portion of the Commitments being reduced or terminated. Administrative Agent shall promptly notify Lenders of any such request for reduction or termination of the Commitments. Each Lender’s Commitment shall be reduced pro rata by the amount of such reduction.</w:t>
      </w:r>
    </w:p>
    <w:p>
      <w:pPr>
        <w:spacing w:after="0" w:line="177" w:lineRule="exact"/>
        <w:rPr>
          <w:rFonts w:ascii="Arial" w:cs="Arial" w:eastAsia="Arial" w:hAnsi="Arial"/>
          <w:sz w:val="17"/>
          <w:szCs w:val="17"/>
          <w:color w:val="auto"/>
        </w:rPr>
      </w:pPr>
    </w:p>
    <w:p>
      <w:pPr>
        <w:ind w:right="360" w:firstLine="1288"/>
        <w:spacing w:after="0" w:line="308" w:lineRule="auto"/>
        <w:tabs>
          <w:tab w:leader="none" w:pos="1686"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Unless previously terminated, the Commitments shall permanently terminate in full at 11:59 p.m. (New York City time) on the Certain Funds Termination Date (after giving effect to any Borrowings made or to be made on the Certain Funds Termination Date).</w:t>
      </w:r>
    </w:p>
    <w:p>
      <w:pPr>
        <w:spacing w:after="0" w:line="147"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Prepayments and Repayments of Term Loans</w:t>
      </w:r>
      <w:r>
        <w:rPr>
          <w:rFonts w:ascii="Arial" w:cs="Arial" w:eastAsia="Arial" w:hAnsi="Arial"/>
          <w:sz w:val="16"/>
          <w:szCs w:val="16"/>
          <w:color w:val="auto"/>
        </w:rPr>
        <w:t>.</w:t>
      </w:r>
    </w:p>
    <w:p>
      <w:pPr>
        <w:spacing w:after="0" w:line="225" w:lineRule="exact"/>
        <w:rPr>
          <w:sz w:val="20"/>
          <w:szCs w:val="20"/>
          <w:color w:val="auto"/>
        </w:rPr>
      </w:pPr>
    </w:p>
    <w:p>
      <w:pPr>
        <w:ind w:right="20" w:firstLine="1288"/>
        <w:spacing w:after="0" w:line="273" w:lineRule="auto"/>
        <w:tabs>
          <w:tab w:leader="none" w:pos="16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Upon Requisite Notice to Administrative Agent not later than the Requisite Time therefor, Borrower may at any time and from time to time voluntarily prepay Term Loans made to it in part in the Minimum Amount therefor or in full without premium or penalty. Administrative Agent will promptly notify each relevant Lender thereof and of such Lender’s percentage of such prepayment. Any such Requisite Notice may state that such Requisite Notice is conditioned on the consummation of any portion of the Target Acquisition or any other transaction, including the establishment of other credit facilities or the consummation of any other financing transactions, in which case such Requisite Notice may be revoked by Borrower (by written notice to Administrative Agent on or prior to the specified effective time) if such condition is not satisfied. Any prepayment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191135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27</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 Eurodollar Rate Loan shall be accompanied by all accrued interest thereon, together with the costs set forth in Section 3.05.</w:t>
      </w:r>
    </w:p>
    <w:p>
      <w:pPr>
        <w:spacing w:after="0" w:line="225" w:lineRule="exact"/>
        <w:rPr>
          <w:sz w:val="20"/>
          <w:szCs w:val="20"/>
          <w:color w:val="auto"/>
        </w:rPr>
      </w:pPr>
    </w:p>
    <w:p>
      <w:pPr>
        <w:ind w:left="1680" w:hanging="392"/>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avoidance of doubt, no amortization payments shall be required in respect of any Term Loans.</w:t>
      </w:r>
    </w:p>
    <w:p>
      <w:pPr>
        <w:spacing w:after="0" w:line="225" w:lineRule="exact"/>
        <w:rPr>
          <w:rFonts w:ascii="Arial" w:cs="Arial" w:eastAsia="Arial" w:hAnsi="Arial"/>
          <w:sz w:val="18"/>
          <w:szCs w:val="18"/>
          <w:color w:val="auto"/>
        </w:rPr>
      </w:pPr>
    </w:p>
    <w:p>
      <w:pPr>
        <w:ind w:right="200" w:firstLine="1288"/>
        <w:spacing w:after="0" w:line="277" w:lineRule="auto"/>
        <w:tabs>
          <w:tab w:leader="none" w:pos="16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Borrower shall pay to Administrative Agent for the ratable account of each Lender, on the Maturity Date, the aggregate principal amount of the Term Loans then outstanding.</w:t>
      </w:r>
    </w:p>
    <w:p>
      <w:pPr>
        <w:spacing w:after="0" w:line="170"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Term Loans</w:t>
      </w:r>
      <w:r>
        <w:rPr>
          <w:rFonts w:ascii="Arial" w:cs="Arial" w:eastAsia="Arial" w:hAnsi="Arial"/>
          <w:sz w:val="16"/>
          <w:szCs w:val="16"/>
          <w:color w:val="auto"/>
        </w:rPr>
        <w:t>.</w:t>
      </w:r>
    </w:p>
    <w:p>
      <w:pPr>
        <w:spacing w:after="0" w:line="225" w:lineRule="exact"/>
        <w:rPr>
          <w:sz w:val="20"/>
          <w:szCs w:val="20"/>
          <w:color w:val="auto"/>
        </w:rPr>
      </w:pPr>
    </w:p>
    <w:p>
      <w:pPr>
        <w:ind w:right="120" w:firstLine="1288"/>
        <w:spacing w:after="0" w:line="279" w:lineRule="auto"/>
        <w:tabs>
          <w:tab w:leader="none" w:pos="16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the request of any Lender made through Administrative Agent, a Lender’s Term Loans may be evidenced by one or more Notes of Borrower, instead of or in addition to its loan accounts or records. Each such Lender may attach schedules to its Notes and endorse thereon the date, amount and maturity of its Term Loans and payments with respect thereto. Any failure so to record or any error in doing so shall not, however, limit or otherwise affect the obligation of Borrower to pay any amount owing with respect to the Obligations.</w:t>
      </w:r>
    </w:p>
    <w:p>
      <w:pPr>
        <w:spacing w:after="0" w:line="171" w:lineRule="exact"/>
        <w:rPr>
          <w:rFonts w:ascii="Arial" w:cs="Arial" w:eastAsia="Arial" w:hAnsi="Arial"/>
          <w:sz w:val="17"/>
          <w:szCs w:val="17"/>
          <w:color w:val="auto"/>
        </w:rPr>
      </w:pPr>
    </w:p>
    <w:p>
      <w:pPr>
        <w:ind w:right="60" w:firstLine="1288"/>
        <w:spacing w:after="0" w:line="297" w:lineRule="auto"/>
        <w:tabs>
          <w:tab w:leader="none" w:pos="16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8" w:lineRule="exact"/>
        <w:rPr>
          <w:rFonts w:ascii="Arial" w:cs="Arial" w:eastAsia="Arial" w:hAnsi="Arial"/>
          <w:sz w:val="16"/>
          <w:szCs w:val="16"/>
          <w:color w:val="auto"/>
        </w:rPr>
      </w:pPr>
    </w:p>
    <w:p>
      <w:pPr>
        <w:ind w:right="320" w:firstLine="1288"/>
        <w:spacing w:after="0" w:line="342" w:lineRule="auto"/>
        <w:tabs>
          <w:tab w:leader="none" w:pos="16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Administrative Agent shall record in the Register the Commitment and Term Loans from time to time of each Lender, and each repayment or prepayment in respect thereof. Any recordation shall be conclusive and binding on Borrower and each Lender, absent manifest error.</w:t>
      </w:r>
    </w:p>
    <w:p>
      <w:pPr>
        <w:spacing w:after="0" w:line="123" w:lineRule="exact"/>
        <w:rPr>
          <w:rFonts w:ascii="Arial" w:cs="Arial" w:eastAsia="Arial" w:hAnsi="Arial"/>
          <w:sz w:val="16"/>
          <w:szCs w:val="16"/>
          <w:color w:val="auto"/>
        </w:rPr>
      </w:pPr>
    </w:p>
    <w:p>
      <w:pPr>
        <w:ind w:right="120" w:firstLine="1288"/>
        <w:spacing w:after="0" w:line="279" w:lineRule="auto"/>
        <w:tabs>
          <w:tab w:leader="none" w:pos="168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Each Lender shall record on its internal loan accounts or records (and may record on the Note(s) held by such Lender) the amount of each Term Loan made by it and each payment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71" w:lineRule="exact"/>
        <w:rPr>
          <w:rFonts w:ascii="Arial" w:cs="Arial" w:eastAsia="Arial" w:hAnsi="Arial"/>
          <w:sz w:val="17"/>
          <w:szCs w:val="17"/>
          <w:color w:val="auto"/>
        </w:rPr>
      </w:pPr>
    </w:p>
    <w:p>
      <w:pPr>
        <w:ind w:right="20" w:firstLine="1288"/>
        <w:spacing w:after="0" w:line="291" w:lineRule="auto"/>
        <w:tabs>
          <w:tab w:leader="none" w:pos="16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Borrower, Administrative Agent and Lenders shall deem and treat the Persons listed as Lenders in the Register as the holders of the corresponding Commitments and Extensions of Credit listed therein for all purposes hereof, and no assignment or transfer of any such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183515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28</w:t>
      </w:r>
    </w:p>
    <w:p>
      <w:pPr>
        <w:spacing w:after="0" w:line="11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and Conversion Option</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59" w:lineRule="auto"/>
        <w:tabs>
          <w:tab w:leader="none" w:pos="19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 may irrevocably request a Conversion or Continuation of Term Loans on any Business Day in a Minimum Amount therefor by delivering a Request for Extension of Credit therefor by Requisite Notice to Administrative Agent not later than the Requisite Time therefor. All Conversions and Continuations of Term Loans shall constitute Eurodollar Rate Loans with an Interest Period of one month unless properly and timely otherwise designated as set forth in the prior sentence.</w:t>
      </w:r>
    </w:p>
    <w:p>
      <w:pPr>
        <w:spacing w:after="0" w:line="186" w:lineRule="exact"/>
        <w:rPr>
          <w:rFonts w:ascii="Arial" w:cs="Arial" w:eastAsia="Arial" w:hAnsi="Arial"/>
          <w:sz w:val="18"/>
          <w:szCs w:val="18"/>
          <w:color w:val="auto"/>
        </w:rPr>
      </w:pPr>
    </w:p>
    <w:p>
      <w:pPr>
        <w:ind w:left="260" w:right="40" w:firstLine="1288"/>
        <w:spacing w:after="0" w:line="257" w:lineRule="auto"/>
        <w:tabs>
          <w:tab w:leader="none" w:pos="19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Borrower pays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Dollar-denominated Term Loans from being requested as, Converted into, or Continued as Eurodollar Rate Loans, and Required Lenders may demand that any or all of the then outstanding Dollar-denominated Eurodollar Rate Loans be Converted immediately into Base Rate Loans.</w:t>
      </w:r>
    </w:p>
    <w:p>
      <w:pPr>
        <w:spacing w:after="0" w:line="188" w:lineRule="exact"/>
        <w:rPr>
          <w:rFonts w:ascii="Arial" w:cs="Arial" w:eastAsia="Arial" w:hAnsi="Arial"/>
          <w:sz w:val="18"/>
          <w:szCs w:val="18"/>
          <w:color w:val="auto"/>
        </w:rPr>
      </w:pPr>
    </w:p>
    <w:p>
      <w:pPr>
        <w:jc w:val="both"/>
        <w:ind w:left="260" w:firstLine="1288"/>
        <w:spacing w:after="0" w:line="264" w:lineRule="auto"/>
        <w:tabs>
          <w:tab w:leader="none" w:pos="19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and Lenders of the interest rate applicable to any Eurodollar Rate Loan upon determination of the same. Administrative Agent shall from time to time notify Borrower and Lenders of any change in Bank of America’s prime rate used in determining the Base Rate promptly following the public announcement of such change.</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left="260" w:right="20" w:firstLine="1288"/>
        <w:spacing w:after="0" w:line="259" w:lineRule="auto"/>
        <w:tabs>
          <w:tab w:leader="none" w:pos="19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Term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6" w:lineRule="exact"/>
        <w:rPr>
          <w:rFonts w:ascii="Arial" w:cs="Arial" w:eastAsia="Arial" w:hAnsi="Arial"/>
          <w:sz w:val="18"/>
          <w:szCs w:val="18"/>
          <w:color w:val="auto"/>
        </w:rPr>
      </w:pPr>
    </w:p>
    <w:p>
      <w:pPr>
        <w:ind w:left="1840" w:hanging="535"/>
        <w:spacing w:after="0"/>
        <w:tabs>
          <w:tab w:leader="none" w:pos="1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Term Loan; and</w:t>
      </w:r>
    </w:p>
    <w:p>
      <w:pPr>
        <w:spacing w:after="0" w:line="225" w:lineRule="exact"/>
        <w:rPr>
          <w:rFonts w:ascii="Arial" w:cs="Arial" w:eastAsia="Arial" w:hAnsi="Arial"/>
          <w:sz w:val="18"/>
          <w:szCs w:val="18"/>
          <w:color w:val="auto"/>
        </w:rPr>
      </w:pPr>
    </w:p>
    <w:p>
      <w:pPr>
        <w:ind w:right="300" w:firstLine="1305"/>
        <w:spacing w:after="0" w:line="277" w:lineRule="auto"/>
        <w:tabs>
          <w:tab w:leader="none" w:pos="18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Eurodollar Rate Loans, the Eurodollar Rate for the Interest Period in effect for such Borrowing plus the Applicable Amount for such type of Loan.</w:t>
      </w:r>
    </w:p>
    <w:p>
      <w:pPr>
        <w:spacing w:after="0" w:line="170" w:lineRule="exact"/>
        <w:rPr>
          <w:rFonts w:ascii="Arial" w:cs="Arial" w:eastAsia="Arial" w:hAnsi="Arial"/>
          <w:sz w:val="18"/>
          <w:szCs w:val="18"/>
          <w:color w:val="auto"/>
        </w:rPr>
      </w:pPr>
    </w:p>
    <w:p>
      <w:pPr>
        <w:ind w:left="260" w:right="140" w:firstLine="1288"/>
        <w:spacing w:after="0" w:line="259" w:lineRule="auto"/>
        <w:tabs>
          <w:tab w:leader="none" w:pos="194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6" w:lineRule="exact"/>
        <w:rPr>
          <w:rFonts w:ascii="Arial" w:cs="Arial" w:eastAsia="Arial" w:hAnsi="Arial"/>
          <w:sz w:val="18"/>
          <w:szCs w:val="18"/>
          <w:color w:val="auto"/>
        </w:rPr>
      </w:pPr>
    </w:p>
    <w:p>
      <w:pPr>
        <w:ind w:left="260" w:right="200" w:firstLine="1288"/>
        <w:spacing w:after="0" w:line="277" w:lineRule="auto"/>
        <w:tabs>
          <w:tab w:leader="none" w:pos="19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any Business Day, Borrower may call Administrative Agent and request information as to the then current Eurodollar Rate or Base Rate, and Administrative Agent shall provide such information.</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left="260" w:right="100" w:firstLine="1288"/>
        <w:spacing w:after="0" w:line="277" w:lineRule="auto"/>
        <w:tabs>
          <w:tab w:leader="none" w:pos="193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for the account of each Lender pro rata according to its Applicable Percentage, a commitment fee equal to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29</w:t>
      </w:r>
    </w:p>
    <w:p>
      <w:pPr>
        <w:spacing w:after="0" w:line="117" w:lineRule="exact"/>
        <w:rPr>
          <w:sz w:val="20"/>
          <w:szCs w:val="20"/>
          <w:color w:val="auto"/>
        </w:rPr>
      </w:pPr>
    </w:p>
    <w:p>
      <w:pPr>
        <w:ind w:left="260" w:right="100"/>
        <w:spacing w:after="0" w:line="257" w:lineRule="auto"/>
        <w:rPr>
          <w:sz w:val="20"/>
          <w:szCs w:val="20"/>
          <w:color w:val="auto"/>
        </w:rPr>
      </w:pPr>
      <w:r>
        <w:rPr>
          <w:rFonts w:ascii="Arial" w:cs="Arial" w:eastAsia="Arial" w:hAnsi="Arial"/>
          <w:sz w:val="18"/>
          <w:szCs w:val="18"/>
          <w:color w:val="auto"/>
        </w:rPr>
        <w:t>Amount times the average daily amount of such Lender’s Commitment then outstanding, subject to adjustment as set forth in Section 2.14(a). The commitment fee shall accrue at all times from and after the Effective Date until (and shall be due and payable on) the earlier of (x) with respect to any Commitments, the date on which such Commitments have terminated, including pursuant to any Borrowing or otherwise in accordance with Section 2.05 and (y) the Certain Funds Termination Date. The commitment fee shall accrue at all applicable times, including at any time during which one or more conditions in Section 4 are not met.</w:t>
      </w:r>
    </w:p>
    <w:p>
      <w:pPr>
        <w:spacing w:after="0" w:line="188" w:lineRule="exact"/>
        <w:rPr>
          <w:sz w:val="20"/>
          <w:szCs w:val="20"/>
          <w:color w:val="auto"/>
        </w:rPr>
      </w:pPr>
    </w:p>
    <w:p>
      <w:pPr>
        <w:ind w:left="260" w:right="40" w:firstLine="1288"/>
        <w:spacing w:after="0" w:line="308" w:lineRule="auto"/>
        <w:tabs>
          <w:tab w:leader="none" w:pos="194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47"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Computation of interest on Base Rate Loans when the Base Rate is determined by Bank of America’s “prime rate” shall be calculated on the basis of a year of 365 or 366 days, as the case may be, and the actual number of days elapsed. Computation of all other types of interest and all fees shall be calculated on the basis of a year of 360 days. Interest shall accrue on each Term Loan for the day on which the Term Loan is made, and shall not accrue on a Term Loan, or any portion thereof, for the day on which the Term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Term Loan that is repaid on the same day on which it is made shall bear interest for one day.</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97" w:lineRule="auto"/>
        <w:tabs>
          <w:tab w:leader="none" w:pos="19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fees due hereunder shall be payable in Dollars. All payments by Borrower shall be made without condition or deduction for any counterclaim, defense, recoupment or setoff.</w:t>
      </w:r>
    </w:p>
    <w:p>
      <w:pPr>
        <w:spacing w:after="0" w:line="158" w:lineRule="exact"/>
        <w:rPr>
          <w:rFonts w:ascii="Arial" w:cs="Arial" w:eastAsia="Arial" w:hAnsi="Arial"/>
          <w:sz w:val="16"/>
          <w:szCs w:val="16"/>
          <w:color w:val="auto"/>
        </w:rPr>
      </w:pPr>
    </w:p>
    <w:p>
      <w:pPr>
        <w:ind w:left="260" w:right="100" w:firstLine="1288"/>
        <w:spacing w:after="0" w:line="257" w:lineRule="auto"/>
        <w:tabs>
          <w:tab w:leader="none" w:pos="19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8" w:lineRule="exact"/>
        <w:rPr>
          <w:rFonts w:ascii="Arial" w:cs="Arial" w:eastAsia="Arial" w:hAnsi="Arial"/>
          <w:sz w:val="18"/>
          <w:szCs w:val="18"/>
          <w:color w:val="auto"/>
        </w:rPr>
      </w:pPr>
    </w:p>
    <w:p>
      <w:pPr>
        <w:ind w:left="260" w:right="200" w:firstLine="1288"/>
        <w:spacing w:after="0" w:line="264" w:lineRule="auto"/>
        <w:tabs>
          <w:tab w:leader="none" w:pos="19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color w:val="auto"/>
        </w:rPr>
      </w:pPr>
    </w:p>
    <w:p>
      <w:pPr>
        <w:ind w:left="260" w:right="120" w:firstLine="1288"/>
        <w:spacing w:after="0" w:line="257" w:lineRule="auto"/>
        <w:tabs>
          <w:tab w:leader="none" w:pos="19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Section 4.04, 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30</w:t>
      </w:r>
    </w:p>
    <w:p>
      <w:pPr>
        <w:spacing w:after="0" w:line="117" w:lineRule="exact"/>
        <w:rPr>
          <w:sz w:val="20"/>
          <w:szCs w:val="20"/>
          <w:color w:val="auto"/>
        </w:rPr>
      </w:pPr>
    </w:p>
    <w:p>
      <w:pPr>
        <w:ind w:left="1300" w:right="80" w:firstLine="653"/>
        <w:spacing w:after="0" w:line="259" w:lineRule="auto"/>
        <w:tabs>
          <w:tab w:leader="none" w:pos="21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ind w:left="1300" w:firstLine="653"/>
        <w:spacing w:after="0" w:line="270" w:lineRule="auto"/>
        <w:tabs>
          <w:tab w:leader="none" w:pos="2213"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following the Certain Funds Termination Date.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Commitment or to prejudice any rights which Administrative Agent or Borrower may have against any Lender as a result of any default by such Lender hereunder.</w:t>
      </w:r>
    </w:p>
    <w:p>
      <w:pPr>
        <w:spacing w:after="0" w:line="181" w:lineRule="exact"/>
        <w:rPr>
          <w:rFonts w:ascii="Arial" w:cs="Arial" w:eastAsia="Arial" w:hAnsi="Arial"/>
          <w:sz w:val="17"/>
          <w:szCs w:val="17"/>
          <w:color w:val="auto"/>
        </w:rPr>
      </w:pPr>
    </w:p>
    <w:p>
      <w:pPr>
        <w:ind w:left="260" w:firstLine="1288"/>
        <w:spacing w:after="0" w:line="259" w:lineRule="auto"/>
        <w:tabs>
          <w:tab w:leader="none" w:pos="19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Term Loan in any particular place or manner or to constitute a representation by any Lender that it has obtained or will obtain the funds for any Term Loan in any particular place or manner.</w:t>
      </w:r>
    </w:p>
    <w:p>
      <w:pPr>
        <w:spacing w:after="0" w:line="18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2.14 Defaulting Lenders.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920" w:hanging="372"/>
        <w:spacing w:after="0"/>
        <w:tabs>
          <w:tab w:leader="none" w:pos="1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Fees set forth in Section 2.10(a) shall cease to accrue on the unfunded portion of the Commitments of such Defaulting Lender;</w:t>
      </w:r>
    </w:p>
    <w:p>
      <w:pPr>
        <w:spacing w:after="0" w:line="248" w:lineRule="exact"/>
        <w:rPr>
          <w:rFonts w:ascii="Arial" w:cs="Arial" w:eastAsia="Arial" w:hAnsi="Arial"/>
          <w:sz w:val="16"/>
          <w:szCs w:val="16"/>
          <w:color w:val="auto"/>
        </w:rPr>
      </w:pPr>
    </w:p>
    <w:p>
      <w:pPr>
        <w:ind w:left="260" w:right="220" w:firstLine="1288"/>
        <w:spacing w:after="0" w:line="264" w:lineRule="auto"/>
        <w:tabs>
          <w:tab w:leader="none" w:pos="19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Term Loans shall, if Borrower so directs at the time of making such voluntary prepayment, be applied to the Term Loans of other Lenders as if such Defaulting Lender had no Term Loans outstanding and the Aggregate Exposure of such Defaulting Lender in respect of its Commitment were zero; and</w:t>
      </w:r>
    </w:p>
    <w:p>
      <w:pPr>
        <w:spacing w:after="0" w:line="181" w:lineRule="exact"/>
        <w:rPr>
          <w:rFonts w:ascii="Arial" w:cs="Arial" w:eastAsia="Arial" w:hAnsi="Arial"/>
          <w:sz w:val="18"/>
          <w:szCs w:val="18"/>
          <w:color w:val="auto"/>
        </w:rPr>
      </w:pPr>
    </w:p>
    <w:p>
      <w:pPr>
        <w:jc w:val="both"/>
        <w:ind w:left="260" w:right="40" w:firstLine="1288"/>
        <w:spacing w:after="0" w:line="302" w:lineRule="auto"/>
        <w:tabs>
          <w:tab w:leader="none" w:pos="19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ind w:left="10980"/>
        <w:spacing w:after="0"/>
        <w:rPr>
          <w:sz w:val="20"/>
          <w:szCs w:val="20"/>
          <w:color w:val="auto"/>
        </w:rPr>
      </w:pPr>
      <w:r>
        <w:rPr>
          <w:rFonts w:ascii="Arial" w:cs="Arial" w:eastAsia="Arial" w:hAnsi="Arial"/>
          <w:sz w:val="16"/>
          <w:szCs w:val="16"/>
          <w:color w:val="auto"/>
        </w:rPr>
        <w:t>31</w:t>
      </w:r>
    </w:p>
    <w:p>
      <w:pPr>
        <w:spacing w:after="0" w:line="14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increase the Commitments or the principal amount of any Term Loans of such Defaulting Lender, extend the maturity date applicable thereto or decrease the rate of interest (including any commitment fees) payable in respect thereof without the consent of such Defaulting Lender.</w:t>
      </w:r>
    </w:p>
    <w:p>
      <w:pPr>
        <w:spacing w:after="0" w:line="147" w:lineRule="exact"/>
        <w:rPr>
          <w:sz w:val="20"/>
          <w:szCs w:val="20"/>
          <w:color w:val="auto"/>
        </w:rPr>
      </w:pPr>
    </w:p>
    <w:p>
      <w:pPr>
        <w:ind w:left="1040"/>
        <w:spacing w:after="0"/>
        <w:tabs>
          <w:tab w:leader="none" w:pos="15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Increase in Term Commitments</w:t>
      </w:r>
      <w:r>
        <w:rPr>
          <w:rFonts w:ascii="Arial" w:cs="Arial" w:eastAsia="Arial" w:hAnsi="Arial"/>
          <w:sz w:val="16"/>
          <w:szCs w:val="16"/>
          <w:color w:val="auto"/>
        </w:rPr>
        <w:t>.</w:t>
      </w:r>
    </w:p>
    <w:p>
      <w:pPr>
        <w:spacing w:after="0" w:line="225" w:lineRule="exact"/>
        <w:rPr>
          <w:sz w:val="20"/>
          <w:szCs w:val="20"/>
          <w:color w:val="auto"/>
        </w:rPr>
      </w:pPr>
    </w:p>
    <w:p>
      <w:pPr>
        <w:ind w:firstLine="1288"/>
        <w:spacing w:after="0" w:line="290" w:lineRule="auto"/>
        <w:tabs>
          <w:tab w:leader="none" w:pos="16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notice to Administrative Agent, Borrower may from time to time, request the addition of one or more new term loan facilities (each an “</w:t>
      </w:r>
      <w:r>
        <w:rPr>
          <w:rFonts w:ascii="Arial" w:cs="Arial" w:eastAsia="Arial" w:hAnsi="Arial"/>
          <w:sz w:val="16"/>
          <w:szCs w:val="16"/>
          <w:b w:val="1"/>
          <w:bCs w:val="1"/>
          <w:color w:val="auto"/>
        </w:rPr>
        <w:t>Incremental Facility</w:t>
      </w:r>
      <w:r>
        <w:rPr>
          <w:rFonts w:ascii="Arial" w:cs="Arial" w:eastAsia="Arial" w:hAnsi="Arial"/>
          <w:sz w:val="16"/>
          <w:szCs w:val="16"/>
          <w:color w:val="auto"/>
        </w:rPr>
        <w:t>”) (each such request for an Incremental Facility being a “</w:t>
      </w:r>
      <w:r>
        <w:rPr>
          <w:rFonts w:ascii="Arial" w:cs="Arial" w:eastAsia="Arial" w:hAnsi="Arial"/>
          <w:sz w:val="16"/>
          <w:szCs w:val="16"/>
          <w:b w:val="1"/>
          <w:bCs w:val="1"/>
          <w:color w:val="auto"/>
        </w:rPr>
        <w:t>Term Commitment Increase</w:t>
      </w:r>
      <w:r>
        <w:rPr>
          <w:rFonts w:ascii="Arial" w:cs="Arial" w:eastAsia="Arial" w:hAnsi="Arial"/>
          <w:sz w:val="16"/>
          <w:szCs w:val="16"/>
          <w:color w:val="auto"/>
        </w:rPr>
        <w:t>” and each such loan thereunder an “</w:t>
      </w:r>
      <w:r>
        <w:rPr>
          <w:rFonts w:ascii="Arial" w:cs="Arial" w:eastAsia="Arial" w:hAnsi="Arial"/>
          <w:sz w:val="16"/>
          <w:szCs w:val="16"/>
          <w:b w:val="1"/>
          <w:bCs w:val="1"/>
          <w:color w:val="auto"/>
        </w:rPr>
        <w:t>Incremental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Term Commitment Increase shall be in a minimum amount of $50,000,000 and in minimum additional amounts of $5,000,000 (unless otherwise agreed by Administrative Agent) and (ii) the aggregate amount of Term Commitment Increases and Incremental Facilities effected from time to time after the Effective Date shall not exceed such amounts as would cause the Leverage Ratio as of the end of any fiscal quarter of Borrower to be greater than 5.75 to 1.00. The terms and provisions of the Term Commitment Increase shall be on terms of which are identical to the Term Loan Facility at the time of the incurrence of such Incremental Facility. The Incremental Loans in respect of any Incremental Facility shall rank equal in right of payment with the Loans and shall be guaranteed only by the Guarantors.</w:t>
      </w:r>
    </w:p>
    <w:p>
      <w:pPr>
        <w:spacing w:after="0" w:line="166" w:lineRule="exact"/>
        <w:rPr>
          <w:rFonts w:ascii="Arial" w:cs="Arial" w:eastAsia="Arial" w:hAnsi="Arial"/>
          <w:sz w:val="16"/>
          <w:szCs w:val="16"/>
          <w:color w:val="auto"/>
        </w:rPr>
      </w:pPr>
    </w:p>
    <w:p>
      <w:pPr>
        <w:ind w:right="40" w:firstLine="1288"/>
        <w:spacing w:after="0" w:line="255" w:lineRule="auto"/>
        <w:tabs>
          <w:tab w:leader="none" w:pos="16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Borrower may request additional Incremental Facilities from existing Lenders or new lenders that are Eligible Assignees. No Lender shall be obligated to provide any Incremental Loans unless it so agrees and Borrower shall not be obligated to offer any existing Lender the opportunity to provide any Incremental Loans. Any new lender that is an Eligible Assignee agreeing to a Commitment in respect of an Incremental Facility shall, upon execution of a customary joinder agreement, become a Lender hereunder. Such Incremental Facility, and the terms thereof, shall be set forth in an a customary incremental supplement to this Agreement among Borrower and Lenders under the Incremental Facility (upon execution of such supplement any Eligible Assignee shall become a Lender hereunder). Schedule 1 to such supplement shall set forth the commitments under the Incremental Facility of each lender thereunder.</w:t>
      </w:r>
    </w:p>
    <w:p>
      <w:pPr>
        <w:spacing w:after="0" w:line="189" w:lineRule="exact"/>
        <w:rPr>
          <w:rFonts w:ascii="Arial" w:cs="Arial" w:eastAsia="Arial" w:hAnsi="Arial"/>
          <w:sz w:val="18"/>
          <w:szCs w:val="18"/>
          <w:color w:val="auto"/>
        </w:rPr>
      </w:pPr>
    </w:p>
    <w:p>
      <w:pPr>
        <w:ind w:right="140" w:firstLine="1288"/>
        <w:spacing w:after="0" w:line="255" w:lineRule="auto"/>
        <w:tabs>
          <w:tab w:leader="none" w:pos="16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Incremental Facilities are effected in accordance with this Section, Administrative Agent and Borrower shall determine the effective date (the “Incremental Effective Date”) and the final allocation of such Incremental Facility. Administrative Agent shall promptly notify Borrower and Lenders of the final allocation of such increase and the Incremental Effective Date. As a condition precedent to such increase, (i) Borrower shall deliver to Administrative Agent a certificate dated as of the Incremental Effective Date signed by a Responsible Officer of Borrower certifying that the conditions set forth in Section 4.01(a)(iii) are satisfied with respect to such Incremental Facility, and (ii) each Guarantor shall reaffirm its obligations under the Guarantee Agreement.</w:t>
      </w:r>
    </w:p>
    <w:p>
      <w:pPr>
        <w:spacing w:after="0" w:line="19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88"/>
        <w:spacing w:after="0" w:line="259" w:lineRule="auto"/>
        <w:tabs>
          <w:tab w:leader="none" w:pos="16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196215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88" w:lineRule="exact"/>
        <w:rPr>
          <w:sz w:val="20"/>
          <w:szCs w:val="20"/>
          <w:color w:val="auto"/>
        </w:rPr>
      </w:pPr>
    </w:p>
    <w:p>
      <w:pPr>
        <w:ind w:right="60" w:firstLine="1288"/>
        <w:spacing w:after="0" w:line="279" w:lineRule="auto"/>
        <w:tabs>
          <w:tab w:leader="none" w:pos="16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ind w:right="80" w:firstLine="1288"/>
        <w:spacing w:after="0" w:line="290" w:lineRule="auto"/>
        <w:tabs>
          <w:tab w:leader="none" w:pos="16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 Term Loan or Loan Document and any liability (including penalties, interest and expenses) arising therefrom or with respect thereto; provided, however, that Borrower shall not be obligated to indemnify such recipient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 promptly notify Borrower of its obligations hereunder.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183515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33</w:t>
      </w:r>
    </w:p>
    <w:p>
      <w:pPr>
        <w:spacing w:after="0" w:line="117" w:lineRule="exact"/>
        <w:rPr>
          <w:sz w:val="20"/>
          <w:szCs w:val="20"/>
          <w:color w:val="auto"/>
        </w:rPr>
      </w:pPr>
    </w:p>
    <w:p>
      <w:pPr>
        <w:ind w:left="260" w:right="20" w:firstLine="1288"/>
        <w:spacing w:after="0" w:line="270" w:lineRule="auto"/>
        <w:tabs>
          <w:tab w:leader="none" w:pos="19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Indemnification by Lenders. Each Lender shall severally indemnify Administrative Agent, within 10 days after demand therefor, for (i) any Non-Excluded Taxes or Other Taxes attributable to such Lender (but only to the extent that Borrower has not already indemnified Administrative Agent for such Non-Excluded Taxes or Other Taxes and without limiting the obligation of Borrower to do so), (ii) any Taxes attributable to such Lender’s failure to comply with the provisions of Section 10.04 relating to the maintenance of a Participant Register and (iii) any excluded Taxes described in Section 3.01(a) that are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taxation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 (d).</w:t>
      </w:r>
    </w:p>
    <w:p>
      <w:pPr>
        <w:spacing w:after="0" w:line="177" w:lineRule="exact"/>
        <w:rPr>
          <w:rFonts w:ascii="Arial" w:cs="Arial" w:eastAsia="Arial" w:hAnsi="Arial"/>
          <w:sz w:val="17"/>
          <w:szCs w:val="17"/>
          <w:color w:val="auto"/>
        </w:rPr>
      </w:pPr>
    </w:p>
    <w:p>
      <w:pPr>
        <w:ind w:left="260" w:right="500" w:firstLine="1288"/>
        <w:spacing w:after="0" w:line="308" w:lineRule="auto"/>
        <w:tabs>
          <w:tab w:leader="none" w:pos="1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3.01, all obligations of Borrower to any Lender under this Section 3.01 shall be subject to, and conditioned upon such Lender’s compliance with its obligations, if any, under Section 10.20.</w:t>
      </w:r>
    </w:p>
    <w:p>
      <w:pPr>
        <w:spacing w:after="0" w:line="146" w:lineRule="exact"/>
        <w:rPr>
          <w:rFonts w:ascii="Arial" w:cs="Arial" w:eastAsia="Arial" w:hAnsi="Arial"/>
          <w:sz w:val="17"/>
          <w:szCs w:val="17"/>
          <w:color w:val="auto"/>
        </w:rPr>
      </w:pPr>
    </w:p>
    <w:p>
      <w:pPr>
        <w:ind w:left="260" w:firstLine="1288"/>
        <w:spacing w:after="0" w:line="270" w:lineRule="auto"/>
        <w:tabs>
          <w:tab w:leader="none" w:pos="196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78"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34</w:t>
      </w:r>
    </w:p>
    <w:p>
      <w:pPr>
        <w:spacing w:after="0" w:line="117" w:lineRule="exact"/>
        <w:rPr>
          <w:sz w:val="20"/>
          <w:szCs w:val="20"/>
          <w:color w:val="auto"/>
        </w:rPr>
      </w:pPr>
    </w:p>
    <w:p>
      <w:pPr>
        <w:ind w:left="260" w:right="80" w:firstLine="1288"/>
        <w:spacing w:after="0" w:line="254" w:lineRule="auto"/>
        <w:tabs>
          <w:tab w:leader="none" w:pos="19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Borrower and all Lenders. Thereafter, the obligation of Lenders to make or maintain such Eurodollar Rate Loan shall be suspended until Administrative Agent revokes such notice. Upon receipt of such notice, Borrower may revoke any pending request for a Borrowing of Eurodollar Rate Loans or, failing that, be deemed to have converted such request into a request for a Borrowing of Base Rate Loans in the amount specified therein.</w:t>
      </w:r>
    </w:p>
    <w:p>
      <w:pPr>
        <w:spacing w:after="0" w:line="192" w:lineRule="exact"/>
        <w:rPr>
          <w:rFonts w:ascii="Arial" w:cs="Arial" w:eastAsia="Arial" w:hAnsi="Arial"/>
          <w:sz w:val="18"/>
          <w:szCs w:val="18"/>
          <w:color w:val="auto"/>
        </w:rPr>
      </w:pPr>
    </w:p>
    <w:p>
      <w:pPr>
        <w:ind w:left="260" w:right="20" w:firstLine="1288"/>
        <w:spacing w:after="0" w:line="286" w:lineRule="auto"/>
        <w:tabs>
          <w:tab w:leader="none" w:pos="19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65" w:lineRule="exact"/>
        <w:rPr>
          <w:rFonts w:ascii="Arial" w:cs="Arial" w:eastAsia="Arial" w:hAnsi="Arial"/>
          <w:sz w:val="17"/>
          <w:szCs w:val="17"/>
          <w:color w:val="auto"/>
        </w:rPr>
      </w:pPr>
    </w:p>
    <w:p>
      <w:pPr>
        <w:jc w:val="both"/>
        <w:ind w:left="1300" w:right="540" w:firstLine="653"/>
        <w:spacing w:after="0" w:line="264" w:lineRule="auto"/>
        <w:tabs>
          <w:tab w:leader="none" w:pos="21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ind w:left="1300" w:right="80" w:firstLine="653"/>
        <w:spacing w:after="0" w:line="286" w:lineRule="auto"/>
        <w:tabs>
          <w:tab w:leader="none" w:pos="2213"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165" w:lineRule="exact"/>
        <w:rPr>
          <w:rFonts w:ascii="Arial" w:cs="Arial" w:eastAsia="Arial" w:hAnsi="Arial"/>
          <w:sz w:val="17"/>
          <w:szCs w:val="17"/>
          <w:color w:val="auto"/>
        </w:rPr>
      </w:pPr>
    </w:p>
    <w:p>
      <w:pPr>
        <w:ind w:left="1300" w:firstLine="653"/>
        <w:spacing w:after="0" w:line="277" w:lineRule="auto"/>
        <w:tabs>
          <w:tab w:leader="none" w:pos="22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reasonably acceptable to the Borrower and the Administrative Agent (including any mathematical or other adjustments to the benchmark (if any) incorporated therein), giving due consideration to any evolving or then existing convention for similar syndicated credit facilities for such alternative benchmarks (any such proposed rate, a “LIBOR Successor Rate”),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35</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25" w:lineRule="exact"/>
        <w:rPr>
          <w:sz w:val="20"/>
          <w:szCs w:val="20"/>
          <w:color w:val="auto"/>
        </w:rPr>
      </w:pPr>
    </w:p>
    <w:p>
      <w:pPr>
        <w:ind w:left="1920" w:hanging="372"/>
        <w:spacing w:after="0"/>
        <w:tabs>
          <w:tab w:leader="none" w:pos="1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after the date hereof:</w:t>
      </w:r>
    </w:p>
    <w:p>
      <w:pPr>
        <w:spacing w:after="0" w:line="210" w:lineRule="exact"/>
        <w:rPr>
          <w:rFonts w:ascii="Arial" w:cs="Arial" w:eastAsia="Arial" w:hAnsi="Arial"/>
          <w:sz w:val="17"/>
          <w:szCs w:val="17"/>
          <w:color w:val="auto"/>
        </w:rPr>
      </w:pPr>
    </w:p>
    <w:p>
      <w:pPr>
        <w:ind w:left="1300" w:right="200" w:firstLine="653"/>
        <w:spacing w:after="0" w:line="312" w:lineRule="auto"/>
        <w:tabs>
          <w:tab w:leader="none" w:pos="2163"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its obligation to make Eurodollar Rate Loans;</w:t>
      </w:r>
    </w:p>
    <w:p>
      <w:pPr>
        <w:spacing w:after="0" w:line="146" w:lineRule="exact"/>
        <w:rPr>
          <w:rFonts w:ascii="Arial" w:cs="Arial" w:eastAsia="Arial" w:hAnsi="Arial"/>
          <w:sz w:val="16"/>
          <w:szCs w:val="16"/>
          <w:color w:val="auto"/>
        </w:rPr>
      </w:pPr>
    </w:p>
    <w:p>
      <w:pPr>
        <w:ind w:left="1300" w:right="320" w:firstLine="653"/>
        <w:spacing w:after="0" w:line="286" w:lineRule="auto"/>
        <w:tabs>
          <w:tab w:leader="none" w:pos="2213" w:val="left"/>
        </w:tabs>
        <w:numPr>
          <w:ilvl w:val="1"/>
          <w:numId w:val="36"/>
        </w:numPr>
        <w:rPr>
          <w:rFonts w:ascii="Arial" w:cs="Arial" w:eastAsia="Arial" w:hAnsi="Arial"/>
          <w:sz w:val="17"/>
          <w:szCs w:val="17"/>
          <w:color w:val="auto"/>
        </w:rPr>
      </w:pPr>
      <w:r>
        <w:rPr>
          <w:rFonts w:ascii="Arial" w:cs="Arial" w:eastAsia="Arial" w:hAnsi="Arial"/>
          <w:sz w:val="17"/>
          <w:szCs w:val="17"/>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Commitment); or</w:t>
      </w:r>
    </w:p>
    <w:p>
      <w:pPr>
        <w:spacing w:after="0" w:line="165" w:lineRule="exact"/>
        <w:rPr>
          <w:rFonts w:ascii="Arial" w:cs="Arial" w:eastAsia="Arial" w:hAnsi="Arial"/>
          <w:sz w:val="17"/>
          <w:szCs w:val="17"/>
          <w:color w:val="auto"/>
        </w:rPr>
      </w:pPr>
    </w:p>
    <w:p>
      <w:pPr>
        <w:ind w:left="1300" w:right="420" w:firstLine="653"/>
        <w:spacing w:after="0" w:line="277" w:lineRule="auto"/>
        <w:tabs>
          <w:tab w:leader="none" w:pos="22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to reduce any sum received or receivable by such Lender Party under this Agreement with respect to any Eurodollar Rate Loans,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7" w:lineRule="exact"/>
        <w:rPr>
          <w:sz w:val="20"/>
          <w:szCs w:val="20"/>
          <w:color w:val="auto"/>
        </w:rPr>
      </w:pPr>
    </w:p>
    <w:p>
      <w:pPr>
        <w:ind w:left="260" w:firstLine="1288"/>
        <w:spacing w:after="0" w:line="273" w:lineRule="auto"/>
        <w:tabs>
          <w:tab w:leader="none" w:pos="19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8" w:lineRule="exact"/>
        <w:rPr>
          <w:rFonts w:ascii="Arial" w:cs="Arial" w:eastAsia="Arial" w:hAnsi="Arial"/>
          <w:sz w:val="17"/>
          <w:szCs w:val="17"/>
          <w:color w:val="auto"/>
        </w:rPr>
      </w:pPr>
    </w:p>
    <w:p>
      <w:pPr>
        <w:ind w:left="260" w:right="160" w:firstLine="1288"/>
        <w:spacing w:after="0" w:line="264" w:lineRule="auto"/>
        <w:tabs>
          <w:tab w:leader="none" w:pos="19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36</w:t>
      </w:r>
    </w:p>
    <w:p>
      <w:pPr>
        <w:spacing w:after="0" w:line="117" w:lineRule="exact"/>
        <w:rPr>
          <w:sz w:val="20"/>
          <w:szCs w:val="20"/>
          <w:color w:val="auto"/>
        </w:rPr>
      </w:pPr>
    </w:p>
    <w:p>
      <w:pPr>
        <w:ind w:left="260" w:right="300"/>
        <w:spacing w:after="0" w:line="342" w:lineRule="auto"/>
        <w:rPr>
          <w:sz w:val="20"/>
          <w:szCs w:val="20"/>
          <w:color w:val="auto"/>
        </w:rPr>
      </w:pPr>
      <w:r>
        <w:rPr>
          <w:rFonts w:ascii="Arial" w:cs="Arial" w:eastAsia="Arial" w:hAnsi="Arial"/>
          <w:sz w:val="16"/>
          <w:szCs w:val="16"/>
          <w:color w:val="auto"/>
        </w:rPr>
        <w:t>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24"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24" w:lineRule="exact"/>
        <w:rPr>
          <w:sz w:val="20"/>
          <w:szCs w:val="20"/>
          <w:color w:val="auto"/>
        </w:rPr>
      </w:pPr>
    </w:p>
    <w:p>
      <w:pPr>
        <w:ind w:left="260" w:right="120" w:firstLine="1288"/>
        <w:spacing w:after="0" w:line="308" w:lineRule="auto"/>
        <w:tabs>
          <w:tab w:leader="none" w:pos="1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by Borrower of any Eurodollar Rate Loan on a day other than the last day of the Interest Period for such Eurodollar Rate Loan (whether voluntary, mandatory, automatic, by reason of acceleration or otherwise); or</w:t>
      </w:r>
    </w:p>
    <w:p>
      <w:pPr>
        <w:spacing w:after="0" w:line="146" w:lineRule="exact"/>
        <w:rPr>
          <w:rFonts w:ascii="Arial" w:cs="Arial" w:eastAsia="Arial" w:hAnsi="Arial"/>
          <w:sz w:val="17"/>
          <w:szCs w:val="17"/>
          <w:color w:val="auto"/>
        </w:rPr>
      </w:pPr>
    </w:p>
    <w:p>
      <w:pPr>
        <w:ind w:left="260" w:right="300" w:firstLine="1288"/>
        <w:spacing w:after="0" w:line="277" w:lineRule="auto"/>
        <w:tabs>
          <w:tab w:leader="none" w:pos="19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such Lender to make a Eurodollar Rate Loan) to prepay, borrow, Continue or Convert any Eurodollar Rate Loan on the date or in the amount notified by Borrower;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Term Loan or from fees payable to terminate the deposits from which such funds were obtained.</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left="260" w:right="20" w:firstLine="1288"/>
        <w:spacing w:after="0" w:line="270" w:lineRule="auto"/>
        <w:tabs>
          <w:tab w:leader="none" w:pos="19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77" w:lineRule="exact"/>
        <w:rPr>
          <w:rFonts w:ascii="Arial" w:cs="Arial" w:eastAsia="Arial" w:hAnsi="Arial"/>
          <w:sz w:val="17"/>
          <w:szCs w:val="17"/>
          <w:color w:val="auto"/>
        </w:rPr>
      </w:pPr>
    </w:p>
    <w:p>
      <w:pPr>
        <w:ind w:left="260" w:right="140" w:firstLine="1288"/>
        <w:spacing w:after="0" w:line="264" w:lineRule="auto"/>
        <w:tabs>
          <w:tab w:leader="none" w:pos="19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Eurodollar Rate Loans pursuant to Section 3.02, or upon any Lender making a claim for compensation under Section 3.01 or Section 3.04, Borrower may remove or replace such Lender in accordance with Section 10.21.</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All of Borrower’s obligations under this Section 3 shall survive termination of the Commitments and payment in full of 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37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This Agreement shall become effective upon the satisfaction of the conditions precedent set forth in this Section 4.01:</w:t>
      </w:r>
    </w:p>
    <w:p>
      <w:pPr>
        <w:spacing w:after="0" w:line="170" w:lineRule="exact"/>
        <w:rPr>
          <w:sz w:val="20"/>
          <w:szCs w:val="20"/>
          <w:color w:val="auto"/>
        </w:rPr>
      </w:pPr>
    </w:p>
    <w:p>
      <w:pPr>
        <w:ind w:left="260" w:right="100" w:firstLine="1288"/>
        <w:spacing w:after="0" w:line="264" w:lineRule="auto"/>
        <w:tabs>
          <w:tab w:leader="none" w:pos="19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81" w:lineRule="exact"/>
        <w:rPr>
          <w:rFonts w:ascii="Arial" w:cs="Arial" w:eastAsia="Arial" w:hAnsi="Arial"/>
          <w:sz w:val="18"/>
          <w:szCs w:val="18"/>
          <w:color w:val="auto"/>
        </w:rPr>
      </w:pPr>
    </w:p>
    <w:p>
      <w:pPr>
        <w:ind w:left="1300" w:right="80" w:firstLine="653"/>
        <w:spacing w:after="0" w:line="257" w:lineRule="auto"/>
        <w:tabs>
          <w:tab w:leader="none" w:pos="21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8" w:lineRule="exact"/>
        <w:rPr>
          <w:rFonts w:ascii="Arial" w:cs="Arial" w:eastAsia="Arial" w:hAnsi="Arial"/>
          <w:sz w:val="18"/>
          <w:szCs w:val="18"/>
          <w:color w:val="auto"/>
        </w:rPr>
      </w:pPr>
    </w:p>
    <w:p>
      <w:pPr>
        <w:ind w:left="1300" w:firstLine="653"/>
        <w:spacing w:after="0" w:line="287" w:lineRule="auto"/>
        <w:tabs>
          <w:tab w:leader="none" w:pos="2213"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(including the debt pricing committee of Borrower)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168" w:lineRule="exact"/>
        <w:rPr>
          <w:rFonts w:ascii="Arial" w:cs="Arial" w:eastAsia="Arial" w:hAnsi="Arial"/>
          <w:sz w:val="16"/>
          <w:szCs w:val="16"/>
          <w:color w:val="auto"/>
        </w:rPr>
      </w:pPr>
    </w:p>
    <w:p>
      <w:pPr>
        <w:ind w:left="1300" w:right="20" w:firstLine="653"/>
        <w:spacing w:after="0" w:line="257" w:lineRule="auto"/>
        <w:tabs>
          <w:tab w:leader="none" w:pos="22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that (A) 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 (B) no Default or Event of Default shall have occurred and be continuing and (C) that there has been no event or circumstance since the date of the Reference Statements which has a Material Adverse Effect;</w:t>
      </w:r>
    </w:p>
    <w:p>
      <w:pPr>
        <w:spacing w:after="0" w:line="188" w:lineRule="exact"/>
        <w:rPr>
          <w:rFonts w:ascii="Arial" w:cs="Arial" w:eastAsia="Arial" w:hAnsi="Arial"/>
          <w:sz w:val="18"/>
          <w:szCs w:val="18"/>
          <w:color w:val="auto"/>
        </w:rPr>
      </w:pPr>
    </w:p>
    <w:p>
      <w:pPr>
        <w:ind w:left="2260" w:hanging="307"/>
        <w:spacing w:after="0"/>
        <w:tabs>
          <w:tab w:leader="none" w:pos="2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opinions of counsel to Borrower in form and substance reasonably satisfactory to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38</w:t>
      </w:r>
    </w:p>
    <w:p>
      <w:pPr>
        <w:spacing w:after="0" w:line="117" w:lineRule="exact"/>
        <w:rPr>
          <w:sz w:val="20"/>
          <w:szCs w:val="20"/>
          <w:color w:val="auto"/>
        </w:rPr>
      </w:pPr>
    </w:p>
    <w:p>
      <w:pPr>
        <w:ind w:left="1300" w:right="40" w:firstLine="653"/>
        <w:spacing w:after="0" w:line="276" w:lineRule="auto"/>
        <w:tabs>
          <w:tab w:leader="none" w:pos="2203"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information requested by the Arrangers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three (3) Business Days prior to the Effective Date) and if the Borrower qualifies as a “legal entity customer” under the Beneficial Ownership Regulation the Borrower shall deliver, to each Lender that so requests, a Beneficial Ownership Certification in relation to such Borrower.</w:t>
      </w:r>
    </w:p>
    <w:p>
      <w:pPr>
        <w:spacing w:after="0" w:line="172" w:lineRule="exact"/>
        <w:rPr>
          <w:rFonts w:ascii="Arial" w:cs="Arial" w:eastAsia="Arial" w:hAnsi="Arial"/>
          <w:sz w:val="17"/>
          <w:szCs w:val="17"/>
          <w:color w:val="auto"/>
        </w:rPr>
      </w:pPr>
    </w:p>
    <w:p>
      <w:pPr>
        <w:ind w:left="260" w:right="100" w:firstLine="1288"/>
        <w:spacing w:after="0" w:line="342" w:lineRule="auto"/>
        <w:tabs>
          <w:tab w:leader="none" w:pos="19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any fees due and payable on or before the Effective Date pursuant to the Fee Letters, either (i) such fees shall have been paid or (ii) arrangements satisfactory to Administrative Agent and the Arrangers shall have been made with respect to the payment of such fees.</w:t>
      </w:r>
    </w:p>
    <w:p>
      <w:pPr>
        <w:spacing w:after="0" w:line="124"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Conditions Precedent to Borrowings</w:t>
      </w:r>
      <w:r>
        <w:rPr>
          <w:rFonts w:ascii="Arial" w:cs="Arial" w:eastAsia="Arial" w:hAnsi="Arial"/>
          <w:sz w:val="16"/>
          <w:szCs w:val="16"/>
          <w:color w:val="auto"/>
        </w:rPr>
        <w:t>. The agreement of each Lender to make Extensions of Credit requested to be made by it is subject solely to the satisfaction, in each case on or before the Certain Funds Termination Date, of the applicable conditions precedent set forth in this Section</w:t>
      </w:r>
    </w:p>
    <w:p>
      <w:pPr>
        <w:spacing w:after="0"/>
        <w:rPr>
          <w:sz w:val="20"/>
          <w:szCs w:val="20"/>
          <w:color w:val="auto"/>
        </w:rPr>
      </w:pPr>
      <w:r>
        <w:rPr>
          <w:rFonts w:ascii="Arial" w:cs="Arial" w:eastAsia="Arial" w:hAnsi="Arial"/>
          <w:sz w:val="18"/>
          <w:szCs w:val="18"/>
          <w:color w:val="auto"/>
        </w:rPr>
        <w:t>4.02:</w:t>
      </w:r>
    </w:p>
    <w:p>
      <w:pPr>
        <w:spacing w:after="0" w:line="211" w:lineRule="exact"/>
        <w:rPr>
          <w:sz w:val="20"/>
          <w:szCs w:val="20"/>
          <w:color w:val="auto"/>
        </w:rPr>
      </w:pPr>
    </w:p>
    <w:p>
      <w:pPr>
        <w:ind w:left="1920" w:hanging="372"/>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 Date shall have occurred.</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the initial Extension of Credit hereunder, Administrative Agent shall have received a Target Acquisition Certificate.</w:t>
      </w:r>
    </w:p>
    <w:p>
      <w:pPr>
        <w:spacing w:after="0" w:line="248" w:lineRule="exact"/>
        <w:rPr>
          <w:rFonts w:ascii="Arial" w:cs="Arial" w:eastAsia="Arial" w:hAnsi="Arial"/>
          <w:sz w:val="16"/>
          <w:szCs w:val="16"/>
          <w:color w:val="auto"/>
        </w:rPr>
      </w:pPr>
    </w:p>
    <w:p>
      <w:pPr>
        <w:ind w:left="260" w:right="200" w:firstLine="1288"/>
        <w:spacing w:after="0" w:line="264" w:lineRule="auto"/>
        <w:tabs>
          <w:tab w:leader="none" w:pos="19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Administrative Agent shall have received evidence that all fees required to be paid on or prior to the date of such Extension of Credit pursuant to the Fee Letters have been or shall be paid on or prior to such date (or other arrangements satisfactory to Administrative Agent and the Arrangers shall have been made with respect to the payment of such fees).</w:t>
      </w:r>
    </w:p>
    <w:p>
      <w:pPr>
        <w:spacing w:after="0" w:line="181" w:lineRule="exact"/>
        <w:rPr>
          <w:rFonts w:ascii="Arial" w:cs="Arial" w:eastAsia="Arial" w:hAnsi="Arial"/>
          <w:sz w:val="18"/>
          <w:szCs w:val="18"/>
          <w:color w:val="auto"/>
        </w:rPr>
      </w:pPr>
    </w:p>
    <w:p>
      <w:pPr>
        <w:ind w:left="1940" w:hanging="392"/>
        <w:spacing w:after="0"/>
        <w:tabs>
          <w:tab w:leader="none" w:pos="19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Major Event of Default shall have occurred and be continuing or would result from the proposed Extension of Credit to be</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made on such date.</w:t>
      </w:r>
    </w:p>
    <w:p>
      <w:pPr>
        <w:spacing w:after="0" w:line="210" w:lineRule="exact"/>
        <w:rPr>
          <w:rFonts w:ascii="Arial" w:cs="Arial" w:eastAsia="Arial" w:hAnsi="Arial"/>
          <w:sz w:val="17"/>
          <w:szCs w:val="17"/>
          <w:color w:val="auto"/>
        </w:rPr>
      </w:pPr>
    </w:p>
    <w:p>
      <w:pPr>
        <w:jc w:val="both"/>
        <w:ind w:left="260" w:right="100" w:firstLine="1288"/>
        <w:spacing w:after="0" w:line="259" w:lineRule="auto"/>
        <w:tabs>
          <w:tab w:leader="none" w:pos="19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It shall not be illegal for any Lender to lend and there is no injunction, restraining order or equivalent prohibiting any Lender from funding its portion of such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has used commercially reasonable efforts to fund its such Term Loans through an Affiliate of such Lender not subject to such legal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occurrence of such event in relation to one Lender shall not relieve any other Lender of its obligations hereunder.</w:t>
      </w:r>
    </w:p>
    <w:p>
      <w:pPr>
        <w:spacing w:after="0" w:line="18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Determinations Under Sections 4.01 and 4.02</w:t>
      </w:r>
      <w:r>
        <w:rPr>
          <w:rFonts w:ascii="Arial" w:cs="Arial" w:eastAsia="Arial" w:hAnsi="Arial"/>
          <w:sz w:val="17"/>
          <w:szCs w:val="17"/>
          <w:color w:val="auto"/>
        </w:rPr>
        <w:t>. For purposes of determining compliance with the conditions specified in Sections 4.01 or 4.02,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 or the date of any Extension of Credit, as applicable, specifying its objection thereto. Administrative Agent (or its counsel) shall promptly notify the Lenders and Borrower in writing of the occurrence of the Effective Date and of the occurrence of the Initial Closing Date, which writings shall be conclusive and irrevocable.</w:t>
      </w:r>
    </w:p>
    <w:p>
      <w:pPr>
        <w:spacing w:after="0" w:line="178"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Actions by Lenders During Certain Funds Period</w:t>
      </w:r>
      <w:r>
        <w:rPr>
          <w:rFonts w:ascii="Arial" w:cs="Arial" w:eastAsia="Arial" w:hAnsi="Arial"/>
          <w:sz w:val="16"/>
          <w:szCs w:val="16"/>
          <w:color w:val="auto"/>
        </w:rPr>
        <w:t>. Notwithstanding (x) anything to the contrary in this Agreement or any other Loan Document or (y) that any condition set forth in Section 4.01 or Section 4.02 may subsequently be determined not to have been satisfied,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39</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Certain Funds Period (unless (i) a Major Event of Default has occurred and is continuing or, in respect of clause (c) below, would result therefrom, (ii) in respect of clause (c) below, the conditions set forth in Section 4.02, as applicable, are not satisfied or (iii) it becomes illegal for any Lender to maintain its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has used commercially reasonable efforts to maintain its Commitment through an Affiliate of such Lender not subject to a legal restriction and that the occurrence of such event in relation to one Lender shall not enable any other Lender to cancel its Commitment), each Lender shall comply with its obligations to fund Term Loans under the Loan Documents and no Lender shall:</w:t>
      </w:r>
    </w:p>
    <w:p>
      <w:pPr>
        <w:spacing w:after="0" w:line="173" w:lineRule="exact"/>
        <w:rPr>
          <w:sz w:val="20"/>
          <w:szCs w:val="20"/>
          <w:color w:val="auto"/>
        </w:rPr>
      </w:pPr>
    </w:p>
    <w:p>
      <w:pPr>
        <w:ind w:left="1920" w:hanging="372"/>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cancel any of its Commitments;</w:t>
      </w:r>
    </w:p>
    <w:p>
      <w:pPr>
        <w:spacing w:after="0" w:line="225" w:lineRule="exact"/>
        <w:rPr>
          <w:rFonts w:ascii="Arial" w:cs="Arial" w:eastAsia="Arial" w:hAnsi="Arial"/>
          <w:sz w:val="18"/>
          <w:szCs w:val="18"/>
          <w:color w:val="auto"/>
        </w:rPr>
      </w:pPr>
    </w:p>
    <w:p>
      <w:pPr>
        <w:ind w:left="260" w:right="220" w:firstLine="1288"/>
        <w:spacing w:after="0" w:line="277" w:lineRule="auto"/>
        <w:tabs>
          <w:tab w:leader="none" w:pos="19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rescind, terminate or cancel any Loan Document or exercise any similar right or remedy or make or enforce any claim under any Loan Document it may have to the extent to do so would prevent or limit the funding of a Borrowing;</w:t>
      </w:r>
    </w:p>
    <w:p>
      <w:pPr>
        <w:spacing w:after="0" w:line="170" w:lineRule="exact"/>
        <w:rPr>
          <w:rFonts w:ascii="Arial" w:cs="Arial" w:eastAsia="Arial" w:hAnsi="Arial"/>
          <w:sz w:val="18"/>
          <w:szCs w:val="18"/>
          <w:color w:val="auto"/>
        </w:rPr>
      </w:pPr>
    </w:p>
    <w:p>
      <w:pPr>
        <w:ind w:left="1920" w:hanging="372"/>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refuse to fund any Term Loan in respect of its outstanding Commitment;</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exercise any right of set-off or counterclaim in respect of any Term Loan to the extent to do so would prevent or limit the funding</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of any Borrowing; or</w:t>
      </w:r>
    </w:p>
    <w:p>
      <w:pPr>
        <w:spacing w:after="0" w:line="210" w:lineRule="exact"/>
        <w:rPr>
          <w:rFonts w:ascii="Arial" w:cs="Arial" w:eastAsia="Arial" w:hAnsi="Arial"/>
          <w:sz w:val="16"/>
          <w:szCs w:val="16"/>
          <w:color w:val="auto"/>
        </w:rPr>
      </w:pPr>
    </w:p>
    <w:p>
      <w:pPr>
        <w:ind w:left="260" w:right="20" w:firstLine="1288"/>
        <w:spacing w:after="0" w:line="277" w:lineRule="auto"/>
        <w:tabs>
          <w:tab w:leader="none" w:pos="19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cancel, accelerate or cause repayment or prepayment of any amounts owing under any Loan Document to the extent to do so would prevent or limit the funding of any Borrowing;</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the expiration of the Certain Funds Period all such rights, remedies and entitlements shall be available to the Lenders notwithstanding that they may not have been used or been available for use during the Certain Funds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Borrower represents and warrants to Administrative Agent and Lenders that:</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 is in compliance with all Laws, except to the extent that noncompliance does not have a Material Adverse Effect.</w:t>
      </w:r>
    </w:p>
    <w:p>
      <w:pPr>
        <w:spacing w:after="0" w:line="18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40</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6"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64" w:lineRule="auto"/>
        <w:tabs>
          <w:tab w:leader="none" w:pos="19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1" w:lineRule="exact"/>
        <w:rPr>
          <w:rFonts w:ascii="Arial" w:cs="Arial" w:eastAsia="Arial" w:hAnsi="Arial"/>
          <w:sz w:val="18"/>
          <w:szCs w:val="18"/>
          <w:color w:val="auto"/>
        </w:rPr>
      </w:pPr>
    </w:p>
    <w:p>
      <w:pPr>
        <w:ind w:left="260" w:right="200" w:firstLine="1288"/>
        <w:spacing w:after="0" w:line="277" w:lineRule="auto"/>
        <w:tabs>
          <w:tab w:leader="none" w:pos="19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From December 31, 2017 to the Effective Date and the Initial Closing Date, there has been no event or circumstance which has a Material Adverse Effect.</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will use the proceeds of the Term Loans solely to finance a portion of the Transactions, which, for the avoidance of doubt, may include a Borrowing of Loans after the Initial Closing Date but prior to the consummation of the intended acquisition of certain Target shares.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8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Target Acquisition Documents</w:t>
      </w:r>
      <w:r>
        <w:rPr>
          <w:rFonts w:ascii="Arial" w:cs="Arial" w:eastAsia="Arial" w:hAnsi="Arial"/>
          <w:sz w:val="16"/>
          <w:szCs w:val="16"/>
          <w:color w:val="auto"/>
        </w:rPr>
        <w:t>.</w:t>
      </w:r>
    </w:p>
    <w:p>
      <w:pPr>
        <w:spacing w:after="0" w:line="225" w:lineRule="exact"/>
        <w:rPr>
          <w:sz w:val="20"/>
          <w:szCs w:val="20"/>
          <w:color w:val="auto"/>
        </w:rPr>
      </w:pPr>
    </w:p>
    <w:p>
      <w:pPr>
        <w:ind w:left="260" w:right="120" w:firstLine="1288"/>
        <w:spacing w:after="0" w:line="277" w:lineRule="auto"/>
        <w:tabs>
          <w:tab w:leader="none" w:pos="19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 Offer, the Offer Press Release and the Offer Documents contain all material terms of the Offer (taken as a whole) as at the date on which they were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left="260" w:right="60" w:firstLine="1288"/>
        <w:spacing w:after="0" w:line="277" w:lineRule="auto"/>
        <w:tabs>
          <w:tab w:leader="none" w:pos="19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 Scheme, the Scheme Press Release and the Scheme Documents contain all the material terms of the Scheme (taken as a whole) as at the date on which they were published.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Subject to Section 4.04, so long as any Obligation remains unpaid, or any portion of the Commitments remains outstanding, Borrower shall, and shall (except in the case of Borrower’s reporting covenants), cause each Restricted Subsidiary to:</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Administrative Agent and Lenders, in form and detail satisfactory to Administrative Agent:</w:t>
      </w:r>
    </w:p>
    <w:p>
      <w:pPr>
        <w:spacing w:after="0" w:line="225" w:lineRule="exact"/>
        <w:rPr>
          <w:sz w:val="20"/>
          <w:szCs w:val="20"/>
          <w:color w:val="auto"/>
        </w:rPr>
      </w:pPr>
    </w:p>
    <w:p>
      <w:pPr>
        <w:ind w:left="260" w:right="60" w:firstLine="1288"/>
        <w:spacing w:after="0" w:line="255" w:lineRule="auto"/>
        <w:tabs>
          <w:tab w:leader="none" w:pos="19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93" w:lineRule="exact"/>
        <w:rPr>
          <w:rFonts w:ascii="Arial" w:cs="Arial" w:eastAsia="Arial" w:hAnsi="Arial"/>
          <w:sz w:val="18"/>
          <w:szCs w:val="18"/>
          <w:color w:val="auto"/>
        </w:rPr>
      </w:pPr>
    </w:p>
    <w:p>
      <w:pPr>
        <w:ind w:left="260" w:right="80" w:firstLine="1288"/>
        <w:spacing w:after="0" w:line="255" w:lineRule="auto"/>
        <w:tabs>
          <w:tab w:leader="none" w:pos="19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89" w:lineRule="exact"/>
        <w:rPr>
          <w:rFonts w:ascii="Arial" w:cs="Arial" w:eastAsia="Arial" w:hAnsi="Arial"/>
          <w:sz w:val="18"/>
          <w:szCs w:val="18"/>
          <w:color w:val="auto"/>
        </w:rPr>
      </w:pPr>
    </w:p>
    <w:p>
      <w:pPr>
        <w:ind w:left="260" w:right="60" w:firstLine="1288"/>
        <w:spacing w:after="0" w:line="302" w:lineRule="auto"/>
        <w:tabs>
          <w:tab w:leader="none" w:pos="19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5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Notices and Other Information</w:t>
      </w:r>
      <w:r>
        <w:rPr>
          <w:rFonts w:ascii="Arial" w:cs="Arial" w:eastAsia="Arial" w:hAnsi="Arial"/>
          <w:sz w:val="16"/>
          <w:szCs w:val="16"/>
          <w:color w:val="auto"/>
        </w:rPr>
        <w:t>. Deliver to Administrative Agent in form and detail satisfactory to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left="260" w:right="120" w:firstLine="1288"/>
        <w:spacing w:after="0" w:line="259" w:lineRule="auto"/>
        <w:tabs>
          <w:tab w:leader="none" w:pos="19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42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calculations set forth therein and shall give pro forma effect to Material Acquisitions and Material Dispositions in accordance with Section 1.07;</w:t>
      </w:r>
    </w:p>
    <w:p>
      <w:pPr>
        <w:spacing w:after="0" w:line="237" w:lineRule="exact"/>
        <w:rPr>
          <w:sz w:val="20"/>
          <w:szCs w:val="20"/>
          <w:color w:val="auto"/>
        </w:rPr>
      </w:pPr>
    </w:p>
    <w:p>
      <w:pPr>
        <w:ind w:left="260" w:right="40" w:firstLine="1288"/>
        <w:spacing w:after="0" w:line="264" w:lineRule="auto"/>
        <w:tabs>
          <w:tab w:leader="none" w:pos="19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left="260" w:right="20" w:firstLine="1288"/>
        <w:spacing w:after="0" w:line="277" w:lineRule="auto"/>
        <w:tabs>
          <w:tab w:leader="none" w:pos="19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170" w:lineRule="exact"/>
        <w:rPr>
          <w:rFonts w:ascii="Arial" w:cs="Arial" w:eastAsia="Arial" w:hAnsi="Arial"/>
          <w:sz w:val="18"/>
          <w:szCs w:val="18"/>
          <w:color w:val="auto"/>
        </w:rPr>
      </w:pPr>
    </w:p>
    <w:p>
      <w:pPr>
        <w:ind w:left="260" w:right="120" w:firstLine="1288"/>
        <w:spacing w:after="0" w:line="277" w:lineRule="auto"/>
        <w:tabs>
          <w:tab w:leader="none" w:pos="19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ind w:left="260" w:right="140" w:firstLine="1288"/>
        <w:spacing w:after="0" w:line="259" w:lineRule="auto"/>
        <w:tabs>
          <w:tab w:leader="none" w:pos="19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Confidential Information, they shall be treated as set forth in Section </w:t>
      </w:r>
      <w:r>
        <w:rPr>
          <w:rFonts w:ascii="Arial" w:cs="Arial" w:eastAsia="Arial" w:hAnsi="Arial"/>
          <w:sz w:val="16"/>
          <w:szCs w:val="16"/>
          <w:u w:val="single" w:color="auto"/>
          <w:color w:val="auto"/>
        </w:rPr>
        <w:t>10.17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7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ind w:left="11240"/>
        <w:spacing w:after="0"/>
        <w:rPr>
          <w:sz w:val="20"/>
          <w:szCs w:val="20"/>
          <w:color w:val="auto"/>
        </w:rPr>
      </w:pPr>
      <w:r>
        <w:rPr>
          <w:rFonts w:ascii="Arial" w:cs="Arial" w:eastAsia="Arial" w:hAnsi="Arial"/>
          <w:sz w:val="16"/>
          <w:szCs w:val="16"/>
          <w:color w:val="auto"/>
        </w:rPr>
        <w:t>43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failure to do so does not have a Material Adverse Effect, and except that nothing in this Section 6.04 shall prohibit any transaction permitted by Section 7.03.</w:t>
      </w:r>
    </w:p>
    <w:p>
      <w:pPr>
        <w:spacing w:after="0" w:line="248" w:lineRule="exact"/>
        <w:rPr>
          <w:sz w:val="20"/>
          <w:szCs w:val="20"/>
          <w:color w:val="auto"/>
        </w:rPr>
      </w:pPr>
    </w:p>
    <w:p>
      <w:pPr>
        <w:ind w:right="840" w:firstLine="1297"/>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right="40" w:firstLine="1297"/>
        <w:spacing w:after="0" w:line="285"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(w) each Guarantor shall at all times be a Restricted Subsidiary for all purposes hereunder unless such Guarantor is simultaneously released as a Guarantor upon such designation as contemplated pursuant to Section 6.10, (x) unless designated as an Unrestricted Subsidiary in compliance with clause (y) below, each Cable Subsidiary shall at all times be a Restricted Subsidiary for all purposes hereunder, (y) Borrower may designate a Cable Subsidiary as an Unrestricted Subsidiary at any time when the Leverage Ratio (calculated after giving pro forma effect to such designation) is less than or equal to 4.50 to 1.00 and (z) on and after March 28, 2018, but prior to the termination of all Bridge Commitments and the repayment in full of all Bridge Loans, Borrower shall not designate any Existing Restricted Subsidiary as an Unrestricted Subsidiary to the extent that after giving effect to such designation, the Annualized EBITDA (as of the last day of the most recently ended fiscal quarter prior to such designation) of all such Existing Restricted Subsidiaries so designated as Unrestricted Subsidiaries on and after March 28, 2018 would exceed 15.0% of the Annualized EBITDA of Borrower and its Restricted Subsidiaries for the period of two fiscal quarters ended on the last day of the fiscal quarter most recently ended prior to March 28, 2018. Borrower hereby designates the Subsidiaries listed on Schedule 6.08 as Unrestricted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44</w:t>
      </w:r>
    </w:p>
    <w:p>
      <w:pPr>
        <w:spacing w:after="0" w:line="117"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Guaranty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75"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Scheme and Offer</w:t>
      </w:r>
      <w:r>
        <w:rPr>
          <w:rFonts w:ascii="Arial" w:cs="Arial" w:eastAsia="Arial" w:hAnsi="Arial"/>
          <w:sz w:val="16"/>
          <w:szCs w:val="16"/>
          <w:color w:val="auto"/>
        </w:rPr>
        <w:t>. Borrower agrees that from the Effective Date, Borrower will (and will procure that Bidco will):</w:t>
      </w:r>
    </w:p>
    <w:p>
      <w:pPr>
        <w:spacing w:after="0" w:line="225" w:lineRule="exact"/>
        <w:rPr>
          <w:sz w:val="20"/>
          <w:szCs w:val="20"/>
          <w:color w:val="auto"/>
        </w:rPr>
      </w:pPr>
    </w:p>
    <w:p>
      <w:pPr>
        <w:ind w:left="1920" w:hanging="372"/>
        <w:spacing w:after="0"/>
        <w:tabs>
          <w:tab w:leader="none" w:pos="1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in all material respects with:</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Takeover Code; and</w:t>
      </w:r>
    </w:p>
    <w:p>
      <w:pPr>
        <w:spacing w:after="0" w:line="225" w:lineRule="exact"/>
        <w:rPr>
          <w:rFonts w:ascii="Arial" w:cs="Arial" w:eastAsia="Arial" w:hAnsi="Arial"/>
          <w:sz w:val="18"/>
          <w:szCs w:val="18"/>
          <w:color w:val="auto"/>
        </w:rPr>
      </w:pPr>
    </w:p>
    <w:p>
      <w:pPr>
        <w:ind w:left="1300" w:right="220" w:firstLine="653"/>
        <w:spacing w:after="0" w:line="264" w:lineRule="auto"/>
        <w:tabs>
          <w:tab w:leader="none" w:pos="22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other applicable laws and regulations in relation to any Offer or Scheme, in each case in relation to the Target Acquisition and, subject to any waivers or dispensations granted by the Panel, the U.S. Securities and Exchange Commission or any other applicable regulator;</w:t>
      </w:r>
    </w:p>
    <w:p>
      <w:pPr>
        <w:spacing w:after="0" w:line="181" w:lineRule="exact"/>
        <w:rPr>
          <w:rFonts w:ascii="Arial" w:cs="Arial" w:eastAsia="Arial" w:hAnsi="Arial"/>
          <w:sz w:val="18"/>
          <w:szCs w:val="18"/>
          <w:color w:val="auto"/>
        </w:rPr>
      </w:pPr>
    </w:p>
    <w:p>
      <w:pPr>
        <w:ind w:left="260" w:right="520" w:firstLine="1288"/>
        <w:spacing w:after="0" w:line="277" w:lineRule="auto"/>
        <w:tabs>
          <w:tab w:leader="none" w:pos="19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promptly provide Administrative Agent with such information as it may reasonably request regarding the Target Acquisition subject to confidentiality limitations and except to the extent it is prohibited by law or regulation from doing so; and</w:t>
      </w:r>
    </w:p>
    <w:p>
      <w:pPr>
        <w:spacing w:after="0" w:line="170" w:lineRule="exact"/>
        <w:rPr>
          <w:rFonts w:ascii="Arial" w:cs="Arial" w:eastAsia="Arial" w:hAnsi="Arial"/>
          <w:sz w:val="18"/>
          <w:szCs w:val="18"/>
          <w:color w:val="auto"/>
        </w:rPr>
      </w:pPr>
    </w:p>
    <w:p>
      <w:pPr>
        <w:ind w:left="1920" w:hanging="372"/>
        <w:spacing w:after="0"/>
        <w:tabs>
          <w:tab w:leader="none" w:pos="1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 to Administrative Agent as soon as reasonably practicable after it is published copies of:</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Offer Document and any Scheme Documents; and</w:t>
      </w:r>
    </w:p>
    <w:p>
      <w:pPr>
        <w:spacing w:after="0" w:line="225" w:lineRule="exact"/>
        <w:rPr>
          <w:rFonts w:ascii="Arial" w:cs="Arial" w:eastAsia="Arial" w:hAnsi="Arial"/>
          <w:sz w:val="18"/>
          <w:szCs w:val="18"/>
          <w:color w:val="auto"/>
        </w:rPr>
      </w:pPr>
    </w:p>
    <w:p>
      <w:pPr>
        <w:ind w:left="1300" w:right="100" w:firstLine="653"/>
        <w:spacing w:after="0" w:line="259" w:lineRule="auto"/>
        <w:tabs>
          <w:tab w:leader="none" w:pos="22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Rule 2.7 Announcement (each of which shall include terms and conditions which are (taken as a whole) not materially prejudicial to the interests of the Lenders (taken as a whole) when compared to those included in the Rule 2.7 Announcement issued by the Borrower on April 25, 2018, it being acknowledged that a waiver of a pre-condition which then becomes a condition to be satisfied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45</w:t>
      </w:r>
    </w:p>
    <w:p>
      <w:pPr>
        <w:spacing w:after="0" w:line="117" w:lineRule="exact"/>
        <w:rPr>
          <w:sz w:val="20"/>
          <w:szCs w:val="20"/>
          <w:color w:val="auto"/>
        </w:rPr>
      </w:pPr>
    </w:p>
    <w:p>
      <w:pPr>
        <w:jc w:val="both"/>
        <w:ind w:left="1300" w:right="440"/>
        <w:spacing w:after="0" w:line="286" w:lineRule="auto"/>
        <w:rPr>
          <w:sz w:val="20"/>
          <w:szCs w:val="20"/>
          <w:color w:val="auto"/>
        </w:rPr>
      </w:pPr>
      <w:r>
        <w:rPr>
          <w:rFonts w:ascii="Arial" w:cs="Arial" w:eastAsia="Arial" w:hAnsi="Arial"/>
          <w:sz w:val="17"/>
          <w:szCs w:val="17"/>
          <w:color w:val="auto"/>
        </w:rPr>
        <w:t xml:space="preserve">with the Target Acquisition or an increase to the price of the Target Acquisition will not be materially prejudicial to the interests of the Lenders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modify or amend any term or condition of any Offer or Scheme to the extent required by the Code, the Panel, any other competent regulatory body or by a court of competent jurisdiction).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so long as any Obligations remain unpaid, or any portion of the Commitments remains outstanding:</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1920" w:hanging="372"/>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jc w:val="both"/>
        <w:ind w:left="260" w:right="120" w:firstLine="1288"/>
        <w:spacing w:after="0" w:line="264" w:lineRule="auto"/>
        <w:tabs>
          <w:tab w:leader="none" w:pos="19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securing Indebtedness for borrowed money (including without duplication Guaranty Obligations in respect thereof) that does not exceed $750,000,000 in the aggregate,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extended to cover any other property, assets or revenues;</w:t>
      </w:r>
    </w:p>
    <w:p>
      <w:pPr>
        <w:spacing w:after="0" w:line="181" w:lineRule="exact"/>
        <w:rPr>
          <w:rFonts w:ascii="Arial" w:cs="Arial" w:eastAsia="Arial" w:hAnsi="Arial"/>
          <w:sz w:val="18"/>
          <w:szCs w:val="18"/>
          <w:color w:val="auto"/>
        </w:rPr>
      </w:pPr>
    </w:p>
    <w:p>
      <w:pPr>
        <w:ind w:left="1920" w:hanging="372"/>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left="260" w:right="80" w:firstLine="1288"/>
        <w:spacing w:after="0" w:line="259" w:lineRule="auto"/>
        <w:tabs>
          <w:tab w:leader="none" w:pos="19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86" w:lineRule="exact"/>
        <w:rPr>
          <w:rFonts w:ascii="Arial" w:cs="Arial" w:eastAsia="Arial" w:hAnsi="Arial"/>
          <w:sz w:val="18"/>
          <w:szCs w:val="18"/>
          <w:color w:val="auto"/>
        </w:rPr>
      </w:pPr>
    </w:p>
    <w:p>
      <w:pPr>
        <w:ind w:left="260" w:firstLine="1288"/>
        <w:spacing w:after="0" w:line="264" w:lineRule="auto"/>
        <w:tabs>
          <w:tab w:leader="none" w:pos="19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left="260" w:right="420" w:firstLine="1288"/>
        <w:spacing w:after="0" w:line="277" w:lineRule="auto"/>
        <w:tabs>
          <w:tab w:leader="none" w:pos="19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Liens not otherwise permitted hereby which secure Indebtedness incurred pursuant to Asset Monetization Transactions;</w:t>
      </w:r>
    </w:p>
    <w:p>
      <w:pPr>
        <w:spacing w:after="0" w:line="236" w:lineRule="exact"/>
        <w:rPr>
          <w:rFonts w:ascii="Arial" w:cs="Arial" w:eastAsia="Arial" w:hAnsi="Arial"/>
          <w:sz w:val="17"/>
          <w:szCs w:val="17"/>
          <w:color w:val="auto"/>
        </w:rPr>
      </w:pPr>
    </w:p>
    <w:p>
      <w:pPr>
        <w:ind w:left="260" w:right="60" w:firstLine="1288"/>
        <w:spacing w:after="0" w:line="277" w:lineRule="auto"/>
        <w:tabs>
          <w:tab w:leader="none" w:pos="19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Liens on any assets of the Target Group which Liens (i) are existing as of the Final Closing Date, (ii) are not incurred to secure indebtedness financing the Target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260" w:right="160" w:hanging="9"/>
        <w:spacing w:after="0" w:line="264"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 not extend to other assets other than (x) after acquired property that is automatically subject to such Lien, (y) proceeds and products of such property and any replacement, improvement, accessions or additions thereto and (B) any modification, replacement, refinancing, renewal or extension of such Lien; and</w:t>
      </w:r>
    </w:p>
    <w:p>
      <w:pPr>
        <w:spacing w:after="0" w:line="181" w:lineRule="exact"/>
        <w:rPr>
          <w:rFonts w:ascii="Arial" w:cs="Arial" w:eastAsia="Arial" w:hAnsi="Arial"/>
          <w:sz w:val="18"/>
          <w:szCs w:val="18"/>
          <w:color w:val="auto"/>
        </w:rPr>
      </w:pPr>
    </w:p>
    <w:p>
      <w:pPr>
        <w:ind w:left="260" w:right="340" w:firstLine="1288"/>
        <w:spacing w:after="0" w:line="259" w:lineRule="auto"/>
        <w:tabs>
          <w:tab w:leader="none" w:pos="19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Tangible Assets minus (y) the amount, if any, of any unsecured Indebtedness incurred by any Restricted Subsidiary that is not a Guarantor pursuant to Section 7.02.</w:t>
      </w:r>
    </w:p>
    <w:p>
      <w:pPr>
        <w:spacing w:after="0" w:line="187"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left="260" w:right="220" w:firstLine="1288"/>
        <w:spacing w:after="0" w:line="264" w:lineRule="auto"/>
        <w:tabs>
          <w:tab w:leader="none" w:pos="19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181" w:lineRule="exact"/>
        <w:rPr>
          <w:rFonts w:ascii="Arial" w:cs="Arial" w:eastAsia="Arial" w:hAnsi="Arial"/>
          <w:sz w:val="18"/>
          <w:szCs w:val="18"/>
          <w:color w:val="auto"/>
        </w:rPr>
      </w:pPr>
    </w:p>
    <w:p>
      <w:pPr>
        <w:ind w:left="1940" w:hanging="392"/>
        <w:spacing w:after="0"/>
        <w:tabs>
          <w:tab w:leader="none" w:pos="1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225" w:lineRule="exact"/>
        <w:rPr>
          <w:rFonts w:ascii="Arial" w:cs="Arial" w:eastAsia="Arial" w:hAnsi="Arial"/>
          <w:sz w:val="18"/>
          <w:szCs w:val="18"/>
          <w:color w:val="auto"/>
        </w:rPr>
      </w:pPr>
    </w:p>
    <w:p>
      <w:pPr>
        <w:ind w:left="260" w:right="200" w:firstLine="1288"/>
        <w:spacing w:after="0" w:line="277" w:lineRule="auto"/>
        <w:tabs>
          <w:tab w:leader="none" w:pos="19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Indebtedness of the Target Group that (i) is existing as of the Final Closing Date and (ii) is not incurred to finance the Target Acquisition and (B) any modification, replacement, refinancing, renewal or extension of such Indebtedness; and</w:t>
      </w:r>
    </w:p>
    <w:p>
      <w:pPr>
        <w:spacing w:after="0" w:line="170" w:lineRule="exact"/>
        <w:rPr>
          <w:rFonts w:ascii="Arial" w:cs="Arial" w:eastAsia="Arial" w:hAnsi="Arial"/>
          <w:sz w:val="18"/>
          <w:szCs w:val="18"/>
          <w:color w:val="auto"/>
        </w:rPr>
      </w:pPr>
    </w:p>
    <w:p>
      <w:pPr>
        <w:ind w:left="260" w:right="340" w:firstLine="1288"/>
        <w:spacing w:after="0" w:line="264" w:lineRule="auto"/>
        <w:tabs>
          <w:tab w:leader="none" w:pos="19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Indebtedness in an aggregate principal amount for all such Restricted Subsidiaries that are not Guarantors not exceeding at any time (x) 15% of Consolidated Net Tangible Assets minus (y) the amount, if any, of Indebtedness for borrowed money (including without duplication Guaranty Obligations in respect thereof) of any Loan Party secured pursuant to Section 7.01(j)).</w:t>
      </w:r>
    </w:p>
    <w:p>
      <w:pPr>
        <w:spacing w:after="0" w:line="18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(a) Borrower shall not (A) merge or consolidate with or into any Person or (B) liquidate, wind-up or dissolve itself or (C) sell, transfer or dispose of all or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7.03 shall be construed to prohibit Borrower from reincorporating in another jurisdiction permitted by clause (iii) below, changing its form of organization or merging into, or transferring all or substantially all of its assets to, another Person so long as:</w:t>
      </w:r>
    </w:p>
    <w:p>
      <w:pPr>
        <w:spacing w:after="0" w:line="187" w:lineRule="exact"/>
        <w:rPr>
          <w:sz w:val="20"/>
          <w:szCs w:val="20"/>
          <w:color w:val="auto"/>
        </w:rPr>
      </w:pPr>
    </w:p>
    <w:p>
      <w:pPr>
        <w:ind w:left="1300" w:right="40" w:firstLine="653"/>
        <w:spacing w:after="0" w:line="291" w:lineRule="auto"/>
        <w:tabs>
          <w:tab w:leader="none" w:pos="21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47</w:t>
      </w:r>
    </w:p>
    <w:p>
      <w:pPr>
        <w:spacing w:after="0" w:line="117"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borrowed money, which ratings shall be either Baa3 or higher (if assigned by Moody’s) or BBB- or higher (if assigned by S&amp;P) or (II) be acceptable to Required Lenders;</w:t>
      </w:r>
    </w:p>
    <w:p>
      <w:pPr>
        <w:spacing w:after="0" w:line="170" w:lineRule="exact"/>
        <w:rPr>
          <w:sz w:val="20"/>
          <w:szCs w:val="20"/>
          <w:color w:val="auto"/>
        </w:rPr>
      </w:pPr>
    </w:p>
    <w:p>
      <w:pPr>
        <w:ind w:left="2220" w:hanging="267"/>
        <w:spacing w:after="0"/>
        <w:tabs>
          <w:tab w:leader="none" w:pos="22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248" w:lineRule="exact"/>
        <w:rPr>
          <w:rFonts w:ascii="Arial" w:cs="Arial" w:eastAsia="Arial" w:hAnsi="Arial"/>
          <w:sz w:val="16"/>
          <w:szCs w:val="16"/>
          <w:color w:val="auto"/>
        </w:rPr>
      </w:pPr>
    </w:p>
    <w:p>
      <w:pPr>
        <w:ind w:left="1300" w:right="220" w:firstLine="653"/>
        <w:spacing w:after="0" w:line="277" w:lineRule="auto"/>
        <w:tabs>
          <w:tab w:leader="none" w:pos="22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Borrower or a Successor Corporation’s jurisdiction of organization shall be a state within in the United States of America or the District of Columbia.</w:t>
      </w:r>
    </w:p>
    <w:p>
      <w:pPr>
        <w:spacing w:after="0" w:line="170" w:lineRule="exact"/>
        <w:rPr>
          <w:sz w:val="20"/>
          <w:szCs w:val="20"/>
          <w:color w:val="auto"/>
        </w:rPr>
      </w:pPr>
    </w:p>
    <w:p>
      <w:pPr>
        <w:ind w:left="260" w:right="520" w:firstLine="1288"/>
        <w:spacing w:after="0" w:line="277" w:lineRule="auto"/>
        <w:tabs>
          <w:tab w:leader="none" w:pos="19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Notwithstanding anything to the contrary herein, for the avoidance of doubt, this Section 7.03 shall not apply to the Target Acquisition or any transactions undertaken to implement the Target Acquisition, in accordance with the Offer Documents or the Scheme Documents and the Target Acquisition shall be permitted hereunder.</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w:t>
      </w:r>
    </w:p>
    <w:p>
      <w:pPr>
        <w:spacing w:after="0" w:line="23" w:lineRule="exact"/>
        <w:rPr>
          <w:sz w:val="20"/>
          <w:szCs w:val="20"/>
          <w:color w:val="auto"/>
        </w:rPr>
      </w:pPr>
    </w:p>
    <w:p>
      <w:pPr>
        <w:ind w:right="20" w:firstLine="8"/>
        <w:spacing w:after="0" w:line="255"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9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will not request any Borrowing and Borrower shall not use, and shall not make available to its Subsidiaries and its or their respective directors, officers, employees and agents,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78"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Financial Covenant</w:t>
      </w:r>
      <w:r>
        <w:rPr>
          <w:rFonts w:ascii="Arial" w:cs="Arial" w:eastAsia="Arial" w:hAnsi="Arial"/>
          <w:sz w:val="18"/>
          <w:szCs w:val="18"/>
          <w:color w:val="auto"/>
        </w:rPr>
        <w:t>. Borrower shall not permit the Leverage Ratio as of the end of any fiscal quarter of Borrower ending after the Initial Closing Date to be greater than 5.75 to 1.00.</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Scheme and Offer</w:t>
      </w:r>
      <w:r>
        <w:rPr>
          <w:rFonts w:ascii="Arial" w:cs="Arial" w:eastAsia="Arial" w:hAnsi="Arial"/>
          <w:sz w:val="16"/>
          <w:szCs w:val="16"/>
          <w:color w:val="auto"/>
        </w:rPr>
        <w:t>.</w:t>
      </w:r>
    </w:p>
    <w:p>
      <w:pPr>
        <w:spacing w:after="0" w:line="225" w:lineRule="exact"/>
        <w:rPr>
          <w:sz w:val="20"/>
          <w:szCs w:val="20"/>
          <w:color w:val="auto"/>
        </w:rPr>
      </w:pPr>
    </w:p>
    <w:p>
      <w:pPr>
        <w:ind w:left="260" w:right="60" w:firstLine="1288"/>
        <w:spacing w:after="0" w:line="276" w:lineRule="auto"/>
        <w:tabs>
          <w:tab w:leader="none" w:pos="193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Except as consented to by the Required Lenders in writing (such consent not to be unreasonably withheld, conditioned or delayed), Borrower shall not (and shall procure that Bidco shall not) amend, treat as satisfied or waive any term or condition of an Offer or a Scheme set out in the relevant Target Acquisition Document other than any such amendment, treatment or waiver which is not a Materially Adverse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amend, treat as satisfied or waive any term or condition of an Offer or a Scheme to the extent required by the Takeover Code, the Panel, any other competent regulatory body or by a court of competent jurisdiction.</w:t>
      </w:r>
    </w:p>
    <w:p>
      <w:pPr>
        <w:spacing w:after="0" w:line="172" w:lineRule="exact"/>
        <w:rPr>
          <w:rFonts w:ascii="Arial" w:cs="Arial" w:eastAsia="Arial" w:hAnsi="Arial"/>
          <w:sz w:val="17"/>
          <w:szCs w:val="17"/>
          <w:color w:val="auto"/>
        </w:rPr>
      </w:pPr>
    </w:p>
    <w:p>
      <w:pPr>
        <w:ind w:left="260" w:right="860" w:firstLine="1288"/>
        <w:spacing w:after="0" w:line="277" w:lineRule="auto"/>
        <w:tabs>
          <w:tab w:leader="none" w:pos="19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 Offer, Borrower shall not (and shall procure that Bidco shall not) declare any Offer unconditional as to acceptances until the Acceptance Condition shall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Subject to Section 4.04, any one or more of the following events shall constitute an Event of Default:</w:t>
      </w:r>
    </w:p>
    <w:p>
      <w:pPr>
        <w:spacing w:after="0" w:line="225" w:lineRule="exact"/>
        <w:rPr>
          <w:sz w:val="20"/>
          <w:szCs w:val="20"/>
          <w:color w:val="auto"/>
        </w:rPr>
      </w:pPr>
    </w:p>
    <w:p>
      <w:pPr>
        <w:ind w:left="1660" w:hanging="372"/>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Borrower fails to pay any principal on any of its Outstanding Obligations (other than fees) on the date when due; or</w:t>
      </w:r>
    </w:p>
    <w:p>
      <w:pPr>
        <w:spacing w:after="0" w:line="225" w:lineRule="exact"/>
        <w:rPr>
          <w:rFonts w:ascii="Arial" w:cs="Arial" w:eastAsia="Arial" w:hAnsi="Arial"/>
          <w:sz w:val="18"/>
          <w:szCs w:val="18"/>
          <w:color w:val="auto"/>
        </w:rPr>
      </w:pPr>
    </w:p>
    <w:p>
      <w:pPr>
        <w:jc w:val="both"/>
        <w:ind w:right="240" w:firstLine="1288"/>
        <w:spacing w:after="0" w:line="264" w:lineRule="auto"/>
        <w:tabs>
          <w:tab w:leader="none" w:pos="16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Obligations,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660" w:hanging="372"/>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jc w:val="both"/>
        <w:ind w:right="360" w:firstLine="1288"/>
        <w:spacing w:after="0" w:line="264" w:lineRule="auto"/>
        <w:tabs>
          <w:tab w:leader="none" w:pos="16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200" w:firstLine="1288"/>
        <w:spacing w:after="0" w:line="277" w:lineRule="auto"/>
        <w:tabs>
          <w:tab w:leader="none" w:pos="16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right="60" w:firstLine="1288"/>
        <w:spacing w:after="0" w:line="270" w:lineRule="auto"/>
        <w:tabs>
          <w:tab w:leader="none" w:pos="1701"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or</w:t>
      </w:r>
    </w:p>
    <w:p>
      <w:pPr>
        <w:spacing w:after="0" w:line="181" w:lineRule="exact"/>
        <w:rPr>
          <w:rFonts w:ascii="Arial" w:cs="Arial" w:eastAsia="Arial" w:hAnsi="Arial"/>
          <w:sz w:val="17"/>
          <w:szCs w:val="17"/>
          <w:color w:val="auto"/>
        </w:rPr>
      </w:pPr>
    </w:p>
    <w:p>
      <w:pPr>
        <w:ind w:right="220" w:firstLine="1288"/>
        <w:spacing w:after="0" w:line="302" w:lineRule="auto"/>
        <w:tabs>
          <w:tab w:leader="none" w:pos="16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a Guarantor denies in writing that it has any or further liability or obligation under the Guarantee Agreement, or purports to revoke, terminate or rescind the Guarantee Agreement in writing; or</w:t>
      </w:r>
    </w:p>
    <w:p>
      <w:pPr>
        <w:spacing w:after="0" w:line="154" w:lineRule="exact"/>
        <w:rPr>
          <w:rFonts w:ascii="Arial" w:cs="Arial" w:eastAsia="Arial" w:hAnsi="Arial"/>
          <w:sz w:val="16"/>
          <w:szCs w:val="16"/>
          <w:color w:val="auto"/>
        </w:rPr>
      </w:pPr>
    </w:p>
    <w:p>
      <w:pPr>
        <w:ind w:right="500" w:firstLine="1288"/>
        <w:spacing w:after="0" w:line="277" w:lineRule="auto"/>
        <w:tabs>
          <w:tab w:leader="none" w:pos="16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186055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49</w:t>
      </w:r>
    </w:p>
    <w:p>
      <w:pPr>
        <w:spacing w:after="0" w:line="117"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color w:val="auto"/>
        </w:rPr>
        <w:t>Threshold Amount if such judgment remains unsatisfied without procurement of a stay of execution for 60 calendar days after the date of entry of such judgment; or</w:t>
      </w:r>
    </w:p>
    <w:p>
      <w:pPr>
        <w:spacing w:after="0" w:line="170" w:lineRule="exact"/>
        <w:rPr>
          <w:sz w:val="20"/>
          <w:szCs w:val="20"/>
          <w:color w:val="auto"/>
        </w:rPr>
      </w:pPr>
    </w:p>
    <w:p>
      <w:pPr>
        <w:ind w:left="260" w:right="20" w:firstLine="1288"/>
        <w:spacing w:after="0" w:line="293" w:lineRule="auto"/>
        <w:tabs>
          <w:tab w:leader="none" w:pos="1951" w:val="left"/>
        </w:tabs>
        <w:numPr>
          <w:ilvl w:val="0"/>
          <w:numId w:val="61"/>
        </w:numPr>
        <w:rPr>
          <w:rFonts w:ascii="Arial" w:cs="Arial" w:eastAsia="Arial" w:hAnsi="Arial"/>
          <w:sz w:val="16"/>
          <w:szCs w:val="16"/>
          <w:color w:val="auto"/>
        </w:rPr>
      </w:pPr>
      <w:r>
        <w:rPr>
          <w:rFonts w:ascii="Arial" w:cs="Arial" w:eastAsia="Arial" w:hAnsi="Arial"/>
          <w:sz w:val="16"/>
          <w:szCs w:val="16"/>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left="1940" w:hanging="392"/>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right="260" w:firstLine="1297"/>
        <w:spacing w:after="0" w:line="342" w:lineRule="auto"/>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Without limiting any other rights or remedies of Administrative Agent or Lenders provided for elsewhere in this Agreement, or the other Loan Documents, or by applicable Law, or in equity, or otherwise (but subject in all cases to Section 4.04):</w:t>
      </w:r>
    </w:p>
    <w:p>
      <w:pPr>
        <w:spacing w:after="0" w:line="124" w:lineRule="exact"/>
        <w:rPr>
          <w:sz w:val="20"/>
          <w:szCs w:val="20"/>
          <w:color w:val="auto"/>
        </w:rPr>
      </w:pPr>
    </w:p>
    <w:p>
      <w:pPr>
        <w:ind w:left="260" w:right="100" w:firstLine="1288"/>
        <w:spacing w:after="0" w:line="257" w:lineRule="auto"/>
        <w:tabs>
          <w:tab w:leader="none" w:pos="19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Administrative Agent may, with the consent of the Required Lenders, and (subject to the terms of Section 9) shall, upon the request of Required Lenders, declare all or any part of the unpaid principal of all Term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w:t>
      </w:r>
    </w:p>
    <w:p>
      <w:pPr>
        <w:spacing w:after="0" w:line="188" w:lineRule="exact"/>
        <w:rPr>
          <w:rFonts w:ascii="Arial" w:cs="Arial" w:eastAsia="Arial" w:hAnsi="Arial"/>
          <w:sz w:val="18"/>
          <w:szCs w:val="18"/>
          <w:color w:val="auto"/>
        </w:rPr>
      </w:pPr>
    </w:p>
    <w:p>
      <w:pPr>
        <w:ind w:left="260" w:right="180" w:firstLine="1288"/>
        <w:spacing w:after="0" w:line="277" w:lineRule="auto"/>
        <w:tabs>
          <w:tab w:leader="none" w:pos="19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(x) following the expiration of the Certain Funds Period, any Event of Default described in Section 8.01(i) occurs or (y) during the Certain Funds Period, an Event of Default described in Section 8.01(i) occurs that is a Major Event of Default, then:</w:t>
      </w:r>
    </w:p>
    <w:p>
      <w:pPr>
        <w:spacing w:after="0" w:line="170" w:lineRule="exact"/>
        <w:rPr>
          <w:rFonts w:ascii="Arial" w:cs="Arial" w:eastAsia="Arial" w:hAnsi="Arial"/>
          <w:sz w:val="18"/>
          <w:szCs w:val="18"/>
          <w:color w:val="auto"/>
        </w:rPr>
      </w:pPr>
    </w:p>
    <w:p>
      <w:pPr>
        <w:ind w:left="1300" w:right="160" w:firstLine="653"/>
        <w:spacing w:after="0" w:line="277" w:lineRule="auto"/>
        <w:tabs>
          <w:tab w:leader="none" w:pos="21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Commitments and all other obligations of Administrative Agent or Lenders shall automatically terminate without notice to or demand upon Borrower, which is expressly waived by Borrower; and</w:t>
      </w:r>
    </w:p>
    <w:p>
      <w:pPr>
        <w:spacing w:after="0" w:line="170" w:lineRule="exact"/>
        <w:rPr>
          <w:rFonts w:ascii="Arial" w:cs="Arial" w:eastAsia="Arial" w:hAnsi="Arial"/>
          <w:sz w:val="18"/>
          <w:szCs w:val="18"/>
          <w:color w:val="auto"/>
        </w:rPr>
      </w:pPr>
    </w:p>
    <w:p>
      <w:pPr>
        <w:jc w:val="both"/>
        <w:ind w:left="1300" w:right="220" w:firstLine="653"/>
        <w:spacing w:after="0" w:line="264" w:lineRule="auto"/>
        <w:tabs>
          <w:tab w:leader="none" w:pos="22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unpaid principal of all Term Loans, all interest accrued and unpaid thereon and all other amounts payable under the Loan Documents shall be immediately due and payable, without protest, presentment, notice of dishonor, demand or further notice of any kind, all of which are expressly waived by Borrower.</w:t>
      </w:r>
    </w:p>
    <w:p>
      <w:pPr>
        <w:spacing w:after="0" w:line="181" w:lineRule="exact"/>
        <w:rPr>
          <w:rFonts w:ascii="Arial" w:cs="Arial" w:eastAsia="Arial" w:hAnsi="Arial"/>
          <w:sz w:val="18"/>
          <w:szCs w:val="18"/>
          <w:color w:val="auto"/>
        </w:rPr>
      </w:pPr>
    </w:p>
    <w:p>
      <w:pPr>
        <w:ind w:left="260" w:right="40" w:firstLine="1288"/>
        <w:spacing w:after="0" w:line="286" w:lineRule="auto"/>
        <w:tabs>
          <w:tab w:leader="none" w:pos="1936"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jc w:val="both"/>
        <w:ind w:left="260" w:right="140" w:firstLine="1288"/>
        <w:spacing w:after="0" w:line="259" w:lineRule="auto"/>
        <w:tabs>
          <w:tab w:leader="none" w:pos="19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50</w:t>
      </w:r>
    </w:p>
    <w:p>
      <w:pPr>
        <w:spacing w:after="0" w:line="117" w:lineRule="exact"/>
        <w:rPr>
          <w:sz w:val="20"/>
          <w:szCs w:val="20"/>
          <w:color w:val="auto"/>
        </w:rPr>
      </w:pPr>
    </w:p>
    <w:p>
      <w:pPr>
        <w:ind w:left="260" w:right="120"/>
        <w:spacing w:after="0" w:line="293" w:lineRule="auto"/>
        <w:rPr>
          <w:sz w:val="20"/>
          <w:szCs w:val="20"/>
          <w:color w:val="auto"/>
        </w:rPr>
      </w:pPr>
      <w:r>
        <w:rPr>
          <w:rFonts w:ascii="Arial" w:cs="Arial" w:eastAsia="Arial" w:hAnsi="Arial"/>
          <w:sz w:val="16"/>
          <w:szCs w:val="16"/>
          <w:color w:val="auto"/>
        </w:rPr>
        <w:t>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16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Clean-Up Period</w:t>
      </w:r>
      <w:r>
        <w:rPr>
          <w:rFonts w:ascii="Arial" w:cs="Arial" w:eastAsia="Arial" w:hAnsi="Arial"/>
          <w:sz w:val="18"/>
          <w:szCs w:val="18"/>
          <w:color w:val="auto"/>
        </w:rPr>
        <w:t>. Notwithstanding anything in any Loan Document to the contrary, for a period commencing on the Initial Closing Date and ending on the Clean-Up Period Termination Date, any breach of covenants, misrepresentation or other Default or Event of Default which arises with respect to the Target Group only will be deemed not to be a breach of representation or warranty, a breach of covenant, a Default or an Event of Default, as the case may be, if:</w:t>
      </w:r>
    </w:p>
    <w:p>
      <w:pPr>
        <w:spacing w:after="0" w:line="187" w:lineRule="exact"/>
        <w:rPr>
          <w:sz w:val="20"/>
          <w:szCs w:val="20"/>
          <w:color w:val="auto"/>
        </w:rPr>
      </w:pPr>
    </w:p>
    <w:p>
      <w:pPr>
        <w:ind w:left="1920" w:hanging="372"/>
        <w:spacing w:after="0"/>
        <w:tabs>
          <w:tab w:leader="none" w:pos="19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it relates exclusively to the Target Group (or any obligation to procure or ensure any action in relation to the Target Group);</w:t>
      </w:r>
    </w:p>
    <w:p>
      <w:pPr>
        <w:spacing w:after="0" w:line="236" w:lineRule="exact"/>
        <w:rPr>
          <w:rFonts w:ascii="Arial" w:cs="Arial" w:eastAsia="Arial" w:hAnsi="Arial"/>
          <w:sz w:val="17"/>
          <w:szCs w:val="17"/>
          <w:color w:val="auto"/>
        </w:rPr>
      </w:pPr>
    </w:p>
    <w:p>
      <w:pPr>
        <w:ind w:left="1940" w:hanging="392"/>
        <w:spacing w:after="0"/>
        <w:tabs>
          <w:tab w:leader="none" w:pos="1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is capable of remedy and reasonable steps (consistent with Borrower’s level of control of the Target) are being taken to remedy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260" w:right="460" w:firstLine="1288"/>
        <w:spacing w:after="0" w:line="277" w:lineRule="auto"/>
        <w:tabs>
          <w:tab w:leader="none" w:pos="19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circumstances giving rise to it have not been procured by or approved by Borrower or any of its Subsidiaries (other than a member of the Target Group); and</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not reasonably likely to have a Material Adverse Effect;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circumstances are continuing on or after the Clean-Up Period Termination Date, there shall be a breach of representation or warranty, breach of covenant, Default or Event of Default, as the case may be, notwithstanding this Section 8.03.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For this purpose each Arranger and Lender incorporated in the Federal Republic of Germany releases the Agent from the restrictions of section 181 alternative 2 of the German Civil Code (Bürgerliches Gesetzbuch).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 The provisions of this Section are solely for the benefit of the Administrative Agent and the Lenders, and the Borrower shall not have rights as a third party beneficiary of any of such provisions (other than as provided in Section 9.09 below). It is understood and agreed that the use of the term “agent” herein or in any other Loan Documents (or any other similar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ind w:left="11240"/>
        <w:spacing w:after="0"/>
        <w:rPr>
          <w:sz w:val="20"/>
          <w:szCs w:val="20"/>
          <w:color w:val="auto"/>
        </w:rPr>
      </w:pPr>
      <w:r>
        <w:rPr>
          <w:rFonts w:ascii="Arial" w:cs="Arial" w:eastAsia="Arial" w:hAnsi="Arial"/>
          <w:sz w:val="16"/>
          <w:szCs w:val="16"/>
          <w:color w:val="auto"/>
        </w:rPr>
        <w:t>51</w:t>
      </w:r>
    </w:p>
    <w:p>
      <w:pPr>
        <w:spacing w:after="0" w:line="14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1"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Term Loans.</w:t>
      </w:r>
    </w:p>
    <w:p>
      <w:pPr>
        <w:spacing w:after="0" w:line="178" w:lineRule="exact"/>
        <w:rPr>
          <w:sz w:val="20"/>
          <w:szCs w:val="20"/>
          <w:color w:val="auto"/>
        </w:rPr>
      </w:pPr>
    </w:p>
    <w:p>
      <w:pPr>
        <w:ind w:right="60" w:firstLine="1305"/>
        <w:spacing w:after="0" w:line="259" w:lineRule="auto"/>
        <w:tabs>
          <w:tab w:leader="none" w:pos="15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Administrative Agent shall not be deemed to have knowledge or notice of the occurrence of any Default or Event of Default unless Administrative Agent has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52</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93"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Term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85"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each Agent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Term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Term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Term Loans and all other amounts payable hereunder.</w:t>
      </w:r>
    </w:p>
    <w:p>
      <w:pPr>
        <w:spacing w:after="0" w:line="173"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and its affiliates as though such Agent were not an Agent. With respect to its Term Loans made or renewed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53</w:t>
      </w:r>
    </w:p>
    <w:p>
      <w:pPr>
        <w:spacing w:after="0" w:line="11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47" w:lineRule="exact"/>
        <w:rPr>
          <w:sz w:val="20"/>
          <w:szCs w:val="20"/>
          <w:color w:val="auto"/>
        </w:rPr>
      </w:pPr>
    </w:p>
    <w:p>
      <w:pPr>
        <w:jc w:val="both"/>
        <w:ind w:right="320" w:firstLine="1297"/>
        <w:spacing w:after="0" w:line="28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w:t>
      </w:r>
    </w:p>
    <w:p>
      <w:pPr>
        <w:ind w:right="20"/>
        <w:spacing w:after="0" w:line="267" w:lineRule="auto"/>
        <w:rPr>
          <w:sz w:val="20"/>
          <w:szCs w:val="20"/>
          <w:color w:val="auto"/>
        </w:rPr>
      </w:pPr>
      <w:r>
        <w:rPr>
          <w:rFonts w:ascii="Arial" w:cs="Arial" w:eastAsia="Arial" w:hAnsi="Arial"/>
          <w:sz w:val="17"/>
          <w:szCs w:val="17"/>
          <w:color w:val="auto"/>
        </w:rPr>
        <w:t>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Term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 After the retiring Administrative Agent’s resignation hereunder and under the other Loan Documents, the provisions of this Section and Sections 10.03 and 10.13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in respect of any actions taken in connection with transferring the agency to any successor Administrative Agent.</w:t>
      </w:r>
    </w:p>
    <w:p>
      <w:pPr>
        <w:spacing w:after="0" w:line="182"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Syndication Agent</w:t>
      </w:r>
      <w:r>
        <w:rPr>
          <w:rFonts w:ascii="Arial" w:cs="Arial" w:eastAsia="Arial" w:hAnsi="Arial"/>
          <w:sz w:val="18"/>
          <w:szCs w:val="18"/>
          <w:color w:val="auto"/>
        </w:rPr>
        <w:t>. Neither Syndication Agent nor any Person identified on the cover page of this Agreement as a Joint Lead Arranger and Joint Bookrunner shall have any right, power, obligation, liability, responsibility or duty hereunder in its capacity as such. Without limiting the foregoing, Syndication Agent in its capacity as such shall not have or be deemed to have any fiduciary relationship with any Lender. Each Lender acknowledges that it has not relied, and will not rely, on Syndication Agent in deciding to enter into this Agreement or in taking or not taking action hereunder.</w:t>
      </w:r>
    </w:p>
    <w:p>
      <w:pPr>
        <w:spacing w:after="0" w:line="1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260" w:right="140" w:firstLine="1288"/>
        <w:spacing w:after="0" w:line="259" w:lineRule="auto"/>
        <w:tabs>
          <w:tab w:leader="none" w:pos="19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 at least one of the following is and will be true:</w:t>
      </w:r>
    </w:p>
    <w:p>
      <w:pPr>
        <w:spacing w:after="0" w:line="186" w:lineRule="exact"/>
        <w:rPr>
          <w:rFonts w:ascii="Arial" w:cs="Arial" w:eastAsia="Arial" w:hAnsi="Arial"/>
          <w:sz w:val="18"/>
          <w:szCs w:val="18"/>
          <w:color w:val="auto"/>
        </w:rPr>
      </w:pPr>
    </w:p>
    <w:p>
      <w:pPr>
        <w:ind w:left="1300" w:right="20" w:firstLine="653"/>
        <w:spacing w:after="0" w:line="277" w:lineRule="auto"/>
        <w:tabs>
          <w:tab w:leader="none" w:pos="21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Term Loans or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54</w:t>
      </w:r>
    </w:p>
    <w:p>
      <w:pPr>
        <w:spacing w:after="0" w:line="117" w:lineRule="exact"/>
        <w:rPr>
          <w:sz w:val="20"/>
          <w:szCs w:val="20"/>
          <w:color w:val="auto"/>
        </w:rPr>
      </w:pPr>
    </w:p>
    <w:p>
      <w:pPr>
        <w:ind w:left="1040" w:right="200" w:firstLine="653"/>
        <w:spacing w:after="0" w:line="273" w:lineRule="auto"/>
        <w:tabs>
          <w:tab w:leader="none" w:pos="1953"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Commitments and this Agreement,</w:t>
      </w:r>
    </w:p>
    <w:p>
      <w:pPr>
        <w:spacing w:after="0" w:line="178" w:lineRule="exact"/>
        <w:rPr>
          <w:rFonts w:ascii="Arial" w:cs="Arial" w:eastAsia="Arial" w:hAnsi="Arial"/>
          <w:sz w:val="17"/>
          <w:szCs w:val="17"/>
          <w:color w:val="auto"/>
        </w:rPr>
      </w:pPr>
    </w:p>
    <w:p>
      <w:pPr>
        <w:ind w:left="1040" w:right="100" w:firstLine="653"/>
        <w:spacing w:after="0" w:line="255" w:lineRule="auto"/>
        <w:tabs>
          <w:tab w:leader="none" w:pos="2003" w:val="left"/>
        </w:tabs>
        <w:numPr>
          <w:ilvl w:val="2"/>
          <w:numId w:val="6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Commitments and this Agreement, (C) the entrance into, participation in, administration of and performance of the Term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the Commitments and this Agreement, or</w:t>
      </w:r>
    </w:p>
    <w:p>
      <w:pPr>
        <w:spacing w:after="0" w:line="189" w:lineRule="exact"/>
        <w:rPr>
          <w:rFonts w:ascii="Arial" w:cs="Arial" w:eastAsia="Arial" w:hAnsi="Arial"/>
          <w:sz w:val="18"/>
          <w:szCs w:val="18"/>
          <w:color w:val="auto"/>
        </w:rPr>
      </w:pPr>
    </w:p>
    <w:p>
      <w:pPr>
        <w:ind w:left="1040" w:right="540" w:firstLine="653"/>
        <w:spacing w:after="0" w:line="277" w:lineRule="auto"/>
        <w:tabs>
          <w:tab w:leader="none" w:pos="1993" w:val="left"/>
        </w:tabs>
        <w:numPr>
          <w:ilvl w:val="2"/>
          <w:numId w:val="6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Administrative Agent, in its sole discretion, and such Lender.</w:t>
      </w:r>
    </w:p>
    <w:p>
      <w:pPr>
        <w:spacing w:after="0" w:line="170" w:lineRule="exact"/>
        <w:rPr>
          <w:rFonts w:ascii="Arial" w:cs="Arial" w:eastAsia="Arial" w:hAnsi="Arial"/>
          <w:sz w:val="18"/>
          <w:szCs w:val="18"/>
          <w:color w:val="auto"/>
        </w:rPr>
      </w:pPr>
    </w:p>
    <w:p>
      <w:pPr>
        <w:ind w:firstLine="1288"/>
        <w:spacing w:after="0" w:line="276" w:lineRule="auto"/>
        <w:tabs>
          <w:tab w:leader="none" w:pos="1686"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 addition, unless Section 9.11(a)(i)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w:t>
      </w:r>
    </w:p>
    <w:p>
      <w:pPr>
        <w:spacing w:after="0" w:line="172" w:lineRule="exact"/>
        <w:rPr>
          <w:rFonts w:ascii="Arial" w:cs="Arial" w:eastAsia="Arial" w:hAnsi="Arial"/>
          <w:sz w:val="17"/>
          <w:szCs w:val="17"/>
          <w:color w:val="auto"/>
        </w:rPr>
      </w:pPr>
    </w:p>
    <w:p>
      <w:pPr>
        <w:jc w:val="both"/>
        <w:ind w:left="1040" w:right="320" w:firstLine="653"/>
        <w:spacing w:after="0" w:line="264" w:lineRule="auto"/>
        <w:tabs>
          <w:tab w:leader="none" w:pos="1903"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none of Administrative Agent or any Arranger or any of their respective Affiliates is a fiduciary with respect to the assets of such Lender (including in connection with the reservation or exercise of any rights by Administrative Agent under this Agreement, any other Loan Document or any documents related to hereto or thereto),</w:t>
      </w:r>
    </w:p>
    <w:p>
      <w:pPr>
        <w:spacing w:after="0" w:line="181" w:lineRule="exact"/>
        <w:rPr>
          <w:rFonts w:ascii="Arial" w:cs="Arial" w:eastAsia="Arial" w:hAnsi="Arial"/>
          <w:sz w:val="18"/>
          <w:szCs w:val="18"/>
          <w:color w:val="auto"/>
        </w:rPr>
      </w:pPr>
    </w:p>
    <w:p>
      <w:pPr>
        <w:ind w:left="1040" w:right="40" w:firstLine="653"/>
        <w:spacing w:after="0" w:line="291" w:lineRule="auto"/>
        <w:tabs>
          <w:tab w:leader="none" w:pos="1953"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Term Loans, the Commitments and this Agreement is independent (within the meaning of 29 CFR</w:t>
      </w:r>
    </w:p>
    <w:p>
      <w:pPr>
        <w:ind w:left="1040" w:right="40" w:firstLine="5"/>
        <w:spacing w:after="0" w:line="290" w:lineRule="auto"/>
        <w:tabs>
          <w:tab w:leader="none" w:pos="1175" w:val="left"/>
        </w:tabs>
        <w:numPr>
          <w:ilvl w:val="0"/>
          <w:numId w:val="68"/>
        </w:numPr>
        <w:rPr>
          <w:rFonts w:ascii="Arial" w:cs="Arial" w:eastAsia="Arial" w:hAnsi="Arial"/>
          <w:sz w:val="17"/>
          <w:szCs w:val="17"/>
          <w:color w:val="auto"/>
        </w:rPr>
      </w:pPr>
      <w:r>
        <w:rPr>
          <w:rFonts w:ascii="Arial" w:cs="Arial" w:eastAsia="Arial" w:hAnsi="Arial"/>
          <w:sz w:val="17"/>
          <w:szCs w:val="17"/>
          <w:color w:val="auto"/>
        </w:rPr>
        <w:t>2510.3-21) and is a bank, an insurance carrier, an investment adviser, a broker-dealer or other person that holds, or has under management or control, total assets of at least $50,000,000, in each case as described in 29 CFR § 2510.3-21(c)(1)(i)(A)-(E),</w:t>
      </w:r>
    </w:p>
    <w:p>
      <w:pPr>
        <w:spacing w:after="0" w:line="161" w:lineRule="exact"/>
        <w:rPr>
          <w:rFonts w:ascii="Arial" w:cs="Arial" w:eastAsia="Arial" w:hAnsi="Arial"/>
          <w:sz w:val="17"/>
          <w:szCs w:val="17"/>
          <w:color w:val="auto"/>
        </w:rPr>
      </w:pPr>
    </w:p>
    <w:p>
      <w:pPr>
        <w:ind w:left="1040" w:right="100" w:firstLine="653"/>
        <w:spacing w:after="0" w:line="312" w:lineRule="auto"/>
        <w:tabs>
          <w:tab w:leader="none" w:pos="2003"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Term Loans, the Commitments and this Agreement is capable of evaluating investment risks independently, both in general and with regard to particular transactions and investment strategies (including in respect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170815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55</w:t>
      </w:r>
    </w:p>
    <w:p>
      <w:pPr>
        <w:spacing w:after="0" w:line="117" w:lineRule="exact"/>
        <w:rPr>
          <w:sz w:val="20"/>
          <w:szCs w:val="20"/>
          <w:color w:val="auto"/>
        </w:rPr>
      </w:pPr>
    </w:p>
    <w:p>
      <w:pPr>
        <w:ind w:left="1300" w:right="300" w:firstLine="653"/>
        <w:spacing w:after="0" w:line="259" w:lineRule="auto"/>
        <w:tabs>
          <w:tab w:leader="none" w:pos="22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Term Loans, the Commitments and this Agreement is a fiduciary under ERISA or the Code, or both, with respect to the Term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1300" w:right="200" w:firstLine="653"/>
        <w:spacing w:after="0" w:line="342" w:lineRule="auto"/>
        <w:tabs>
          <w:tab w:leader="none" w:pos="22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Administrative Agent or any Arranger or any their respective Affiliates for investment advice (as opposed to other services) in connection with the Term Loans, the Commitments or this Agreement.</w:t>
      </w:r>
    </w:p>
    <w:p>
      <w:pPr>
        <w:spacing w:after="0" w:line="123" w:lineRule="exact"/>
        <w:rPr>
          <w:rFonts w:ascii="Arial" w:cs="Arial" w:eastAsia="Arial" w:hAnsi="Arial"/>
          <w:sz w:val="16"/>
          <w:szCs w:val="16"/>
          <w:color w:val="auto"/>
        </w:rPr>
      </w:pPr>
    </w:p>
    <w:p>
      <w:pPr>
        <w:ind w:left="260" w:right="100" w:firstLine="1288"/>
        <w:spacing w:after="0" w:line="289" w:lineRule="auto"/>
        <w:tabs>
          <w:tab w:leader="none" w:pos="19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the Commitments and this Agreement, (ii) may recognize a gain if it extended the Term Loans or the Commitments for an amount less than the amount being paid for an interest in the Term Loans or the Commitments by such Lender or (iii) may receive fees or other payments in connection with the transactions contemplated hereby or by the other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Amendments; Consents</w:t>
      </w:r>
      <w:r>
        <w:rPr>
          <w:rFonts w:ascii="Arial" w:cs="Arial" w:eastAsia="Arial" w:hAnsi="Arial"/>
          <w:sz w:val="18"/>
          <w:szCs w:val="18"/>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93" w:lineRule="exact"/>
        <w:rPr>
          <w:sz w:val="20"/>
          <w:szCs w:val="20"/>
          <w:color w:val="auto"/>
        </w:rPr>
      </w:pPr>
    </w:p>
    <w:p>
      <w:pPr>
        <w:ind w:left="1920" w:hanging="372"/>
        <w:spacing w:after="0"/>
        <w:tabs>
          <w:tab w:leader="none" w:pos="1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Obligations owed to such Lender;</w:t>
      </w:r>
    </w:p>
    <w:p>
      <w:pPr>
        <w:spacing w:after="0" w:line="225" w:lineRule="exact"/>
        <w:rPr>
          <w:rFonts w:ascii="Arial" w:cs="Arial" w:eastAsia="Arial" w:hAnsi="Arial"/>
          <w:sz w:val="18"/>
          <w:szCs w:val="18"/>
          <w:color w:val="auto"/>
        </w:rPr>
      </w:pPr>
    </w:p>
    <w:p>
      <w:pPr>
        <w:ind w:left="260" w:right="180" w:firstLine="1288"/>
        <w:spacing w:after="0" w:line="264" w:lineRule="auto"/>
        <w:tabs>
          <w:tab w:leader="none" w:pos="19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 and amendments may otherwise be made in accordance with Section 3.03;</w:t>
      </w:r>
    </w:p>
    <w:p>
      <w:pPr>
        <w:spacing w:after="0" w:line="181" w:lineRule="exact"/>
        <w:rPr>
          <w:rFonts w:ascii="Arial" w:cs="Arial" w:eastAsia="Arial" w:hAnsi="Arial"/>
          <w:sz w:val="18"/>
          <w:szCs w:val="18"/>
          <w:color w:val="auto"/>
        </w:rPr>
      </w:pPr>
    </w:p>
    <w:p>
      <w:pPr>
        <w:ind w:left="260" w:right="260" w:firstLine="1288"/>
        <w:spacing w:after="0" w:line="277" w:lineRule="auto"/>
        <w:tabs>
          <w:tab w:leader="none" w:pos="19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56</w:t>
      </w:r>
    </w:p>
    <w:p>
      <w:pPr>
        <w:spacing w:after="0" w:line="117" w:lineRule="exact"/>
        <w:rPr>
          <w:sz w:val="20"/>
          <w:szCs w:val="20"/>
          <w:color w:val="auto"/>
        </w:rPr>
      </w:pPr>
    </w:p>
    <w:p>
      <w:pPr>
        <w:jc w:val="both"/>
        <w:ind w:left="260" w:right="60" w:firstLine="1288"/>
        <w:spacing w:after="0" w:line="279" w:lineRule="auto"/>
        <w:tabs>
          <w:tab w:leader="none" w:pos="1946" w:val="left"/>
        </w:tabs>
        <w:numPr>
          <w:ilvl w:val="0"/>
          <w:numId w:val="73"/>
        </w:numPr>
        <w:rPr>
          <w:rFonts w:ascii="Arial" w:cs="Arial" w:eastAsia="Arial" w:hAnsi="Arial"/>
          <w:sz w:val="17"/>
          <w:szCs w:val="17"/>
          <w:color w:val="auto"/>
        </w:rPr>
      </w:pPr>
      <w:r>
        <w:rPr>
          <w:rFonts w:ascii="Arial" w:cs="Arial" w:eastAsia="Arial" w:hAnsi="Arial"/>
          <w:sz w:val="17"/>
          <w:szCs w:val="17"/>
          <w:color w:val="auto"/>
        </w:rPr>
        <w:t>Postpone any date scheduled for the payment of principal of, or interest on, any Term Loan or for the payment of any commitment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such Lender’s share of the Commitments (except as contemplated hereby);</w:t>
      </w:r>
    </w:p>
    <w:p>
      <w:pPr>
        <w:spacing w:after="0" w:line="171" w:lineRule="exact"/>
        <w:rPr>
          <w:rFonts w:ascii="Arial" w:cs="Arial" w:eastAsia="Arial" w:hAnsi="Arial"/>
          <w:sz w:val="17"/>
          <w:szCs w:val="17"/>
          <w:color w:val="auto"/>
        </w:rPr>
      </w:pPr>
    </w:p>
    <w:p>
      <w:pPr>
        <w:ind w:left="1920" w:hanging="372"/>
        <w:spacing w:after="0"/>
        <w:tabs>
          <w:tab w:leader="none" w:pos="19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Amend or waive the definition of “Required Lenders”, or the provisions of </w:t>
      </w:r>
      <w:r>
        <w:rPr>
          <w:rFonts w:ascii="Arial" w:cs="Arial" w:eastAsia="Arial" w:hAnsi="Arial"/>
          <w:sz w:val="17"/>
          <w:szCs w:val="17"/>
          <w:u w:val="single" w:color="auto"/>
          <w:color w:val="auto"/>
        </w:rPr>
        <w:t>Section 8.02(d)</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960" w:hanging="412"/>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 or extend the “Certain Funds Period” or the “Certain Funds Termination Date”;</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provided, however, that (i) no amendment, waiver or consent shall, unless in writing and signed by Administrative Agent in addition to Required Lenders or each affected Lender, as the case may be, affect the rights or duties of Administrative Agent, (ii) any fee letters may be amended, or rights or privileges thereunder waived, in a writing executed by the parties thereto and (iii) except as otherwise contemplated hereunder, without the written consent of all Lenders, no amendment, waiver or consent shall release all or substantially all of Guarantors from their obligations under the Guarantee Agreement with respect to the Term Loans .</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consent or waiver of any provision of this Agreement or any other Loan Document that requires the consent of each of the Lenders (or each of the Lenders) or each of the Lenders (or each of the Lenders) directly and adversely affected thereby, so long as the consent of Required Lenders has been obtained, Borrower shall be permitted to remove or replace such Lender in accordance with Section 10.21.</w:t>
      </w:r>
    </w:p>
    <w:p>
      <w:pPr>
        <w:spacing w:after="0" w:line="18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Requisite Notice; Electronic Communications</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57" w:lineRule="auto"/>
        <w:tabs>
          <w:tab w:leader="none" w:pos="193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and Administrative Agent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Mode of Delivery</w:t>
            </w:r>
          </w:p>
        </w:tc>
        <w:tc>
          <w:tcPr>
            <w:tcW w:w="2620" w:type="dxa"/>
            <w:vAlign w:val="bottom"/>
          </w:tcPr>
          <w:p>
            <w:pPr>
              <w:spacing w:after="0"/>
              <w:rPr>
                <w:sz w:val="18"/>
                <w:szCs w:val="18"/>
                <w:color w:val="auto"/>
              </w:rPr>
            </w:pPr>
          </w:p>
        </w:tc>
        <w:tc>
          <w:tcPr>
            <w:tcW w:w="7500" w:type="dxa"/>
            <w:vAlign w:val="bottom"/>
          </w:tcPr>
          <w:p>
            <w:pPr>
              <w:spacing w:after="0"/>
              <w:rPr>
                <w:sz w:val="18"/>
                <w:szCs w:val="18"/>
                <w:color w:val="auto"/>
              </w:rPr>
            </w:pPr>
          </w:p>
        </w:tc>
      </w:tr>
      <w:tr>
        <w:trPr>
          <w:trHeight w:val="438"/>
        </w:trPr>
        <w:tc>
          <w:tcPr>
            <w:tcW w:w="3920" w:type="dxa"/>
            <w:vAlign w:val="bottom"/>
            <w:gridSpan w:val="2"/>
          </w:tcPr>
          <w:p>
            <w:pPr>
              <w:spacing w:after="0"/>
              <w:rPr>
                <w:sz w:val="20"/>
                <w:szCs w:val="20"/>
                <w:color w:val="auto"/>
              </w:rPr>
            </w:pPr>
            <w:r>
              <w:rPr>
                <w:rFonts w:ascii="Arial" w:cs="Arial" w:eastAsia="Arial" w:hAnsi="Arial"/>
                <w:sz w:val="18"/>
                <w:szCs w:val="18"/>
                <w:color w:val="auto"/>
              </w:rPr>
              <w:t>Mail</w:t>
            </w:r>
          </w:p>
        </w:tc>
        <w:tc>
          <w:tcPr>
            <w:tcW w:w="7500" w:type="dxa"/>
            <w:vAlign w:val="bottom"/>
          </w:tcPr>
          <w:p>
            <w:pPr>
              <w:ind w:left="2040"/>
              <w:spacing w:after="0"/>
              <w:rPr>
                <w:sz w:val="20"/>
                <w:szCs w:val="20"/>
                <w:color w:val="auto"/>
              </w:rPr>
            </w:pPr>
            <w:r>
              <w:rPr>
                <w:rFonts w:ascii="Arial" w:cs="Arial" w:eastAsia="Arial" w:hAnsi="Arial"/>
                <w:sz w:val="18"/>
                <w:szCs w:val="18"/>
                <w:color w:val="auto"/>
                <w:w w:val="92"/>
              </w:rPr>
              <w:t>Effective on earlier of actual receipt and fourth Business Day after deposit</w:t>
            </w:r>
          </w:p>
        </w:tc>
      </w:tr>
      <w:tr>
        <w:trPr>
          <w:trHeight w:val="230"/>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00" w:type="dxa"/>
            <w:vAlign w:val="bottom"/>
          </w:tcPr>
          <w:p>
            <w:pPr>
              <w:ind w:left="2040"/>
              <w:spacing w:after="0"/>
              <w:rPr>
                <w:sz w:val="20"/>
                <w:szCs w:val="20"/>
                <w:color w:val="auto"/>
              </w:rPr>
            </w:pPr>
            <w:r>
              <w:rPr>
                <w:rFonts w:ascii="Arial" w:cs="Arial" w:eastAsia="Arial" w:hAnsi="Arial"/>
                <w:sz w:val="18"/>
                <w:szCs w:val="18"/>
                <w:color w:val="auto"/>
              </w:rPr>
              <w:t>in U.S. Mail, first class postage pre-paid</w:t>
            </w: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500" w:type="dxa"/>
            <w:vAlign w:val="bottom"/>
          </w:tcPr>
          <w:p>
            <w:pPr>
              <w:ind w:left="2040"/>
              <w:spacing w:after="0"/>
              <w:rPr>
                <w:sz w:val="20"/>
                <w:szCs w:val="20"/>
                <w:color w:val="auto"/>
              </w:rPr>
            </w:pPr>
            <w:r>
              <w:rPr>
                <w:rFonts w:ascii="Arial" w:cs="Arial" w:eastAsia="Arial" w:hAnsi="Arial"/>
                <w:sz w:val="18"/>
                <w:szCs w:val="18"/>
                <w:color w:val="auto"/>
              </w:rPr>
              <w:t>When received</w:t>
            </w: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500" w:type="dxa"/>
            <w:vAlign w:val="bottom"/>
          </w:tcPr>
          <w:p>
            <w:pPr>
              <w:ind w:left="204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108"/>
        </w:trPr>
        <w:tc>
          <w:tcPr>
            <w:tcW w:w="13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75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33"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33" w:right="2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When sent (except that, if not given during normal business hours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recipient, shall be deemed to be giving at opening of business on next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Day for recipient)</w:t>
      </w:r>
    </w:p>
    <w:p>
      <w:pPr>
        <w:spacing w:after="0" w:line="200" w:lineRule="exact"/>
        <w:rPr>
          <w:sz w:val="20"/>
          <w:szCs w:val="20"/>
          <w:color w:val="auto"/>
        </w:rPr>
      </w:pPr>
    </w:p>
    <w:p>
      <w:pPr>
        <w:sectPr>
          <w:pgSz w:w="11900" w:h="16838" w:orient="portrait"/>
          <w:cols w:equalWidth="0" w:num="2">
            <w:col w:w="5240" w:space="720"/>
            <w:col w:w="5460"/>
          </w:cols>
          <w:pgMar w:left="240" w:top="233"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When delivered (usage subject to subsection (b) below)</w:t>
      </w:r>
    </w:p>
    <w:p>
      <w:pPr>
        <w:spacing w:after="0" w:line="211" w:lineRule="exact"/>
        <w:rPr>
          <w:sz w:val="20"/>
          <w:szCs w:val="20"/>
          <w:color w:val="auto"/>
        </w:rPr>
      </w:pPr>
    </w:p>
    <w:p>
      <w:pPr>
        <w:sectPr>
          <w:pgSz w:w="11900" w:h="16838" w:orient="portrait"/>
          <w:cols w:equalWidth="0" w:num="2">
            <w:col w:w="5240" w:space="720"/>
            <w:col w:w="5460"/>
          </w:cols>
          <w:pgMar w:left="240" w:top="233" w:right="239" w:bottom="1440" w:gutter="0" w:footer="0" w:header="0"/>
          <w:type w:val="continuous"/>
        </w:sectPr>
      </w:pPr>
    </w:p>
    <w:p>
      <w:pPr>
        <w:spacing w:after="0" w:line="37" w:lineRule="exact"/>
        <w:rPr>
          <w:sz w:val="20"/>
          <w:szCs w:val="20"/>
          <w:color w:val="auto"/>
        </w:rPr>
      </w:pPr>
    </w:p>
    <w:p>
      <w:pPr>
        <w:ind w:left="260" w:right="40" w:firstLine="1288"/>
        <w:spacing w:after="0" w:line="255" w:lineRule="auto"/>
        <w:tabs>
          <w:tab w:leader="none" w:pos="19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Notices and other communications to the Lenders hereunder may be delivered or furnished by Electronic Communication pursuant to procedures approved by the Administrative Agent; provided that the foregoing shall not apply to notices to any Lender pursuant to Section 2 if such Lender has notified the Administrative Agent that it is incapable of receiving notices under such Section by Electronic Communications.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above,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parties hereto.</w:t>
      </w:r>
    </w:p>
    <w:p>
      <w:pPr>
        <w:spacing w:after="0" w:line="211" w:lineRule="exact"/>
        <w:rPr>
          <w:sz w:val="20"/>
          <w:szCs w:val="20"/>
          <w:color w:val="auto"/>
        </w:rPr>
      </w:pPr>
    </w:p>
    <w:p>
      <w:pPr>
        <w:ind w:left="260" w:right="80" w:firstLine="1288"/>
        <w:spacing w:after="0" w:line="297" w:lineRule="auto"/>
        <w:tabs>
          <w:tab w:leader="none" w:pos="194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58" w:lineRule="exact"/>
        <w:rPr>
          <w:rFonts w:ascii="Arial" w:cs="Arial" w:eastAsia="Arial" w:hAnsi="Arial"/>
          <w:sz w:val="16"/>
          <w:szCs w:val="16"/>
          <w:color w:val="auto"/>
        </w:rPr>
      </w:pPr>
    </w:p>
    <w:p>
      <w:pPr>
        <w:ind w:left="1920" w:hanging="372"/>
        <w:spacing w:after="0"/>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80" w:firstLine="653"/>
        <w:spacing w:after="0" w:line="342" w:lineRule="auto"/>
        <w:tabs>
          <w:tab w:leader="none" w:pos="2163"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Loan Party agrees that Administrative Agent may, but shall not be obligated to, make Communications available to the Lenders by posting the Communications on Debt Domain, Intralinks, Syndtrak, ClearPar or a substantially similar Electronic System.</w:t>
      </w:r>
    </w:p>
    <w:p>
      <w:pPr>
        <w:spacing w:after="0" w:line="123" w:lineRule="exact"/>
        <w:rPr>
          <w:rFonts w:ascii="Arial" w:cs="Arial" w:eastAsia="Arial" w:hAnsi="Arial"/>
          <w:sz w:val="16"/>
          <w:szCs w:val="16"/>
          <w:color w:val="auto"/>
        </w:rPr>
      </w:pPr>
    </w:p>
    <w:p>
      <w:pPr>
        <w:ind w:left="1300" w:right="380" w:firstLine="653"/>
        <w:spacing w:after="0" w:line="342" w:lineRule="auto"/>
        <w:tabs>
          <w:tab w:leader="none" w:pos="2203"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Electronic System used by Administrative Agent is provided “as is” and “as available.” The Agent Parties (as defined below) do not warrant the adequacy of such Electronic Systems and expressly disclaim liability for errors or omissions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8" w:name="page69"/>
    <w:bookmarkEnd w:id="68"/>
    <w:p>
      <w:pPr>
        <w:ind w:left="11240"/>
        <w:spacing w:after="0"/>
        <w:rPr>
          <w:sz w:val="20"/>
          <w:szCs w:val="20"/>
          <w:color w:val="auto"/>
        </w:rPr>
      </w:pPr>
      <w:r>
        <w:rPr>
          <w:rFonts w:ascii="Arial" w:cs="Arial" w:eastAsia="Arial" w:hAnsi="Arial"/>
          <w:sz w:val="16"/>
          <w:szCs w:val="16"/>
          <w:color w:val="auto"/>
        </w:rPr>
        <w:t>58</w:t>
      </w:r>
    </w:p>
    <w:p>
      <w:pPr>
        <w:spacing w:after="0" w:line="140" w:lineRule="exact"/>
        <w:rPr>
          <w:sz w:val="20"/>
          <w:szCs w:val="20"/>
          <w:color w:val="auto"/>
        </w:rPr>
      </w:pPr>
    </w:p>
    <w:p>
      <w:pPr>
        <w:ind w:left="1300" w:right="100"/>
        <w:spacing w:after="0" w:line="270" w:lineRule="auto"/>
        <w:rPr>
          <w:sz w:val="20"/>
          <w:szCs w:val="20"/>
          <w:color w:val="auto"/>
        </w:rPr>
      </w:pPr>
      <w:r>
        <w:rPr>
          <w:rFonts w:ascii="Arial" w:cs="Arial" w:eastAsia="Arial" w:hAnsi="Arial"/>
          <w:sz w:val="17"/>
          <w:szCs w:val="17"/>
          <w:color w:val="auto"/>
        </w:rPr>
        <w:t xml:space="preserve">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be liable for any indirect, special, incidental or consequential damages, losses or expenses (whether in tort, contract or otherwise).</w:t>
      </w:r>
    </w:p>
    <w:p>
      <w:pPr>
        <w:spacing w:after="0" w:line="182"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Attorney Costs and Expenses</w:t>
      </w:r>
      <w:r>
        <w:rPr>
          <w:rFonts w:ascii="Arial" w:cs="Arial" w:eastAsia="Arial" w:hAnsi="Arial"/>
          <w:sz w:val="17"/>
          <w:szCs w:val="17"/>
          <w:color w:val="auto"/>
        </w:rPr>
        <w:t>. Borrower agrees (a) to pay or reimburse Administrative Agent and Syndication Agent for all reasonable and documented or invoiced costs and expenses incurred in connection with the development, preparation, negotiation and execution of the Loan Documents, and to pay or reimburse Administrative Agent for all reasonable and documented or invoiced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and Syndication Agent and (b) to pay or reimburse Administrative Agent and each Lender for all reasonable and documented or invoiced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and each Lender (and, if representation of Administrative Agent,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Binding Effect; Assignment</w:t>
      </w:r>
    </w:p>
    <w:p>
      <w:pPr>
        <w:spacing w:after="0" w:line="225" w:lineRule="exact"/>
        <w:rPr>
          <w:sz w:val="20"/>
          <w:szCs w:val="20"/>
          <w:color w:val="auto"/>
        </w:rPr>
      </w:pPr>
    </w:p>
    <w:p>
      <w:pPr>
        <w:ind w:left="260" w:right="40" w:firstLine="1288"/>
        <w:spacing w:after="0" w:line="271" w:lineRule="auto"/>
        <w:tabs>
          <w:tab w:leader="none" w:pos="193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59</w:t>
      </w:r>
    </w:p>
    <w:p>
      <w:pPr>
        <w:spacing w:after="0" w:line="117" w:lineRule="exact"/>
        <w:rPr>
          <w:sz w:val="20"/>
          <w:szCs w:val="20"/>
          <w:color w:val="auto"/>
        </w:rPr>
      </w:pPr>
    </w:p>
    <w:p>
      <w:pPr>
        <w:ind w:left="9" w:right="20" w:firstLine="1288"/>
        <w:spacing w:after="0" w:line="267" w:lineRule="auto"/>
        <w:tabs>
          <w:tab w:leader="none" w:pos="1695"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(which consent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of Borrower shall not be required with respect to (x) an assignment to another Lender or any Affiliate of a Lender or (y) an assignment of Term Loans (but for the avoidance of doubt, not any Commitments) to any Approved Fund unless, in the cases of clauses (x) and (y), such assignment would result in the aggregate Term Loans and Commitments of such assignee and its Affiliates exceeding 15% of the aggregate Commitments and Loans then outstanding. No such assignment shall become effective unless and until a copy of a duly signed and completed Assignment and Assumption shall be delivered to Administrative Agent. Except in the case of an assignment (A) to another Lender or (B) of the entire remaining Commitment or Term Loan, as applicable,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Commitments or the repayment of the Term Loans, the assigning Lender shall be released from any further obligations under this Agreement to the extent of such Assigned Interest. Upon request, Borrower shall execute and deliver new or replacement Notes to the assigning Lender and the assignee Lender to evidence Term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88" w:lineRule="exact"/>
        <w:rPr>
          <w:rFonts w:ascii="Arial" w:cs="Arial" w:eastAsia="Arial" w:hAnsi="Arial"/>
          <w:sz w:val="17"/>
          <w:szCs w:val="17"/>
          <w:color w:val="auto"/>
        </w:rPr>
      </w:pPr>
    </w:p>
    <w:p>
      <w:pPr>
        <w:ind w:left="9" w:right="260" w:firstLine="1288"/>
        <w:spacing w:after="0" w:line="312" w:lineRule="auto"/>
        <w:tabs>
          <w:tab w:leader="none" w:pos="1685" w:val="left"/>
        </w:tabs>
        <w:numPr>
          <w:ilvl w:val="1"/>
          <w:numId w:val="78"/>
        </w:numPr>
        <w:rPr>
          <w:rFonts w:ascii="Arial" w:cs="Arial" w:eastAsia="Arial" w:hAnsi="Arial"/>
          <w:sz w:val="16"/>
          <w:szCs w:val="16"/>
          <w:color w:val="auto"/>
        </w:rPr>
      </w:pPr>
      <w:r>
        <w:rPr>
          <w:rFonts w:ascii="Arial" w:cs="Arial" w:eastAsia="Arial" w:hAnsi="Arial"/>
          <w:sz w:val="16"/>
          <w:szCs w:val="16"/>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46" w:lineRule="exact"/>
        <w:rPr>
          <w:rFonts w:ascii="Arial" w:cs="Arial" w:eastAsia="Arial" w:hAnsi="Arial"/>
          <w:sz w:val="16"/>
          <w:szCs w:val="16"/>
          <w:color w:val="auto"/>
        </w:rPr>
      </w:pPr>
    </w:p>
    <w:p>
      <w:pPr>
        <w:ind w:left="9" w:right="40" w:firstLine="1288"/>
        <w:spacing w:after="0" w:line="288" w:lineRule="auto"/>
        <w:tabs>
          <w:tab w:leader="none" w:pos="1695"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Term Loans,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left="9" w:right="80" w:hanging="9"/>
        <w:spacing w:after="0" w:line="252" w:lineRule="auto"/>
        <w:tabs>
          <w:tab w:leader="none" w:pos="2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200025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9"/>
          </w:cols>
          <w:pgMar w:left="491" w:top="233"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60</w:t>
      </w:r>
    </w:p>
    <w:p>
      <w:pPr>
        <w:spacing w:after="0" w:line="117" w:lineRule="exact"/>
        <w:rPr>
          <w:sz w:val="20"/>
          <w:szCs w:val="20"/>
          <w:color w:val="auto"/>
        </w:rPr>
      </w:pPr>
    </w:p>
    <w:p>
      <w:pPr>
        <w:ind w:left="180"/>
        <w:spacing w:after="0" w:line="269" w:lineRule="auto"/>
        <w:rPr>
          <w:sz w:val="20"/>
          <w:szCs w:val="20"/>
          <w:color w:val="auto"/>
        </w:rPr>
      </w:pPr>
      <w:r>
        <w:rPr>
          <w:rFonts w:ascii="Arial" w:cs="Arial" w:eastAsia="Arial" w:hAnsi="Arial"/>
          <w:sz w:val="17"/>
          <w:szCs w:val="17"/>
          <w:color w:val="auto"/>
        </w:rPr>
        <w:t xml:space="preserve">required for amendments or waivers of provisions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assigning Lender may, in any agreement with a participant, give such participant the right to consent (as between the assigning Lender and such participant) to any matter which (A) extends the Certain Funds Termination Date or the Maturity Date as to such participant or any other date upon which any payment of money is due to such participant, (B) reduces the rate of interest owing to such participant or any fee or any other monetary amount owing to such participant (except as otherwise provided in Section 10.07(b)),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80"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“Participant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Extensions of Credit or its other obligations under any Loan Document) to any Person except to the extent that such disclosure is necessary to establish that such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2"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Notwithstanding anything to the contrary in this Section 10.04, (a) the written consent of Borrower (in its sole discretion) shall be required for any assignment or participation (other than assignments by a Lender to any of its Affiliates) on or prior to the Certain Funds Termination Date and any such attempted assignment or participation without the written consent of Borrower shall be null and void and (b) in connection with any assignment of Commitments on or prior to the Certain Funds Termination Date by a Lender to any of its Affiliates, the assigning Lender shall not be relieved of its obligations (as in effect immediately prior to giving effect to such assignment) to fund Term Loans in respect of its Commitments pursuant to this Agreement without the prior written consent of Borrower (in its sole discretion).</w:t>
      </w:r>
    </w:p>
    <w:p>
      <w:pPr>
        <w:spacing w:after="0" w:line="193"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u w:val="single" w:color="auto"/>
          <w:color w:val="auto"/>
        </w:rPr>
        <w:t>Set-off</w:t>
      </w:r>
      <w:r>
        <w:rPr>
          <w:rFonts w:ascii="Arial" w:cs="Arial" w:eastAsia="Arial" w:hAnsi="Arial"/>
          <w:sz w:val="17"/>
          <w:szCs w:val="17"/>
          <w:color w:val="auto"/>
        </w:rPr>
        <w:t>. Without prejudice to and subject to Section 4.04,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61</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87"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Sharing of Payments</w:t>
      </w:r>
      <w:r>
        <w:rPr>
          <w:rFonts w:ascii="Arial" w:cs="Arial" w:eastAsia="Arial" w:hAnsi="Arial"/>
          <w:sz w:val="17"/>
          <w:szCs w:val="17"/>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9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w:t>
      </w:r>
    </w:p>
    <w:p>
      <w:pPr>
        <w:spacing w:after="0" w:line="225" w:lineRule="exact"/>
        <w:rPr>
          <w:sz w:val="20"/>
          <w:szCs w:val="20"/>
          <w:color w:val="auto"/>
        </w:rPr>
      </w:pPr>
    </w:p>
    <w:p>
      <w:pPr>
        <w:ind w:left="260" w:right="140" w:firstLine="1288"/>
        <w:spacing w:after="0" w:line="312" w:lineRule="auto"/>
        <w:tabs>
          <w:tab w:leader="none" w:pos="19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46" w:lineRule="exact"/>
        <w:rPr>
          <w:rFonts w:ascii="Arial" w:cs="Arial" w:eastAsia="Arial" w:hAnsi="Arial"/>
          <w:sz w:val="16"/>
          <w:szCs w:val="16"/>
          <w:color w:val="auto"/>
        </w:rPr>
      </w:pPr>
    </w:p>
    <w:p>
      <w:pPr>
        <w:ind w:left="260" w:right="40" w:firstLine="1288"/>
        <w:spacing w:after="0" w:line="297" w:lineRule="auto"/>
        <w:tabs>
          <w:tab w:leader="none" w:pos="19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62</w:t>
      </w:r>
    </w:p>
    <w:p>
      <w:pPr>
        <w:spacing w:after="0" w:line="117" w:lineRule="exact"/>
        <w:rPr>
          <w:sz w:val="20"/>
          <w:szCs w:val="20"/>
          <w:color w:val="auto"/>
        </w:rPr>
      </w:pPr>
    </w:p>
    <w:p>
      <w:pPr>
        <w:ind w:left="1540"/>
        <w:spacing w:after="0"/>
        <w:tabs>
          <w:tab w:leader="none" w:pos="1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Except with respect to Section 9.09, the terms and conditions of Section 9 are for the sole benefit of the Agents and Lenders.</w:t>
      </w:r>
    </w:p>
    <w:p>
      <w:pPr>
        <w:spacing w:after="0" w:line="225"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Counterparts, Electronic Execution of Assignments and Certain Other Documents</w:t>
      </w:r>
      <w:r>
        <w:rPr>
          <w:rFonts w:ascii="Arial" w:cs="Arial" w:eastAsia="Arial" w:hAnsi="Arial"/>
          <w:sz w:val="16"/>
          <w:szCs w:val="16"/>
          <w:color w:val="auto"/>
        </w:rPr>
        <w:t>. This Agreement may be executed in one or more counterparts (and by different parties hereto in different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an original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Requests for Extensions of Credit,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5"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63</w:t>
      </w:r>
    </w:p>
    <w:p>
      <w:pPr>
        <w:spacing w:after="0" w:line="117"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Commitments attributable to any other Lender.</w:t>
      </w:r>
    </w:p>
    <w:p>
      <w:pPr>
        <w:spacing w:after="0" w:line="188"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xml:space="preserve">.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Commitments, the Term Loans,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w:t>
      </w:r>
    </w:p>
    <w:p>
      <w:pPr>
        <w:ind w:firstLine="8"/>
        <w:spacing w:after="0" w:line="287" w:lineRule="auto"/>
        <w:tabs>
          <w:tab w:leader="none" w:pos="2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64</w:t>
      </w:r>
    </w:p>
    <w:p>
      <w:pPr>
        <w:spacing w:after="0" w:line="117" w:lineRule="exact"/>
        <w:rPr>
          <w:sz w:val="20"/>
          <w:szCs w:val="20"/>
          <w:color w:val="auto"/>
        </w:rPr>
      </w:pPr>
    </w:p>
    <w:p>
      <w:pPr>
        <w:ind w:left="1040"/>
        <w:spacing w:after="0"/>
        <w:tabs>
          <w:tab w:leader="none" w:pos="16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Borrower acknowledges and agrees that:</w:t>
      </w:r>
    </w:p>
    <w:p>
      <w:pPr>
        <w:spacing w:after="0" w:line="225" w:lineRule="exact"/>
        <w:rPr>
          <w:sz w:val="20"/>
          <w:szCs w:val="20"/>
          <w:color w:val="auto"/>
        </w:rPr>
      </w:pPr>
    </w:p>
    <w:p>
      <w:pPr>
        <w:ind w:right="420" w:firstLine="1288"/>
        <w:spacing w:after="0" w:line="264" w:lineRule="auto"/>
        <w:tabs>
          <w:tab w:leader="none" w:pos="16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1" w:lineRule="exact"/>
        <w:rPr>
          <w:rFonts w:ascii="Arial" w:cs="Arial" w:eastAsia="Arial" w:hAnsi="Arial"/>
          <w:sz w:val="18"/>
          <w:szCs w:val="18"/>
          <w:color w:val="auto"/>
        </w:rPr>
      </w:pPr>
    </w:p>
    <w:p>
      <w:pPr>
        <w:jc w:val="both"/>
        <w:ind w:right="340" w:firstLine="1288"/>
        <w:spacing w:after="0" w:line="279" w:lineRule="auto"/>
        <w:tabs>
          <w:tab w:leader="none" w:pos="1686" w:val="left"/>
        </w:tabs>
        <w:numPr>
          <w:ilvl w:val="0"/>
          <w:numId w:val="82"/>
        </w:numPr>
        <w:rPr>
          <w:rFonts w:ascii="Arial" w:cs="Arial" w:eastAsia="Arial" w:hAnsi="Arial"/>
          <w:sz w:val="17"/>
          <w:szCs w:val="17"/>
          <w:color w:val="auto"/>
        </w:rPr>
      </w:pPr>
      <w:r>
        <w:rPr>
          <w:rFonts w:ascii="Arial" w:cs="Arial" w:eastAsia="Arial" w:hAnsi="Arial"/>
          <w:sz w:val="17"/>
          <w:szCs w:val="17"/>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71" w:lineRule="exact"/>
        <w:rPr>
          <w:rFonts w:ascii="Arial" w:cs="Arial" w:eastAsia="Arial" w:hAnsi="Arial"/>
          <w:sz w:val="17"/>
          <w:szCs w:val="17"/>
          <w:color w:val="auto"/>
        </w:rPr>
      </w:pPr>
    </w:p>
    <w:p>
      <w:pPr>
        <w:ind w:firstLine="1288"/>
        <w:spacing w:after="0" w:line="293" w:lineRule="auto"/>
        <w:tabs>
          <w:tab w:leader="none" w:pos="167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64" w:lineRule="exact"/>
        <w:rPr>
          <w:rFonts w:ascii="Arial" w:cs="Arial" w:eastAsia="Arial" w:hAnsi="Arial"/>
          <w:sz w:val="16"/>
          <w:szCs w:val="16"/>
          <w:color w:val="auto"/>
        </w:rPr>
      </w:pPr>
    </w:p>
    <w:p>
      <w:pPr>
        <w:ind w:right="60" w:firstLine="1288"/>
        <w:spacing w:after="0" w:line="268" w:lineRule="auto"/>
        <w:tabs>
          <w:tab w:leader="none" w:pos="1686"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financing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and its Affiliates, and neither Administrative Agent, the Arrangers, nor any Lender has any obligation to disclose any of such interests to the Borrower or its Affiliates. To the fullest extent permitted by law, each Loan Party hereby agrees not to assert any claims that it may have against the Administrative Agent, the Arrangers or any Lender with respect to any breach or alleged breach of agency or fiduciary duty in connection with the financing transactions contemplated hereby.</w:t>
      </w:r>
    </w:p>
    <w:p>
      <w:pPr>
        <w:spacing w:after="0" w:line="183" w:lineRule="exact"/>
        <w:rPr>
          <w:rFonts w:ascii="Arial" w:cs="Arial" w:eastAsia="Arial" w:hAnsi="Arial"/>
          <w:sz w:val="17"/>
          <w:szCs w:val="17"/>
          <w:color w:val="auto"/>
        </w:rPr>
      </w:pPr>
    </w:p>
    <w:p>
      <w:pPr>
        <w:ind w:left="1660" w:hanging="372"/>
        <w:spacing w:after="0"/>
        <w:tabs>
          <w:tab w:leader="none" w:pos="1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Administrative Agent and Lenders, and their Affiliates, may have economic interests that conflict with those of Borrower and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 and</w:t>
      </w:r>
    </w:p>
    <w:p>
      <w:pPr>
        <w:spacing w:after="0" w:line="210" w:lineRule="exact"/>
        <w:rPr>
          <w:rFonts w:ascii="Arial" w:cs="Arial" w:eastAsia="Arial" w:hAnsi="Arial"/>
          <w:sz w:val="17"/>
          <w:szCs w:val="17"/>
          <w:color w:val="auto"/>
        </w:rPr>
      </w:pPr>
    </w:p>
    <w:p>
      <w:pPr>
        <w:ind w:right="20" w:firstLine="1288"/>
        <w:spacing w:after="0" w:line="277" w:lineRule="auto"/>
        <w:tabs>
          <w:tab w:leader="none" w:pos="17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Neither Administrative Agent nor any Lender shall be responsible or liable to any Person for any loss, damage, liability or claim of any kind relating to injury or death to Persons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186055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65</w:t>
      </w:r>
    </w:p>
    <w:p>
      <w:pPr>
        <w:spacing w:after="0" w:line="117" w:lineRule="exact"/>
        <w:rPr>
          <w:sz w:val="20"/>
          <w:szCs w:val="20"/>
          <w:color w:val="auto"/>
        </w:rPr>
      </w:pPr>
    </w:p>
    <w:p>
      <w:pPr>
        <w:ind w:left="180" w:right="1000"/>
        <w:spacing w:after="0" w:line="277" w:lineRule="auto"/>
        <w:rPr>
          <w:sz w:val="20"/>
          <w:szCs w:val="20"/>
          <w:color w:val="auto"/>
        </w:rPr>
      </w:pPr>
      <w:r>
        <w:rPr>
          <w:rFonts w:ascii="Arial" w:cs="Arial" w:eastAsia="Arial" w:hAnsi="Arial"/>
          <w:sz w:val="18"/>
          <w:szCs w:val="18"/>
          <w:color w:val="auto"/>
        </w:rPr>
        <w:t>damage to property caused by the actions, inaction or negligence of Borrower and/or its Affiliates and Borrower hereby indemnifies and holds Administrative Agent and Lenders harmless from any such loss, damage, liability or claim.</w:t>
      </w:r>
    </w:p>
    <w:p>
      <w:pPr>
        <w:spacing w:after="0" w:line="170"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7"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not known by Administrative Agent or such Lender to be subject to another confidentiality agreement with, or other legal or contractual obligation of confidentiality to, Borrower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66</w:t>
      </w:r>
    </w:p>
    <w:p>
      <w:pPr>
        <w:spacing w:after="0" w:line="11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 xml:space="preserve">Subsidiaries or Affiliates, (y) is or becomes publicly available (other than through a breach hereof by Administrative Agent or such Lender), or (z) becomes available to Administrative Agent or such Lender on a nonconfidential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147" w:lineRule="exact"/>
        <w:rPr>
          <w:sz w:val="20"/>
          <w:szCs w:val="20"/>
          <w:color w:val="auto"/>
        </w:rPr>
      </w:pPr>
    </w:p>
    <w:p>
      <w:pPr>
        <w:jc w:val="both"/>
        <w:ind w:right="280" w:firstLine="1297"/>
        <w:spacing w:after="0" w:line="312" w:lineRule="auto"/>
        <w:rPr>
          <w:sz w:val="20"/>
          <w:szCs w:val="20"/>
          <w:color w:val="auto"/>
        </w:rPr>
      </w:pPr>
      <w:r>
        <w:rPr>
          <w:rFonts w:ascii="Arial" w:cs="Arial" w:eastAsia="Arial" w:hAnsi="Arial"/>
          <w:sz w:val="16"/>
          <w:szCs w:val="16"/>
          <w:color w:val="auto"/>
        </w:rPr>
        <w:t>Each of the Lenders confirms that it is aware of the terms and requirements of Practice Statement No. 25 (</w:t>
      </w:r>
      <w:r>
        <w:rPr>
          <w:rFonts w:ascii="Arial" w:cs="Arial" w:eastAsia="Arial" w:hAnsi="Arial"/>
          <w:sz w:val="16"/>
          <w:szCs w:val="16"/>
          <w:i w:val="1"/>
          <w:iCs w:val="1"/>
          <w:color w:val="auto"/>
        </w:rPr>
        <w:t>Debt Syndication during Offer</w:t>
      </w:r>
      <w:r>
        <w:rPr>
          <w:rFonts w:ascii="Arial" w:cs="Arial" w:eastAsia="Arial" w:hAnsi="Arial"/>
          <w:sz w:val="16"/>
          <w:szCs w:val="16"/>
          <w:color w:val="auto"/>
        </w:rPr>
        <w:t xml:space="preserve"> </w:t>
      </w:r>
      <w:r>
        <w:rPr>
          <w:rFonts w:ascii="Arial" w:cs="Arial" w:eastAsia="Arial" w:hAnsi="Arial"/>
          <w:sz w:val="16"/>
          <w:szCs w:val="16"/>
          <w:i w:val="1"/>
          <w:iCs w:val="1"/>
          <w:color w:val="auto"/>
        </w:rPr>
        <w:t>Periods</w:t>
      </w:r>
      <w:r>
        <w:rPr>
          <w:rFonts w:ascii="Arial" w:cs="Arial" w:eastAsia="Arial" w:hAnsi="Arial"/>
          <w:sz w:val="16"/>
          <w:szCs w:val="16"/>
          <w:color w:val="auto"/>
        </w:rPr>
        <w:t>) published by the Panel on 17 June 2009. This section 10.17 is without prejudice to any undertakings or confirmations given by the Lenders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in connection with, or for the purposes of ensuring compliance with Practice Statement No. 25 (</w:t>
      </w:r>
      <w:r>
        <w:rPr>
          <w:rFonts w:ascii="Arial" w:cs="Arial" w:eastAsia="Arial" w:hAnsi="Arial"/>
          <w:sz w:val="16"/>
          <w:szCs w:val="16"/>
          <w:i w:val="1"/>
          <w:iCs w:val="1"/>
          <w:color w:val="auto"/>
        </w:rPr>
        <w:t>Debt Syndication during Offer Periods</w:t>
      </w:r>
      <w:r>
        <w:rPr>
          <w:rFonts w:ascii="Arial" w:cs="Arial" w:eastAsia="Arial" w:hAnsi="Arial"/>
          <w:sz w:val="16"/>
          <w:szCs w:val="16"/>
          <w:color w:val="auto"/>
        </w:rPr>
        <w:t>).</w:t>
      </w:r>
    </w:p>
    <w:p>
      <w:pPr>
        <w:spacing w:after="0" w:line="147"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 and Administrative Agent</w:t>
      </w:r>
      <w:r>
        <w:rPr>
          <w:rFonts w:ascii="Arial" w:cs="Arial" w:eastAsia="Arial" w:hAnsi="Arial"/>
          <w:sz w:val="16"/>
          <w:szCs w:val="16"/>
          <w:color w:val="auto"/>
        </w:rPr>
        <w:t xml:space="preserve">. (a)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67</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Administrative Agent under this Section, and costs and expenses (including Attorney Costs) of Administrative Agent. The obligation of Lenders under this Section shall survive the payment of all Obligations and the resignation of Administrative Agent.</w:t>
      </w:r>
    </w:p>
    <w:p>
      <w:pPr>
        <w:spacing w:after="0" w:line="183" w:lineRule="exact"/>
        <w:rPr>
          <w:sz w:val="20"/>
          <w:szCs w:val="20"/>
          <w:color w:val="auto"/>
        </w:rPr>
      </w:pPr>
    </w:p>
    <w:p>
      <w:pPr>
        <w:ind w:left="260" w:right="100" w:firstLine="1288"/>
        <w:spacing w:after="0" w:line="271" w:lineRule="auto"/>
        <w:tabs>
          <w:tab w:leader="none" w:pos="1946"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7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81" w:lineRule="exact"/>
        <w:rPr>
          <w:sz w:val="20"/>
          <w:szCs w:val="20"/>
          <w:color w:val="auto"/>
        </w:rPr>
      </w:pPr>
    </w:p>
    <w:p>
      <w:pPr>
        <w:ind w:left="1920" w:hanging="372"/>
        <w:spacing w:after="0"/>
        <w:tabs>
          <w:tab w:leader="none" w:pos="1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Administrative Agent shall deliver to the Borrower two executed originals of whichever of the following is applicable:</w:t>
      </w:r>
    </w:p>
    <w:p>
      <w:pPr>
        <w:spacing w:after="0" w:line="236" w:lineRule="exact"/>
        <w:rPr>
          <w:rFonts w:ascii="Arial" w:cs="Arial" w:eastAsia="Arial" w:hAnsi="Arial"/>
          <w:sz w:val="17"/>
          <w:szCs w:val="17"/>
          <w:color w:val="auto"/>
        </w:rPr>
      </w:pPr>
    </w:p>
    <w:p>
      <w:pPr>
        <w:ind w:left="1300" w:right="320" w:firstLine="653"/>
        <w:spacing w:after="0" w:line="277" w:lineRule="auto"/>
        <w:tabs>
          <w:tab w:leader="none" w:pos="2163"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Administrative Agent is a U.S. Person, IRS Form W-9 certifying to such Administrative Agent’s exemption from U.S. federal backup withholding or</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Administrative Agent is not a U.S. Person,</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IRS Form W-8ECI with respect to payments received for its own account and</w:t>
      </w:r>
    </w:p>
    <w:p>
      <w:pPr>
        <w:spacing w:after="0" w:line="225" w:lineRule="exact"/>
        <w:rPr>
          <w:rFonts w:ascii="Arial" w:cs="Arial" w:eastAsia="Arial" w:hAnsi="Arial"/>
          <w:sz w:val="18"/>
          <w:szCs w:val="18"/>
          <w:color w:val="auto"/>
        </w:rPr>
      </w:pPr>
    </w:p>
    <w:p>
      <w:pPr>
        <w:ind w:left="1300" w:right="120" w:firstLine="1301"/>
        <w:spacing w:after="0" w:line="259" w:lineRule="auto"/>
        <w:tabs>
          <w:tab w:leader="none" w:pos="2881" w:val="left"/>
        </w:tabs>
        <w:numPr>
          <w:ilvl w:val="2"/>
          <w:numId w:val="84"/>
        </w:numPr>
        <w:rPr>
          <w:rFonts w:ascii="Arial" w:cs="Arial" w:eastAsia="Arial" w:hAnsi="Arial"/>
          <w:sz w:val="18"/>
          <w:szCs w:val="18"/>
          <w:color w:val="auto"/>
        </w:rPr>
      </w:pPr>
      <w:r>
        <w:rPr>
          <w:rFonts w:ascii="Arial" w:cs="Arial" w:eastAsia="Arial" w:hAnsi="Arial"/>
          <w:sz w:val="18"/>
          <w:szCs w:val="18"/>
          <w:color w:val="auto"/>
        </w:rPr>
        <w:t>IRS Form W-8IMY with respect to any amounts payable to the Administrative Agent for the account of others, certifying that it is a U.S. branch of a foreign bank or insurance company described in Regulations section 1.1441-1(b)(2)(iv)(A) that is a participating FFI (including a reporting Model 2 FFI), registered deemed-compliant FFI (including a reporting Model 1 FFI), or NFFE that is using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68</w:t>
      </w:r>
    </w:p>
    <w:p>
      <w:pPr>
        <w:spacing w:after="0" w:line="117"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form as evidence of its agreement with the withholding agent to be treated as a U.S. person with respect to any payments associated with this withholding certificate.</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The Administrative Agent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u w:val="single" w:color="auto"/>
          <w:color w:val="auto"/>
        </w:rPr>
        <w:t>Removal and Replacement of Lenders</w:t>
      </w:r>
      <w:r>
        <w:rPr>
          <w:rFonts w:ascii="Arial" w:cs="Arial" w:eastAsia="Arial" w:hAnsi="Arial"/>
          <w:sz w:val="16"/>
          <w:szCs w:val="16"/>
          <w:color w:val="auto"/>
        </w:rPr>
        <w:t>.</w:t>
      </w:r>
    </w:p>
    <w:p>
      <w:pPr>
        <w:spacing w:after="0" w:line="225" w:lineRule="exact"/>
        <w:rPr>
          <w:sz w:val="20"/>
          <w:szCs w:val="20"/>
          <w:color w:val="auto"/>
        </w:rPr>
      </w:pPr>
    </w:p>
    <w:p>
      <w:pPr>
        <w:ind w:left="260" w:right="20" w:firstLine="1288"/>
        <w:spacing w:after="0" w:line="285" w:lineRule="auto"/>
        <w:tabs>
          <w:tab w:leader="none" w:pos="1936"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 the event that any Lender (i) requests compensation under Sections 3.01 or 3.04, (ii) becomes a Defaulting Lender or (iii) does not consent to any proposed amendment, supplement, modification, consent or waiver of any provision of this Agreement or any other Loan Document that requires the consent of each of the Lenders or each of the Lenders affected thereby (in the case of this clause (iii), so long as the consent of the Required Lenders to such amendment, supplement, modification, consent or waiver has been obtained), Borrower may, upon notice to such Lender and Administrative Agent, remove or replace such Lender by (A) non-ratably terminating such Lender’s Commitment and/or (B) causing such Lender to assign its rights and obligations under this Agreement pursuant to Section 10.04(b) to one or more other Lenders or eligible assignees procured by Borrower and otherwise reasonably acceptable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assigning Lender shall have received payment of an amount equal to 100% of the outstanding principal, interest and fees owed to such Lender and any other amounts owing hereunder to such Lender from the assignee Lender or Borrower or such lesser amount as may be agreed with such Lender. Borrower shall, in the case of a termination of such Lender’s Commitment and prepayment of its Term Loans pursuant to clause (A) preceding, (x) pay in full all principal, interest, fees and other amounts owing to such Lender through the date of termination and prepayment (including any amounts payable pursuant to Section 3), except as may otherwise be agreed with such Lender and (y)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Commitment or Loan is being assigned shall, upon payment of (i) all amounts owed to it pursuant to the proviso in clause (B) preceding and (ii) the assignment fee as described in the preceding sentence, be deemed to have executed and delivered an Assignment and Assumption covering such Lender’s Commitment or Term Loan, as applicable. Administrative Agent shall distribute an amended Schedule 2.01, which shall be deemed incorporated into this Agreement, to reflect adjustments to the Lenders and their Commitments.</w:t>
      </w:r>
    </w:p>
    <w:p>
      <w:pPr>
        <w:spacing w:after="0" w:line="175" w:lineRule="exact"/>
        <w:rPr>
          <w:rFonts w:ascii="Arial" w:cs="Arial" w:eastAsia="Arial" w:hAnsi="Arial"/>
          <w:sz w:val="16"/>
          <w:szCs w:val="16"/>
          <w:color w:val="auto"/>
        </w:rPr>
      </w:pPr>
    </w:p>
    <w:p>
      <w:pPr>
        <w:ind w:left="260" w:right="160" w:firstLine="1288"/>
        <w:spacing w:after="0" w:line="264" w:lineRule="auto"/>
        <w:tabs>
          <w:tab w:leader="none" w:pos="19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920" w:hanging="372"/>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Governing Law; Submission to Jurisdiction; Waivers</w:t>
      </w:r>
      <w:r>
        <w:rPr>
          <w:rFonts w:ascii="Arial" w:cs="Arial" w:eastAsia="Arial" w:hAnsi="Arial"/>
          <w:sz w:val="16"/>
          <w:szCs w:val="16"/>
          <w:color w:val="auto"/>
        </w:rPr>
        <w:t>.</w:t>
      </w:r>
    </w:p>
    <w:p>
      <w:pPr>
        <w:spacing w:after="0" w:line="225" w:lineRule="exact"/>
        <w:rPr>
          <w:sz w:val="20"/>
          <w:szCs w:val="20"/>
          <w:color w:val="auto"/>
        </w:rPr>
      </w:pPr>
    </w:p>
    <w:p>
      <w:pPr>
        <w:jc w:val="both"/>
        <w:ind w:left="260" w:right="260" w:firstLine="1288"/>
        <w:spacing w:after="0" w:line="259" w:lineRule="auto"/>
        <w:tabs>
          <w:tab w:leader="none" w:pos="19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AND ANY DISPUTE, CLAIM OR CONTROVERSY ARISING OUT OF OR RELATING TO THIS AGREEMENT (WHETHER ARISING IN CONTRACT, TORT OR OTHERWISE) AND THE RIGHTS AND OBLIGATIONS OF THE PARTIES UNDER THIS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69</w:t>
      </w:r>
    </w:p>
    <w:p>
      <w:pPr>
        <w:spacing w:after="0" w:line="117" w:lineRule="exact"/>
        <w:rPr>
          <w:sz w:val="20"/>
          <w:szCs w:val="20"/>
          <w:color w:val="auto"/>
        </w:rPr>
      </w:pPr>
    </w:p>
    <w:p>
      <w:pPr>
        <w:ind w:left="1940" w:hanging="392"/>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rFonts w:ascii="Arial" w:cs="Arial" w:eastAsia="Arial" w:hAnsi="Arial"/>
          <w:sz w:val="18"/>
          <w:szCs w:val="18"/>
          <w:color w:val="auto"/>
        </w:rPr>
      </w:pPr>
    </w:p>
    <w:p>
      <w:pPr>
        <w:ind w:left="1300" w:right="60" w:firstLine="653"/>
        <w:spacing w:after="0" w:line="312" w:lineRule="auto"/>
        <w:tabs>
          <w:tab w:leader="none" w:pos="2163" w:val="left"/>
        </w:tabs>
        <w:numPr>
          <w:ilvl w:val="1"/>
          <w:numId w:val="87"/>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46" w:lineRule="exact"/>
        <w:rPr>
          <w:rFonts w:ascii="Arial" w:cs="Arial" w:eastAsia="Arial" w:hAnsi="Arial"/>
          <w:sz w:val="16"/>
          <w:szCs w:val="16"/>
          <w:color w:val="auto"/>
        </w:rPr>
      </w:pPr>
    </w:p>
    <w:p>
      <w:pPr>
        <w:ind w:left="1300" w:right="20" w:firstLine="653"/>
        <w:spacing w:after="0" w:line="277" w:lineRule="auto"/>
        <w:tabs>
          <w:tab w:leader="none" w:pos="22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ind w:left="1300" w:right="200" w:firstLine="653"/>
        <w:spacing w:after="0" w:line="264" w:lineRule="auto"/>
        <w:tabs>
          <w:tab w:leader="none" w:pos="2263"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1300" w:right="400" w:firstLine="653"/>
        <w:spacing w:after="0" w:line="342" w:lineRule="auto"/>
        <w:tabs>
          <w:tab w:leader="none" w:pos="2253" w:val="left"/>
        </w:tabs>
        <w:numPr>
          <w:ilvl w:val="1"/>
          <w:numId w:val="87"/>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23" w:lineRule="exact"/>
        <w:rPr>
          <w:rFonts w:ascii="Arial" w:cs="Arial" w:eastAsia="Arial" w:hAnsi="Arial"/>
          <w:sz w:val="16"/>
          <w:szCs w:val="16"/>
          <w:color w:val="auto"/>
        </w:rPr>
      </w:pPr>
    </w:p>
    <w:p>
      <w:pPr>
        <w:ind w:left="2200" w:hanging="247"/>
        <w:spacing w:after="0"/>
        <w:tabs>
          <w:tab w:leader="none" w:pos="22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to effect service of process in any other manner permitted by law; and</w:t>
      </w:r>
    </w:p>
    <w:p>
      <w:pPr>
        <w:spacing w:after="0" w:line="236" w:lineRule="exact"/>
        <w:rPr>
          <w:rFonts w:ascii="Arial" w:cs="Arial" w:eastAsia="Arial" w:hAnsi="Arial"/>
          <w:sz w:val="17"/>
          <w:szCs w:val="17"/>
          <w:color w:val="auto"/>
        </w:rPr>
      </w:pPr>
    </w:p>
    <w:p>
      <w:pPr>
        <w:ind w:left="1300" w:right="60" w:firstLine="653"/>
        <w:spacing w:after="0" w:line="264" w:lineRule="auto"/>
        <w:tabs>
          <w:tab w:leader="none" w:pos="22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9"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“PATRIOT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PATRIOT Act.</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70</w:t>
      </w:r>
    </w:p>
    <w:p>
      <w:pPr>
        <w:spacing w:after="0" w:line="117" w:lineRule="exact"/>
        <w:rPr>
          <w:sz w:val="20"/>
          <w:szCs w:val="20"/>
          <w:color w:val="auto"/>
        </w:rPr>
      </w:pPr>
    </w:p>
    <w:p>
      <w:pPr>
        <w:jc w:val="both"/>
        <w:ind w:left="260" w:right="40" w:firstLine="1288"/>
        <w:spacing w:after="0" w:line="279" w:lineRule="auto"/>
        <w:tabs>
          <w:tab w:leader="none" w:pos="19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left="260" w:right="60" w:firstLine="1288"/>
        <w:spacing w:after="0" w:line="272" w:lineRule="auto"/>
        <w:tabs>
          <w:tab w:leader="none" w:pos="194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7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10.26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260" w:right="700" w:firstLine="1288"/>
        <w:spacing w:after="0" w:line="277" w:lineRule="auto"/>
        <w:tabs>
          <w:tab w:leader="none" w:pos="19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party hereto that is an EEA Financial Institution; and</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21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340" w:firstLine="653"/>
        <w:spacing w:after="0" w:line="277" w:lineRule="auto"/>
        <w:tabs>
          <w:tab w:leader="none" w:pos="226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1" w:name="page82"/>
    <w:bookmarkEnd w:id="81"/>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proper and duly authorized officers as of the day and year first written above.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752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 and Treasurer</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sectPr>
      </w:pPr>
    </w:p>
    <w:bookmarkStart w:id="82" w:name="page83"/>
    <w:bookmarkEnd w:id="82"/>
    <w:p>
      <w:pPr>
        <w:jc w:val="right"/>
        <w:ind w:right="779"/>
        <w:spacing w:after="0"/>
        <w:rPr>
          <w:sz w:val="20"/>
          <w:szCs w:val="20"/>
          <w:color w:val="auto"/>
        </w:rPr>
      </w:pPr>
      <w:r>
        <w:rPr>
          <w:rFonts w:ascii="Arial" w:cs="Arial" w:eastAsia="Arial" w:hAnsi="Arial"/>
          <w:sz w:val="18"/>
          <w:szCs w:val="18"/>
          <w:color w:val="auto"/>
        </w:rPr>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WELLS FARGO BANK, NATIONAL ASSOCIATION,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40"/>
          </w:cols>
          <w:pgMar w:left="1440" w:top="557" w:right="1219" w:bottom="1440" w:gutter="0" w:footer="0" w:header="0"/>
        </w:sectPr>
      </w:pPr>
    </w:p>
    <w:bookmarkStart w:id="84" w:name="page85"/>
    <w:bookmarkEnd w:id="84"/>
    <w:p>
      <w:pPr>
        <w:jc w:val="right"/>
        <w:ind w:right="2019"/>
        <w:spacing w:after="0"/>
        <w:rPr>
          <w:sz w:val="20"/>
          <w:szCs w:val="20"/>
          <w:color w:val="auto"/>
        </w:rPr>
      </w:pPr>
      <w:r>
        <w:rPr>
          <w:rFonts w:ascii="Arial" w:cs="Arial" w:eastAsia="Arial" w:hAnsi="Arial"/>
          <w:sz w:val="18"/>
          <w:szCs w:val="18"/>
          <w:color w:val="auto"/>
        </w:rPr>
        <w:t>SG AMERICAS SECURITIES, LLC</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Jonathan Logan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Jonathan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Jonathan Logan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Jonathan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5" w:name="page86"/>
    <w:bookmarkEnd w:id="85"/>
    <w:p>
      <w:pPr>
        <w:ind w:left="430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/s/James D. Weinstein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6" w:name="page87"/>
    <w:bookmarkEnd w:id="86"/>
    <w:p>
      <w:pPr>
        <w:jc w:val="right"/>
        <w:ind w:right="2059"/>
        <w:spacing w:after="0"/>
        <w:rPr>
          <w:sz w:val="20"/>
          <w:szCs w:val="20"/>
          <w:color w:val="auto"/>
        </w:rPr>
      </w:pPr>
      <w:r>
        <w:rPr>
          <w:rFonts w:ascii="Arial" w:cs="Arial" w:eastAsia="Arial" w:hAnsi="Arial"/>
          <w:sz w:val="18"/>
          <w:szCs w:val="18"/>
          <w:color w:val="auto"/>
        </w:rPr>
        <w:t>MIZUHO BANK, LTD.,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Donna DeMagistris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7"/>
          <w:szCs w:val="17"/>
          <w:color w:val="auto"/>
        </w:rPr>
        <w:t>Title:</w:t>
        <w:tab/>
        <w:t>Authorized Signatory</w:t>
      </w:r>
    </w:p>
    <w:p>
      <w:pPr>
        <w:spacing w:after="0" w:line="11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7" w:name="page88"/>
    <w:bookmarkEnd w:id="87"/>
    <w:p>
      <w:pPr>
        <w:jc w:val="right"/>
        <w:ind w:right="1739"/>
        <w:spacing w:after="0"/>
        <w:rPr>
          <w:sz w:val="20"/>
          <w:szCs w:val="20"/>
          <w:color w:val="auto"/>
        </w:rPr>
      </w:pPr>
      <w:r>
        <w:rPr>
          <w:rFonts w:ascii="Arial" w:cs="Arial" w:eastAsia="Arial" w:hAnsi="Arial"/>
          <w:sz w:val="18"/>
          <w:szCs w:val="18"/>
          <w:color w:val="auto"/>
        </w:rPr>
        <w:t>SANTANDER BANK, N.A.,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Xavier Ruiz Sena</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Xavier Ruiz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8" w:name="page89"/>
    <w:bookmarkEnd w:id="88"/>
    <w:p>
      <w:pPr>
        <w:ind w:left="4300"/>
        <w:spacing w:after="0" w:line="277" w:lineRule="auto"/>
        <w:rPr>
          <w:sz w:val="20"/>
          <w:szCs w:val="20"/>
          <w:color w:val="auto"/>
        </w:rPr>
      </w:pPr>
      <w:r>
        <w:rPr>
          <w:rFonts w:ascii="Arial" w:cs="Arial" w:eastAsia="Arial" w:hAnsi="Arial"/>
          <w:sz w:val="18"/>
          <w:szCs w:val="18"/>
          <w:color w:val="auto"/>
        </w:rPr>
        <w:t>AGRICULTURAL BANK OF CHINA LTD., NEW YORK BRANCH, as a Lender</w:t>
      </w:r>
    </w:p>
    <w:p>
      <w:pPr>
        <w:spacing w:after="0" w:line="38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Nelson Chou</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2740" w:right="2040" w:firstLine="2020"/>
        <w:spacing w:after="0" w:line="386" w:lineRule="auto"/>
        <w:rPr>
          <w:sz w:val="20"/>
          <w:szCs w:val="20"/>
          <w:color w:val="auto"/>
        </w:rPr>
      </w:pPr>
      <w:r>
        <w:rPr>
          <w:rFonts w:ascii="Arial" w:cs="Arial" w:eastAsia="Arial" w:hAnsi="Arial"/>
          <w:sz w:val="18"/>
          <w:szCs w:val="18"/>
          <w:color w:val="auto"/>
        </w:rPr>
        <w:t>Title: SVP, Head of Corporate Banking [Signature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-79375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557" w:right="699" w:bottom="1440" w:gutter="0" w:footer="0" w:header="0"/>
        </w:sectPr>
      </w:pPr>
    </w:p>
    <w:bookmarkStart w:id="89" w:name="page90"/>
    <w:bookmarkEnd w:id="89"/>
    <w:p>
      <w:pPr>
        <w:jc w:val="right"/>
        <w:ind w:right="559"/>
        <w:spacing w:after="0"/>
        <w:rPr>
          <w:sz w:val="20"/>
          <w:szCs w:val="20"/>
          <w:color w:val="auto"/>
        </w:rPr>
      </w:pPr>
      <w:r>
        <w:rPr>
          <w:rFonts w:ascii="Arial" w:cs="Arial" w:eastAsia="Arial" w:hAnsi="Arial"/>
          <w:sz w:val="18"/>
          <w:szCs w:val="18"/>
          <w:color w:val="auto"/>
        </w:rPr>
        <w:t>BANK OF CHINA, NEW YORK BRANCH,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Chen Xu</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Chen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President and CEO</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0" w:name="page91"/>
    <w:bookmarkEnd w:id="90"/>
    <w:p>
      <w:pPr>
        <w:jc w:val="right"/>
        <w:ind w:right="1019"/>
        <w:spacing w:after="0"/>
        <w:rPr>
          <w:sz w:val="20"/>
          <w:szCs w:val="20"/>
          <w:color w:val="auto"/>
        </w:rPr>
      </w:pPr>
      <w:r>
        <w:rPr>
          <w:rFonts w:ascii="Arial" w:cs="Arial" w:eastAsia="Arial" w:hAnsi="Arial"/>
          <w:sz w:val="18"/>
          <w:szCs w:val="18"/>
          <w:color w:val="auto"/>
        </w:rPr>
        <w:t>ING Bank, a Branch of ING-DiBa AG,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Eva Smolen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Eva Smolen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Ingo Steen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Ingo 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VP</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1" w:name="page92"/>
    <w:bookmarkEnd w:id="91"/>
    <w:p>
      <w:pPr>
        <w:jc w:val="right"/>
        <w:ind w:right="639"/>
        <w:spacing w:after="0"/>
        <w:rPr>
          <w:sz w:val="20"/>
          <w:szCs w:val="20"/>
          <w:color w:val="auto"/>
        </w:rPr>
      </w:pPr>
      <w:r>
        <w:rPr>
          <w:rFonts w:ascii="Arial" w:cs="Arial" w:eastAsia="Arial" w:hAnsi="Arial"/>
          <w:sz w:val="18"/>
          <w:szCs w:val="18"/>
          <w:color w:val="auto"/>
        </w:rPr>
        <w:t>NATIONAL WESTMINSTER BANK PLC,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Ben Liptrot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Ben Liptrot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2" w:name="page93"/>
    <w:bookmarkEnd w:id="92"/>
    <w:p>
      <w:pPr>
        <w:jc w:val="right"/>
        <w:ind w:right="1399"/>
        <w:spacing w:after="0"/>
        <w:rPr>
          <w:sz w:val="20"/>
          <w:szCs w:val="20"/>
          <w:color w:val="auto"/>
        </w:rPr>
      </w:pPr>
      <w:r>
        <w:rPr>
          <w:rFonts w:ascii="Arial" w:cs="Arial" w:eastAsia="Arial" w:hAnsi="Arial"/>
          <w:sz w:val="18"/>
          <w:szCs w:val="18"/>
          <w:color w:val="auto"/>
        </w:rPr>
        <w:t>THE BANK OF NOVA SCOTIA,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Laura Gimena</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Laura Gimena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3" w:name="page94"/>
    <w:bookmarkEnd w:id="93"/>
    <w:p>
      <w:pPr>
        <w:jc w:val="right"/>
        <w:ind w:right="239"/>
        <w:spacing w:after="0"/>
        <w:rPr>
          <w:sz w:val="20"/>
          <w:szCs w:val="20"/>
          <w:color w:val="auto"/>
        </w:rPr>
      </w:pPr>
      <w:r>
        <w:rPr>
          <w:rFonts w:ascii="Arial" w:cs="Arial" w:eastAsia="Arial" w:hAnsi="Arial"/>
          <w:sz w:val="18"/>
          <w:szCs w:val="18"/>
          <w:color w:val="auto"/>
        </w:rPr>
        <w:t>COMMERZBANK AG, NEW YORK BRANCH,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Paolo de Alessandrini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Paolo de Alessandrini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Jenny Shum</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Jenny Shum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4" w:name="page95"/>
    <w:bookmarkEnd w:id="94"/>
    <w:p>
      <w:pPr>
        <w:ind w:left="4300"/>
        <w:spacing w:after="0"/>
        <w:rPr>
          <w:sz w:val="20"/>
          <w:szCs w:val="20"/>
          <w:color w:val="auto"/>
        </w:rPr>
      </w:pPr>
      <w:r>
        <w:rPr>
          <w:rFonts w:ascii="Arial" w:cs="Arial" w:eastAsia="Arial" w:hAnsi="Arial"/>
          <w:sz w:val="18"/>
          <w:szCs w:val="18"/>
          <w:color w:val="auto"/>
        </w:rPr>
        <w:t>Fifth Third Bank,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Dan Komitor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Dan Komitor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2740" w:right="1579" w:firstLine="2020"/>
        <w:spacing w:after="0" w:line="386" w:lineRule="auto"/>
        <w:rPr>
          <w:sz w:val="20"/>
          <w:szCs w:val="20"/>
          <w:color w:val="auto"/>
        </w:rPr>
      </w:pPr>
      <w:r>
        <w:rPr>
          <w:rFonts w:ascii="Arial" w:cs="Arial" w:eastAsia="Arial" w:hAnsi="Arial"/>
          <w:sz w:val="18"/>
          <w:szCs w:val="18"/>
          <w:color w:val="auto"/>
        </w:rPr>
        <w:t>Title: Senior Relationship Manager [Signature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-79375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INTESA SANPAOLO S.P.A., NEW YORK BRANCH,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Manuela Insana</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Manuela Insana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VP &amp;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Francesco Di Mario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FVP &amp; Head of Credit</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20"/>
          </w:cols>
          <w:pgMar w:left="1440" w:top="557" w:right="939" w:bottom="1440" w:gutter="0" w:footer="0" w:header="0"/>
        </w:sectPr>
      </w:pPr>
    </w:p>
    <w:bookmarkStart w:id="96" w:name="page97"/>
    <w:bookmarkEnd w:id="96"/>
    <w:p>
      <w:pPr>
        <w:ind w:left="4300"/>
        <w:spacing w:after="0"/>
        <w:rPr>
          <w:sz w:val="20"/>
          <w:szCs w:val="20"/>
          <w:color w:val="auto"/>
        </w:rPr>
      </w:pPr>
      <w:r>
        <w:rPr>
          <w:rFonts w:ascii="Arial" w:cs="Arial" w:eastAsia="Arial" w:hAnsi="Arial"/>
          <w:sz w:val="18"/>
          <w:szCs w:val="18"/>
          <w:color w:val="auto"/>
        </w:rPr>
        <w:t>LLOYDS BANK PLC, as a Lender</w:t>
      </w:r>
    </w:p>
    <w:p>
      <w:pPr>
        <w:spacing w:after="0" w:line="200" w:lineRule="exact"/>
        <w:rPr>
          <w:sz w:val="20"/>
          <w:szCs w:val="20"/>
          <w:color w:val="auto"/>
        </w:rPr>
      </w:pPr>
    </w:p>
    <w:p>
      <w:pPr>
        <w:spacing w:after="0" w:line="24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Tina Wong</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both"/>
        <w:ind w:left="4760"/>
        <w:spacing w:after="0"/>
        <w:tabs>
          <w:tab w:leader="none" w:pos="5320" w:val="left"/>
        </w:tabs>
        <w:rPr>
          <w:sz w:val="20"/>
          <w:szCs w:val="20"/>
          <w:color w:val="auto"/>
        </w:rPr>
      </w:pPr>
      <w:r>
        <w:rPr>
          <w:rFonts w:ascii="Arial" w:cs="Arial" w:eastAsia="Arial" w:hAnsi="Arial"/>
          <w:sz w:val="18"/>
          <w:szCs w:val="18"/>
          <w:color w:val="auto"/>
        </w:rPr>
        <w:t>Title:</w:t>
        <w:tab/>
        <w:t>Assistant Manager Transaction Execution Category A W011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Jennifer Larrow</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Jennifer Larrow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2740" w:right="60" w:firstLine="2020"/>
        <w:spacing w:after="0" w:line="386" w:lineRule="auto"/>
        <w:rPr>
          <w:sz w:val="20"/>
          <w:szCs w:val="20"/>
          <w:color w:val="auto"/>
        </w:rPr>
      </w:pPr>
      <w:r>
        <w:rPr>
          <w:rFonts w:ascii="Arial" w:cs="Arial" w:eastAsia="Arial" w:hAnsi="Arial"/>
          <w:sz w:val="18"/>
          <w:szCs w:val="18"/>
          <w:color w:val="auto"/>
        </w:rPr>
        <w:t>Title: Assistant Manager Transaction Execution Category A L003 [Signature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-79375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00"/>
          </w:cols>
          <w:pgMar w:left="1440" w:top="557" w:right="759" w:bottom="1440" w:gutter="0" w:footer="0" w:header="0"/>
        </w:sectPr>
      </w:pPr>
    </w:p>
    <w:bookmarkStart w:id="97" w:name="page98"/>
    <w:bookmarkEnd w:id="97"/>
    <w:p>
      <w:pPr>
        <w:jc w:val="right"/>
        <w:ind w:right="2319"/>
        <w:spacing w:after="0"/>
        <w:rPr>
          <w:sz w:val="20"/>
          <w:szCs w:val="20"/>
          <w:color w:val="auto"/>
        </w:rPr>
      </w:pPr>
      <w:r>
        <w:rPr>
          <w:rFonts w:ascii="Arial" w:cs="Arial" w:eastAsia="Arial" w:hAnsi="Arial"/>
          <w:sz w:val="18"/>
          <w:szCs w:val="18"/>
          <w:color w:val="auto"/>
        </w:rPr>
        <w:t>SUNTRUST BANK,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Paige Scheper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Paige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8" w:name="page99"/>
    <w:bookmarkEnd w:id="98"/>
    <w:p>
      <w:pPr>
        <w:ind w:left="43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80" w:val="left"/>
        </w:tabs>
        <w:rPr>
          <w:sz w:val="20"/>
          <w:szCs w:val="20"/>
          <w:color w:val="auto"/>
        </w:rPr>
      </w:pPr>
      <w:r>
        <w:rPr>
          <w:rFonts w:ascii="Arial" w:cs="Arial" w:eastAsia="Arial" w:hAnsi="Arial"/>
          <w:sz w:val="18"/>
          <w:szCs w:val="18"/>
          <w:color w:val="auto"/>
        </w:rPr>
        <w:t>By:</w:t>
        <w:tab/>
        <w:t>/s/ Garret Komjathy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Garret Komjathy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Senior Vice President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GUARANTEE AGREEMENT</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512445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1189990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and the other Subsidiaries from time to time parties hereto</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1721485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94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73"/>
        </w:trPr>
        <w:tc>
          <w:tcPr>
            <w:tcW w:w="8860" w:type="dxa"/>
            <w:vAlign w:val="bottom"/>
            <w:gridSpan w:val="2"/>
          </w:tcPr>
          <w:p>
            <w:pPr>
              <w:spacing w:after="0"/>
              <w:rPr>
                <w:sz w:val="20"/>
                <w:szCs w:val="20"/>
                <w:color w:val="auto"/>
              </w:rPr>
            </w:pPr>
            <w:r>
              <w:rPr>
                <w:rFonts w:ascii="Arial" w:cs="Arial" w:eastAsia="Arial" w:hAnsi="Arial"/>
                <w:sz w:val="18"/>
                <w:szCs w:val="18"/>
                <w:color w:val="auto"/>
              </w:rPr>
              <w:t>SECTION 1 DEFINED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794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7940" w:type="dxa"/>
            <w:vAlign w:val="bottom"/>
          </w:tcPr>
          <w:p>
            <w:pPr>
              <w:ind w:left="240"/>
              <w:spacing w:after="0"/>
              <w:rPr>
                <w:sz w:val="20"/>
                <w:szCs w:val="20"/>
                <w:color w:val="auto"/>
              </w:rPr>
            </w:pPr>
            <w:r>
              <w:rPr>
                <w:rFonts w:ascii="Arial" w:cs="Arial" w:eastAsia="Arial" w:hAnsi="Arial"/>
                <w:sz w:val="18"/>
                <w:szCs w:val="18"/>
                <w:color w:val="auto"/>
              </w:rPr>
              <w:t>Other Definitional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860" w:type="dxa"/>
            <w:vAlign w:val="bottom"/>
            <w:gridSpan w:val="2"/>
          </w:tcPr>
          <w:p>
            <w:pPr>
              <w:spacing w:after="0"/>
              <w:rPr>
                <w:sz w:val="20"/>
                <w:szCs w:val="20"/>
                <w:color w:val="auto"/>
              </w:rPr>
            </w:pPr>
            <w:r>
              <w:rPr>
                <w:rFonts w:ascii="Arial" w:cs="Arial" w:eastAsia="Arial" w:hAnsi="Arial"/>
                <w:sz w:val="18"/>
                <w:szCs w:val="18"/>
                <w:color w:val="auto"/>
              </w:rPr>
              <w:t>SECTION 2 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7940" w:type="dxa"/>
            <w:vAlign w:val="bottom"/>
          </w:tcPr>
          <w:p>
            <w:pPr>
              <w:ind w:left="240"/>
              <w:spacing w:after="0"/>
              <w:rPr>
                <w:sz w:val="20"/>
                <w:szCs w:val="20"/>
                <w:color w:val="auto"/>
              </w:rPr>
            </w:pPr>
            <w:r>
              <w:rPr>
                <w:rFonts w:ascii="Arial" w:cs="Arial" w:eastAsia="Arial" w:hAnsi="Arial"/>
                <w:sz w:val="18"/>
                <w:szCs w:val="18"/>
                <w:color w:val="auto"/>
              </w:rPr>
              <w:t>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7940" w:type="dxa"/>
            <w:vAlign w:val="bottom"/>
          </w:tcPr>
          <w:p>
            <w:pPr>
              <w:ind w:left="240"/>
              <w:spacing w:after="0"/>
              <w:rPr>
                <w:sz w:val="20"/>
                <w:szCs w:val="20"/>
                <w:color w:val="auto"/>
              </w:rPr>
            </w:pPr>
            <w:r>
              <w:rPr>
                <w:rFonts w:ascii="Arial" w:cs="Arial" w:eastAsia="Arial" w:hAnsi="Arial"/>
                <w:sz w:val="18"/>
                <w:szCs w:val="18"/>
                <w:color w:val="auto"/>
              </w:rPr>
              <w:t>Right of Contribution</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2.03.</w:t>
            </w:r>
          </w:p>
        </w:tc>
        <w:tc>
          <w:tcPr>
            <w:tcW w:w="7940" w:type="dxa"/>
            <w:vAlign w:val="bottom"/>
          </w:tcPr>
          <w:p>
            <w:pPr>
              <w:ind w:left="240"/>
              <w:spacing w:after="0"/>
              <w:rPr>
                <w:sz w:val="20"/>
                <w:szCs w:val="20"/>
                <w:color w:val="auto"/>
              </w:rPr>
            </w:pPr>
            <w:r>
              <w:rPr>
                <w:rFonts w:ascii="Arial" w:cs="Arial" w:eastAsia="Arial" w:hAnsi="Arial"/>
                <w:sz w:val="18"/>
                <w:szCs w:val="18"/>
                <w:color w:val="auto"/>
              </w:rPr>
              <w:t>No Subrogation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7940" w:type="dxa"/>
            <w:vAlign w:val="bottom"/>
          </w:tcPr>
          <w:p>
            <w:pPr>
              <w:ind w:left="240"/>
              <w:spacing w:after="0"/>
              <w:rPr>
                <w:sz w:val="20"/>
                <w:szCs w:val="20"/>
                <w:color w:val="auto"/>
              </w:rPr>
            </w:pPr>
            <w:r>
              <w:rPr>
                <w:rFonts w:ascii="Arial" w:cs="Arial" w:eastAsia="Arial" w:hAnsi="Arial"/>
                <w:sz w:val="18"/>
                <w:szCs w:val="18"/>
                <w:color w:val="auto"/>
              </w:rPr>
              <w:t>Amendments, etc. with respect to the Borrower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7940" w:type="dxa"/>
            <w:vAlign w:val="bottom"/>
          </w:tcPr>
          <w:p>
            <w:pPr>
              <w:ind w:left="240"/>
              <w:spacing w:after="0"/>
              <w:rPr>
                <w:sz w:val="20"/>
                <w:szCs w:val="20"/>
                <w:color w:val="auto"/>
              </w:rPr>
            </w:pPr>
            <w:r>
              <w:rPr>
                <w:rFonts w:ascii="Arial" w:cs="Arial" w:eastAsia="Arial" w:hAnsi="Arial"/>
                <w:sz w:val="18"/>
                <w:szCs w:val="18"/>
                <w:color w:val="auto"/>
              </w:rPr>
              <w:t>Guarantee Absolute and Unconditional</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7940" w:type="dxa"/>
            <w:vAlign w:val="bottom"/>
          </w:tcPr>
          <w:p>
            <w:pPr>
              <w:ind w:left="240"/>
              <w:spacing w:after="0"/>
              <w:rPr>
                <w:sz w:val="20"/>
                <w:szCs w:val="20"/>
                <w:color w:val="auto"/>
              </w:rPr>
            </w:pPr>
            <w:r>
              <w:rPr>
                <w:rFonts w:ascii="Arial" w:cs="Arial" w:eastAsia="Arial" w:hAnsi="Arial"/>
                <w:sz w:val="18"/>
                <w:szCs w:val="18"/>
                <w:color w:val="auto"/>
              </w:rPr>
              <w:t>Reinstatement</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79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860" w:type="dxa"/>
            <w:vAlign w:val="bottom"/>
            <w:gridSpan w:val="2"/>
          </w:tcPr>
          <w:p>
            <w:pPr>
              <w:spacing w:after="0"/>
              <w:rPr>
                <w:sz w:val="20"/>
                <w:szCs w:val="20"/>
                <w:color w:val="auto"/>
              </w:rPr>
            </w:pPr>
            <w:r>
              <w:rPr>
                <w:rFonts w:ascii="Arial" w:cs="Arial" w:eastAsia="Arial" w:hAnsi="Arial"/>
                <w:sz w:val="18"/>
                <w:szCs w:val="18"/>
                <w:color w:val="auto"/>
              </w:rPr>
              <w:t>SECTION 3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7940" w:type="dxa"/>
            <w:vAlign w:val="bottom"/>
          </w:tcPr>
          <w:p>
            <w:pPr>
              <w:ind w:left="240"/>
              <w:spacing w:after="0"/>
              <w:rPr>
                <w:sz w:val="20"/>
                <w:szCs w:val="20"/>
                <w:color w:val="auto"/>
              </w:rPr>
            </w:pPr>
            <w:r>
              <w:rPr>
                <w:rFonts w:ascii="Arial" w:cs="Arial" w:eastAsia="Arial" w:hAnsi="Arial"/>
                <w:sz w:val="18"/>
                <w:szCs w:val="18"/>
                <w:color w:val="auto"/>
              </w:rPr>
              <w:t>Amendments in Writing</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3.02.</w:t>
            </w:r>
          </w:p>
        </w:tc>
        <w:tc>
          <w:tcPr>
            <w:tcW w:w="7940" w:type="dxa"/>
            <w:vAlign w:val="bottom"/>
          </w:tcPr>
          <w:p>
            <w:pPr>
              <w:ind w:left="24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3.03.</w:t>
            </w:r>
          </w:p>
        </w:tc>
        <w:tc>
          <w:tcPr>
            <w:tcW w:w="7940" w:type="dxa"/>
            <w:vAlign w:val="bottom"/>
          </w:tcPr>
          <w:p>
            <w:pPr>
              <w:ind w:left="240"/>
              <w:spacing w:after="0"/>
              <w:rPr>
                <w:sz w:val="20"/>
                <w:szCs w:val="20"/>
                <w:color w:val="auto"/>
              </w:rPr>
            </w:pPr>
            <w:r>
              <w:rPr>
                <w:rFonts w:ascii="Arial" w:cs="Arial" w:eastAsia="Arial" w:hAnsi="Arial"/>
                <w:sz w:val="18"/>
                <w:szCs w:val="18"/>
                <w:color w:val="auto"/>
              </w:rPr>
              <w:t>No Waiver by Course of Conduct; Cumulative 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7940" w:type="dxa"/>
            <w:vAlign w:val="bottom"/>
          </w:tcPr>
          <w:p>
            <w:pPr>
              <w:ind w:left="240"/>
              <w:spacing w:after="0"/>
              <w:rPr>
                <w:sz w:val="20"/>
                <w:szCs w:val="20"/>
                <w:color w:val="auto"/>
              </w:rPr>
            </w:pPr>
            <w:r>
              <w:rPr>
                <w:rFonts w:ascii="Arial" w:cs="Arial" w:eastAsia="Arial" w:hAnsi="Arial"/>
                <w:sz w:val="18"/>
                <w:szCs w:val="18"/>
                <w:color w:val="auto"/>
              </w:rPr>
              <w:t>Enforcement Expenses;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794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3.06.</w:t>
            </w:r>
          </w:p>
        </w:tc>
        <w:tc>
          <w:tcPr>
            <w:tcW w:w="7940" w:type="dxa"/>
            <w:vAlign w:val="bottom"/>
          </w:tcPr>
          <w:p>
            <w:pPr>
              <w:ind w:left="240"/>
              <w:spacing w:after="0"/>
              <w:rPr>
                <w:sz w:val="20"/>
                <w:szCs w:val="20"/>
                <w:color w:val="auto"/>
              </w:rPr>
            </w:pPr>
            <w:r>
              <w:rPr>
                <w:rFonts w:ascii="Arial" w:cs="Arial" w:eastAsia="Arial" w:hAnsi="Arial"/>
                <w:sz w:val="18"/>
                <w:szCs w:val="18"/>
                <w:color w:val="auto"/>
              </w:rPr>
              <w:t>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3.07.</w:t>
            </w:r>
          </w:p>
        </w:tc>
        <w:tc>
          <w:tcPr>
            <w:tcW w:w="79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3.08.</w:t>
            </w:r>
          </w:p>
        </w:tc>
        <w:tc>
          <w:tcPr>
            <w:tcW w:w="79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3.09.</w:t>
            </w:r>
          </w:p>
        </w:tc>
        <w:tc>
          <w:tcPr>
            <w:tcW w:w="7940" w:type="dxa"/>
            <w:vAlign w:val="bottom"/>
          </w:tcPr>
          <w:p>
            <w:pPr>
              <w:ind w:left="240"/>
              <w:spacing w:after="0"/>
              <w:rPr>
                <w:sz w:val="20"/>
                <w:szCs w:val="20"/>
                <w:color w:val="auto"/>
              </w:rPr>
            </w:pPr>
            <w:r>
              <w:rPr>
                <w:rFonts w:ascii="Arial" w:cs="Arial" w:eastAsia="Arial" w:hAnsi="Arial"/>
                <w:sz w:val="18"/>
                <w:szCs w:val="18"/>
                <w:color w:val="auto"/>
              </w:rPr>
              <w:t>Section 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7940" w:type="dxa"/>
            <w:vAlign w:val="bottom"/>
          </w:tcPr>
          <w:p>
            <w:pPr>
              <w:ind w:left="240"/>
              <w:spacing w:after="0"/>
              <w:rPr>
                <w:sz w:val="20"/>
                <w:szCs w:val="20"/>
                <w:color w:val="auto"/>
              </w:rPr>
            </w:pPr>
            <w:r>
              <w:rPr>
                <w:rFonts w:ascii="Arial" w:cs="Arial" w:eastAsia="Arial" w:hAnsi="Arial"/>
                <w:sz w:val="18"/>
                <w:szCs w:val="18"/>
                <w:color w:val="auto"/>
              </w:rPr>
              <w:t>Integration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794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3.12.</w:t>
            </w:r>
          </w:p>
        </w:tc>
        <w:tc>
          <w:tcPr>
            <w:tcW w:w="7940" w:type="dxa"/>
            <w:vAlign w:val="bottom"/>
          </w:tcPr>
          <w:p>
            <w:pPr>
              <w:ind w:left="240"/>
              <w:spacing w:after="0"/>
              <w:rPr>
                <w:sz w:val="20"/>
                <w:szCs w:val="20"/>
                <w:color w:val="auto"/>
              </w:rPr>
            </w:pPr>
            <w:r>
              <w:rPr>
                <w:rFonts w:ascii="Arial" w:cs="Arial" w:eastAsia="Arial" w:hAnsi="Arial"/>
                <w:sz w:val="18"/>
                <w:szCs w:val="18"/>
                <w:color w:val="auto"/>
              </w:rPr>
              <w:t>Submission To Jurisdiction;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3.13.</w:t>
            </w:r>
          </w:p>
        </w:tc>
        <w:tc>
          <w:tcPr>
            <w:tcW w:w="7940" w:type="dxa"/>
            <w:vAlign w:val="bottom"/>
          </w:tcPr>
          <w:p>
            <w:pPr>
              <w:ind w:left="240"/>
              <w:spacing w:after="0"/>
              <w:rPr>
                <w:sz w:val="20"/>
                <w:szCs w:val="20"/>
                <w:color w:val="auto"/>
              </w:rPr>
            </w:pPr>
            <w:r>
              <w:rPr>
                <w:rFonts w:ascii="Arial" w:cs="Arial" w:eastAsia="Arial" w:hAnsi="Arial"/>
                <w:sz w:val="18"/>
                <w:szCs w:val="18"/>
                <w:color w:val="auto"/>
              </w:rPr>
              <w:t>Acknowledgements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3.14.</w:t>
            </w:r>
          </w:p>
        </w:tc>
        <w:tc>
          <w:tcPr>
            <w:tcW w:w="7940" w:type="dxa"/>
            <w:vAlign w:val="bottom"/>
          </w:tcPr>
          <w:p>
            <w:pPr>
              <w:ind w:left="240"/>
              <w:spacing w:after="0"/>
              <w:rPr>
                <w:sz w:val="20"/>
                <w:szCs w:val="20"/>
                <w:color w:val="auto"/>
              </w:rPr>
            </w:pPr>
            <w:r>
              <w:rPr>
                <w:rFonts w:ascii="Arial" w:cs="Arial" w:eastAsia="Arial" w:hAnsi="Arial"/>
                <w:sz w:val="18"/>
                <w:szCs w:val="18"/>
                <w:color w:val="auto"/>
              </w:rPr>
              <w:t>Additional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794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Schedule 1</w:t>
      </w:r>
      <w:r>
        <w:rPr>
          <w:sz w:val="20"/>
          <w:szCs w:val="20"/>
          <w:color w:val="auto"/>
        </w:rPr>
        <w:tab/>
      </w:r>
      <w:r>
        <w:rPr>
          <w:rFonts w:ascii="Arial" w:cs="Arial" w:eastAsia="Arial" w:hAnsi="Arial"/>
          <w:sz w:val="16"/>
          <w:szCs w:val="16"/>
          <w:color w:val="auto"/>
        </w:rPr>
        <w:t>Notice 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Annex 1</w:t>
      </w:r>
      <w:r>
        <w:rPr>
          <w:sz w:val="20"/>
          <w:szCs w:val="20"/>
          <w:color w:val="auto"/>
        </w:rPr>
        <w:tab/>
      </w:r>
      <w:r>
        <w:rPr>
          <w:rFonts w:ascii="Arial" w:cs="Arial" w:eastAsia="Arial" w:hAnsi="Arial"/>
          <w:sz w:val="16"/>
          <w:szCs w:val="16"/>
          <w:color w:val="auto"/>
        </w:rPr>
        <w:t>Form Assumption Agreement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GUARANTEE AGREEMENT</w:t>
      </w:r>
    </w:p>
    <w:p>
      <w:pPr>
        <w:spacing w:after="0" w:line="22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GUARANTEE AGREEMENT, dated as of August 22, 2018, made by each of the signatories hereto, in favor of BANK OF AMERICA, N.A., as Administrative Agent (in such capacity, the “Administrative Agent”) for the banks and other financial institutions or entities (the “Lenders”) from time to time parties to the Term Loan Credit Agreement, dated as of the date hereof (as amended, supplemented or otherwise modified from time to time, the “Credit Agreement”), among COMCAST CORPORATION, a Pennsylvania corporation (the “Borrower”), the Lenders and the Administrative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Borrower and Guarantors are engaged in related businesses, and each Guarantor will derive substantial direct and indirect benefit from the making of the extensions of credit under the Credit Agreement; and</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it is a condition precedent to the effectiveness of the Credit Agreement that the Guarantors shall have executed and delivered this Agreement to the Administrative Agent for the ratable benefit of the Lenders;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thereunder, each Guarantor hereby agrees with the Administrative Agent, for the ratable benefit of the Lenders,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DEFINED TERMS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1820" w:hanging="515"/>
        <w:spacing w:after="0"/>
        <w:tabs>
          <w:tab w:leader="none" w:pos="1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“Agreement”: this Guarantee Agreement, as the same may be amended, supplemented or otherwise modified from time to time.</w:t>
      </w:r>
    </w:p>
    <w:p>
      <w:pPr>
        <w:spacing w:after="0" w:line="23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“Borrower Obligations”: the collective reference to the unpaid principal of and interest on the Loans made to the Borrower and all other obligations and liabilities of the Borrower (including, without limitation, interest accruing at the then applicable rate provided in the Credit Agreement after the maturity of the Loans made to it and interest accruing at the then applicable rate provided in the Credit Agreement after the filing of any petition in bankruptcy, or the commencement of any insolvency, reorganization or like proceeding,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3" w:name="page104"/>
    <w:bookmarkEnd w:id="103"/>
    <w:p>
      <w:pPr>
        <w:jc w:val="both"/>
        <w:spacing w:after="0" w:line="255" w:lineRule="auto"/>
        <w:rPr>
          <w:sz w:val="20"/>
          <w:szCs w:val="20"/>
          <w:color w:val="auto"/>
        </w:rPr>
      </w:pPr>
      <w:r>
        <w:rPr>
          <w:rFonts w:ascii="Arial" w:cs="Arial" w:eastAsia="Arial" w:hAnsi="Arial"/>
          <w:sz w:val="18"/>
          <w:szCs w:val="18"/>
          <w:color w:val="auto"/>
        </w:rPr>
        <w:t>Borrower, whether or not a claim for post-filing or post-petition interest is allowed in such proceeding) to the Administrative Agent or any Lender, whether direct or indirect, absolute or contingent, due or to become due, or now existing or hereafter incurred, which may arise under, out of, or in connection with, the Credit Agreement, this Agreement, the other Loan Documents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“Guarantor Obligations”: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“Guarantors”: the collective reference to each of the signatories hereto and the other entities that may become a party hereto as provided herein (in each case, unless released pursuant to the terms of the Loan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“Obligations”: in the case of each Guarantor, its Guarantor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1820" w:hanging="515"/>
        <w:spacing w:after="0"/>
        <w:tabs>
          <w:tab w:leader="none" w:pos="18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5260"/>
        <w:spacing w:after="0"/>
        <w:rPr>
          <w:rFonts w:ascii="Arial" w:cs="Arial" w:eastAsia="Arial" w:hAnsi="Arial"/>
          <w:sz w:val="17"/>
          <w:szCs w:val="17"/>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Guarantee</w:t>
      </w:r>
      <w:r>
        <w:rPr>
          <w:rFonts w:ascii="Arial" w:cs="Arial" w:eastAsia="Arial" w:hAnsi="Arial"/>
          <w:sz w:val="18"/>
          <w:szCs w:val="18"/>
          <w:color w:val="auto"/>
        </w:rPr>
        <w:t>. (a) Subject to the provisions of Section 2.01(b),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w:t>
      </w:r>
    </w:p>
    <w:p>
      <w:pPr>
        <w:spacing w:after="0" w:line="187" w:lineRule="exact"/>
        <w:rPr>
          <w:sz w:val="20"/>
          <w:szCs w:val="20"/>
          <w:color w:val="auto"/>
        </w:rPr>
      </w:pPr>
    </w:p>
    <w:p>
      <w:pPr>
        <w:jc w:val="both"/>
        <w:ind w:firstLine="1305"/>
        <w:spacing w:after="0" w:line="312" w:lineRule="auto"/>
        <w:tabs>
          <w:tab w:leader="none" w:pos="1821"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2.02).</w:t>
      </w:r>
    </w:p>
    <w:p>
      <w:pPr>
        <w:spacing w:after="0" w:line="146" w:lineRule="exact"/>
        <w:rPr>
          <w:rFonts w:ascii="Arial" w:cs="Arial" w:eastAsia="Arial" w:hAnsi="Arial"/>
          <w:sz w:val="16"/>
          <w:szCs w:val="16"/>
          <w:color w:val="auto"/>
        </w:rPr>
      </w:pPr>
    </w:p>
    <w:p>
      <w:pPr>
        <w:ind w:firstLine="1305"/>
        <w:spacing w:after="0" w:line="277" w:lineRule="auto"/>
        <w:tabs>
          <w:tab w:leader="none" w:pos="18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exceed the amount of the liability of such Guarantor hereunder without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ind w:left="80"/>
        <w:spacing w:after="0"/>
        <w:rPr>
          <w:sz w:val="20"/>
          <w:szCs w:val="20"/>
          <w:color w:val="auto"/>
        </w:rPr>
      </w:pPr>
      <w:r>
        <w:rPr>
          <w:rFonts w:ascii="Arial" w:cs="Arial" w:eastAsia="Arial" w:hAnsi="Arial"/>
          <w:sz w:val="18"/>
          <w:szCs w:val="18"/>
          <w:color w:val="auto"/>
        </w:rPr>
        <w:t>impairing the guarantee contained in this Section 2 or affecting the rights and remedies of the Administrative Agent or any Lender hereunder.</w:t>
      </w:r>
    </w:p>
    <w:p>
      <w:pPr>
        <w:spacing w:after="0" w:line="225" w:lineRule="exact"/>
        <w:rPr>
          <w:sz w:val="20"/>
          <w:szCs w:val="20"/>
          <w:color w:val="auto"/>
        </w:rPr>
      </w:pPr>
    </w:p>
    <w:p>
      <w:pPr>
        <w:jc w:val="both"/>
        <w:ind w:firstLine="1305"/>
        <w:spacing w:after="0" w:line="259" w:lineRule="auto"/>
        <w:tabs>
          <w:tab w:leader="none" w:pos="18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Borrower Obligations and the obligations of each Guarantor under the guarantee contained in this Section 2 shall have been satisfied by payment in full (other than contingent indemnification and expense reimbursement obligations) and all Commitments shall be terminated, notwithstanding that from time to time during the term of the Credit Agreement the Borrower may be free from the Borrower Obligations.</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contingent indemnification and expense reimbursement obligations) are paid in full and all Commitments are terminated.</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2.02,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2.03. The provisions of this Section 2.02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and expense reimbursement obligations) are paid in full and all Commitments are terminated. If any amount shall be paid to any Guarantor on account of such subrogation rights at any time when all of the Borrower Obligations (other than contingent indemnification and expense reimbursement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auto"/>
        </w:rPr>
        <w:t>Guarantor to the Administrative Agent, if required), to be applied against the Borrower Obligations, whether matured or unmatured, in such order as the Administrative Agent may determine.</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Amendments, etc. with respect to the Borrower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2 or any property subject thereto.</w:t>
      </w:r>
    </w:p>
    <w:p>
      <w:pPr>
        <w:spacing w:after="0" w:line="17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Borrower Obligations and notice of or proof of reliance by the Administrative Agent or any Lender upon the guarantee contained in this Section 2 or acceptance of the guarantee contained in this Section 2; the Borrower Obligations, and any of them, shall conclusively be deemed to have been created, contracted or incurred, or renewed, extended, amended or waived, in reliance upon the guarantee contained in this Section 2; and all dealings between the Borrower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Borrower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jc w:val="both"/>
        <w:spacing w:after="0" w:line="273" w:lineRule="auto"/>
        <w:rPr>
          <w:sz w:val="20"/>
          <w:szCs w:val="20"/>
          <w:color w:val="auto"/>
        </w:rPr>
      </w:pPr>
      <w:r>
        <w:rPr>
          <w:rFonts w:ascii="Arial" w:cs="Arial" w:eastAsia="Arial" w:hAnsi="Arial"/>
          <w:sz w:val="17"/>
          <w:szCs w:val="17"/>
          <w:color w:val="auto"/>
        </w:rPr>
        <w:t>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the currency otherwise required pursuant to the terms of the Credit Agreement at the Administrative Agent’s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Neither the Administrative Agent nor any Lender shall by any act (except by a written instrument pursuant to Section 3.01),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7" w:name="page108"/>
    <w:bookmarkEnd w:id="107"/>
    <w:p>
      <w:pPr>
        <w:jc w:val="both"/>
        <w:ind w:firstLine="1297"/>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but solely to the extent such costs and expenses would be reimbursable by the Borrower pursuant to Section 10.03 of the Credit Agreement.</w:t>
      </w:r>
    </w:p>
    <w:p>
      <w:pPr>
        <w:spacing w:after="0" w:line="187" w:lineRule="exact"/>
        <w:rPr>
          <w:sz w:val="20"/>
          <w:szCs w:val="20"/>
          <w:color w:val="auto"/>
        </w:rPr>
      </w:pPr>
    </w:p>
    <w:p>
      <w:pPr>
        <w:jc w:val="both"/>
        <w:ind w:firstLine="1305"/>
        <w:spacing w:after="0" w:line="259" w:lineRule="auto"/>
        <w:tabs>
          <w:tab w:leader="none" w:pos="20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186" w:lineRule="exact"/>
        <w:rPr>
          <w:rFonts w:ascii="Arial" w:cs="Arial" w:eastAsia="Arial" w:hAnsi="Arial"/>
          <w:sz w:val="18"/>
          <w:szCs w:val="18"/>
          <w:color w:val="auto"/>
        </w:rPr>
      </w:pPr>
    </w:p>
    <w:p>
      <w:pPr>
        <w:ind w:right="20" w:firstLine="1305"/>
        <w:spacing w:after="0" w:line="277" w:lineRule="auto"/>
        <w:tabs>
          <w:tab w:leader="none" w:pos="18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agreements in this Section 3.04 shall survive repayment of the Obligations and all other amounts payable under the Credit Agreement and the other Loan Documents.</w:t>
      </w:r>
    </w:p>
    <w:p>
      <w:pPr>
        <w:spacing w:after="0" w:line="170"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Guarantor and shall inure to the benefit of the Administrative Agent and the Lenders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Guarantor promptly of any such set-off and the application made by the Administrative Agent or such Lender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and each Lender under this Section 3.06 are in addition to other rights and remedies (including, without limitation, other rights of set-off) which the Administrative Agent or such Lender may have.</w:t>
      </w:r>
    </w:p>
    <w:p>
      <w:pPr>
        <w:spacing w:after="0" w:line="17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in “.pdf” form), and all of said counterparts taken together shall be deemed to constitute one and the same instrument.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p>
      <w:pPr>
        <w:jc w:val="both"/>
        <w:ind w:right="20" w:firstLine="1297"/>
        <w:spacing w:after="0" w:line="264"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Guarantor hereby irrevocably and unconditionally:</w:t>
      </w:r>
    </w:p>
    <w:p>
      <w:pPr>
        <w:spacing w:after="0" w:line="225" w:lineRule="exact"/>
        <w:rPr>
          <w:sz w:val="20"/>
          <w:szCs w:val="20"/>
          <w:color w:val="auto"/>
        </w:rPr>
      </w:pPr>
    </w:p>
    <w:p>
      <w:pPr>
        <w:jc w:val="both"/>
        <w:ind w:firstLine="1305"/>
        <w:spacing w:after="0" w:line="264" w:lineRule="auto"/>
        <w:tabs>
          <w:tab w:leader="none" w:pos="19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firstLine="1305"/>
        <w:spacing w:after="0" w:line="277" w:lineRule="auto"/>
        <w:tabs>
          <w:tab w:leader="none" w:pos="18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3.02 hereof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0" w:firstLine="1305"/>
        <w:spacing w:after="0" w:line="308" w:lineRule="auto"/>
        <w:tabs>
          <w:tab w:leader="none" w:pos="1872"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waiver set forth in this clause (f)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shall not affect any obligation of the Borrower or any Guarantor under Section 3.04 of this Agreement.</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Guarantor hereby acknowledges that:</w:t>
      </w:r>
    </w:p>
    <w:p>
      <w:pPr>
        <w:spacing w:after="0" w:line="225" w:lineRule="exact"/>
        <w:rPr>
          <w:sz w:val="20"/>
          <w:szCs w:val="20"/>
          <w:color w:val="auto"/>
        </w:rPr>
      </w:pPr>
    </w:p>
    <w:p>
      <w:pPr>
        <w:ind w:left="1840" w:hanging="535"/>
        <w:spacing w:after="0"/>
        <w:tabs>
          <w:tab w:leader="none" w:pos="18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a party;</w:t>
      </w:r>
    </w:p>
    <w:p>
      <w:pPr>
        <w:spacing w:after="0" w:line="211" w:lineRule="exact"/>
        <w:rPr>
          <w:sz w:val="20"/>
          <w:szCs w:val="20"/>
          <w:color w:val="auto"/>
        </w:rPr>
      </w:pPr>
    </w:p>
    <w:p>
      <w:pPr>
        <w:jc w:val="both"/>
        <w:ind w:firstLine="1305"/>
        <w:spacing w:after="0" w:line="302" w:lineRule="auto"/>
        <w:tabs>
          <w:tab w:leader="none" w:pos="1857"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54" w:lineRule="exact"/>
        <w:rPr>
          <w:rFonts w:ascii="Arial" w:cs="Arial" w:eastAsia="Arial" w:hAnsi="Arial"/>
          <w:sz w:val="16"/>
          <w:szCs w:val="16"/>
          <w:color w:val="auto"/>
        </w:rPr>
      </w:pPr>
    </w:p>
    <w:p>
      <w:pPr>
        <w:ind w:firstLine="1305"/>
        <w:spacing w:after="0" w:line="277" w:lineRule="auto"/>
        <w:tabs>
          <w:tab w:leader="none" w:pos="1892"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executes and delivers an Assumption Agreement in the form of Annex 1 hereto shall become a Guarantor for all purposes of this Agreement, subject in all respects to the provisions of Section 6.08 and 6.10 of the Credit Agreement, which govern the release of Guarantors from this Agreement. If any Person shall be released as a Guarantor pursuant to Section 6.08 or 6.10 of the Credit Agreement (as applicable), such Person shall immediately and automatically, without need for further action, cease to be a Guarantor hereunder and shall be, and shall be deemed to be, released from all obligations under and in respect of this Agreement. In connection with the release of any Person as a Guarantor, the Administrative Agent agrees, and the Lenders authorize the Administrative Agent, to execute and deliver documents reasonably requested to evidence such release.</w:t>
      </w:r>
    </w:p>
    <w:p>
      <w:pPr>
        <w:spacing w:after="0" w:line="18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IRREVOCABLY AND UNCONDITIONALLY WAIVES</w:t>
      </w:r>
      <w:r>
        <w:rPr>
          <w:rFonts w:ascii="Arial" w:cs="Arial" w:eastAsia="Arial" w:hAnsi="Arial"/>
          <w:sz w:val="18"/>
          <w:szCs w:val="18"/>
          <w:color w:val="auto"/>
        </w:rPr>
        <w:t xml:space="preserve"> </w:t>
      </w:r>
      <w:r>
        <w:rPr>
          <w:rFonts w:ascii="Arial" w:cs="Arial" w:eastAsia="Arial" w:hAnsi="Arial"/>
          <w:sz w:val="18"/>
          <w:szCs w:val="18"/>
          <w:b w:val="1"/>
          <w:bCs w:val="1"/>
          <w:color w:val="auto"/>
        </w:rPr>
        <w:t>TRIAL BY JURY IN ANY LEGAL ACTION OR PROCEEDING RELATING TO THIS AGREEMENT OR ANY OTHER LOAN DOCUMENT AND FOR ANY COUNTERCLAIM THEREIN.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0" w:name="page111"/>
    <w:bookmarkEnd w:id="110"/>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Guarantee Agreement to be duly executed and delivered as of the date first above written.</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COMCAST CABLE COMMUNICATIONS, LLC</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1697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1" w:name="page112"/>
    <w:bookmarkEnd w:id="111"/>
    <w:p>
      <w:pPr>
        <w:jc w:val="right"/>
        <w:ind w:right="1479"/>
        <w:spacing w:after="0"/>
        <w:rPr>
          <w:sz w:val="20"/>
          <w:szCs w:val="20"/>
          <w:color w:val="auto"/>
        </w:rPr>
      </w:pPr>
      <w:r>
        <w:rPr>
          <w:rFonts w:ascii="Arial" w:cs="Arial" w:eastAsia="Arial" w:hAnsi="Arial"/>
          <w:sz w:val="18"/>
          <w:szCs w:val="18"/>
          <w:color w:val="auto"/>
        </w:rPr>
        <w:t>NBCUNIVERSAL MEDIA, LLC</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-130810</wp:posOffset>
            </wp:positionV>
            <wp:extent cx="2169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22212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1859"/>
        <w:spacing w:after="0"/>
        <w:rPr>
          <w:sz w:val="20"/>
          <w:szCs w:val="20"/>
          <w:color w:val="auto"/>
        </w:rPr>
      </w:pPr>
      <w:r>
        <w:rPr>
          <w:rFonts w:ascii="Arial" w:cs="Arial" w:eastAsia="Arial" w:hAnsi="Arial"/>
          <w:sz w:val="18"/>
          <w:szCs w:val="18"/>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 286-7564</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(215) 286-7794</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Annex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Guarantee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ASSUMPTION AGREEMENT, dated as of ________________, 201_, made by ______________________________ (the “Additional</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Guarantor”), in favor of Bank of America, N.A., as administrative agent (in such capacity, the “Administrative Agent”) for the banks and other financial institutions or entities (the “Lenders”) parties to the Credit Agreement referred to below. All capitalized terms not defined herein shall have the meaning ascribed to them in such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COMCAST CORPORATION (the “Borrower”), the Lenders and the Administrative Agent are parties to that certain Term Loan Credit Agreement, dated as of August 22, 2018 (as amended, supplemented or otherwise modified from time to time, the “Credit Agreement”);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August 22, 2018 (as amended, supplemented or otherwise modified from time to time, the “Guarantee Agreement”) in favor of the Administrative Agent for the benefit of the Lenders;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Additional Guarantor has agreed to execute and deliver this Assumption Agreement in order to become a party to the Guarantee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both"/>
        <w:ind w:firstLine="1305"/>
        <w:spacing w:after="0" w:line="302" w:lineRule="auto"/>
        <w:tabs>
          <w:tab w:leader="none" w:pos="16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50" w:lineRule="exact"/>
        <w:rPr>
          <w:rFonts w:ascii="Arial" w:cs="Arial" w:eastAsia="Arial" w:hAnsi="Arial"/>
          <w:sz w:val="16"/>
          <w:szCs w:val="16"/>
          <w:color w:val="auto"/>
        </w:rPr>
      </w:pPr>
    </w:p>
    <w:p>
      <w:pPr>
        <w:ind w:firstLine="1305"/>
        <w:spacing w:after="0" w:line="282" w:lineRule="auto"/>
        <w:tabs>
          <w:tab w:leader="none" w:pos="200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1697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NOTICE ADDRESS[ES] OF ADDITIONAL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503555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 FOR EXTENSION OF CREDIT</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Borrowing of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Conversion or Continuation of Loans</w:t>
      </w:r>
    </w:p>
    <w:p>
      <w:pPr>
        <w:spacing w:after="0" w:line="225" w:lineRule="exact"/>
        <w:rPr>
          <w:sz w:val="20"/>
          <w:szCs w:val="20"/>
          <w:color w:val="auto"/>
        </w:rPr>
      </w:pPr>
    </w:p>
    <w:p>
      <w:pPr>
        <w:ind w:left="1760" w:hanging="455"/>
        <w:spacing w:after="0"/>
        <w:tabs>
          <w:tab w:leader="none" w:pos="1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___________________________ (a Business Day).</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Denominated in Dollars: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amount of $___________________________.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Comprised of ____________________________________.[type of Loan requested]</w:t>
      </w:r>
    </w:p>
    <w:p>
      <w:pPr>
        <w:spacing w:after="0" w:line="229" w:lineRule="exact"/>
        <w:rPr>
          <w:sz w:val="20"/>
          <w:szCs w:val="20"/>
          <w:color w:val="auto"/>
        </w:rPr>
      </w:pPr>
    </w:p>
    <w:p>
      <w:pPr>
        <w:ind w:left="1760" w:hanging="455"/>
        <w:spacing w:after="0"/>
        <w:tabs>
          <w:tab w:leader="none" w:pos="1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Eurodollar Rate Loans: with an Interest Period of ___ months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(or ___ days, if for an Interest Period of less than one month).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request complies with the requirements of Section 2 of the Credit Agreement. If the requested Extension of Credit is a Borrowing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the undersigned hereby certifies that the following statements will be true on the date of the requested Extension of Credit:</w:t>
      </w:r>
    </w:p>
    <w:p>
      <w:pPr>
        <w:spacing w:after="0" w:line="211" w:lineRule="exact"/>
        <w:rPr>
          <w:sz w:val="20"/>
          <w:szCs w:val="20"/>
          <w:color w:val="auto"/>
        </w:rPr>
      </w:pPr>
    </w:p>
    <w:p>
      <w:pPr>
        <w:ind w:left="1300" w:firstLine="1296"/>
        <w:spacing w:after="0" w:line="277" w:lineRule="auto"/>
        <w:rPr>
          <w:sz w:val="20"/>
          <w:szCs w:val="20"/>
          <w:color w:val="auto"/>
        </w:rPr>
      </w:pPr>
      <w:r>
        <w:rPr>
          <w:rFonts w:ascii="Arial" w:cs="Arial" w:eastAsia="Arial" w:hAnsi="Arial"/>
          <w:sz w:val="18"/>
          <w:szCs w:val="18"/>
          <w:color w:val="auto"/>
        </w:rPr>
        <w:t>(a) No Major Event of Default has occurred and is continuing or would result from the proposed Extension of Credit to be made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1809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One, two, three, six, or if agreed to by each Lender, twelve months.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18" w:name="page119"/>
    <w:bookmarkEnd w:id="118"/>
    <w:p>
      <w:pPr>
        <w:jc w:val="right"/>
        <w:ind w:right="1179"/>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-130810</wp:posOffset>
            </wp:positionV>
            <wp:extent cx="15862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22860</wp:posOffset>
            </wp:positionV>
            <wp:extent cx="15862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-121920</wp:posOffset>
            </wp:positionV>
            <wp:extent cx="15862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Certificate Date: _____________, 20__</w:t>
      </w:r>
    </w:p>
    <w:p>
      <w:pPr>
        <w:spacing w:after="0" w:line="248"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Financial Statement Date: 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Responsible Officer hereby certifies as of the date hereof that he or she is the _____________ of Borrower, and that,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he or she is authorized to execute and deliver this Certificate to Administrative Agent on behalf of Borrower, and 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year-end financial statements]</w:t>
      </w:r>
    </w:p>
    <w:p>
      <w:pPr>
        <w:spacing w:after="0" w:line="225" w:lineRule="exact"/>
        <w:rPr>
          <w:sz w:val="20"/>
          <w:szCs w:val="20"/>
          <w:color w:val="auto"/>
        </w:rPr>
      </w:pPr>
    </w:p>
    <w:p>
      <w:pPr>
        <w:jc w:val="both"/>
        <w:ind w:firstLine="1305"/>
        <w:spacing w:after="0" w:line="264" w:lineRule="auto"/>
        <w:tabs>
          <w:tab w:leader="none" w:pos="17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Attached hereto as Annex 1 are the year-end audited financial statements of Borrower and its consolidated Subsidiaries required by Section 6.01(a) of the Credit Agreement for the fiscal year of Borrower ended as of the above date, together with the report and opinion of independent certified public accountants required by such section.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225" w:lineRule="exact"/>
        <w:rPr>
          <w:sz w:val="20"/>
          <w:szCs w:val="20"/>
          <w:color w:val="auto"/>
        </w:rPr>
      </w:pPr>
    </w:p>
    <w:p>
      <w:pPr>
        <w:jc w:val="both"/>
        <w:ind w:firstLine="1305"/>
        <w:spacing w:after="0" w:line="259" w:lineRule="auto"/>
        <w:tabs>
          <w:tab w:leader="none" w:pos="17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 of the Credit Agreement for the fiscal quarter of Borrower ended as of the above date. Such financial statements fairly present in all material respects the financial condition, results of operations and cash flows of Borrower and its consolidated Subsidiaries in accordance with GAAP as at such date and for such periods, subject only to pro forma adjustments and normal year-end audit adjustments.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7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 supervision, a detailed review of the transactions and conditions (financial or otherwise) of Borrower during the accounting period covered by the attached financial statements.</w:t>
      </w:r>
    </w:p>
    <w:p>
      <w:pPr>
        <w:spacing w:after="0" w:line="181" w:lineRule="exact"/>
        <w:rPr>
          <w:rFonts w:ascii="Arial" w:cs="Arial" w:eastAsia="Arial" w:hAnsi="Arial"/>
          <w:sz w:val="18"/>
          <w:szCs w:val="18"/>
          <w:color w:val="auto"/>
        </w:rPr>
      </w:pPr>
    </w:p>
    <w:p>
      <w:pPr>
        <w:ind w:right="20" w:firstLine="1305"/>
        <w:spacing w:after="0" w:line="277" w:lineRule="auto"/>
        <w:tabs>
          <w:tab w:leader="none" w:pos="18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70" w:lineRule="exact"/>
        <w:rPr>
          <w:sz w:val="20"/>
          <w:szCs w:val="20"/>
          <w:color w:val="auto"/>
        </w:rPr>
      </w:pPr>
    </w:p>
    <w:p>
      <w:pPr>
        <w:jc w:val="both"/>
        <w:ind w:firstLine="1305"/>
        <w:spacing w:after="0" w:line="312" w:lineRule="auto"/>
        <w:tabs>
          <w:tab w:leader="none" w:pos="188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Annex 2 attached hereto are true and accurate. Such analyses and information set forth the necessary adjustments to exclude the Indebtedness and EBITDA attributed to Unrestricted Subsidiaries and give pro forma effect (in accordance with Section 1.07 of the Credit Agreement) to Material Acquisitions and Material Dispositions made during the period covered thereby.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1" w:name="page122"/>
    <w:bookmarkEnd w:id="121"/>
    <w:p>
      <w:pPr>
        <w:ind w:left="100"/>
        <w:spacing w:after="0"/>
        <w:rPr>
          <w:sz w:val="20"/>
          <w:szCs w:val="20"/>
          <w:color w:val="auto"/>
        </w:rPr>
      </w:pPr>
      <w:r>
        <w:rPr>
          <w:rFonts w:ascii="Arial" w:cs="Arial" w:eastAsia="Arial" w:hAnsi="Arial"/>
          <w:sz w:val="16"/>
          <w:szCs w:val="16"/>
          <w:color w:val="auto"/>
        </w:rPr>
        <w:t>IN WITNESS WHEREOF, the undersigned has executed this Certificate as of the date first above written.</w:t>
      </w:r>
    </w:p>
    <w:p>
      <w:pPr>
        <w:spacing w:after="0" w:line="248"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-130810</wp:posOffset>
            </wp:positionV>
            <wp:extent cx="15862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22860</wp:posOffset>
            </wp:positionV>
            <wp:extent cx="15862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-121920</wp:posOffset>
            </wp:positionV>
            <wp:extent cx="15862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22" w:name="page123"/>
    <w:bookmarkEnd w:id="122"/>
    <w:p>
      <w:pPr>
        <w:ind w:left="6800"/>
        <w:spacing w:after="0"/>
        <w:rPr>
          <w:sz w:val="20"/>
          <w:szCs w:val="20"/>
          <w:color w:val="auto"/>
        </w:rPr>
      </w:pPr>
      <w:r>
        <w:rPr>
          <w:rFonts w:ascii="Arial" w:cs="Arial" w:eastAsia="Arial" w:hAnsi="Arial"/>
          <w:sz w:val="17"/>
          <w:szCs w:val="17"/>
          <w:u w:val="single" w:color="auto"/>
          <w:color w:val="auto"/>
        </w:rPr>
        <w:t>ANNEX 1 TO COMPLIANCE CERTIFICATE</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STATEMENTS OF BORROWER AND ITS SUBSIDIARIES</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23" w:name="page124"/>
    <w:bookmarkEnd w:id="123"/>
    <w:p>
      <w:pPr>
        <w:ind w:left="6800"/>
        <w:spacing w:after="0"/>
        <w:rPr>
          <w:sz w:val="20"/>
          <w:szCs w:val="20"/>
          <w:color w:val="auto"/>
        </w:rPr>
      </w:pPr>
      <w:r>
        <w:rPr>
          <w:rFonts w:ascii="Arial" w:cs="Arial" w:eastAsia="Arial" w:hAnsi="Arial"/>
          <w:sz w:val="17"/>
          <w:szCs w:val="17"/>
          <w:u w:val="single" w:color="auto"/>
          <w:color w:val="auto"/>
        </w:rPr>
        <w:t>ANNEX 2 TO COMPLIANCE CERTIFICATE</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COVENANT ANALYSES AND INFORMATION</w:t>
      </w: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[Set forth detailed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Term Loan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anything to the contrary in this Assignment and Assumption, the Assignor acknowledges and agrees that in connection with any assignment of Commitments on or prior to the Certain Funds Termination Date by a Lender to any of its Affiliates, the Assignor shall not be relieved of its obligations (as in effect immediately prior to giving effect to such assignment) to fund Loans in respect of its Commitments pursuant to the Credit Agreement without the prior written consent of Borrower (in its sole discretion).</w:t>
      </w:r>
    </w:p>
    <w:p>
      <w:pPr>
        <w:spacing w:after="0" w:line="187" w:lineRule="exact"/>
        <w:rPr>
          <w:sz w:val="20"/>
          <w:szCs w:val="20"/>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Assignor: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Assignee: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Administrative Agent: Bank of America, N.A., as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1880" w:type="dxa"/>
            <w:vAlign w:val="bottom"/>
          </w:tcPr>
          <w:p>
            <w:pPr>
              <w:jc w:val="right"/>
              <w:ind w:right="216"/>
              <w:spacing w:after="0"/>
              <w:rPr>
                <w:sz w:val="20"/>
                <w:szCs w:val="20"/>
                <w:color w:val="auto"/>
              </w:rPr>
            </w:pPr>
            <w:r>
              <w:rPr>
                <w:rFonts w:ascii="Arial" w:cs="Arial" w:eastAsia="Arial" w:hAnsi="Arial"/>
                <w:sz w:val="18"/>
                <w:szCs w:val="18"/>
                <w:color w:val="auto"/>
              </w:rPr>
              <w:t>Credit Agreement:</w:t>
            </w:r>
          </w:p>
        </w:tc>
        <w:tc>
          <w:tcPr>
            <w:tcW w:w="9180" w:type="dxa"/>
            <w:vAlign w:val="bottom"/>
            <w:gridSpan w:val="4"/>
          </w:tcPr>
          <w:p>
            <w:pPr>
              <w:ind w:left="60"/>
              <w:spacing w:after="0"/>
              <w:rPr>
                <w:sz w:val="20"/>
                <w:szCs w:val="20"/>
                <w:color w:val="auto"/>
              </w:rPr>
            </w:pPr>
            <w:r>
              <w:rPr>
                <w:rFonts w:ascii="Arial" w:cs="Arial" w:eastAsia="Arial" w:hAnsi="Arial"/>
                <w:sz w:val="18"/>
                <w:szCs w:val="18"/>
                <w:color w:val="auto"/>
                <w:w w:val="92"/>
              </w:rPr>
              <w:t>The Term Loan Credit Agreement dated as of August 22, 2018 among Comcast Corporation, the Lenders party thereto and</w:t>
            </w:r>
          </w:p>
        </w:tc>
      </w:tr>
      <w:tr>
        <w:trPr>
          <w:trHeight w:val="230"/>
        </w:trPr>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460" w:type="dxa"/>
            <w:vAlign w:val="bottom"/>
            <w:gridSpan w:val="3"/>
          </w:tcPr>
          <w:p>
            <w:pPr>
              <w:ind w:left="60"/>
              <w:spacing w:after="0"/>
              <w:rPr>
                <w:sz w:val="20"/>
                <w:szCs w:val="20"/>
                <w:color w:val="auto"/>
              </w:rPr>
            </w:pPr>
            <w:r>
              <w:rPr>
                <w:rFonts w:ascii="Arial" w:cs="Arial" w:eastAsia="Arial" w:hAnsi="Arial"/>
                <w:sz w:val="18"/>
                <w:szCs w:val="18"/>
                <w:color w:val="auto"/>
                <w:w w:val="96"/>
              </w:rPr>
              <w:t>Bank of America, N.A., as Administrative Agent, and the other agents party thereto</w:t>
            </w:r>
          </w:p>
        </w:tc>
        <w:tc>
          <w:tcPr>
            <w:tcW w:w="2720" w:type="dxa"/>
            <w:vAlign w:val="bottom"/>
          </w:tcPr>
          <w:p>
            <w:pPr>
              <w:spacing w:after="0"/>
              <w:rPr>
                <w:sz w:val="20"/>
                <w:szCs w:val="20"/>
                <w:color w:val="auto"/>
              </w:rPr>
            </w:pP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1880" w:type="dxa"/>
            <w:vAlign w:val="bottom"/>
          </w:tcPr>
          <w:p>
            <w:pPr>
              <w:jc w:val="right"/>
              <w:ind w:right="236"/>
              <w:spacing w:after="0"/>
              <w:rPr>
                <w:sz w:val="20"/>
                <w:szCs w:val="20"/>
                <w:color w:val="auto"/>
              </w:rPr>
            </w:pPr>
            <w:r>
              <w:rPr>
                <w:rFonts w:ascii="Arial" w:cs="Arial" w:eastAsia="Arial" w:hAnsi="Arial"/>
                <w:sz w:val="18"/>
                <w:szCs w:val="18"/>
                <w:color w:val="auto"/>
              </w:rPr>
              <w:t>Assigned Interest:</w:t>
            </w: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196"/>
        </w:trPr>
        <w:tc>
          <w:tcPr>
            <w:tcW w:w="360" w:type="dxa"/>
            <w:vAlign w:val="bottom"/>
            <w:tcBorders>
              <w:left w:val="single" w:sz="8" w:color="auto"/>
            </w:tcBorders>
          </w:tcPr>
          <w:p>
            <w:pPr>
              <w:spacing w:after="0"/>
              <w:rPr>
                <w:sz w:val="17"/>
                <w:szCs w:val="17"/>
                <w:color w:val="auto"/>
              </w:rPr>
            </w:pPr>
          </w:p>
        </w:tc>
        <w:tc>
          <w:tcPr>
            <w:tcW w:w="1880" w:type="dxa"/>
            <w:vAlign w:val="bottom"/>
          </w:tcPr>
          <w:p>
            <w:pPr>
              <w:jc w:val="right"/>
              <w:spacing w:after="0" w:line="197" w:lineRule="exact"/>
              <w:rPr>
                <w:sz w:val="20"/>
                <w:szCs w:val="20"/>
                <w:color w:val="auto"/>
              </w:rPr>
            </w:pPr>
            <w:r>
              <w:rPr>
                <w:rFonts w:ascii="Arial" w:cs="Arial" w:eastAsia="Arial" w:hAnsi="Arial"/>
                <w:sz w:val="14"/>
                <w:szCs w:val="14"/>
                <w:color w:val="auto"/>
              </w:rPr>
              <w:t>Facility Assigned</w:t>
            </w:r>
            <w:r>
              <w:rPr>
                <w:rFonts w:ascii="Arial" w:cs="Arial" w:eastAsia="Arial" w:hAnsi="Arial"/>
                <w:sz w:val="22"/>
                <w:szCs w:val="22"/>
                <w:color w:val="auto"/>
                <w:vertAlign w:val="superscript"/>
              </w:rPr>
              <w:t>2</w:t>
            </w:r>
          </w:p>
        </w:tc>
        <w:tc>
          <w:tcPr>
            <w:tcW w:w="7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Aggregate Amount of</w:t>
            </w:r>
          </w:p>
        </w:tc>
        <w:tc>
          <w:tcPr>
            <w:tcW w:w="2860" w:type="dxa"/>
            <w:vAlign w:val="bottom"/>
            <w:tcBorders>
              <w:right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Amount of Commitment/Loans</w:t>
            </w:r>
          </w:p>
        </w:tc>
        <w:tc>
          <w:tcPr>
            <w:tcW w:w="27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Percentage Assigned of</w:t>
            </w: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Commitment/Loans for all Lenders</w:t>
            </w:r>
          </w:p>
        </w:tc>
        <w:tc>
          <w:tcPr>
            <w:tcW w:w="28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Assigned</w:t>
            </w:r>
          </w:p>
        </w:tc>
        <w:tc>
          <w:tcPr>
            <w:tcW w:w="272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color w:val="auto"/>
                <w:w w:val="90"/>
              </w:rPr>
              <w:t>Commitment/Loans</w:t>
            </w:r>
            <w:r>
              <w:rPr>
                <w:rFonts w:ascii="Arial" w:cs="Arial" w:eastAsia="Arial" w:hAnsi="Arial"/>
                <w:sz w:val="30"/>
                <w:szCs w:val="30"/>
                <w:color w:val="auto"/>
                <w:w w:val="90"/>
                <w:vertAlign w:val="superscript"/>
              </w:rPr>
              <w:t>3</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59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61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59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61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right"/>
              <w:ind w:right="259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61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Administrative Agent a completed administrative questionnaire in which the Assignee designates one or more credit contacts to whom all syndicate-level information (which may contain material non-public information about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8097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hanging="112"/>
        <w:spacing w:after="0"/>
        <w:tabs>
          <w:tab w:leader="none" w:pos="120" w:val="left"/>
        </w:tabs>
        <w:numPr>
          <w:ilvl w:val="0"/>
          <w:numId w:val="105"/>
        </w:numPr>
        <w:rPr>
          <w:rFonts w:ascii="Arial" w:cs="Arial" w:eastAsia="Arial" w:hAnsi="Arial"/>
          <w:sz w:val="30"/>
          <w:szCs w:val="30"/>
          <w:color w:val="auto"/>
          <w:vertAlign w:val="superscript"/>
        </w:rPr>
      </w:pPr>
      <w:r>
        <w:rPr>
          <w:rFonts w:ascii="Arial" w:cs="Arial" w:eastAsia="Arial" w:hAnsi="Arial"/>
          <w:sz w:val="18"/>
          <w:szCs w:val="18"/>
          <w:color w:val="auto"/>
        </w:rPr>
        <w:t>Fill in either Commitment or Term Loan.</w:t>
      </w:r>
    </w:p>
    <w:p>
      <w:pPr>
        <w:spacing w:after="0" w:line="128" w:lineRule="exact"/>
        <w:rPr>
          <w:sz w:val="20"/>
          <w:szCs w:val="20"/>
          <w:color w:val="auto"/>
        </w:rPr>
      </w:pPr>
    </w:p>
    <w:p>
      <w:pPr>
        <w:ind w:left="120" w:hanging="112"/>
        <w:spacing w:after="0"/>
        <w:tabs>
          <w:tab w:leader="none" w:pos="120" w:val="left"/>
        </w:tabs>
        <w:numPr>
          <w:ilvl w:val="0"/>
          <w:numId w:val="106"/>
        </w:numPr>
        <w:rPr>
          <w:rFonts w:ascii="Arial" w:cs="Arial" w:eastAsia="Arial" w:hAnsi="Arial"/>
          <w:sz w:val="30"/>
          <w:szCs w:val="30"/>
          <w:color w:val="auto"/>
          <w:vertAlign w:val="superscript"/>
        </w:rPr>
      </w:pPr>
      <w:r>
        <w:rPr>
          <w:rFonts w:ascii="Arial" w:cs="Arial" w:eastAsia="Arial" w:hAnsi="Arial"/>
          <w:sz w:val="18"/>
          <w:szCs w:val="18"/>
          <w:color w:val="auto"/>
        </w:rPr>
        <w:t>Set forth, to at least 9 decimals, as a percentage of the Commitment/Loans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00" w:lineRule="exact"/>
        <w:rPr>
          <w:sz w:val="20"/>
          <w:szCs w:val="20"/>
          <w:color w:val="auto"/>
        </w:rPr>
      </w:pPr>
    </w:p>
    <w:p>
      <w:pPr>
        <w:spacing w:after="0" w:line="255"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1697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-130810</wp:posOffset>
            </wp:positionV>
            <wp:extent cx="15862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-123190</wp:posOffset>
            </wp:positionV>
            <wp:extent cx="21697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-130810</wp:posOffset>
            </wp:positionV>
            <wp:extent cx="15862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5715</wp:posOffset>
            </wp:positionV>
            <wp:extent cx="17754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5715</wp:posOffset>
            </wp:positionV>
            <wp:extent cx="17754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75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18097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hanging="332"/>
        <w:spacing w:after="0" w:line="209" w:lineRule="auto"/>
        <w:tabs>
          <w:tab w:leader="none" w:pos="340" w:val="left"/>
        </w:tabs>
        <w:numPr>
          <w:ilvl w:val="0"/>
          <w:numId w:val="107"/>
        </w:numPr>
        <w:rPr>
          <w:rFonts w:ascii="Arial" w:cs="Arial" w:eastAsia="Arial" w:hAnsi="Arial"/>
          <w:sz w:val="30"/>
          <w:szCs w:val="30"/>
          <w:color w:val="auto"/>
          <w:vertAlign w:val="superscript"/>
        </w:rPr>
      </w:pPr>
      <w:r>
        <w:rPr>
          <w:rFonts w:ascii="Arial" w:cs="Arial" w:eastAsia="Arial" w:hAnsi="Arial"/>
          <w:sz w:val="18"/>
          <w:szCs w:val="18"/>
          <w:color w:val="auto"/>
        </w:rPr>
        <w:t>Must be included for assignments on or prior to the Certain Funds Termination Date (other than assignments by a Lender to any of its affiliates) (see Section10.04 of the Credit Agreement). After the Certain Funds Termination Date, include if Borrower consent is required under the terms of Section 10.04(b)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557" w:right="559" w:bottom="1440" w:gutter="0" w:footer="0" w:header="0"/>
        </w:sectPr>
      </w:pPr>
    </w:p>
    <w:bookmarkStart w:id="128" w:name="page129"/>
    <w:bookmarkEnd w:id="128"/>
    <w:p>
      <w:pPr>
        <w:ind w:left="7540"/>
        <w:spacing w:after="0"/>
        <w:rPr>
          <w:sz w:val="20"/>
          <w:szCs w:val="20"/>
          <w:color w:val="auto"/>
        </w:rPr>
      </w:pPr>
      <w:r>
        <w:rPr>
          <w:rFonts w:ascii="Arial" w:cs="Arial" w:eastAsia="Arial" w:hAnsi="Arial"/>
          <w:sz w:val="17"/>
          <w:szCs w:val="17"/>
          <w:u w:val="single" w:color="auto"/>
          <w:color w:val="auto"/>
        </w:rPr>
        <w:t>ANNEX 1 TO ASSIGNMENT AND ASSUMPTION</w:t>
      </w:r>
    </w:p>
    <w:p>
      <w:pPr>
        <w:spacing w:after="0" w:line="237" w:lineRule="exact"/>
        <w:rPr>
          <w:sz w:val="20"/>
          <w:szCs w:val="20"/>
          <w:color w:val="auto"/>
        </w:rPr>
      </w:pPr>
    </w:p>
    <w:p>
      <w:pPr>
        <w:jc w:val="center"/>
        <w:spacing w:after="0" w:line="312" w:lineRule="auto"/>
        <w:rPr>
          <w:sz w:val="20"/>
          <w:szCs w:val="20"/>
          <w:color w:val="auto"/>
        </w:rPr>
      </w:pPr>
      <w:r>
        <w:rPr>
          <w:rFonts w:ascii="Arial" w:cs="Arial" w:eastAsia="Arial" w:hAnsi="Arial"/>
          <w:sz w:val="16"/>
          <w:szCs w:val="16"/>
          <w:color w:val="auto"/>
        </w:rPr>
        <w:t>Term Loan Credit Agreement dated as of August 22, 2018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parties thereto, and Bank of America, N.A., as administrative agent (in such capacity,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the other agents party thereto.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480" w:hanging="175"/>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respective Subsidiaries or Affiliates or any other Person obligated in respect of any Loan Document or (iv) the performance or observance by Borrower, any of its respective Subsidiaries or Affiliates or any other Person of any of their respective obligations under any Loan Document.</w:t>
      </w:r>
    </w:p>
    <w:p>
      <w:pPr>
        <w:spacing w:after="0" w:line="16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(including that it be an Eligible Assignee and that it otherwise satisfy the requirements set forth in Section 10.04 of the Credit Agreement), (iii) it is capable of extending credit in all Alternative Currencies provided for under the Credit Agreement, (iv) from and after the Effective Date, it shall be bound by the provisions of the Credit Agreement as a Lender thereunder and, to the extent of the Assigned Interest, shall have the obligations of a Lender thereunder,</w:t>
      </w:r>
    </w:p>
    <w:p>
      <w:pPr>
        <w:spacing w:after="0" w:line="5" w:lineRule="exact"/>
        <w:rPr>
          <w:sz w:val="20"/>
          <w:szCs w:val="20"/>
          <w:color w:val="auto"/>
        </w:rPr>
      </w:pPr>
    </w:p>
    <w:p>
      <w:pPr>
        <w:jc w:val="both"/>
        <w:ind w:firstLine="8"/>
        <w:spacing w:after="0" w:line="281" w:lineRule="auto"/>
        <w:tabs>
          <w:tab w:leader="none" w:pos="2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and (vi) if it is a foreign Lender, attached to the Assignment and Assumption is any documentation required to be delivered by it pursuant to the terms of the Credit Agreement (including, without limitation, Section 10.20), duly completed and executed by the Assignee and</w:t>
      </w:r>
    </w:p>
    <w:p>
      <w:pPr>
        <w:spacing w:after="0" w:line="3" w:lineRule="exact"/>
        <w:rPr>
          <w:rFonts w:ascii="Arial" w:cs="Arial" w:eastAsia="Arial" w:hAnsi="Arial"/>
          <w:sz w:val="16"/>
          <w:szCs w:val="16"/>
          <w:color w:val="auto"/>
        </w:rPr>
      </w:pPr>
    </w:p>
    <w:p>
      <w:pPr>
        <w:jc w:val="both"/>
        <w:ind w:firstLine="8"/>
        <w:spacing w:after="0" w:line="281" w:lineRule="auto"/>
        <w:tabs>
          <w:tab w:leader="none" w:pos="2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Loan Documents and</w:t>
      </w:r>
    </w:p>
    <w:p>
      <w:pPr>
        <w:spacing w:after="0" w:line="1" w:lineRule="exact"/>
        <w:rPr>
          <w:rFonts w:ascii="Arial" w:cs="Arial" w:eastAsia="Arial" w:hAnsi="Arial"/>
          <w:sz w:val="16"/>
          <w:szCs w:val="16"/>
          <w:color w:val="auto"/>
        </w:rPr>
      </w:pPr>
    </w:p>
    <w:p>
      <w:pPr>
        <w:ind w:right="20" w:firstLine="8"/>
        <w:spacing w:after="0" w:line="261" w:lineRule="auto"/>
        <w:tabs>
          <w:tab w:leader="none" w:pos="2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jc w:val="both"/>
        <w:ind w:left="-1200" w:firstLine="1305"/>
        <w:spacing w:after="0" w:line="264" w:lineRule="auto"/>
        <w:tabs>
          <w:tab w:leader="none" w:pos="27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 amounts) to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29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197485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7"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639445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EXHIBIT F-1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Administrative Agent and Borrower with a certificate of its non-U.S. Person status on IRS Form W-8BEN or W-8BEN-E.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11493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EXHIBIT F-2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10.20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11493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EXHIBIT F-3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7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11493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EXHIBIT F-4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Administrative Agent and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11493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EXHIBIT 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TARGET ACQUISITION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2018</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August 22,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 Capitalized terms used herein and not otherwise defined shall have the meanings given to such terms in the Credit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 [NAME], Responsible Officer of Borrower, do hereby certify, in my capacity as a Responsible Officer and not in my individual capacity and without personal liability, that all conditions to the consummation of the Target Acquisition have been satisfied, treated as satisfied or waived in accordance with Section 7.07(a) of the Credit Agreement (other than, for the avoidance of doubt, any condition to any Offer or Scheme requiring that the Target Acquisition has been completed).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IN WITNESS WHEREOF, I have executed this certificate on the date first above written.</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-116205</wp:posOffset>
            </wp:positionV>
            <wp:extent cx="18783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[Signature Page to Target Acquisition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159385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39"/>
          </w:cols>
          <w:pgMar w:left="1020" w:top="557" w:right="1440" w:bottom="1440" w:gutter="0" w:footer="0" w:header="0"/>
        </w:sectPr>
      </w:pPr>
    </w:p>
    <w:bookmarkStart w:id="137" w:name="page138"/>
    <w:bookmarkEnd w:id="137"/>
    <w:p>
      <w:pPr>
        <w:jc w:val="center"/>
        <w:ind w:right="-12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u w:val="single" w:color="auto"/>
          <w:color w:val="auto"/>
        </w:rPr>
        <w:t>Asset Monetization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25"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CENTAUR FUNDING CORP (Vodafone Preferred)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7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Schedule 2.01</w:t>
            </w:r>
          </w:p>
        </w:tc>
        <w:tc>
          <w:tcPr>
            <w:tcW w:w="424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37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1"/>
              </w:rPr>
              <w:t>Commitments</w:t>
            </w:r>
          </w:p>
        </w:tc>
        <w:tc>
          <w:tcPr>
            <w:tcW w:w="4240" w:type="dxa"/>
            <w:vAlign w:val="bottom"/>
          </w:tcPr>
          <w:p>
            <w:pPr>
              <w:spacing w:after="0"/>
              <w:rPr>
                <w:sz w:val="24"/>
                <w:szCs w:val="24"/>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232"/>
        </w:trPr>
        <w:tc>
          <w:tcPr>
            <w:tcW w:w="3460" w:type="dxa"/>
            <w:vAlign w:val="bottom"/>
            <w:tcBorders>
              <w:left w:val="single" w:sz="8" w:color="auto"/>
              <w:bottom w:val="single" w:sz="8" w:color="auto"/>
              <w:right w:val="single" w:sz="8" w:color="auto"/>
            </w:tcBorders>
            <w:shd w:val="clear" w:color="auto" w:fill="CCCCCC"/>
          </w:tcPr>
          <w:p>
            <w:pPr>
              <w:ind w:left="1100"/>
              <w:spacing w:after="0"/>
              <w:rPr>
                <w:sz w:val="20"/>
                <w:szCs w:val="20"/>
                <w:color w:val="auto"/>
              </w:rPr>
            </w:pPr>
            <w:r>
              <w:rPr>
                <w:rFonts w:ascii="Arial" w:cs="Arial" w:eastAsia="Arial" w:hAnsi="Arial"/>
                <w:sz w:val="18"/>
                <w:szCs w:val="18"/>
                <w:b w:val="1"/>
                <w:bCs w:val="1"/>
                <w:color w:val="auto"/>
              </w:rPr>
              <w:t>Name of Lender</w:t>
            </w:r>
          </w:p>
        </w:tc>
        <w:tc>
          <w:tcPr>
            <w:tcW w:w="2720" w:type="dxa"/>
            <w:vAlign w:val="bottom"/>
            <w:tcBorders>
              <w:bottom w:val="single" w:sz="8" w:color="auto"/>
              <w:right w:val="single" w:sz="8" w:color="auto"/>
            </w:tcBorders>
            <w:shd w:val="clear" w:color="auto" w:fill="CCCCCC"/>
          </w:tcPr>
          <w:p>
            <w:pPr>
              <w:ind w:left="480"/>
              <w:spacing w:after="0"/>
              <w:rPr>
                <w:sz w:val="20"/>
                <w:szCs w:val="20"/>
                <w:color w:val="auto"/>
              </w:rPr>
            </w:pPr>
            <w:r>
              <w:rPr>
                <w:rFonts w:ascii="Arial" w:cs="Arial" w:eastAsia="Arial" w:hAnsi="Arial"/>
                <w:sz w:val="18"/>
                <w:szCs w:val="18"/>
                <w:b w:val="1"/>
                <w:bCs w:val="1"/>
                <w:color w:val="auto"/>
              </w:rPr>
              <w:t>Applicable Percentage</w:t>
            </w:r>
          </w:p>
        </w:tc>
        <w:tc>
          <w:tcPr>
            <w:tcW w:w="1000" w:type="dxa"/>
            <w:vAlign w:val="bottom"/>
            <w:tcBorders>
              <w:bottom w:val="single" w:sz="8" w:color="auto"/>
            </w:tcBorders>
            <w:shd w:val="clear" w:color="auto" w:fill="CCCCCC"/>
          </w:tcPr>
          <w:p>
            <w:pPr>
              <w:spacing w:after="0"/>
              <w:rPr>
                <w:sz w:val="20"/>
                <w:szCs w:val="20"/>
                <w:color w:val="auto"/>
              </w:rPr>
            </w:pPr>
          </w:p>
        </w:tc>
        <w:tc>
          <w:tcPr>
            <w:tcW w:w="4240" w:type="dxa"/>
            <w:vAlign w:val="bottom"/>
            <w:tcBorders>
              <w:bottom w:val="single" w:sz="8" w:color="auto"/>
              <w:right w:val="single" w:sz="8" w:color="auto"/>
            </w:tcBorders>
            <w:shd w:val="clear" w:color="auto" w:fill="CCCCCC"/>
          </w:tcPr>
          <w:p>
            <w:pPr>
              <w:ind w:left="1140"/>
              <w:spacing w:after="0"/>
              <w:rPr>
                <w:sz w:val="20"/>
                <w:szCs w:val="20"/>
                <w:color w:val="auto"/>
              </w:rPr>
            </w:pPr>
            <w:r>
              <w:rPr>
                <w:rFonts w:ascii="Arial" w:cs="Arial" w:eastAsia="Arial" w:hAnsi="Arial"/>
                <w:sz w:val="18"/>
                <w:szCs w:val="18"/>
                <w:b w:val="1"/>
                <w:bCs w:val="1"/>
                <w:color w:val="auto"/>
              </w:rPr>
              <w:t>Term Loans</w:t>
            </w:r>
          </w:p>
        </w:tc>
      </w:tr>
      <w:tr>
        <w:trPr>
          <w:trHeight w:val="235"/>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America, N.A.</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6.250000000%</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$375,000,000.00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Wells Fargo Bank, National Association</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6.250000000%</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$375,000,000.00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Société Générale</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7.916666667%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$475,000,000.00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Mitsui Banking Corporation</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7.916666667%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$475,000,000.00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Mizuho Bank, Ltd.</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Santander Bank, N.A.</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7.916666667%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$475,000,000.00</w:t>
            </w:r>
          </w:p>
        </w:tc>
      </w:tr>
      <w:tr>
        <w:trPr>
          <w:trHeight w:val="21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Agricultural Bank of China LTD., New York</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Pr>
          <w:p>
            <w:pPr>
              <w:spacing w:after="0"/>
              <w:rPr>
                <w:sz w:val="18"/>
                <w:szCs w:val="18"/>
                <w:color w:val="auto"/>
              </w:rPr>
            </w:pPr>
          </w:p>
        </w:tc>
        <w:tc>
          <w:tcPr>
            <w:tcW w:w="4240" w:type="dxa"/>
            <w:vAlign w:val="bottom"/>
            <w:tcBorders>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Branch</w:t>
            </w:r>
          </w:p>
        </w:tc>
        <w:tc>
          <w:tcPr>
            <w:tcW w:w="2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spacing w:after="0"/>
              <w:rPr>
                <w:sz w:val="20"/>
                <w:szCs w:val="20"/>
                <w:color w:val="auto"/>
              </w:rPr>
            </w:pP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China, New York Branch</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ING Bank, a branch of ING-DiBa AG</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 Westminster Bank plc</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Bank of Nova Scotia</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$425,000,000.00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Commerzbank AG, New York Branch</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5.833333333%</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$350,000,000.00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Fifth Third Bank</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4.166666667%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$250,000,000.00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Intesa Sanpaolo S.p.A., New York Branch</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4.166666667%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$250,000,000.00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Lloyds Bank plc</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4.166666667%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$250,000,000.00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SunTrust Bank</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1.666666667%</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90"/>
              </w:rPr>
              <w:t>$100,000,000.00</w:t>
            </w:r>
          </w:p>
        </w:tc>
      </w:tr>
      <w:tr>
        <w:trPr>
          <w:trHeight w:val="237"/>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 National Association</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1.250000000%</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$75,000,000.00</w:t>
            </w:r>
          </w:p>
        </w:tc>
      </w:tr>
      <w:tr>
        <w:trPr>
          <w:trHeight w:val="239"/>
        </w:trPr>
        <w:tc>
          <w:tcPr>
            <w:tcW w:w="3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100.000000000%</w:t>
            </w:r>
          </w:p>
        </w:tc>
        <w:tc>
          <w:tcPr>
            <w:tcW w:w="100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ind w:right="930"/>
              <w:spacing w:after="0"/>
              <w:rPr>
                <w:sz w:val="20"/>
                <w:szCs w:val="20"/>
                <w:color w:val="auto"/>
              </w:rPr>
            </w:pPr>
            <w:r>
              <w:rPr>
                <w:rFonts w:ascii="Arial" w:cs="Arial" w:eastAsia="Arial" w:hAnsi="Arial"/>
                <w:sz w:val="18"/>
                <w:szCs w:val="18"/>
                <w:color w:val="auto"/>
                <w:w w:val="89"/>
              </w:rPr>
              <w:t>$6,000,000,000.00</w:t>
            </w:r>
          </w:p>
        </w:tc>
      </w:tr>
      <w:tr>
        <w:trPr>
          <w:trHeight w:val="538"/>
        </w:trPr>
        <w:tc>
          <w:tcPr>
            <w:tcW w:w="3460" w:type="dxa"/>
            <w:vAlign w:val="bottom"/>
          </w:tcPr>
          <w:p>
            <w:pPr>
              <w:spacing w:after="0"/>
              <w:rPr>
                <w:sz w:val="24"/>
                <w:szCs w:val="24"/>
                <w:color w:val="auto"/>
              </w:rPr>
            </w:pPr>
          </w:p>
        </w:tc>
        <w:tc>
          <w:tcPr>
            <w:tcW w:w="372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S-2</w:t>
            </w:r>
          </w:p>
        </w:tc>
        <w:tc>
          <w:tcPr>
            <w:tcW w:w="4240" w:type="dxa"/>
            <w:vAlign w:val="bottom"/>
          </w:tcPr>
          <w:p>
            <w:pPr>
              <w:spacing w:after="0"/>
              <w:rPr>
                <w:sz w:val="24"/>
                <w:szCs w:val="24"/>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783" w:right="239" w:bottom="1440" w:gutter="0" w:footer="0" w:header="0"/>
        </w:sectPr>
      </w:pPr>
    </w:p>
    <w:bookmarkStart w:id="139" w:name="page140"/>
    <w:bookmarkEnd w:id="139"/>
    <w:p>
      <w:pPr>
        <w:jc w:val="center"/>
        <w:ind w:right="-139"/>
        <w:spacing w:after="0"/>
        <w:rPr>
          <w:sz w:val="20"/>
          <w:szCs w:val="20"/>
          <w:color w:val="auto"/>
        </w:rPr>
      </w:pPr>
      <w:r>
        <w:rPr>
          <w:rFonts w:ascii="Arial" w:cs="Arial" w:eastAsia="Arial" w:hAnsi="Arial"/>
          <w:sz w:val="18"/>
          <w:szCs w:val="18"/>
          <w:b w:val="1"/>
          <w:bCs w:val="1"/>
          <w:color w:val="auto"/>
        </w:rPr>
        <w:t>Schedule 6.08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Unrestricted Subsidiaries</w:t>
      </w:r>
    </w:p>
    <w:p>
      <w:pPr>
        <w:spacing w:after="0" w:line="229"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Holdings Corporation and its subsidiaries (except Comcast Cable Communications,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Navy Holdings, LLC and its subsidiaries, including NBCUniversal Enterprise,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NBCUniversal Enterprise, Inc. (f/k/a Navy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Contribution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Navy Contribution, LLC and its subsidiaries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NBCUniversal, LLC and its subsidiaries (except for NBCUniversal Media,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Navy Acquisition,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Comcast CSA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NBCUniversal Asia, LLC and its subsidiaries (Universal Studios Japan)</w:t>
      </w:r>
    </w:p>
    <w:p>
      <w:pPr>
        <w:spacing w:after="0" w:line="22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Subsidiaries of Universal City Studios Productions LLLP that are solely and specifically related 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 LLC, (iv) Universal Beijing Development Services LLC, (v) Universal Beijing Owner Holding LLC and (vi) Universal Beijing Services LLC</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AWTV,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all current and future subsidiaries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83" w:right="379" w:bottom="1440" w:gutter="0" w:footer="0" w:header="0"/>
        </w:sectPr>
      </w:pPr>
    </w:p>
    <w:bookmarkStart w:id="140" w:name="page141"/>
    <w:bookmarkEnd w:id="140"/>
    <w:p>
      <w:pPr>
        <w:jc w:val="center"/>
        <w:ind w:right="-1200"/>
        <w:spacing w:after="0"/>
        <w:rPr>
          <w:sz w:val="20"/>
          <w:szCs w:val="20"/>
          <w:color w:val="auto"/>
        </w:rPr>
      </w:pPr>
      <w:r>
        <w:rPr>
          <w:rFonts w:ascii="Arial" w:cs="Arial" w:eastAsia="Arial" w:hAnsi="Arial"/>
          <w:sz w:val="18"/>
          <w:szCs w:val="18"/>
          <w:b w:val="1"/>
          <w:bCs w:val="1"/>
          <w:color w:val="auto"/>
        </w:rPr>
        <w:t>Schedule 10.02</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u w:val="single" w:color="auto"/>
          <w:color w:val="auto"/>
        </w:rPr>
        <w:t>Addresses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to Borrower,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286-7564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If to Administrative Agent,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payments and Requests for Credit Extensions):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Jared McClure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469-201-4418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214-290-9413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jared.l.mcclure@baml.com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Notices as Administrative Agent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W. Trade St.,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NC1-026-06-03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Melissa Mullis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980-386-9372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704-409-0617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melissa.mullis@baml.com</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69" w:right="1440" w:bottom="1440" w:gutter="0" w:footer="0" w:header="0"/>
        </w:sectPr>
      </w:pPr>
    </w:p>
    <w:bookmarkStart w:id="141" w:name="page142"/>
    <w:bookmarkEnd w:id="141"/>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 NO. 1 TO 364-DAY BRIDGE CREDIT AGREEMENT</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THIS AMENDMENT NO. 1 TO 364-DAY BRIDGE CREDIT AGREEMENT dated as of August 22, 2018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Bank of America, N.A., as Administrative Agent. All capitalized terms used herein and not otherwise defined herein shall have the meanings given to such terms in the Sky Bridge Credit Agreement (as defined below).</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WHEREAS, Borrower, the Lenders, the Administrative Agent, and the other persons party thereto entered into that certain 364-Day Bridge Credit Agreement dated as of April 25, 2018 (as amended, restated, amended and restated, supplemented or otherwise modified from time to time prior to the Amendment No. 1 Effective Date, the “</w:t>
      </w:r>
      <w:r>
        <w:rPr>
          <w:rFonts w:ascii="Arial" w:cs="Arial" w:eastAsia="Arial" w:hAnsi="Arial"/>
          <w:sz w:val="18"/>
          <w:szCs w:val="18"/>
          <w:u w:val="single" w:color="auto"/>
          <w:color w:val="auto"/>
        </w:rPr>
        <w:t>Existing Sky Bridge Credit Agreement</w:t>
      </w:r>
      <w:r>
        <w:rPr>
          <w:rFonts w:ascii="Arial" w:cs="Arial" w:eastAsia="Arial" w:hAnsi="Arial"/>
          <w:sz w:val="18"/>
          <w:szCs w:val="18"/>
          <w:color w:val="auto"/>
        </w:rPr>
        <w:t>”; the Existing Sky Bridge Credit Agreement, as amended pursuant to this Amendment, the “</w:t>
      </w:r>
      <w:r>
        <w:rPr>
          <w:rFonts w:ascii="Arial" w:cs="Arial" w:eastAsia="Arial" w:hAnsi="Arial"/>
          <w:sz w:val="18"/>
          <w:szCs w:val="18"/>
          <w:u w:val="single" w:color="auto"/>
          <w:color w:val="auto"/>
        </w:rPr>
        <w:t>Sky Bridge Credit Agreement</w:t>
      </w:r>
      <w:r>
        <w:rPr>
          <w:rFonts w:ascii="Arial" w:cs="Arial" w:eastAsia="Arial" w:hAnsi="Arial"/>
          <w:sz w:val="18"/>
          <w:szCs w:val="18"/>
          <w:color w:val="auto"/>
        </w:rPr>
        <w:t>”); and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Borrower has requested that the Lenders and Administrative Agent amend the Existing Sky Bridge Credit Agreement as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right="100" w:firstLine="646"/>
        <w:spacing w:after="0" w:line="277" w:lineRule="auto"/>
        <w:tabs>
          <w:tab w:leader="none" w:pos="112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Each of the parties hereto agrees that, effective on the Amendment No. 1 Effective Date (as defined below), the Existing Sky Bridge Credit Agreement (including the exhibits and schedules thereto) shall be amended as follows:</w:t>
      </w:r>
    </w:p>
    <w:p>
      <w:pPr>
        <w:spacing w:after="0" w:line="170" w:lineRule="exact"/>
        <w:rPr>
          <w:rFonts w:ascii="Arial" w:cs="Arial" w:eastAsia="Arial" w:hAnsi="Arial"/>
          <w:sz w:val="18"/>
          <w:szCs w:val="18"/>
          <w:color w:val="auto"/>
        </w:rPr>
      </w:pPr>
    </w:p>
    <w:p>
      <w:pPr>
        <w:ind w:left="1720" w:hanging="516"/>
        <w:spacing w:after="0"/>
        <w:tabs>
          <w:tab w:leader="none" w:pos="17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Section 1.01 thereof by inserting the following new defined term in appropriate alphabetical order:</w:t>
      </w:r>
    </w:p>
    <w:p>
      <w:pPr>
        <w:spacing w:after="0" w:line="225" w:lineRule="exact"/>
        <w:rPr>
          <w:sz w:val="20"/>
          <w:szCs w:val="20"/>
          <w:color w:val="auto"/>
        </w:rPr>
      </w:pPr>
    </w:p>
    <w:p>
      <w:pPr>
        <w:ind w:left="1200" w:right="100"/>
        <w:spacing w:after="0" w:line="342" w:lineRule="auto"/>
        <w:rPr>
          <w:sz w:val="20"/>
          <w:szCs w:val="20"/>
          <w:color w:val="auto"/>
        </w:rPr>
      </w:pPr>
      <w:r>
        <w:rPr>
          <w:rFonts w:ascii="Arial" w:cs="Arial" w:eastAsia="Arial" w:hAnsi="Arial"/>
          <w:sz w:val="16"/>
          <w:szCs w:val="16"/>
          <w:color w:val="auto"/>
        </w:rPr>
        <w:t>“August 2018 Term Loan Credit Agreement” means that certain Term Loan Credit Agreement dated as of August 22, 2018, by and among Comcast Corporation, the lenders party thereto, Bank of America, as administrative agent, and Wells Fargo, as syndication agent.</w:t>
      </w:r>
    </w:p>
    <w:p>
      <w:pPr>
        <w:spacing w:after="0" w:line="124" w:lineRule="exact"/>
        <w:rPr>
          <w:sz w:val="20"/>
          <w:szCs w:val="20"/>
          <w:color w:val="auto"/>
        </w:rPr>
      </w:pPr>
    </w:p>
    <w:p>
      <w:pPr>
        <w:ind w:left="640" w:right="100" w:firstLine="564"/>
        <w:spacing w:after="0" w:line="277" w:lineRule="auto"/>
        <w:tabs>
          <w:tab w:leader="none" w:pos="18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Section 1.01 thereof, by amending the definition of “Commitment” to add the following sentence at the end thereof: “As of August 22, 2018, the aggregate amount of the Commitments of all Lenders is £12,900,000,000.”</w:t>
      </w:r>
    </w:p>
    <w:p>
      <w:pPr>
        <w:spacing w:after="0" w:line="170" w:lineRule="exact"/>
        <w:rPr>
          <w:rFonts w:ascii="Arial" w:cs="Arial" w:eastAsia="Arial" w:hAnsi="Arial"/>
          <w:sz w:val="18"/>
          <w:szCs w:val="18"/>
          <w:color w:val="auto"/>
        </w:rPr>
      </w:pPr>
    </w:p>
    <w:p>
      <w:pPr>
        <w:jc w:val="both"/>
        <w:ind w:left="640" w:right="100" w:firstLine="564"/>
        <w:spacing w:after="0" w:line="255" w:lineRule="auto"/>
        <w:tabs>
          <w:tab w:leader="none" w:pos="18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Section 1.01 thereof, by amending the definition of “Debt Issuance” as follows: (i) replacing the “and” immediately prior to clause (k) thereof with a “,” and (ii) inserting new clauses (l) and (m) immediately prior to the “.” at the end thereof that provide “(l) borrowings under the August 2018 Term Loan Credit Agreement in an aggregate principal amount not to exceed $6,000,000,000 and (m) any additional Indebtedness, incurred after August 22, 2018, to the extent that the Company has completed an additional voluntary reduction of Commitments, prior to the funding of such Indebtedness, that in the aggregate is equal to or exceeds the amount of such additional Indebtedness (or applicable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337820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21" w:right="239" w:bottom="1440" w:gutter="0" w:footer="0" w:header="0"/>
        </w:sectPr>
      </w:pPr>
    </w:p>
    <w:bookmarkStart w:id="142" w:name="page143"/>
    <w:bookmarkEnd w:id="142"/>
    <w:p>
      <w:pPr>
        <w:ind w:left="100" w:right="80" w:firstLine="646"/>
        <w:spacing w:after="0" w:line="277" w:lineRule="auto"/>
        <w:tabs>
          <w:tab w:leader="none" w:pos="122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upon satisfaction of the following conditions precedent (the date such conditions precedent are satisfied,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80" w:firstLine="645"/>
        <w:spacing w:after="0" w:line="308" w:lineRule="auto"/>
        <w:tabs>
          <w:tab w:leader="none" w:pos="200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Receipt by Administrative Agent of each of the following, each of which shall be originals, facsimiles or pdf copies unless otherwise specified, each dated on, or in the case of third party certificates, recently before, the Amendment No. 1 Effective Date:</w:t>
      </w:r>
    </w:p>
    <w:p>
      <w:pPr>
        <w:spacing w:after="0" w:line="147" w:lineRule="exact"/>
        <w:rPr>
          <w:sz w:val="20"/>
          <w:szCs w:val="20"/>
          <w:color w:val="auto"/>
        </w:rPr>
      </w:pPr>
    </w:p>
    <w:p>
      <w:pPr>
        <w:ind w:left="1620" w:right="40" w:hanging="315"/>
        <w:spacing w:after="0" w:line="259"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Executed counterparts of this Amendment, executed and delivered by Borrower, Administrative Agent and the Required Lenders and acknowledged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Amendment);</w:t>
      </w:r>
    </w:p>
    <w:p>
      <w:pPr>
        <w:spacing w:after="0" w:line="186" w:lineRule="exact"/>
        <w:rPr>
          <w:rFonts w:ascii="Arial" w:cs="Arial" w:eastAsia="Arial" w:hAnsi="Arial"/>
          <w:sz w:val="18"/>
          <w:szCs w:val="18"/>
          <w:color w:val="auto"/>
        </w:rPr>
      </w:pPr>
    </w:p>
    <w:p>
      <w:pPr>
        <w:ind w:left="1620" w:hanging="315"/>
        <w:spacing w:after="0" w:line="287" w:lineRule="auto"/>
        <w:tabs>
          <w:tab w:leader="none" w:pos="16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certificate of Borrower, dated on or about the Amendment No. 1 Effective Date and executed by a secretary, assistant secretary or Responsible Officer thereof, which shall (A) certify that attached thereto are (x) a true and complete copy of the certificate or articles of incorporation, formation or organization of Borrower certified by the relevant authority of its jurisdiction of organization, which certificate or articles of incorporation, formation or organization of Borrower attached thereto have not been amended (except as attached thereto) since the date reflected thereon, (y) a true and correct copy of the by-laws or operating, management, partnership or similar agreement of Borrower, together with all amendments thereto as of the Amendment No. 1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this Amendment, which resolutions or consent have not been modified, rescinded or amended (other than as attached thereto) and are in full force and effect (which resolutions may be an extract of additional resolutions adopted concurrently therewith), and (B) identify by name and title and bear the signatures of the officers, managers, directors or authorized signatories of Borrower authorized to sign this Amendment; and</w:t>
      </w:r>
    </w:p>
    <w:p>
      <w:pPr>
        <w:spacing w:after="0" w:line="168" w:lineRule="exact"/>
        <w:rPr>
          <w:rFonts w:ascii="Arial" w:cs="Arial" w:eastAsia="Arial" w:hAnsi="Arial"/>
          <w:sz w:val="16"/>
          <w:szCs w:val="16"/>
          <w:color w:val="auto"/>
        </w:rPr>
      </w:pPr>
    </w:p>
    <w:p>
      <w:pPr>
        <w:ind w:left="1620" w:hanging="315"/>
        <w:spacing w:after="0" w:line="257"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that (A) the representations and warranties made by Borrower in the Sky Bridge Credit Agreement, or which are contained in any certificate, document or financial or other statement furnished at any time under or in connection therewith, shall be correct in all material respects on and as of the Amendment No. 1 Effective Date, (B) no Default or Event of Default shall have occurred and be continuing and (C) that there has been no event or circumstance since the date of the Reference Statements which has a Material Adverse Effect.</w:t>
      </w:r>
    </w:p>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Without limiting the generality of the provisions of Section 10.01 of the Sky Bridge Credit Agreement, for purposes of determining compliance with the conditions specified in this Section 2, each Lender that has signed or otherwise become a Lender under this Amendment shall be deemed to have</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3" w:name="page144"/>
    <w:bookmarkEnd w:id="143"/>
    <w:p>
      <w:pPr>
        <w:jc w:val="both"/>
        <w:spacing w:after="0" w:line="255" w:lineRule="auto"/>
        <w:rPr>
          <w:sz w:val="20"/>
          <w:szCs w:val="20"/>
          <w:color w:val="auto"/>
        </w:rPr>
      </w:pPr>
      <w:r>
        <w:rPr>
          <w:rFonts w:ascii="Arial" w:cs="Arial" w:eastAsia="Arial" w:hAnsi="Arial"/>
          <w:sz w:val="18"/>
          <w:szCs w:val="18"/>
          <w:color w:val="auto"/>
        </w:rPr>
        <w:t>consented to, approved or accepted or to be satisfied with, each document or other matter required thereunder to be consented to or approved by or acceptable or satisfactory to a Lender unless Administrative Agent shall have received notice from such Lender prior to the proposed Amendment No. 1 Effective Date specifying its objection thereto. Administrative Agent (or its counsel) shall promptly notify the Lenders and Borrower in writing of the occurrence of the Amendment No. 1 Effective Date, which shall be conclusive evidence of the occurrence thereof (it being understood that any failure to so notify shall not preclude the occurrence of the Amendment No. 1 Effective Date if all conditions to the occurrence thereof have been met). Notwithstanding anything to the contrary in this Amendment, this Section 2 and the conditions set out in this Section 2 shall cease to apply and be of no further effect on and from the Amendment No. 1 Effective Date.</w:t>
      </w:r>
    </w:p>
    <w:p>
      <w:pPr>
        <w:spacing w:after="0" w:line="189" w:lineRule="exact"/>
        <w:rPr>
          <w:sz w:val="20"/>
          <w:szCs w:val="20"/>
          <w:color w:val="auto"/>
        </w:rPr>
      </w:pPr>
    </w:p>
    <w:p>
      <w:pPr>
        <w:ind w:left="1380" w:hanging="643"/>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654"/>
        <w:spacing w:after="0" w:line="272" w:lineRule="auto"/>
        <w:tabs>
          <w:tab w:leader="none" w:pos="191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Existing Sky Bridge Credit Agreement (as amended hereby), and the obligations of the Loan Parties thereunder and under the other Loan Documents, are hereby ratified and confirmed and shall remain in full force and effect according to their terms. Except as expressly set forth herein, this Amendment shall not be deemed to be an amendment or modification of any other provisions of the Existing Sky Bridge Credit Agreement or any other Loan Document or any right, power or remedy of the Lenders, nor constitute a waiver of any provision of the Existing Sky Bridge Credit Agreement, any other Loan Document, or any other document, instrument and/or agreement executed or delivered in connection therewith or of any Default or Event of Default under any of the foregoing, in each case, whether arising before or after the date hereof or as a result of performance hereunder or thereunder.</w:t>
      </w:r>
    </w:p>
    <w:p>
      <w:pPr>
        <w:spacing w:after="0" w:line="177" w:lineRule="exact"/>
        <w:rPr>
          <w:rFonts w:ascii="Arial" w:cs="Arial" w:eastAsia="Arial" w:hAnsi="Arial"/>
          <w:sz w:val="17"/>
          <w:szCs w:val="17"/>
          <w:color w:val="auto"/>
        </w:rPr>
      </w:pPr>
    </w:p>
    <w:p>
      <w:pPr>
        <w:jc w:val="both"/>
        <w:ind w:left="740" w:firstLine="655"/>
        <w:spacing w:after="0" w:line="264" w:lineRule="auto"/>
        <w:tabs>
          <w:tab w:leader="none" w:pos="20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Guarantor (a) acknowledges and consents to all of the terms and conditions of this Amendment, (b) affirms all of its obligations under the Loan Documents and (c) agrees that this Amendment and all documents executed in connection herewith do not operate to reduce or discharge its obligations under the Sky Bridge Credit Agreement or the Loan Documents.</w:t>
      </w:r>
    </w:p>
    <w:p>
      <w:pPr>
        <w:spacing w:after="0" w:line="181" w:lineRule="exact"/>
        <w:rPr>
          <w:rFonts w:ascii="Arial" w:cs="Arial" w:eastAsia="Arial" w:hAnsi="Arial"/>
          <w:sz w:val="18"/>
          <w:szCs w:val="18"/>
          <w:color w:val="auto"/>
        </w:rPr>
      </w:pPr>
    </w:p>
    <w:p>
      <w:pPr>
        <w:jc w:val="both"/>
        <w:ind w:left="740" w:firstLine="654"/>
        <w:spacing w:after="0" w:line="259" w:lineRule="auto"/>
        <w:tabs>
          <w:tab w:leader="none" w:pos="21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Administrative Agent and the Required Lenders agree that as of the Amendment No. 1 Effective Date, the initial Commitments under the Existing Sky Bridge Credit Agreement have been reduced from £16,000,000,000 to £12,900,000,000, without need for further notice (including pursuant to Section 2.05(a) of the Existing Sky Bridge Credit Agreement) and Schedule 2.01 shall be deemed to have been updated to reflect the revised Commitment Amount.</w:t>
      </w:r>
    </w:p>
    <w:p>
      <w:pPr>
        <w:spacing w:after="0" w:line="186" w:lineRule="exact"/>
        <w:rPr>
          <w:rFonts w:ascii="Arial" w:cs="Arial" w:eastAsia="Arial" w:hAnsi="Arial"/>
          <w:sz w:val="18"/>
          <w:szCs w:val="18"/>
          <w:color w:val="auto"/>
        </w:rPr>
      </w:pPr>
    </w:p>
    <w:p>
      <w:pPr>
        <w:ind w:left="1180" w:hanging="443"/>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506"/>
        <w:spacing w:after="0"/>
        <w:tabs>
          <w:tab w:leader="none" w:pos="1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Each Loan Party hereby represents and warrants as follows:</w:t>
      </w:r>
    </w:p>
    <w:p>
      <w:pPr>
        <w:spacing w:after="0" w:line="225" w:lineRule="exact"/>
        <w:rPr>
          <w:rFonts w:ascii="Arial" w:cs="Arial" w:eastAsia="Arial" w:hAnsi="Arial"/>
          <w:sz w:val="18"/>
          <w:szCs w:val="18"/>
          <w:color w:val="auto"/>
        </w:rPr>
      </w:pPr>
    </w:p>
    <w:p>
      <w:pPr>
        <w:ind w:left="1400" w:firstLine="643"/>
        <w:spacing w:after="0" w:line="277" w:lineRule="auto"/>
        <w:tabs>
          <w:tab w:leader="none" w:pos="2549"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Each Loan Party has taken all necessary corporate or limited liability company action to authorize the execution, delivery and performance of this Amendment.</w:t>
      </w:r>
    </w:p>
    <w:p>
      <w:pPr>
        <w:spacing w:after="0" w:line="170" w:lineRule="exact"/>
        <w:rPr>
          <w:rFonts w:ascii="Arial" w:cs="Arial" w:eastAsia="Arial" w:hAnsi="Arial"/>
          <w:sz w:val="18"/>
          <w:szCs w:val="18"/>
          <w:color w:val="auto"/>
        </w:rPr>
      </w:pPr>
    </w:p>
    <w:p>
      <w:pPr>
        <w:jc w:val="both"/>
        <w:ind w:left="1400" w:firstLine="643"/>
        <w:spacing w:after="0" w:line="264" w:lineRule="auto"/>
        <w:tabs>
          <w:tab w:leader="none" w:pos="268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of the Loan Parties and constitutes each of the Loan Parties’ legal, valid and binding obligations, enforceable in accordance with its terms, except as such enforceability may be limited by Debtor Relief Laws and general principles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44" w:name="page145"/>
    <w:bookmarkEnd w:id="144"/>
    <w:p>
      <w:pPr>
        <w:ind w:left="640"/>
        <w:spacing w:after="0"/>
        <w:rPr>
          <w:sz w:val="20"/>
          <w:szCs w:val="20"/>
          <w:color w:val="auto"/>
        </w:rPr>
      </w:pPr>
      <w:r>
        <w:rPr>
          <w:rFonts w:ascii="Arial" w:cs="Arial" w:eastAsia="Arial" w:hAnsi="Arial"/>
          <w:sz w:val="18"/>
          <w:szCs w:val="18"/>
          <w:color w:val="auto"/>
        </w:rPr>
        <w:t>equity (regardless of whether such enforceability is considered in a proceeding in equity or at law).</w:t>
      </w:r>
    </w:p>
    <w:p>
      <w:pPr>
        <w:spacing w:after="0" w:line="225" w:lineRule="exact"/>
        <w:rPr>
          <w:sz w:val="20"/>
          <w:szCs w:val="20"/>
          <w:color w:val="auto"/>
        </w:rPr>
      </w:pPr>
    </w:p>
    <w:p>
      <w:pPr>
        <w:jc w:val="both"/>
        <w:ind w:left="660" w:firstLine="643"/>
        <w:spacing w:after="0" w:line="259" w:lineRule="auto"/>
        <w:tabs>
          <w:tab w:leader="none" w:pos="190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Governmental Authority is required in connection with the execution, delivery or performance by any Loan Party of this Amendment other than those that have already been obtained and are in full force and effect or the failure of which to have obtained would not reasonably be expected to have a Material Adverse Effect.</w:t>
      </w:r>
    </w:p>
    <w:p>
      <w:pPr>
        <w:spacing w:after="0" w:line="186" w:lineRule="exact"/>
        <w:rPr>
          <w:rFonts w:ascii="Arial" w:cs="Arial" w:eastAsia="Arial" w:hAnsi="Arial"/>
          <w:sz w:val="18"/>
          <w:szCs w:val="18"/>
          <w:color w:val="auto"/>
        </w:rPr>
      </w:pPr>
    </w:p>
    <w:p>
      <w:pPr>
        <w:jc w:val="both"/>
        <w:ind w:firstLine="654"/>
        <w:spacing w:after="0" w:line="286" w:lineRule="auto"/>
        <w:tabs>
          <w:tab w:leader="none" w:pos="128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when so executed and delivered shall be an original, but all of which shall constitute one and the same instrument. Delivery of an executed counterpart of this Amendment by telecopy shall be effective as an original and shall constitute a representation that an executed original shall be delivered.</w:t>
      </w:r>
    </w:p>
    <w:p>
      <w:pPr>
        <w:spacing w:after="0" w:line="161" w:lineRule="exact"/>
        <w:rPr>
          <w:rFonts w:ascii="Arial" w:cs="Arial" w:eastAsia="Arial" w:hAnsi="Arial"/>
          <w:sz w:val="17"/>
          <w:szCs w:val="17"/>
          <w:color w:val="auto"/>
        </w:rPr>
      </w:pPr>
    </w:p>
    <w:p>
      <w:pPr>
        <w:jc w:val="both"/>
        <w:ind w:firstLine="654"/>
        <w:spacing w:after="0" w:line="261" w:lineRule="auto"/>
        <w:tabs>
          <w:tab w:leader="none" w:pos="1447"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THIS AMENDMENT AND THE RIGHTS AND OBLIGATIONS OF THE PARTIES HEREUNDER AND ANY CLAIMS, CONTROVERSY, DISPUTE OR CAUSE OF ACTION (WHETHER IN CONTRACT OR TORT OR OTHERWISE) BASED UPON, ARISING OUT OF OR RELATING TO THIS AMENDMENT SHALL BE GOVERNED BY, AND CONSTRUED IN ACCORDANCE WITH, THE LAW OF THE STATE OF NEW YORK.</w:t>
      </w:r>
    </w:p>
    <w:p>
      <w:pPr>
        <w:spacing w:after="0" w:line="184" w:lineRule="exact"/>
        <w:rPr>
          <w:rFonts w:ascii="Arial" w:cs="Arial" w:eastAsia="Arial" w:hAnsi="Arial"/>
          <w:sz w:val="18"/>
          <w:szCs w:val="18"/>
          <w:color w:val="auto"/>
        </w:rPr>
      </w:pPr>
    </w:p>
    <w:p>
      <w:pPr>
        <w:ind w:left="1160" w:hanging="515"/>
        <w:spacing w:after="0"/>
        <w:tabs>
          <w:tab w:leader="none" w:pos="11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This Amendment shall constitute a “Loan Document” for all purposes of the Sky Bridge Credit Agreement and the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ectPr>
          <w:pgSz w:w="11900" w:h="16838" w:orient="portrait"/>
          <w:cols w:equalWidth="0" w:num="1">
            <w:col w:w="9960"/>
          </w:cols>
          <w:pgMar w:left="600" w:top="773" w:right="1339" w:bottom="1440" w:gutter="0" w:footer="0" w:header="0"/>
        </w:sectPr>
      </w:pPr>
    </w:p>
    <w:p>
      <w:pPr>
        <w:spacing w:after="0" w:line="24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5100"/>
        <w:spacing w:after="0"/>
        <w:tabs>
          <w:tab w:leader="none" w:pos="55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-130810</wp:posOffset>
            </wp:positionV>
            <wp:extent cx="27787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both"/>
        <w:ind w:left="5540"/>
        <w:spacing w:after="0"/>
        <w:tabs>
          <w:tab w:leader="none" w:pos="6160" w:val="left"/>
        </w:tabs>
        <w:rPr>
          <w:sz w:val="20"/>
          <w:szCs w:val="20"/>
          <w:color w:val="auto"/>
        </w:rPr>
      </w:pPr>
      <w:r>
        <w:rPr>
          <w:rFonts w:ascii="Arial" w:cs="Arial" w:eastAsia="Arial" w:hAnsi="Arial"/>
          <w:sz w:val="18"/>
          <w:szCs w:val="18"/>
          <w:color w:val="auto"/>
        </w:rPr>
        <w:t>Title:</w:t>
        <w:tab/>
        <w:t>Senior Vice President and Treasurer</w:t>
      </w: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152400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600" w:top="773" w:right="1339" w:bottom="1440" w:gutter="0" w:footer="0" w:header="0"/>
          <w:type w:val="continuous"/>
        </w:sectPr>
      </w:pPr>
    </w:p>
    <w:bookmarkStart w:id="146" w:name="page147"/>
    <w:bookmarkEnd w:id="146"/>
    <w:p>
      <w:pPr>
        <w:ind w:left="43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a Lender and as an Administrative Agent</w:t>
      </w:r>
    </w:p>
    <w:p>
      <w:pPr>
        <w:spacing w:after="0" w:line="200" w:lineRule="exact"/>
        <w:rPr>
          <w:sz w:val="20"/>
          <w:szCs w:val="20"/>
          <w:color w:val="auto"/>
        </w:rPr>
      </w:pPr>
    </w:p>
    <w:p>
      <w:pPr>
        <w:spacing w:after="0" w:line="250"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47" w:name="page148"/>
    <w:bookmarkEnd w:id="147"/>
    <w:p>
      <w:pPr>
        <w:ind w:left="43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48" w:name="page149"/>
    <w:bookmarkEnd w:id="148"/>
    <w:p>
      <w:pPr>
        <w:ind w:left="4300"/>
        <w:spacing w:after="0"/>
        <w:rPr>
          <w:sz w:val="20"/>
          <w:szCs w:val="20"/>
          <w:color w:val="auto"/>
        </w:rPr>
      </w:pPr>
      <w:r>
        <w:rPr>
          <w:rFonts w:ascii="Arial" w:cs="Arial" w:eastAsia="Arial" w:hAnsi="Arial"/>
          <w:sz w:val="17"/>
          <w:szCs w:val="17"/>
          <w:b w:val="1"/>
          <w:bCs w:val="1"/>
          <w:color w:val="auto"/>
        </w:rPr>
        <w:t>CREDIT SUISSE AG, CAYMAN ISLANDS</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Sovanna Day-Goins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Sovanna Day-Goins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Brady Bingham</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Brady Bingham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49" w:name="page150"/>
    <w:bookmarkEnd w:id="149"/>
    <w:p>
      <w:pPr>
        <w:ind w:left="430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Donna DeMagistris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0" w:name="page151"/>
    <w:bookmarkEnd w:id="150"/>
    <w:p>
      <w:pPr>
        <w:ind w:left="4300"/>
        <w:spacing w:after="0"/>
        <w:rPr>
          <w:sz w:val="20"/>
          <w:szCs w:val="20"/>
          <w:color w:val="auto"/>
        </w:rPr>
      </w:pPr>
      <w:r>
        <w:rPr>
          <w:rFonts w:ascii="Arial" w:cs="Arial" w:eastAsia="Arial" w:hAnsi="Arial"/>
          <w:sz w:val="18"/>
          <w:szCs w:val="18"/>
          <w:b w:val="1"/>
          <w:bCs w:val="1"/>
          <w:color w:val="auto"/>
        </w:rPr>
        <w:t>MUFG BANK,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Matthew Hillman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1" w:name="page152"/>
    <w:bookmarkEnd w:id="151"/>
    <w:p>
      <w:pPr>
        <w:ind w:left="430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Yohei Ibi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Yohei 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2" w:name="page153"/>
    <w:bookmarkEnd w:id="152"/>
    <w:p>
      <w:pPr>
        <w:ind w:left="430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Brendan Henegan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Brendan Henegan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Karim Remtoula</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ectPr>
          <w:pgSz w:w="11900" w:h="16838" w:orient="portrait"/>
          <w:cols w:equalWidth="0" w:num="1">
            <w:col w:w="9960"/>
          </w:cols>
          <w:pgMar w:left="580" w:top="558" w:right="13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Allan Kortan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-130810</wp:posOffset>
            </wp:positionV>
            <wp:extent cx="2752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167005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580" w:top="558" w:right="1359" w:bottom="1440" w:gutter="0" w:footer="0" w:header="0"/>
          <w:type w:val="continuous"/>
        </w:sectPr>
      </w:pPr>
    </w:p>
    <w:bookmarkStart w:id="154" w:name="page155"/>
    <w:bookmarkEnd w:id="154"/>
    <w:p>
      <w:pPr>
        <w:ind w:left="4300"/>
        <w:spacing w:after="0" w:line="282" w:lineRule="auto"/>
        <w:rPr>
          <w:sz w:val="20"/>
          <w:szCs w:val="20"/>
          <w:color w:val="auto"/>
        </w:rPr>
      </w:pPr>
      <w:r>
        <w:rPr>
          <w:rFonts w:ascii="Arial" w:cs="Arial" w:eastAsia="Arial" w:hAnsi="Arial"/>
          <w:sz w:val="18"/>
          <w:szCs w:val="18"/>
          <w:b w:val="1"/>
          <w:bCs w:val="1"/>
          <w:color w:val="auto"/>
        </w:rPr>
        <w:t xml:space="preserve">THE TORONTO-DOMINION BANK, NEW YORK BRANCH, </w:t>
      </w:r>
      <w:r>
        <w:rPr>
          <w:rFonts w:ascii="Arial" w:cs="Arial" w:eastAsia="Arial" w:hAnsi="Arial"/>
          <w:sz w:val="18"/>
          <w:szCs w:val="18"/>
          <w:color w:val="auto"/>
        </w:rPr>
        <w:t>as a Lender</w:t>
      </w:r>
    </w:p>
    <w:p>
      <w:pPr>
        <w:spacing w:after="0" w:line="382"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Annie Dorval</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Annie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Authorized Signatory</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20"/>
          </w:cols>
          <w:pgMar w:left="1440" w:top="553" w:right="1239" w:bottom="1440" w:gutter="0" w:footer="0" w:header="0"/>
        </w:sectPr>
      </w:pPr>
    </w:p>
    <w:bookmarkStart w:id="155" w:name="page156"/>
    <w:bookmarkEnd w:id="155"/>
    <w:p>
      <w:pPr>
        <w:ind w:left="4300"/>
        <w:spacing w:after="0"/>
        <w:rPr>
          <w:sz w:val="20"/>
          <w:szCs w:val="20"/>
          <w:color w:val="auto"/>
        </w:rPr>
      </w:pPr>
      <w:r>
        <w:rPr>
          <w:rFonts w:ascii="Arial" w:cs="Arial" w:eastAsia="Arial" w:hAnsi="Arial"/>
          <w:sz w:val="18"/>
          <w:szCs w:val="18"/>
          <w:b w:val="1"/>
          <w:bCs w:val="1"/>
          <w:color w:val="auto"/>
        </w:rPr>
        <w:t>COMMERZBANK AG, NEW YORK BRANCH,</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Paolo de Alessandrini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Paolo de Alessandrini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Jenny Shum</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Jenny Shum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6" w:name="page157"/>
    <w:bookmarkEnd w:id="156"/>
    <w:p>
      <w:pPr>
        <w:ind w:left="430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Kristie Li</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Devan Patel</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Devan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7" w:name="page158"/>
    <w:bookmarkEnd w:id="157"/>
    <w:p>
      <w:pPr>
        <w:ind w:left="4300"/>
        <w:spacing w:after="0"/>
        <w:rPr>
          <w:sz w:val="20"/>
          <w:szCs w:val="20"/>
          <w:color w:val="auto"/>
        </w:rPr>
      </w:pPr>
      <w:r>
        <w:rPr>
          <w:rFonts w:ascii="Arial" w:cs="Arial" w:eastAsia="Arial" w:hAnsi="Arial"/>
          <w:sz w:val="18"/>
          <w:szCs w:val="18"/>
          <w:b w:val="1"/>
          <w:bCs w:val="1"/>
          <w:color w:val="auto"/>
        </w:rPr>
        <w:t>SOCIETE GENERALE,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Jonathan Logan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Jonathan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8" w:name="page159"/>
    <w:bookmarkEnd w:id="158"/>
    <w:p>
      <w:pPr>
        <w:ind w:left="4300"/>
        <w:spacing w:after="0"/>
        <w:rPr>
          <w:sz w:val="20"/>
          <w:szCs w:val="20"/>
          <w:color w:val="auto"/>
        </w:rPr>
      </w:pPr>
      <w:r>
        <w:rPr>
          <w:rFonts w:ascii="Arial" w:cs="Arial" w:eastAsia="Arial" w:hAnsi="Arial"/>
          <w:sz w:val="17"/>
          <w:szCs w:val="17"/>
          <w:b w:val="1"/>
          <w:bCs w:val="1"/>
          <w:color w:val="auto"/>
        </w:rPr>
        <w:t>PNC BANK NATIONAL ASSOCIATION,</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Christopher J. Vargo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J. Vargo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Senior Vice President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4" w:right="1440" w:bottom="1440" w:gutter="0" w:footer="0" w:header="0"/>
        </w:sectPr>
      </w:pPr>
    </w:p>
    <w:bookmarkStart w:id="159" w:name="page160"/>
    <w:bookmarkEnd w:id="159"/>
    <w:p>
      <w:pPr>
        <w:ind w:left="4300"/>
        <w:spacing w:after="0"/>
        <w:rPr>
          <w:sz w:val="20"/>
          <w:szCs w:val="20"/>
          <w:color w:val="auto"/>
        </w:rPr>
      </w:pPr>
      <w:r>
        <w:rPr>
          <w:rFonts w:ascii="Arial" w:cs="Arial" w:eastAsia="Arial" w:hAnsi="Arial"/>
          <w:sz w:val="17"/>
          <w:szCs w:val="17"/>
          <w:b w:val="1"/>
          <w:bCs w:val="1"/>
          <w:color w:val="auto"/>
        </w:rPr>
        <w:t>U.S. BANK NATIONAL ASSOCIATION,</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Garret Komjathy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Garret Komjathy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Senior Vice President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60" w:name="page161"/>
    <w:bookmarkEnd w:id="160"/>
    <w:p>
      <w:pPr>
        <w:ind w:left="4300"/>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37" w:lineRule="exact"/>
        <w:rPr>
          <w:sz w:val="20"/>
          <w:szCs w:val="20"/>
          <w:color w:val="auto"/>
        </w:rPr>
      </w:pPr>
    </w:p>
    <w:p>
      <w:pPr>
        <w:jc w:val="right"/>
        <w:ind w:right="899"/>
        <w:spacing w:after="0"/>
        <w:rPr>
          <w:sz w:val="20"/>
          <w:szCs w:val="20"/>
          <w:color w:val="auto"/>
        </w:rPr>
      </w:pPr>
      <w:r>
        <w:rPr>
          <w:rFonts w:ascii="Arial" w:cs="Arial" w:eastAsia="Arial" w:hAnsi="Arial"/>
          <w:sz w:val="18"/>
          <w:szCs w:val="18"/>
          <w:b w:val="1"/>
          <w:bCs w:val="1"/>
          <w:color w:val="auto"/>
        </w:rPr>
        <w:t>COMCAST CABLE COMMUNICATIONS, LLC</w:t>
      </w:r>
    </w:p>
    <w:p>
      <w:pPr>
        <w:spacing w:after="0" w:line="200" w:lineRule="exact"/>
        <w:rPr>
          <w:sz w:val="20"/>
          <w:szCs w:val="20"/>
          <w:color w:val="auto"/>
        </w:rPr>
      </w:pPr>
    </w:p>
    <w:p>
      <w:pPr>
        <w:spacing w:after="0" w:line="245"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-130810</wp:posOffset>
            </wp:positionV>
            <wp:extent cx="2752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61" w:name="page162"/>
    <w:bookmarkEnd w:id="161"/>
    <w:p>
      <w:pPr>
        <w:jc w:val="right"/>
        <w:ind w:right="1319"/>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70" w:lineRule="exact"/>
        <w:rPr>
          <w:sz w:val="20"/>
          <w:szCs w:val="20"/>
          <w:color w:val="auto"/>
        </w:rPr>
      </w:pPr>
    </w:p>
    <w:p>
      <w:pPr>
        <w:ind w:left="430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10160</wp:posOffset>
            </wp:positionV>
            <wp:extent cx="2752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William E. Dordelman</w:t>
      </w:r>
    </w:p>
    <w:p>
      <w:pPr>
        <w:spacing w:after="0" w:line="20"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Sky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62" w:name="page163"/>
    <w:bookmarkEnd w:id="162"/>
    <w:p>
      <w:pPr>
        <w:ind w:left="1024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22 August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SUPERIOR CASH OFFER FOR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EXTENSION AND ACCEPTANCE LEVEL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13 July 2018, Comcast Bidco Limited (“</w:t>
      </w:r>
      <w:r>
        <w:rPr>
          <w:rFonts w:ascii="Arial" w:cs="Arial" w:eastAsia="Arial" w:hAnsi="Arial"/>
          <w:sz w:val="18"/>
          <w:szCs w:val="18"/>
          <w:b w:val="1"/>
          <w:bCs w:val="1"/>
          <w:color w:val="auto"/>
        </w:rPr>
        <w:t>Comcast Bidco</w:t>
      </w:r>
      <w:r>
        <w:rPr>
          <w:rFonts w:ascii="Arial" w:cs="Arial" w:eastAsia="Arial" w:hAnsi="Arial"/>
          <w:sz w:val="18"/>
          <w:szCs w:val="18"/>
          <w:color w:val="auto"/>
        </w:rPr>
        <w:t>”), an indirect wholly-owned subsidiary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published an offer document (the “</w:t>
      </w:r>
      <w:r>
        <w:rPr>
          <w:rFonts w:ascii="Arial" w:cs="Arial" w:eastAsia="Arial" w:hAnsi="Arial"/>
          <w:sz w:val="18"/>
          <w:szCs w:val="18"/>
          <w:b w:val="1"/>
          <w:bCs w:val="1"/>
          <w:color w:val="auto"/>
        </w:rPr>
        <w:t>Offer Document</w:t>
      </w:r>
      <w:r>
        <w:rPr>
          <w:rFonts w:ascii="Arial" w:cs="Arial" w:eastAsia="Arial" w:hAnsi="Arial"/>
          <w:sz w:val="18"/>
          <w:szCs w:val="18"/>
          <w:color w:val="auto"/>
        </w:rPr>
        <w:t>”) setting out the full terms and conditions of its recommended cash offer to acquire the entire issued and to be issued share capital of Sky plc (“</w:t>
      </w:r>
      <w:r>
        <w:rPr>
          <w:rFonts w:ascii="Arial" w:cs="Arial" w:eastAsia="Arial" w:hAnsi="Arial"/>
          <w:sz w:val="18"/>
          <w:szCs w:val="18"/>
          <w:b w:val="1"/>
          <w:bCs w:val="1"/>
          <w:color w:val="auto"/>
        </w:rPr>
        <w:t>Sky</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Defined terms used but not defined in this announcement have the same meanings as set out in the Offer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Extension of Offer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Offer, which remains subject to the terms and conditions set out in the Offer Document and Form of Acceptance, is being extended and will remain open for acceptances until the next closing date, which is </w:t>
      </w:r>
      <w:r>
        <w:rPr>
          <w:rFonts w:ascii="Arial" w:cs="Arial" w:eastAsia="Arial" w:hAnsi="Arial"/>
          <w:sz w:val="18"/>
          <w:szCs w:val="18"/>
          <w:b w:val="1"/>
          <w:bCs w:val="1"/>
          <w:color w:val="auto"/>
        </w:rPr>
        <w:t>1.00 p.m. (London time) on 12 September 2018</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Actions to be taken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Sky Shareholders who have not yet accepted the Offer should act as soon as possible and by the following deadline:</w:t>
      </w:r>
    </w:p>
    <w:p>
      <w:pPr>
        <w:spacing w:after="0" w:line="225" w:lineRule="exact"/>
        <w:rPr>
          <w:sz w:val="20"/>
          <w:szCs w:val="20"/>
          <w:color w:val="auto"/>
        </w:rPr>
      </w:pPr>
    </w:p>
    <w:p>
      <w:pPr>
        <w:jc w:val="both"/>
        <w:ind w:left="66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you hold your Sky Shares, or any of them, in certificated form (that is, not in CREST), you should complete and return the Form of Acceptance as soon as possible and in any event so as to be received by the Receiving Agent, Link Asset Services, </w:t>
      </w:r>
      <w:r>
        <w:rPr>
          <w:rFonts w:ascii="Arial" w:cs="Arial" w:eastAsia="Arial" w:hAnsi="Arial"/>
          <w:sz w:val="18"/>
          <w:szCs w:val="18"/>
          <w:b w:val="1"/>
          <w:bCs w:val="1"/>
          <w:color w:val="auto"/>
        </w:rPr>
        <w:t>by no later than 1.00 p.m. (London time) on</w:t>
      </w:r>
      <w:r>
        <w:rPr>
          <w:rFonts w:ascii="Arial" w:cs="Arial" w:eastAsia="Arial" w:hAnsi="Arial"/>
          <w:sz w:val="18"/>
          <w:szCs w:val="18"/>
          <w:color w:val="auto"/>
        </w:rPr>
        <w:t xml:space="preserve"> </w:t>
      </w:r>
      <w:r>
        <w:rPr>
          <w:rFonts w:ascii="Arial" w:cs="Arial" w:eastAsia="Arial" w:hAnsi="Arial"/>
          <w:sz w:val="18"/>
          <w:szCs w:val="18"/>
          <w:b w:val="1"/>
          <w:bCs w:val="1"/>
          <w:color w:val="auto"/>
        </w:rPr>
        <w:t>12 September 2018.</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you hold your Sky Shares, or any of them, in uncertificated form (that is, in CREST), you should ensure that an Electronic Acceptance is made by you or on your behalf and that settlement occurs as soon as possible and in any event </w:t>
      </w:r>
      <w:r>
        <w:rPr>
          <w:rFonts w:ascii="Arial" w:cs="Arial" w:eastAsia="Arial" w:hAnsi="Arial"/>
          <w:sz w:val="18"/>
          <w:szCs w:val="18"/>
          <w:b w:val="1"/>
          <w:bCs w:val="1"/>
          <w:color w:val="auto"/>
        </w:rPr>
        <w:t>by no later than 1.00 p.m. (London time) on 12 September</w:t>
      </w:r>
      <w:r>
        <w:rPr>
          <w:rFonts w:ascii="Arial" w:cs="Arial" w:eastAsia="Arial" w:hAnsi="Arial"/>
          <w:sz w:val="18"/>
          <w:szCs w:val="18"/>
          <w:color w:val="auto"/>
        </w:rPr>
        <w:t xml:space="preserve"> </w:t>
      </w:r>
      <w:r>
        <w:rPr>
          <w:rFonts w:ascii="Arial" w:cs="Arial" w:eastAsia="Arial" w:hAnsi="Arial"/>
          <w:sz w:val="18"/>
          <w:szCs w:val="18"/>
          <w:b w:val="1"/>
          <w:bCs w:val="1"/>
          <w:color w:val="auto"/>
        </w:rPr>
        <w:t>2018</w:t>
      </w:r>
      <w:r>
        <w:rPr>
          <w:rFonts w:ascii="Arial" w:cs="Arial" w:eastAsia="Arial" w:hAnsi="Arial"/>
          <w:sz w:val="18"/>
          <w:szCs w:val="18"/>
          <w:color w:val="auto"/>
        </w:rPr>
        <w:t>. If you hold your Sky Shares as a CREST sponsored member, you should refer to your CREST sponsor as only your CREST sponsor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send the necessary instruction to Euroclear.</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Full details on how to accept the Offer are set out in the Offer Document. The Offer Document is available, subject to certain restrictions relating to persons resident in Restricted Jurisdictions,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jc w:val="both"/>
        <w:spacing w:after="0" w:line="264" w:lineRule="auto"/>
        <w:rPr>
          <w:sz w:val="20"/>
          <w:szCs w:val="20"/>
          <w:color w:val="auto"/>
        </w:rPr>
      </w:pPr>
      <w:r>
        <w:rPr>
          <w:rFonts w:ascii="Arial" w:cs="Arial" w:eastAsia="Arial" w:hAnsi="Arial"/>
          <w:sz w:val="18"/>
          <w:szCs w:val="18"/>
          <w:color w:val="auto"/>
        </w:rPr>
        <w:t>Sky Shareholders with any questions relating to this announcement or the completion and return of the Form of Acceptance or the making of an Electronic Acceptance (as the case may be) should contact the Receiving Agent, Link Asset Services, on 0345 307 3443, (if calling within the UK) or on +44 (0) 345 307 3443 (if calling from outside the UK). Lines are open Monday to Friday 9.00 a.m. to 5.30 p.m. (London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Level of acceptances and interests in relevant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at 1.00 p.m. (London time) on 22 August 2018 (being the First Closing Date of the Offer), Comcast Bidco had received valid acceptances of the Offer in respect of a total of 3,843,977 Sky Shares (representing approximately 0.21 per cent. of the issued ordinary share capital of Sky) which Comcast Bidco may count towards satisfaction of the Acceptance Condition.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far as Comcast Bidco is aware, no acceptances have been received from persons acting in concert with Comcast Bidco. Further, no irrevocable undertaking or letter of intent to accept, or procure acceptance of, the Offer have been received by Comcast Bidco nor, so far as Comcast Bidco is aware, persons acting in concert with 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close of business in London on 21 August 2018 (being the latest practicable time and date prior to the date of this announcement), neither Comcast Bidco nor, so far as Comcast Bidco is aware, any person acting in concert with Comcast Bidco has:</w:t>
      </w:r>
    </w:p>
    <w:p>
      <w:pPr>
        <w:spacing w:after="0" w:line="170" w:lineRule="exact"/>
        <w:rPr>
          <w:sz w:val="20"/>
          <w:szCs w:val="20"/>
          <w:color w:val="auto"/>
        </w:rPr>
      </w:pPr>
    </w:p>
    <w:p>
      <w:pPr>
        <w:jc w:val="both"/>
        <w:ind w:left="66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interest in, or right to subscribe in respect of, or any short position in relation to Sky relevant securities, including any short position under a derivative, any agreement to sell or any delivery obligation or right to require another person to purchase or take delivery of Sky relevant securities; or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borrowed or lent any Sky relevant securities (including any financial collateral arrangements), save for any borrowed shares which have been either on-lent or sold.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the total number of Sky Shares which Comcast Bidco may count towards the satisfaction of the Acceptance Condition is 3,843,977 Sky Shares (representing approximately 0.21 per cent. of the issued ordinary share capital of Sky).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references to the issued share capital of Sky in this paragraph 4 are based on a figure of 1,719,017,230 Sky Shares in issue on 22 August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Update on financing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set out in the Offer Document, in connection with the financing of the Cash Consideration payable to Sky Shareholders pursuant to the Acquisition, Comcast has entered into certain credit agreements.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has now refinanced a portion of the Acquisition financing by entering into a new unsecured term loan credit agreement in an aggregate principal amount of $6,000,000,000 (the “</w:t>
      </w:r>
      <w:r>
        <w:rPr>
          <w:rFonts w:ascii="Arial" w:cs="Arial" w:eastAsia="Arial" w:hAnsi="Arial"/>
          <w:sz w:val="18"/>
          <w:szCs w:val="18"/>
          <w:b w:val="1"/>
          <w:bCs w:val="1"/>
          <w:color w:val="auto"/>
        </w:rPr>
        <w:t>New Term Loan Agreement</w:t>
      </w:r>
      <w:r>
        <w:rPr>
          <w:rFonts w:ascii="Arial" w:cs="Arial" w:eastAsia="Arial" w:hAnsi="Arial"/>
          <w:sz w:val="18"/>
          <w:szCs w:val="18"/>
          <w:color w:val="auto"/>
        </w:rPr>
        <w:t>”). Further details of the terms of the New Term Loan Agreement are set out in the Appendix to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64" w:name="page165"/>
    <w:bookmarkEnd w:id="164"/>
    <w:p>
      <w:pPr>
        <w:jc w:val="both"/>
        <w:spacing w:after="0" w:line="261" w:lineRule="auto"/>
        <w:rPr>
          <w:sz w:val="20"/>
          <w:szCs w:val="20"/>
          <w:color w:val="auto"/>
        </w:rPr>
      </w:pPr>
      <w:r>
        <w:rPr>
          <w:rFonts w:ascii="Arial" w:cs="Arial" w:eastAsia="Arial" w:hAnsi="Arial"/>
          <w:sz w:val="18"/>
          <w:szCs w:val="18"/>
          <w:color w:val="auto"/>
        </w:rPr>
        <w:t>Comcast also entered into an amendment with respect to the existing Bridge Facility (the “</w:t>
      </w:r>
      <w:r>
        <w:rPr>
          <w:rFonts w:ascii="Arial" w:cs="Arial" w:eastAsia="Arial" w:hAnsi="Arial"/>
          <w:sz w:val="18"/>
          <w:szCs w:val="18"/>
          <w:b w:val="1"/>
          <w:bCs w:val="1"/>
          <w:color w:val="auto"/>
        </w:rPr>
        <w:t>Bridge Amendment Agreement</w:t>
      </w:r>
      <w:r>
        <w:rPr>
          <w:rFonts w:ascii="Arial" w:cs="Arial" w:eastAsia="Arial" w:hAnsi="Arial"/>
          <w:sz w:val="18"/>
          <w:szCs w:val="18"/>
          <w:color w:val="auto"/>
        </w:rPr>
        <w:t>”), which provides for a reduction in commitments of £3,100,000,000 and certain technical amendments to accommodate the Term Facility provided under the New Term Loan Agreement. Save for the reduction in aggregate principal amount and technical amendments to accommodate the Term Facility provided under the New Term Loan Agreement as set out above, the terms of the Bridge Facility remain unchanged.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Robey Warshaw, financial adviser to Comcast and Comcast Bidco, remain satisfied that sufficient resources are available to satisfy the full Cash Consideration payable to Sky Shareholders under the terms of the Acquisition.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New Term Loan Agreement, the Bridge Amendment Agreement and related documentation will be made available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0000FF"/>
        </w:rPr>
        <w:t xml:space="preserve"> </w:t>
      </w:r>
      <w:r>
        <w:rPr>
          <w:rFonts w:ascii="Arial" w:cs="Arial" w:eastAsia="Arial" w:hAnsi="Arial"/>
          <w:sz w:val="18"/>
          <w:szCs w:val="18"/>
          <w:color w:val="000000"/>
        </w:rPr>
        <w:t>in accordance with Rule 26 of the Code.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D’Arcy Rudnay (Media)</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215 286 8582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215 286 7972</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Robey Warshaw</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Simon Robey / Simon Warshaw</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20 7317 3900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Evercore</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Roger Altman / Eduardo Mestre</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212 857 3100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BofA Merrill Lynch</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Adrian Mee / Tim Waddell / Peter Luck</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20 7628 1000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Wells Fargo</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Stephen Locke</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704 410 4766</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Andrew Grant/ Tom Murray</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20 7353 4200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has retained Davis Polk &amp; Wardwell LLP and Freshfields Bruckhaus Deringer LLP as legal advisers in connection with the matters described in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Robey Warshaw LLP (“</w:t>
      </w:r>
      <w:r>
        <w:rPr>
          <w:rFonts w:ascii="Arial" w:cs="Arial" w:eastAsia="Arial" w:hAnsi="Arial"/>
          <w:sz w:val="17"/>
          <w:szCs w:val="17"/>
          <w:b w:val="1"/>
          <w:bCs w:val="1"/>
          <w:color w:val="auto"/>
        </w:rPr>
        <w:t>Robey Warshaw</w:t>
      </w:r>
      <w:r>
        <w:rPr>
          <w:rFonts w:ascii="Arial" w:cs="Arial" w:eastAsia="Arial" w:hAnsi="Arial"/>
          <w:sz w:val="17"/>
          <w:szCs w:val="17"/>
          <w:color w:val="auto"/>
        </w:rPr>
        <w:t>”), which is authorised and regulated by the FCA in the United Kingdom, is acting exclusively as financial adviser to Comcast and Comcast Bidco and no one else in connection with the matters referred to in this announcement, and Robey Warshaw will not be responsible to anyone other than Comcast and Comcast Bidco for providing the protections afforded to clients of Robey Warshaw or for providing advice in relation to the matters referred to in this announcement, the contents of this announcement or any other matter referred to herein.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Evercore Group L.L.C. (“</w:t>
      </w:r>
      <w:r>
        <w:rPr>
          <w:rFonts w:ascii="Arial" w:cs="Arial" w:eastAsia="Arial" w:hAnsi="Arial"/>
          <w:sz w:val="17"/>
          <w:szCs w:val="17"/>
          <w:b w:val="1"/>
          <w:bCs w:val="1"/>
          <w:color w:val="auto"/>
        </w:rPr>
        <w:t>Evercore Group</w:t>
      </w:r>
      <w:r>
        <w:rPr>
          <w:rFonts w:ascii="Arial" w:cs="Arial" w:eastAsia="Arial" w:hAnsi="Arial"/>
          <w:sz w:val="17"/>
          <w:szCs w:val="17"/>
          <w:color w:val="auto"/>
        </w:rPr>
        <w:t>”), a securities broker-dealer registered with the SEC and subject to regulation by the SEC and the Financial Industry Regulatory Authority, together with its affiliate, Evercore Partners International LLP (together with Evercore Group, “</w:t>
      </w:r>
      <w:r>
        <w:rPr>
          <w:rFonts w:ascii="Arial" w:cs="Arial" w:eastAsia="Arial" w:hAnsi="Arial"/>
          <w:sz w:val="17"/>
          <w:szCs w:val="17"/>
          <w:b w:val="1"/>
          <w:bCs w:val="1"/>
          <w:color w:val="auto"/>
        </w:rPr>
        <w:t>Evercore</w:t>
      </w:r>
      <w:r>
        <w:rPr>
          <w:rFonts w:ascii="Arial" w:cs="Arial" w:eastAsia="Arial" w:hAnsi="Arial"/>
          <w:sz w:val="17"/>
          <w:szCs w:val="17"/>
          <w:color w:val="auto"/>
        </w:rPr>
        <w:t>”), which is authorised and regulated by the FCA in the United Kingdom, are acting exclusively as financial adviser to Comcast and Comcast Bidco and no one else in connection with the matters referred to in this announcement and will not regard any other person as their client in relation to the matters referred to in this announcement and will not be responsible to anyone other than Comcast and Comcast Bidco for providing the protections afforded to clients of Evercore, nor for providing advice in relation to the matters referred to in this announcement. Neither Evercore nor any of its subsidiaries, branches or affiliates owes or accepts any duty, liability or responsibility whatsoever (whether direct or indirect, whether in contract or in tort, under statute or otherwise) to any person who is not a client of Evercore in connection with this announcement, any statement contained therein or otherwise.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Wells Fargo Securities, LLC (“</w:t>
      </w:r>
      <w:r>
        <w:rPr>
          <w:rFonts w:ascii="Arial" w:cs="Arial" w:eastAsia="Arial" w:hAnsi="Arial"/>
          <w:sz w:val="18"/>
          <w:szCs w:val="18"/>
          <w:b w:val="1"/>
          <w:bCs w:val="1"/>
          <w:color w:val="auto"/>
        </w:rPr>
        <w:t>Wells Fargo</w:t>
      </w:r>
      <w:r>
        <w:rPr>
          <w:rFonts w:ascii="Arial" w:cs="Arial" w:eastAsia="Arial" w:hAnsi="Arial"/>
          <w:sz w:val="18"/>
          <w:szCs w:val="18"/>
          <w:color w:val="auto"/>
        </w:rPr>
        <w:t>”), a subsidiary of Wells Fargo &amp; Company, which is authorised by the SEC and regulated by the Financial Industry Regulatory Authority and the SEC in the United States, is acting exclusively as co-financial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full terms and conditions of the Acquisition are set out in the Offer Document and accompanying Form of Acceptance. Defined terms used but not defined in this announcement (including the Appendix) have the meanings given in the Offer Document unless the context requires otherwise.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166" w:name="page167"/>
    <w:bookmarkEnd w:id="166"/>
    <w:p>
      <w:pPr>
        <w:jc w:val="both"/>
        <w:spacing w:after="0" w:line="297" w:lineRule="auto"/>
        <w:rPr>
          <w:sz w:val="20"/>
          <w:szCs w:val="20"/>
          <w:color w:val="auto"/>
        </w:rPr>
      </w:pPr>
      <w:r>
        <w:rPr>
          <w:rFonts w:ascii="Arial" w:cs="Arial" w:eastAsia="Arial" w:hAnsi="Arial"/>
          <w:sz w:val="16"/>
          <w:szCs w:val="16"/>
          <w:color w:val="auto"/>
        </w:rPr>
        <w:t>be any sale, issuance or transfer of securities of Sky in any jurisdiction in contravention of applicable law. The Acquisition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Each Sky Shareholder is urged to consult his or her independent professional adviser regarding the tax consequences of the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 communications from Sky may be provided to Comcast and Comcast Bidco during the Offer Period as required under Section 4 of Appendix 4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Sky is a public limited company incorporated in England. The Offer is being made to Sky Shareholders in the United States in compliance with the applicable U.S. tender offer rules under the U.S. Securities Exchange Act of 1934, as amended (the “</w:t>
      </w:r>
      <w:r>
        <w:rPr>
          <w:rFonts w:ascii="Arial" w:cs="Arial" w:eastAsia="Arial" w:hAnsi="Arial"/>
          <w:sz w:val="16"/>
          <w:szCs w:val="16"/>
          <w:b w:val="1"/>
          <w:bCs w:val="1"/>
          <w:color w:val="auto"/>
        </w:rPr>
        <w:t>U.S. Exchange Act</w:t>
      </w:r>
      <w:r>
        <w:rPr>
          <w:rFonts w:ascii="Arial" w:cs="Arial" w:eastAsia="Arial" w:hAnsi="Arial"/>
          <w:sz w:val="16"/>
          <w:szCs w:val="16"/>
          <w:color w:val="auto"/>
        </w:rPr>
        <w:t>”), including Regulation 14E thereunder taking into account no action and exemptive relief granted by the SEC, and otherwise in accordance with the requirements of English law. Accordingly, the Offer is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generally accepted accounting principles in the United States (U.S. GAAP), or derived therefrom, and may therefore differ from, and not be comparable with, financial information of U.S. companies.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Comcast and/or Comcast Bidco and their affiliates or brokers (acting as agents for Comcast and/or Comcast Bidco and their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SEC from Rule 14e-5 under the U.S. Exchange Act and in compliance with the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7"/>
          <w:szCs w:val="17"/>
          <w:u w:val="single" w:color="auto"/>
          <w:color w:val="0000FF"/>
        </w:rPr>
        <w:t>www.londonstockexchange.com</w:t>
      </w:r>
      <w:r>
        <w:rPr>
          <w:rFonts w:ascii="Arial" w:cs="Arial" w:eastAsia="Arial" w:hAnsi="Arial"/>
          <w:sz w:val="17"/>
          <w:szCs w:val="17"/>
          <w:color w:val="auto"/>
        </w:rPr>
        <w: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67" w:name="page168"/>
    <w:bookmarkEnd w:id="167"/>
    <w:p>
      <w:pPr>
        <w:jc w:val="both"/>
        <w:spacing w:after="0" w:line="277" w:lineRule="auto"/>
        <w:rPr>
          <w:sz w:val="20"/>
          <w:szCs w:val="20"/>
          <w:color w:val="auto"/>
        </w:rPr>
      </w:pPr>
      <w:r>
        <w:rPr>
          <w:rFonts w:ascii="Arial" w:cs="Arial" w:eastAsia="Arial" w:hAnsi="Arial"/>
          <w:sz w:val="18"/>
          <w:szCs w:val="18"/>
          <w:color w:val="auto"/>
        </w:rPr>
        <w:t>ADR Holders. Each Sky Shareholder and Sky ADR Holder is urged to consult his or her independent professional adviser regarding the tax consequences of the Offer.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may not be possible for Sky Shareholders or Sky ADR Holders in the United States to effect service of process within the United States upon Sky or Comcast Bidco (each a company incorporated in England), or their respective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Comcast Bidco, or their respective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Code and the information disclosed may not be the same as that which would have been disclosed if this announcement had been prepared in accordance with the laws of jurisdictions outside of England.</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determined by Comcast Bidco or required by the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the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are contained in the Offer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Acquisition, and other information published by Comcast and/or Comcast Bidco contain statements which are, or may be deemed to be, “forward-looking statements”. Forward-looking statements are prospective in nature and are not based on historical facts, but rather on current expectations and projections of the management of Comcast and/or Comcast Bidco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Comcast Bidco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and Comcast Bidco believe that the expectations reflected in such forward-looking statements are reasonable, Comcast and Comcast Bidco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SEC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3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Comcast, Comcast Bidco or any of their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neither Comcast nor Comcast Bidco is under any obligation, and Comcast and Comcast Bidco expressly disclaim any intention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Comcast Bidco, or Sky, as appropriate, for the current or future financial years would necessarily match or exceed the historical published cash flow from operations, free cash flow, earnings or earnings per share for Comcast, Comcast Bidco or Sky,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Code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 8.3(a) of the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w:t>
      </w:r>
      <w:r>
        <w:rPr>
          <w:rFonts w:ascii="Arial" w:cs="Arial" w:eastAsia="Arial" w:hAnsi="Arial"/>
          <w:sz w:val="26"/>
          <w:szCs w:val="26"/>
          <w:b w:val="1"/>
          <w:bCs w:val="1"/>
          <w:color w:val="auto"/>
          <w:vertAlign w:val="superscript"/>
        </w:rPr>
        <w:t>th</w:t>
      </w:r>
      <w:r>
        <w:rPr>
          <w:rFonts w:ascii="Arial" w:cs="Arial" w:eastAsia="Arial" w:hAnsi="Arial"/>
          <w:sz w:val="16"/>
          <w:szCs w:val="16"/>
          <w:color w:val="auto"/>
        </w:rPr>
        <w:t xml:space="preserve"> business day following the commencement of the Offer Period and, if appropriate, by no later than 3.30</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p.m. (London time) on the 10</w:t>
      </w:r>
      <w:r>
        <w:rPr>
          <w:rFonts w:ascii="Arial" w:cs="Arial" w:eastAsia="Arial" w:hAnsi="Arial"/>
          <w:sz w:val="30"/>
          <w:szCs w:val="30"/>
          <w:b w:val="1"/>
          <w:bCs w:val="1"/>
          <w:color w:val="auto"/>
          <w:vertAlign w:val="superscript"/>
        </w:rPr>
        <w:t>th</w:t>
      </w:r>
      <w:r>
        <w:rPr>
          <w:rFonts w:ascii="Arial" w:cs="Arial" w:eastAsia="Arial" w:hAnsi="Arial"/>
          <w:sz w:val="18"/>
          <w:szCs w:val="18"/>
          <w:color w:val="auto"/>
        </w:rPr>
        <w:t xml:space="preserve">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Rule 8.3(b) of the Code, any person who is, or becomes, interested in one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70" w:name="page171"/>
    <w:bookmarkEnd w:id="170"/>
    <w:p>
      <w:pPr>
        <w:jc w:val="both"/>
        <w:spacing w:after="0" w:line="279" w:lineRule="auto"/>
        <w:rPr>
          <w:sz w:val="20"/>
          <w:szCs w:val="20"/>
          <w:color w:val="auto"/>
        </w:rPr>
      </w:pPr>
      <w:r>
        <w:rPr>
          <w:rFonts w:ascii="Arial" w:cs="Arial" w:eastAsia="Arial" w:hAnsi="Arial"/>
          <w:sz w:val="17"/>
          <w:szCs w:val="17"/>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Arial" w:cs="Arial" w:eastAsia="Arial" w:hAnsi="Arial"/>
          <w:sz w:val="17"/>
          <w:szCs w:val="17"/>
          <w:u w:val="single" w:color="auto"/>
          <w:color w:val="0000FF"/>
        </w:rPr>
        <w:t>www.thetakeoverpanel.org.uk</w:t>
      </w:r>
      <w:r>
        <w:rPr>
          <w:rFonts w:ascii="Arial" w:cs="Arial" w:eastAsia="Arial" w:hAnsi="Arial"/>
          <w:sz w:val="17"/>
          <w:szCs w:val="17"/>
          <w:color w:val="auto"/>
        </w:rPr>
        <w:t>,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This announcement will be available free of charge, subject to certain restrictions in relation to persons resident in Restricted Jurisdictions, on Comcast’s website at </w:t>
      </w:r>
      <w:r>
        <w:rPr>
          <w:rFonts w:ascii="Arial" w:cs="Arial" w:eastAsia="Arial" w:hAnsi="Arial"/>
          <w:sz w:val="17"/>
          <w:szCs w:val="17"/>
          <w:u w:val="single" w:color="auto"/>
          <w:color w:val="0000FF"/>
        </w:rPr>
        <w:t>www.cmcsa.com/proposal-for-sky</w:t>
      </w:r>
      <w:r>
        <w:rPr>
          <w:rFonts w:ascii="Arial" w:cs="Arial" w:eastAsia="Arial" w:hAnsi="Arial"/>
          <w:sz w:val="17"/>
          <w:szCs w:val="17"/>
          <w:color w:val="auto"/>
        </w:rPr>
        <w:t xml:space="preserve"> by no later than 12.00 noon (London time) on the business day following this announcement.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content of any website referred to in this announcement nor the content of any website accessible from hyperlinks is incorporated into, or forms part of,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www.comcastcorporation.com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NEW TERM LOAN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has entered into a $6,000,000,000 term loan credit agreement dated as of 22 August 2018 between, amongst others, (1) Comcast as the borrower, (2) Bank of America, N.A. as administrative agent, (3) Wells Fargo Bank, National Association as syndication agent, (4) Merrill Lynch, Pierce, Fenner &amp; Smith Incorporated (“</w:t>
      </w:r>
      <w:r>
        <w:rPr>
          <w:rFonts w:ascii="Arial" w:cs="Arial" w:eastAsia="Arial" w:hAnsi="Arial"/>
          <w:sz w:val="18"/>
          <w:szCs w:val="18"/>
          <w:b w:val="1"/>
          <w:bCs w:val="1"/>
          <w:color w:val="auto"/>
        </w:rPr>
        <w:t>MLPFS</w:t>
      </w:r>
      <w:r>
        <w:rPr>
          <w:rFonts w:ascii="Arial" w:cs="Arial" w:eastAsia="Arial" w:hAnsi="Arial"/>
          <w:sz w:val="18"/>
          <w:szCs w:val="18"/>
          <w:color w:val="auto"/>
        </w:rPr>
        <w:t>”) and Wells Fargo Securities, LLC (“</w:t>
      </w:r>
      <w:r>
        <w:rPr>
          <w:rFonts w:ascii="Arial" w:cs="Arial" w:eastAsia="Arial" w:hAnsi="Arial"/>
          <w:sz w:val="18"/>
          <w:szCs w:val="18"/>
          <w:b w:val="1"/>
          <w:bCs w:val="1"/>
          <w:color w:val="auto"/>
        </w:rPr>
        <w:t>Wells Fargo</w:t>
      </w:r>
      <w:r>
        <w:rPr>
          <w:rFonts w:ascii="Arial" w:cs="Arial" w:eastAsia="Arial" w:hAnsi="Arial"/>
          <w:sz w:val="18"/>
          <w:szCs w:val="18"/>
          <w:color w:val="auto"/>
        </w:rPr>
        <w:t>”) as joint lead arrangers and joint book runners, and (5) the lenders party thereto (the “</w:t>
      </w:r>
      <w:r>
        <w:rPr>
          <w:rFonts w:ascii="Arial" w:cs="Arial" w:eastAsia="Arial" w:hAnsi="Arial"/>
          <w:sz w:val="18"/>
          <w:szCs w:val="18"/>
          <w:b w:val="1"/>
          <w:bCs w:val="1"/>
          <w:color w:val="auto"/>
        </w:rPr>
        <w:t>New Term Loan Agreement</w:t>
      </w:r>
      <w:r>
        <w:rPr>
          <w:rFonts w:ascii="Arial" w:cs="Arial" w:eastAsia="Arial" w:hAnsi="Arial"/>
          <w:sz w:val="18"/>
          <w:szCs w:val="18"/>
          <w:color w:val="auto"/>
        </w:rPr>
        <w: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New Term Loan Agreement provides for a term loan credit facility (the “</w:t>
      </w:r>
      <w:r>
        <w:rPr>
          <w:rFonts w:ascii="Arial" w:cs="Arial" w:eastAsia="Arial" w:hAnsi="Arial"/>
          <w:sz w:val="17"/>
          <w:szCs w:val="17"/>
          <w:b w:val="1"/>
          <w:bCs w:val="1"/>
          <w:color w:val="auto"/>
        </w:rPr>
        <w:t>Term Facility</w:t>
      </w:r>
      <w:r>
        <w:rPr>
          <w:rFonts w:ascii="Arial" w:cs="Arial" w:eastAsia="Arial" w:hAnsi="Arial"/>
          <w:sz w:val="17"/>
          <w:szCs w:val="17"/>
          <w:color w:val="auto"/>
        </w:rPr>
        <w:t>”) in an aggregate principal amount of $6,000,000,000. Loans under the Term Facility shall be borrowed in dollars. Comcast may, upon agreement of one or more lenders, increase the commitments under the Term Facility, subject to compliance with the Financial Covenant (as defined below) and other customary conditions.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Comcast may borrow under the Term Facility subject to certain conditions. The proceeds of borrowings under the Term Facility (the “</w:t>
      </w:r>
      <w:r>
        <w:rPr>
          <w:rFonts w:ascii="Arial" w:cs="Arial" w:eastAsia="Arial" w:hAnsi="Arial"/>
          <w:sz w:val="18"/>
          <w:szCs w:val="18"/>
          <w:b w:val="1"/>
          <w:bCs w:val="1"/>
          <w:color w:val="auto"/>
        </w:rPr>
        <w:t>Term Loans</w:t>
      </w:r>
      <w:r>
        <w:rPr>
          <w:rFonts w:ascii="Arial" w:cs="Arial" w:eastAsia="Arial" w:hAnsi="Arial"/>
          <w:sz w:val="18"/>
          <w:szCs w:val="18"/>
          <w:color w:val="auto"/>
        </w:rPr>
        <w:t>”) may be used to finance a portion of the cash consideration payable to Sky Shareholders pursuant to the Acquisition and to pay fees and expenses relating to the Acquisition. The Term Loans will be available on a customary “certain funds”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Loans bear interest at a rate of, at Comcast’s option, LIBOR or base rate, plus a margin based on Comcast’s public debt rating. The margin applicable to the Term Loans ranges from 0.75% to 1.25% for LIBOR Term Loans and 0.00% to 0.25% for base rate Term Loans.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New Term Loan Agreement, a commitment fee based on Comcast’s public debt rating is payable at a per annum rate ranging from 0.09% to 0.11% of the aggregate average daily amount of commitments under the Term Facility from 22 August 2018 until the end of the relevant availability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no amortisation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 Facility matures 4 years after the initial borrowing under the Term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Amortisation payments are not required for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 Facility may be voluntarily prepaid or cancelled by Comcast without penalty or premium.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certain covenants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 Loans are guaranteed by certain subsidiaries of Comcast. The Term Facility is unsecured.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New Term Loan Agreement contains certain negative covenants that restrict the ability of Comcast and certain of its subsidiaries to, among other things: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create security over assets,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certain subsidiaries that do not guarantee the Term Facility to incur indebtedness, and merge or consolidate.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Term Loan Agreement contains a maximum net debt to EBITDA (calculated on a consolidated basis with customary adjustments) covenant of 5.75 to 1.00 (the “</w:t>
      </w:r>
      <w:r>
        <w:rPr>
          <w:rFonts w:ascii="Arial" w:cs="Arial" w:eastAsia="Arial" w:hAnsi="Arial"/>
          <w:sz w:val="18"/>
          <w:szCs w:val="18"/>
          <w:b w:val="1"/>
          <w:bCs w:val="1"/>
          <w:color w:val="auto"/>
        </w:rPr>
        <w:t>Financial Covenant</w:t>
      </w:r>
      <w:r>
        <w:rPr>
          <w:rFonts w:ascii="Arial" w:cs="Arial" w:eastAsia="Arial" w:hAnsi="Arial"/>
          <w:sz w:val="18"/>
          <w:szCs w:val="18"/>
          <w:color w:val="auto"/>
        </w:rPr>
        <w:t>”), which is tested at the end of each fiscal quarter. The New Term Loan Agreement also contains certain customary representations and warranties, affirmative covenants and events of default.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New Term Loan Agreement, Comcast has agreed that it will not amend, treat as satisfied or waive any term or condition without the consent of the lenders (such consent not to be unreasonably withheld, conditioned or delayed) if to do so would be materially prejudicial to the interests of the lenders under the New Term Loan Agreement, save as required pursuant to the Code, the Panel, any other competent regulatory body or by a court of competent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Letters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6 August 2018, Comcast entered into a fee letter with MLPFS and Bank of America, N.A., pursuant to which Comcast agreed to pay fees in respect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Facility as follows:</w:t>
      </w:r>
    </w:p>
    <w:p>
      <w:pPr>
        <w:spacing w:after="0" w:line="211" w:lineRule="exact"/>
        <w:rPr>
          <w:sz w:val="20"/>
          <w:szCs w:val="20"/>
          <w:color w:val="auto"/>
        </w:rPr>
      </w:pPr>
    </w:p>
    <w:p>
      <w:pPr>
        <w:jc w:val="both"/>
        <w:ind w:left="400" w:hanging="392"/>
        <w:spacing w:after="0" w:line="264" w:lineRule="auto"/>
        <w:tabs>
          <w:tab w:leader="none" w:pos="431"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Structuring Fee</w:t>
      </w:r>
      <w:r>
        <w:rPr>
          <w:rFonts w:ascii="Arial" w:cs="Arial" w:eastAsia="Arial" w:hAnsi="Arial"/>
          <w:sz w:val="18"/>
          <w:szCs w:val="18"/>
          <w:color w:val="auto"/>
        </w:rPr>
        <w:t>: on the date of effectiveness of the New Term Loan Agreement (or to the extent Term Facility commitments are added following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the date of such commitments) (the “</w:t>
      </w:r>
      <w:r>
        <w:rPr>
          <w:rFonts w:ascii="Arial" w:cs="Arial" w:eastAsia="Arial" w:hAnsi="Arial"/>
          <w:sz w:val="18"/>
          <w:szCs w:val="18"/>
          <w:b w:val="1"/>
          <w:bCs w:val="1"/>
          <w:color w:val="auto"/>
        </w:rPr>
        <w:t>Commitment Date</w:t>
      </w:r>
      <w:r>
        <w:rPr>
          <w:rFonts w:ascii="Arial" w:cs="Arial" w:eastAsia="Arial" w:hAnsi="Arial"/>
          <w:sz w:val="18"/>
          <w:szCs w:val="18"/>
          <w:color w:val="auto"/>
        </w:rPr>
        <w:t>”), Comcast paid (or shall pay) a structuring fee to MLPFS of 0.06% the aggregate amount of such Term Facility commitments.</w:t>
      </w:r>
    </w:p>
    <w:p>
      <w:pPr>
        <w:spacing w:after="0" w:line="181" w:lineRule="exact"/>
        <w:rPr>
          <w:rFonts w:ascii="Arial" w:cs="Arial" w:eastAsia="Arial" w:hAnsi="Arial"/>
          <w:sz w:val="18"/>
          <w:szCs w:val="18"/>
          <w:color w:val="auto"/>
        </w:rPr>
      </w:pPr>
    </w:p>
    <w:p>
      <w:pPr>
        <w:jc w:val="both"/>
        <w:ind w:left="400" w:hanging="392"/>
        <w:spacing w:after="0" w:line="287" w:lineRule="auto"/>
        <w:tabs>
          <w:tab w:leader="none" w:pos="499"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Term Facility Upfront Fee</w:t>
      </w:r>
      <w:r>
        <w:rPr>
          <w:rFonts w:ascii="Arial" w:cs="Arial" w:eastAsia="Arial" w:hAnsi="Arial"/>
          <w:sz w:val="16"/>
          <w:szCs w:val="16"/>
          <w:color w:val="auto"/>
        </w:rPr>
        <w:t>: on 22 April 2018, Comcast paid an upfront fee equal to (i) in respect of lenders who are also lenders under Comcast’s</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term loan facility announced on April 25, 2018 (such lenders, the “</w:t>
      </w:r>
      <w:r>
        <w:rPr>
          <w:rFonts w:ascii="Arial" w:cs="Arial" w:eastAsia="Arial" w:hAnsi="Arial"/>
          <w:sz w:val="16"/>
          <w:szCs w:val="16"/>
          <w:b w:val="1"/>
          <w:bCs w:val="1"/>
          <w:color w:val="auto"/>
        </w:rPr>
        <w:t>April Term Lenders</w:t>
      </w:r>
      <w:r>
        <w:rPr>
          <w:rFonts w:ascii="Arial" w:cs="Arial" w:eastAsia="Arial" w:hAnsi="Arial"/>
          <w:sz w:val="16"/>
          <w:szCs w:val="16"/>
          <w:color w:val="auto"/>
        </w:rPr>
        <w:t>”), 0.05% of such lenders’ initial Term Facility commitments, (ii) in respect of lenders who are not April Term Lenders, and who provide (or offer to provide) commitments of $500,000,000 or more, 0.05% of such lenders’ initial Term Facility commitments, (iii) in respect of lenders who are not April Term Lenders, and who provide (or offer to provide) commitments of $250,000,000 or more (but less than $500,000,000), 0.04% of such lenders’ initial Term Facility commitments and (iv) in respect of lenders who are not April Term Lenders and who provide (or offer to provide) commitments of less than $250,000,000, 0.03% of such lenders’ initial Term Facility commitments. Upon any funding of Term Loans, Comcast is required to pay an additional upfront fee equal to the amounts set forth in the preceding clause (i) through (iv) (and based on such classifications) with respect to such funded amounts. Comcast shall also pay the applicable amounts set forth in the preceding clauses (i) through (iv) with respect to new Term Facility commitments added within 6 months of the Term Facility effective date. The upfront fees set forth in the preceding clauses may be increased to (1) 0.0625% (in the case of clause (i)), (2) 0.0625% (in the case of clause (ii)), (3) 0.05% (in the case of clause (iii)) and (4) 0.0375% (in the case of clause (iv)), in each case based on Comcast’s public debt rating.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7 August 2018, Comcast entered into a fee letter with Wells Fargo, pursuant to which Comcast agreed to pay a structuring fee in respect of the Term Facility of 0.02% of the aggregate amount of the Term Facility commitments, payable on the date of effectiveness of the New Term Loan Agreement (or to the extent Term Facility commitments are added following such date, on the date of such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o"/>
      <w:numFmt w:val="bullet"/>
      <w:start w:val="1"/>
    </w:lvl>
  </w:abstractNum>
  <w:abstractNum w:abstractNumId="1">
    <w:nsid w:val="77AE35EB"/>
    <w:multiLevelType w:val="hybridMultilevel"/>
    <w:lvl w:ilvl="0">
      <w:lvlJc w:val="left"/>
      <w:lvlText w:val="(%1)"/>
      <w:numFmt w:val="lowerLetter"/>
      <w:start w:val="4"/>
    </w:lvl>
  </w:abstractNum>
  <w:abstractNum w:abstractNumId="2">
    <w:nsid w:val="579BE4F1"/>
    <w:multiLevelType w:val="hybridMultilevel"/>
    <w:lvl w:ilvl="0">
      <w:lvlJc w:val="left"/>
      <w:lvlText w:val="A"/>
      <w:numFmt w:val="bullet"/>
      <w:start w:val="1"/>
    </w:lvl>
  </w:abstractNum>
  <w:abstractNum w:abstractNumId="3">
    <w:nsid w:val="310C50B3"/>
    <w:multiLevelType w:val="hybridMultilevel"/>
    <w:lvl w:ilvl="0">
      <w:lvlJc w:val="left"/>
      <w:lvlText w:val="B"/>
      <w:numFmt w:val="bullet"/>
      <w:start w:val="1"/>
    </w:lvl>
  </w:abstractNum>
  <w:abstractNum w:abstractNumId="4">
    <w:nsid w:val="5FF87E05"/>
    <w:multiLevelType w:val="hybridMultilevel"/>
    <w:lvl w:ilvl="0">
      <w:lvlJc w:val="left"/>
      <w:lvlText w:val="A"/>
      <w:numFmt w:val="bullet"/>
      <w:start w:val="1"/>
    </w:lvl>
  </w:abstractNum>
  <w:abstractNum w:abstractNumId="5">
    <w:nsid w:val="2F305DEF"/>
    <w:multiLevelType w:val="hybridMultilevel"/>
    <w:lvl w:ilvl="0">
      <w:lvlJc w:val="left"/>
      <w:lvlText w:val="(%1)"/>
      <w:numFmt w:val="lowerLetter"/>
      <w:start w:val="1"/>
    </w:lvl>
  </w:abstractNum>
  <w:abstractNum w:abstractNumId="6">
    <w:nsid w:val="25A70BF7"/>
    <w:multiLevelType w:val="hybridMultilevel"/>
    <w:lvl w:ilvl="0">
      <w:lvlJc w:val="left"/>
      <w:lvlText w:val="(%1)"/>
      <w:numFmt w:val="lowerLetter"/>
      <w:start w:val="4"/>
    </w:lvl>
  </w:abstractNum>
  <w:abstractNum w:abstractNumId="7">
    <w:nsid w:val="1DBABF00"/>
    <w:multiLevelType w:val="hybridMultilevel"/>
    <w:lvl w:ilvl="0">
      <w:lvlJc w:val="left"/>
      <w:lvlText w:val="(%1)"/>
      <w:numFmt w:val="lowerLetter"/>
      <w:start w:val="1"/>
    </w:lvl>
  </w:abstractNum>
  <w:abstractNum w:abstractNumId="8">
    <w:nsid w:val="4AD084E9"/>
    <w:multiLevelType w:val="hybridMultilevel"/>
    <w:lvl w:ilvl="0">
      <w:lvlJc w:val="left"/>
      <w:lvlText w:val="(%1)"/>
      <w:numFmt w:val="lowerLetter"/>
      <w:start w:val="1"/>
    </w:lvl>
  </w:abstractNum>
  <w:abstractNum w:abstractNumId="9">
    <w:nsid w:val="1F48EAA1"/>
    <w:multiLevelType w:val="hybridMultilevel"/>
    <w:lvl w:ilvl="0">
      <w:lvlJc w:val="left"/>
      <w:lvlText w:val="(%1)"/>
      <w:numFmt w:val="lowerLetter"/>
      <w:start w:val="8"/>
    </w:lvl>
  </w:abstractNum>
  <w:abstractNum w:abstractNumId="10">
    <w:nsid w:val="1381823A"/>
    <w:multiLevelType w:val="hybridMultilevel"/>
    <w:lvl w:ilvl="0">
      <w:lvlJc w:val="left"/>
      <w:lvlText w:val="(%1)"/>
      <w:numFmt w:val="lowerRoman"/>
      <w:start w:val="1"/>
    </w:lvl>
  </w:abstractNum>
  <w:abstractNum w:abstractNumId="11">
    <w:nsid w:val="5DB70AE5"/>
    <w:multiLevelType w:val="hybridMultilevel"/>
    <w:lvl w:ilvl="0">
      <w:lvlJc w:val="left"/>
      <w:lvlText w:val="(%1)"/>
      <w:numFmt w:val="lowerRoman"/>
      <w:start w:val="1"/>
    </w:lvl>
  </w:abstractNum>
  <w:abstractNum w:abstractNumId="12">
    <w:nsid w:val="100F8FCA"/>
    <w:multiLevelType w:val="hybridMultilevel"/>
    <w:lvl w:ilvl="0">
      <w:lvlJc w:val="left"/>
      <w:lvlText w:val="(%1)"/>
      <w:numFmt w:val="lowerRoman"/>
      <w:start w:val="6"/>
    </w:lvl>
  </w:abstractNum>
  <w:abstractNum w:abstractNumId="13">
    <w:nsid w:val="6590700B"/>
    <w:multiLevelType w:val="hybridMultilevel"/>
    <w:lvl w:ilvl="0">
      <w:lvlJc w:val="left"/>
      <w:lvlText w:val="(%1)"/>
      <w:numFmt w:val="lowerLetter"/>
      <w:start w:val="1"/>
    </w:lvl>
  </w:abstractNum>
  <w:abstractNum w:abstractNumId="14">
    <w:nsid w:val="15014ACB"/>
    <w:multiLevelType w:val="hybridMultilevel"/>
    <w:lvl w:ilvl="0">
      <w:lvlJc w:val="left"/>
      <w:lvlText w:val="(%1)"/>
      <w:numFmt w:val="lowerLetter"/>
      <w:start w:val="1"/>
    </w:lvl>
  </w:abstractNum>
  <w:abstractNum w:abstractNumId="15">
    <w:nsid w:val="5F5E7FD0"/>
    <w:multiLevelType w:val="hybridMultilevel"/>
    <w:lvl w:ilvl="0">
      <w:lvlJc w:val="left"/>
      <w:lvlText w:val="(%1)"/>
      <w:numFmt w:val="lowerLetter"/>
      <w:start w:val="1"/>
    </w:lvl>
  </w:abstractNum>
  <w:abstractNum w:abstractNumId="16">
    <w:nsid w:val="98A3148"/>
    <w:multiLevelType w:val="hybridMultilevel"/>
    <w:lvl w:ilvl="0">
      <w:lvlJc w:val="left"/>
      <w:lvlText w:val="(%1)"/>
      <w:numFmt w:val="lowerLetter"/>
      <w:start w:val="3"/>
    </w:lvl>
  </w:abstractNum>
  <w:abstractNum w:abstractNumId="17">
    <w:nsid w:val="799D0247"/>
    <w:multiLevelType w:val="hybridMultilevel"/>
    <w:lvl w:ilvl="0">
      <w:lvlJc w:val="left"/>
      <w:lvlText w:val="(%1)"/>
      <w:numFmt w:val="lowerLetter"/>
      <w:start w:val="1"/>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1)"/>
      <w:numFmt w:val="lowerLetter"/>
      <w:start w:val="2"/>
    </w:lvl>
  </w:abstractNum>
  <w:abstractNum w:abstractNumId="20">
    <w:nsid w:val="168E121F"/>
    <w:multiLevelType w:val="hybridMultilevel"/>
    <w:lvl w:ilvl="0">
      <w:lvlJc w:val="left"/>
      <w:lvlText w:val="(%1)"/>
      <w:numFmt w:val="lowerLetter"/>
      <w:start w:val="1"/>
    </w:lvl>
  </w:abstractNum>
  <w:abstractNum w:abstractNumId="21">
    <w:nsid w:val="1EBA5D23"/>
    <w:multiLevelType w:val="hybridMultilevel"/>
    <w:lvl w:ilvl="0">
      <w:lvlJc w:val="left"/>
      <w:lvlText w:val="(%1)"/>
      <w:numFmt w:val="lowerLetter"/>
      <w:start w:val="1"/>
    </w:lvl>
  </w:abstractNum>
  <w:abstractNum w:abstractNumId="22">
    <w:nsid w:val="661E3F1E"/>
    <w:multiLevelType w:val="hybridMultilevel"/>
    <w:lvl w:ilvl="0">
      <w:lvlJc w:val="left"/>
      <w:lvlText w:val="%1"/>
      <w:numFmt w:val="lowerRoman"/>
      <w:start w:val="1"/>
    </w:lvl>
    <w:lvl w:ilvl="1">
      <w:lvlJc w:val="left"/>
      <w:lvlText w:val="(%2)"/>
      <w:numFmt w:val="lowerLetter"/>
      <w:start w:val="1"/>
    </w:lvl>
  </w:abstractNum>
  <w:abstractNum w:abstractNumId="23">
    <w:nsid w:val="5DC79EA8"/>
    <w:multiLevelType w:val="hybridMultilevel"/>
    <w:lvl w:ilvl="0">
      <w:lvlJc w:val="left"/>
      <w:lvlText w:val="(%1)"/>
      <w:numFmt w:val="lowerRoman"/>
      <w:start w:val="1"/>
    </w:lvl>
    <w:lvl w:ilvl="1">
      <w:lvlJc w:val="left"/>
      <w:lvlText w:val="(%2)"/>
      <w:numFmt w:val="lowerLetter"/>
      <w:start w:val="2"/>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2"/>
    </w:lvl>
  </w:abstractNum>
  <w:abstractNum w:abstractNumId="26">
    <w:nsid w:val="51D9C564"/>
    <w:multiLevelType w:val="hybridMultilevel"/>
    <w:lvl w:ilvl="0">
      <w:lvlJc w:val="left"/>
      <w:lvlText w:val="(%1)"/>
      <w:numFmt w:val="lowerLetter"/>
      <w:start w:val="1"/>
    </w:lvl>
  </w:abstractNum>
  <w:abstractNum w:abstractNumId="27">
    <w:nsid w:val="613EFDC5"/>
    <w:multiLevelType w:val="hybridMultilevel"/>
    <w:lvl w:ilvl="0">
      <w:lvlJc w:val="left"/>
      <w:lvlText w:val="%1"/>
      <w:numFmt w:val="lowerLetter"/>
      <w:start w:val="1"/>
    </w:lvl>
    <w:lvl w:ilvl="1">
      <w:lvlJc w:val="left"/>
      <w:lvlText w:val="(%2)"/>
      <w:numFmt w:val="lowerRoman"/>
      <w:start w:val="1"/>
    </w:lvl>
  </w:abstractNum>
  <w:abstractNum w:abstractNumId="28">
    <w:nsid w:val="BF72B14"/>
    <w:multiLevelType w:val="hybridMultilevel"/>
    <w:lvl w:ilvl="0">
      <w:lvlJc w:val="left"/>
      <w:lvlText w:val="(%1)"/>
      <w:numFmt w:val="lowerLetter"/>
      <w:start w:val="5"/>
    </w:lvl>
    <w:lvl w:ilvl="1">
      <w:lvlJc w:val="left"/>
      <w:lvlText w:val="%2"/>
      <w:numFmt w:val="lowerRoman"/>
      <w:start w:val="1"/>
    </w:lvl>
  </w:abstractNum>
  <w:abstractNum w:abstractNumId="29">
    <w:nsid w:val="11447B73"/>
    <w:multiLevelType w:val="hybridMultilevel"/>
    <w:lvl w:ilvl="0">
      <w:lvlJc w:val="left"/>
      <w:lvlText w:val="(%1)"/>
      <w:numFmt w:val="lowerLetter"/>
      <w:start w:val="1"/>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Letter"/>
      <w:start w:val="1"/>
    </w:lvl>
  </w:abstractNum>
  <w:abstractNum w:abstractNumId="32">
    <w:nsid w:val="8F2B15E"/>
    <w:multiLevelType w:val="hybridMultilevel"/>
    <w:lvl w:ilvl="0">
      <w:lvlJc w:val="left"/>
      <w:lvlText w:val="(%1)"/>
      <w:numFmt w:val="lowerLetter"/>
      <w:start w:val="2"/>
    </w:lvl>
  </w:abstractNum>
  <w:abstractNum w:abstractNumId="33">
    <w:nsid w:val="1A32234B"/>
    <w:multiLevelType w:val="hybridMultilevel"/>
    <w:lvl w:ilvl="0">
      <w:lvlJc w:val="left"/>
      <w:lvlText w:val="(%1)"/>
      <w:numFmt w:val="lowerLetter"/>
      <w:start w:val="4"/>
    </w:lvl>
  </w:abstractNum>
  <w:abstractNum w:abstractNumId="34">
    <w:nsid w:val="3B0FD379"/>
    <w:multiLevelType w:val="hybridMultilevel"/>
    <w:lvl w:ilvl="0">
      <w:lvlJc w:val="left"/>
      <w:lvlText w:val="(%1)"/>
      <w:numFmt w:val="lowerLetter"/>
      <w:start w:val="1"/>
    </w:lvl>
    <w:lvl w:ilvl="1">
      <w:lvlJc w:val="left"/>
      <w:lvlText w:val="(%2)"/>
      <w:numFmt w:val="lowerRoman"/>
      <w:start w:val="1"/>
    </w:lvl>
  </w:abstractNum>
  <w:abstractNum w:abstractNumId="35">
    <w:nsid w:val="68EB2F63"/>
    <w:multiLevelType w:val="hybridMultilevel"/>
    <w:lvl w:ilvl="0">
      <w:lvlJc w:val="left"/>
      <w:lvlText w:val="(%1)"/>
      <w:numFmt w:val="lowerLetter"/>
      <w:start w:val="1"/>
    </w:lvl>
    <w:lvl w:ilvl="1">
      <w:lvlJc w:val="left"/>
      <w:lvlText w:val="(%2)"/>
      <w:numFmt w:val="lowerRoman"/>
      <w:start w:val="1"/>
    </w:lvl>
  </w:abstractNum>
  <w:abstractNum w:abstractNumId="36">
    <w:nsid w:val="4962813B"/>
    <w:multiLevelType w:val="hybridMultilevel"/>
    <w:lvl w:ilvl="0">
      <w:lvlJc w:val="left"/>
      <w:lvlText w:val="(%1)"/>
      <w:numFmt w:val="lowerLetter"/>
      <w:start w:val="2"/>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Letter"/>
      <w:start w:val="1"/>
    </w:lvl>
  </w:abstractNum>
  <w:abstractNum w:abstractNumId="39">
    <w:nsid w:val="14330624"/>
    <w:multiLevelType w:val="hybridMultilevel"/>
    <w:lvl w:ilvl="0">
      <w:lvlJc w:val="left"/>
      <w:lvlText w:val="(%1)"/>
      <w:numFmt w:val="lowerLetter"/>
      <w:start w:val="1"/>
    </w:lvl>
    <w:lvl w:ilvl="1">
      <w:lvlJc w:val="left"/>
      <w:lvlText w:val="(%2)"/>
      <w:numFmt w:val="lowerRoman"/>
      <w:start w:val="1"/>
    </w:lvl>
  </w:abstractNum>
  <w:abstractNum w:abstractNumId="40">
    <w:nsid w:val="7FFFCA11"/>
    <w:multiLevelType w:val="hybridMultilevel"/>
    <w:lvl w:ilvl="0">
      <w:lvlJc w:val="left"/>
      <w:lvlText w:val="%1"/>
      <w:numFmt w:val="lowerLetter"/>
      <w:start w:val="1"/>
    </w:lvl>
    <w:lvl w:ilvl="1">
      <w:lvlJc w:val="left"/>
      <w:lvlText w:val="(%2)"/>
      <w:numFmt w:val="lowerLetter"/>
      <w:start w:val="22"/>
    </w:lvl>
  </w:abstractNum>
  <w:abstractNum w:abstractNumId="41">
    <w:nsid w:val="1A27709E"/>
    <w:multiLevelType w:val="hybridMultilevel"/>
    <w:lvl w:ilvl="0">
      <w:lvlJc w:val="left"/>
      <w:lvlText w:val="(%1)"/>
      <w:numFmt w:val="lowerLetter"/>
      <w:start w:val="2"/>
    </w:lvl>
    <w:lvl w:ilvl="1">
      <w:lvlJc w:val="left"/>
      <w:lvlText w:val="%2"/>
      <w:numFmt w:val="lowerLetter"/>
      <w:start w:val="1"/>
    </w:lvl>
  </w:abstractNum>
  <w:abstractNum w:abstractNumId="42">
    <w:nsid w:val="71EA1109"/>
    <w:multiLevelType w:val="hybridMultilevel"/>
    <w:lvl w:ilvl="0">
      <w:lvlJc w:val="left"/>
      <w:lvlText w:val="(%1)"/>
      <w:numFmt w:val="lowerLetter"/>
      <w:start w:val="1"/>
    </w:lvl>
  </w:abstractNum>
  <w:abstractNum w:abstractNumId="43">
    <w:nsid w:val="100F59DC"/>
    <w:multiLevelType w:val="hybridMultilevel"/>
    <w:lvl w:ilvl="0">
      <w:lvlJc w:val="left"/>
      <w:lvlText w:val="(%1)"/>
      <w:numFmt w:val="lowerLetter"/>
      <w:start w:val="1"/>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2"/>
    </w:lvl>
  </w:abstractNum>
  <w:abstractNum w:abstractNumId="47">
    <w:nsid w:val="94211F2"/>
    <w:multiLevelType w:val="hybridMultilevel"/>
    <w:lvl w:ilvl="0">
      <w:lvlJc w:val="left"/>
      <w:lvlText w:val="(%1)"/>
      <w:numFmt w:val="lowerLetter"/>
      <w:start w:val="1"/>
    </w:lvl>
  </w:abstractNum>
  <w:abstractNum w:abstractNumId="48">
    <w:nsid w:val="885E1B"/>
    <w:multiLevelType w:val="hybridMultilevel"/>
    <w:lvl w:ilvl="0">
      <w:lvlJc w:val="left"/>
      <w:lvlText w:val="(%1)"/>
      <w:numFmt w:val="lowerLetter"/>
      <w:start w:val="1"/>
    </w:lvl>
  </w:abstractNum>
  <w:abstractNum w:abstractNumId="49">
    <w:nsid w:val="76272110"/>
    <w:multiLevelType w:val="hybridMultilevel"/>
    <w:lvl w:ilvl="0">
      <w:lvlJc w:val="left"/>
      <w:lvlText w:val="(%1)"/>
      <w:numFmt w:val="lowerLetter"/>
      <w:start w:val="2"/>
    </w:lvl>
  </w:abstractNum>
  <w:abstractNum w:abstractNumId="50">
    <w:nsid w:val="4C04A8AF"/>
    <w:multiLevelType w:val="hybridMultilevel"/>
    <w:lvl w:ilvl="0">
      <w:lvlJc w:val="left"/>
      <w:lvlText w:val="(%1)"/>
      <w:numFmt w:val="lowerLetter"/>
      <w:start w:val="1"/>
    </w:lvl>
    <w:lvl w:ilvl="1">
      <w:lvlJc w:val="left"/>
      <w:lvlText w:val="(%2)"/>
      <w:numFmt w:val="lowerRoman"/>
      <w:start w:val="1"/>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lowerLetter"/>
      <w:start w:val="61"/>
    </w:lvl>
    <w:lvl w:ilvl="1">
      <w:lvlJc w:val="left"/>
      <w:lvlText w:val="(%2)"/>
      <w:numFmt w:val="lowerLetter"/>
      <w:start w:val="10"/>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Roman"/>
      <w:start w:val="1"/>
    </w:lvl>
  </w:abstractNum>
  <w:abstractNum w:abstractNumId="55">
    <w:nsid w:val="68EBC550"/>
    <w:multiLevelType w:val="hybridMultilevel"/>
    <w:lvl w:ilvl="0">
      <w:lvlJc w:val="left"/>
      <w:lvlText w:val="(%1)"/>
      <w:numFmt w:val="lowerRoman"/>
      <w:start w:val="2"/>
    </w:lvl>
  </w:abstractNum>
  <w:abstractNum w:abstractNumId="56">
    <w:nsid w:val="2DF6D648"/>
    <w:multiLevelType w:val="hybridMultilevel"/>
    <w:lvl w:ilvl="0">
      <w:lvlJc w:val="left"/>
      <w:lvlText w:val="(%1)"/>
      <w:numFmt w:val="lowerLetter"/>
      <w:start w:val="2"/>
    </w:lvl>
  </w:abstractNum>
  <w:abstractNum w:abstractNumId="57">
    <w:nsid w:val="46B7D447"/>
    <w:multiLevelType w:val="hybridMultilevel"/>
    <w:lvl w:ilvl="0">
      <w:lvlJc w:val="left"/>
      <w:lvlText w:val="(%1)"/>
      <w:numFmt w:val="lowerRoman"/>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9"/>
    </w:lvl>
  </w:abstractNum>
  <w:abstractNum w:abstractNumId="61">
    <w:nsid w:val="CC1016F"/>
    <w:multiLevelType w:val="hybridMultilevel"/>
    <w:lvl w:ilvl="0">
      <w:lvlJc w:val="left"/>
      <w:lvlText w:val="(%1)"/>
      <w:numFmt w:val="lowerLetter"/>
      <w:start w:val="1"/>
    </w:lvl>
    <w:lvl w:ilvl="1">
      <w:lvlJc w:val="left"/>
      <w:lvlText w:val="(%2)"/>
      <w:numFmt w:val="lowerRoman"/>
      <w:start w:val="1"/>
    </w:lvl>
  </w:abstractNum>
  <w:abstractNum w:abstractNumId="62">
    <w:nsid w:val="43F18422"/>
    <w:multiLevelType w:val="hybridMultilevel"/>
    <w:lvl w:ilvl="0">
      <w:lvlJc w:val="left"/>
      <w:lvlText w:val="(%1)"/>
      <w:numFmt w:val="lowerLetter"/>
      <w:start w:val="1"/>
    </w:lvl>
  </w:abstractNum>
  <w:abstractNum w:abstractNumId="63">
    <w:nsid w:val="60EF0119"/>
    <w:multiLevelType w:val="hybridMultilevel"/>
    <w:lvl w:ilvl="0">
      <w:lvlJc w:val="left"/>
      <w:lvlText w:val="(%1)"/>
      <w:numFmt w:val="lowerLetter"/>
      <w:start w:val="3"/>
    </w:lvl>
  </w:abstractNum>
  <w:abstractNum w:abstractNumId="64">
    <w:nsid w:val="26F324BA"/>
    <w:multiLevelType w:val="hybridMultilevel"/>
    <w:lvl w:ilvl="0">
      <w:lvlJc w:val="left"/>
      <w:lvlText w:val="(%1)"/>
      <w:numFmt w:val="lowerLetter"/>
      <w:start w:val="2"/>
    </w:lvl>
  </w:abstractNum>
  <w:abstractNum w:abstractNumId="65">
    <w:nsid w:val="7F01579B"/>
    <w:multiLevelType w:val="hybridMultilevel"/>
    <w:lvl w:ilvl="0">
      <w:lvlJc w:val="left"/>
      <w:lvlText w:val="(%1)"/>
      <w:numFmt w:val="lowerLetter"/>
      <w:start w:val="1"/>
    </w:lvl>
    <w:lvl w:ilvl="1">
      <w:lvlJc w:val="left"/>
      <w:lvlText w:val="(%2)"/>
      <w:numFmt w:val="lowerLetter"/>
      <w:start w:val="9"/>
    </w:lvl>
  </w:abstractNum>
  <w:abstractNum w:abstractNumId="66">
    <w:nsid w:val="49DA307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67">
    <w:nsid w:val="7055A5F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8">
    <w:nsid w:val="5FB8370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69">
    <w:nsid w:val="50801EE1"/>
    <w:multiLevelType w:val="hybridMultilevel"/>
    <w:lvl w:ilvl="0">
      <w:lvlJc w:val="left"/>
      <w:lvlText w:val="%1"/>
      <w:numFmt w:val="lowerLetter"/>
      <w:start w:val="1"/>
    </w:lvl>
    <w:lvl w:ilvl="1">
      <w:lvlJc w:val="left"/>
      <w:lvlText w:val="(%2)"/>
      <w:numFmt w:val="lowerRoman"/>
      <w:start w:val="4"/>
    </w:lvl>
  </w:abstractNum>
  <w:abstractNum w:abstractNumId="70">
    <w:nsid w:val="488AC1A"/>
    <w:multiLevelType w:val="hybridMultilevel"/>
    <w:lvl w:ilvl="0">
      <w:lvlJc w:val="left"/>
      <w:lvlText w:val="(%1)"/>
      <w:numFmt w:val="lowerLetter"/>
      <w:start w:val="3"/>
    </w:lvl>
    <w:lvl w:ilvl="1">
      <w:lvlJc w:val="left"/>
      <w:lvlText w:val="%2"/>
      <w:numFmt w:val="lowerRoman"/>
      <w:start w:val="1"/>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4"/>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2"/>
    </w:lvl>
  </w:abstractNum>
  <w:abstractNum w:abstractNumId="75">
    <w:nsid w:val="6A5F7029"/>
    <w:multiLevelType w:val="hybridMultilevel"/>
    <w:lvl w:ilvl="0">
      <w:lvlJc w:val="left"/>
      <w:lvlText w:val="(%1)"/>
      <w:numFmt w:val="lowerLetter"/>
      <w:start w:val="4"/>
    </w:lvl>
    <w:lvl w:ilvl="1">
      <w:lvlJc w:val="left"/>
      <w:lvlText w:val="(%2)"/>
      <w:numFmt w:val="lowerRoman"/>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lvl w:ilvl="1">
      <w:lvlJc w:val="left"/>
      <w:lvlText w:val="(%2)"/>
      <w:numFmt w:val="lowerLetter"/>
      <w:start w:val="2"/>
    </w:lvl>
  </w:abstractNum>
  <w:abstractNum w:abstractNumId="78">
    <w:nsid w:val="73A1821B"/>
    <w:multiLevelType w:val="hybridMultilevel"/>
    <w:lvl w:ilvl="0">
      <w:lvlJc w:val="left"/>
      <w:lvlText w:val="(%1)"/>
      <w:numFmt w:val="lowerLetter"/>
      <w:start w:val="9"/>
    </w:lvl>
    <w:lvl w:ilvl="1">
      <w:lvlJc w:val="left"/>
      <w:lvlText w:val="%2"/>
      <w:numFmt w:val="lowerLetter"/>
      <w:start w:val="1"/>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lowerRoman"/>
      <w:start w:val="10"/>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2"/>
    </w:lvl>
  </w:abstractNum>
  <w:abstractNum w:abstractNumId="83">
    <w:nsid w:val="6A3DD3E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2"/>
    </w:lvl>
    <w:lvl w:ilvl="1">
      <w:lvlJc w:val="left"/>
      <w:lvlText w:val="(%2)"/>
      <w:numFmt w:val="lowerRoman"/>
      <w:start w:val="1"/>
    </w:lvl>
  </w:abstractNum>
  <w:abstractNum w:abstractNumId="87">
    <w:nsid w:val="1FBFE8E0"/>
    <w:multiLevelType w:val="hybridMultilevel"/>
    <w:lvl w:ilvl="0">
      <w:lvlJc w:val="left"/>
      <w:lvlText w:val="(%1)"/>
      <w:numFmt w:val="lowerLetter"/>
      <w:start w:val="1"/>
    </w:lvl>
  </w:abstractNum>
  <w:abstractNum w:abstractNumId="88">
    <w:nsid w:val="5092CA79"/>
    <w:multiLevelType w:val="hybridMultilevel"/>
    <w:lvl w:ilvl="0">
      <w:lvlJc w:val="left"/>
      <w:lvlText w:val="(%1)"/>
      <w:numFmt w:val="lowerLetter"/>
      <w:start w:val="1"/>
    </w:lvl>
    <w:lvl w:ilvl="1">
      <w:lvlJc w:val="left"/>
      <w:lvlText w:val="(%2)"/>
      <w:numFmt w:val="lowerRoman"/>
      <w:start w:val="1"/>
    </w:lvl>
  </w:abstractNum>
  <w:abstractNum w:abstractNumId="89">
    <w:nsid w:val="1D545C4D"/>
    <w:multiLevelType w:val="hybridMultilevel"/>
    <w:lvl w:ilvl="0">
      <w:lvlJc w:val="left"/>
      <w:lvlText w:val="(%1)"/>
      <w:numFmt w:val="lowerLetter"/>
      <w:start w:val="2"/>
    </w:lvl>
  </w:abstractNum>
  <w:abstractNum w:abstractNumId="90">
    <w:nsid w:val="59ADEA3D"/>
    <w:multiLevelType w:val="hybridMultilevel"/>
    <w:lvl w:ilvl="0">
      <w:lvlJc w:val="left"/>
      <w:lvlText w:val="(%1)"/>
      <w:numFmt w:val="lowerLetter"/>
      <w:start w:val="2"/>
    </w:lvl>
  </w:abstractNum>
  <w:abstractNum w:abstractNumId="91">
    <w:nsid w:val="288F1A34"/>
    <w:multiLevelType w:val="hybridMultilevel"/>
    <w:lvl w:ilvl="0">
      <w:lvlJc w:val="left"/>
      <w:lvlText w:val="(%1)"/>
      <w:numFmt w:val="lowerLetter"/>
      <w:start w:val="2"/>
    </w:lvl>
  </w:abstractNum>
  <w:abstractNum w:abstractNumId="92">
    <w:nsid w:val="2A155DBC"/>
    <w:multiLevelType w:val="hybridMultilevel"/>
    <w:lvl w:ilvl="0">
      <w:lvlJc w:val="left"/>
      <w:lvlText w:val="(%1)"/>
      <w:numFmt w:val="lowerLetter"/>
      <w:start w:val="4"/>
    </w:lvl>
  </w:abstractNum>
  <w:abstractNum w:abstractNumId="93">
    <w:nsid w:val="1D9F6E5F"/>
    <w:multiLevelType w:val="hybridMultilevel"/>
    <w:lvl w:ilvl="0">
      <w:lvlJc w:val="left"/>
      <w:lvlText w:val="(%1)"/>
      <w:numFmt w:val="lowerLetter"/>
      <w:start w:val="2"/>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lowerLetter"/>
      <w:start w:val="2"/>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1."/>
      <w:numFmt w:val="decimal"/>
      <w:start w:val="3"/>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4"/>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2"/>
      <w:numFmt w:val="bullet"/>
      <w:start w:val="1"/>
    </w:lvl>
  </w:abstractNum>
  <w:abstractNum w:abstractNumId="105">
    <w:nsid w:val="4BD8591A"/>
    <w:multiLevelType w:val="hybridMultilevel"/>
    <w:lvl w:ilvl="0">
      <w:lvlJc w:val="left"/>
      <w:lvlText w:val="3"/>
      <w:numFmt w:val="bullet"/>
      <w:start w:val="1"/>
    </w:lvl>
  </w:abstractNum>
  <w:abstractNum w:abstractNumId="106">
    <w:nsid w:val="78DF6A55"/>
    <w:multiLevelType w:val="hybridMultilevel"/>
    <w:lvl w:ilvl="0">
      <w:lvlJc w:val="left"/>
      <w:lvlText w:val="4"/>
      <w:numFmt w:val="bullet"/>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lowerLetter"/>
      <w:start w:val="22"/>
    </w:lvl>
  </w:abstractNum>
  <w:abstractNum w:abstractNumId="109">
    <w:nsid w:val="6C80EC70"/>
    <w:multiLevelType w:val="hybridMultilevel"/>
    <w:lvl w:ilvl="0">
      <w:lvlJc w:val="left"/>
      <w:lvlText w:val="(%1)"/>
      <w:numFmt w:val="lowerLetter"/>
      <w:start w:val="2"/>
    </w:lvl>
  </w:abstractNum>
  <w:abstractNum w:abstractNumId="110">
    <w:nsid w:val="379E21B5"/>
    <w:multiLevelType w:val="hybridMultilevel"/>
    <w:lvl w:ilvl="0">
      <w:lvlJc w:val="left"/>
      <w:lvlText w:val="(%1)"/>
      <w:numFmt w:val="lowerLetter"/>
      <w:start w:val="35"/>
    </w:lvl>
  </w:abstractNum>
  <w:abstractNum w:abstractNumId="111">
    <w:nsid w:val="69E373"/>
    <w:multiLevelType w:val="hybridMultilevel"/>
    <w:lvl w:ilvl="0">
      <w:lvlJc w:val="left"/>
      <w:lvlText w:val="%1."/>
      <w:numFmt w:val="decimal"/>
      <w:start w:val="2"/>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1."/>
      <w:numFmt w:val="decimal"/>
      <w:start w:val="1"/>
    </w:lvl>
    <w:lvl w:ilvl="1">
      <w:lvlJc w:val="left"/>
      <w:lvlText w:val="%2"/>
      <w:numFmt w:val="lowerLetter"/>
      <w:start w:val="1"/>
    </w:lvl>
  </w:abstractNum>
  <w:abstractNum w:abstractNumId="114">
    <w:nsid w:val="6AA7B75C"/>
    <w:multiLevelType w:val="hybridMultilevel"/>
    <w:lvl w:ilvl="0">
      <w:lvlJc w:val="left"/>
      <w:lvlText w:val="%1."/>
      <w:numFmt w:val="decimal"/>
      <w:start w:val="1"/>
    </w:lvl>
    <w:lvl w:ilvl="1">
      <w:lvlJc w:val="left"/>
      <w:lvlText w:val="(%2)"/>
      <w:numFmt w:val="lowerLetter"/>
      <w:start w:val="1"/>
    </w:lvl>
  </w:abstractNum>
  <w:abstractNum w:abstractNumId="115">
    <w:nsid w:val="1DF029D3"/>
    <w:multiLevelType w:val="hybridMultilevel"/>
    <w:lvl w:ilvl="0">
      <w:lvlJc w:val="left"/>
      <w:lvlText w:val="(%1)"/>
      <w:numFmt w:val="lowerLetter"/>
      <w:start w:val="2"/>
    </w:lvl>
  </w:abstractNum>
  <w:abstractNum w:abstractNumId="116">
    <w:nsid w:val="5675FF36"/>
    <w:multiLevelType w:val="hybridMultilevel"/>
    <w:lvl w:ilvl="0">
      <w:lvlJc w:val="left"/>
      <w:lvlText w:val="%1."/>
      <w:numFmt w:val="decimal"/>
      <w:start w:val="2"/>
    </w:lvl>
    <w:lvl w:ilvl="1">
      <w:lvlJc w:val="left"/>
      <w:lvlText w:val="(%2)"/>
      <w:numFmt w:val="lowerLetter"/>
      <w:start w:val="1"/>
    </w:lvl>
  </w:abstractNum>
  <w:abstractNum w:abstractNumId="117">
    <w:nsid w:val="3DD15094"/>
    <w:multiLevelType w:val="hybridMultilevel"/>
    <w:lvl w:ilvl="0">
      <w:lvlJc w:val="left"/>
      <w:lvlText w:val="(%1)"/>
      <w:numFmt w:val="lowerRoman"/>
      <w:start w:val="1"/>
    </w:lvl>
  </w:abstractNum>
  <w:abstractNum w:abstractNumId="118">
    <w:nsid w:val="3DB012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9">
    <w:nsid w:val="2708C9AF"/>
    <w:multiLevelType w:val="hybridMultilevel"/>
    <w:lvl w:ilvl="0">
      <w:lvlJc w:val="left"/>
      <w:lvlText w:val="%1"/>
      <w:numFmt w:val="lowerLetter"/>
      <w:start w:val="1"/>
    </w:lvl>
    <w:lvl w:ilvl="1">
      <w:lvlJc w:val="left"/>
      <w:lvlText w:val="(%2)"/>
      <w:numFmt w:val="lowerLetter"/>
      <w:start w:val="61"/>
    </w:lvl>
  </w:abstractNum>
  <w:abstractNum w:abstractNumId="120">
    <w:nsid w:val="5B25ACE2"/>
    <w:multiLevelType w:val="hybridMultilevel"/>
    <w:lvl w:ilvl="0">
      <w:lvlJc w:val="left"/>
      <w:lvlText w:val="(%1)"/>
      <w:numFmt w:val="lowerLetter"/>
      <w:start w:val="2"/>
    </w:lvl>
    <w:lvl w:ilvl="1">
      <w:lvlJc w:val="left"/>
      <w:lvlText w:val="%2"/>
      <w:numFmt w:val="lowerLetter"/>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2019-12-28T19:37:40Z</dcterms:created>
  <dcterms:modified xsi:type="dcterms:W3CDTF">2019-12-28T19:37:40Z</dcterms:modified>
</cp:coreProperties>
</file>