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187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79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RODGERS JOHNATHAN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jc w:val="center"/>
              <w:spacing w:after="0"/>
              <w:rPr>
                <w:sz w:val="20"/>
                <w:szCs w:val="20"/>
                <w:color w:val="auto"/>
              </w:rPr>
            </w:pPr>
            <w:r>
              <w:rPr>
                <w:rFonts w:ascii="Arial" w:cs="Arial" w:eastAsia="Arial" w:hAnsi="Arial"/>
                <w:sz w:val="12"/>
                <w:szCs w:val="12"/>
                <w:b w:val="1"/>
                <w:bCs w:val="1"/>
                <w:color w:val="auto"/>
                <w:w w:val="95"/>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3,967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11/20/2012</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3,967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3,967</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r>
              <w:rPr>
                <w:rFonts w:ascii="Arial" w:cs="Arial" w:eastAsia="Arial" w:hAnsi="Arial"/>
                <w:sz w:val="22"/>
                <w:szCs w:val="22"/>
                <w:color w:val="008000"/>
                <w:vertAlign w:val="superscript"/>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4"/>
                <w:szCs w:val="14"/>
                <w:color w:val="0000FF"/>
                <w:w w:val="86"/>
              </w:rPr>
              <w:t>Class A</w:t>
            </w:r>
          </w:p>
        </w:tc>
        <w:tc>
          <w:tcPr>
            <w:tcW w:w="540" w:type="dxa"/>
            <w:vAlign w:val="bottom"/>
            <w:vMerge w:val="restart"/>
          </w:tcPr>
          <w:p>
            <w:pPr>
              <w:jc w:val="right"/>
              <w:ind w:right="152"/>
              <w:spacing w:after="0"/>
              <w:rPr>
                <w:sz w:val="20"/>
                <w:szCs w:val="20"/>
                <w:color w:val="auto"/>
              </w:rPr>
            </w:pPr>
            <w:r>
              <w:rPr>
                <w:rFonts w:ascii="Arial" w:cs="Arial" w:eastAsia="Arial" w:hAnsi="Arial"/>
                <w:sz w:val="18"/>
                <w:szCs w:val="18"/>
                <w:color w:val="0000FF"/>
              </w:rPr>
              <w:t>37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7"/>
              <w:spacing w:after="0" w:line="149" w:lineRule="exact"/>
              <w:rPr>
                <w:sz w:val="20"/>
                <w:szCs w:val="20"/>
                <w:color w:val="auto"/>
              </w:rPr>
            </w:pPr>
            <w:r>
              <w:rPr>
                <w:rFonts w:ascii="Arial" w:cs="Arial" w:eastAsia="Arial" w:hAnsi="Arial"/>
                <w:sz w:val="14"/>
                <w:szCs w:val="14"/>
                <w:color w:val="0000FF"/>
              </w:rPr>
              <w:t>11/20/2012</w:t>
            </w:r>
          </w:p>
        </w:tc>
        <w:tc>
          <w:tcPr>
            <w:tcW w:w="1140" w:type="dxa"/>
            <w:vAlign w:val="bottom"/>
          </w:tcPr>
          <w:p>
            <w:pPr>
              <w:spacing w:after="0"/>
              <w:rPr>
                <w:sz w:val="5"/>
                <w:szCs w:val="5"/>
                <w:color w:val="auto"/>
              </w:rPr>
            </w:pPr>
          </w:p>
        </w:tc>
        <w:tc>
          <w:tcPr>
            <w:tcW w:w="820" w:type="dxa"/>
            <w:vAlign w:val="bottom"/>
            <w:vMerge w:val="restart"/>
          </w:tcPr>
          <w:p>
            <w:pPr>
              <w:ind w:left="180"/>
              <w:spacing w:after="0" w:line="149" w:lineRule="exact"/>
              <w:rPr>
                <w:sz w:val="20"/>
                <w:szCs w:val="20"/>
                <w:color w:val="auto"/>
              </w:rPr>
            </w:pPr>
            <w:r>
              <w:rPr>
                <w:rFonts w:ascii="Arial" w:cs="Arial" w:eastAsia="Arial" w:hAnsi="Arial"/>
                <w:sz w:val="14"/>
                <w:szCs w:val="14"/>
                <w:color w:val="0000FF"/>
              </w:rPr>
              <w:t>F</w:t>
            </w:r>
          </w:p>
        </w:tc>
        <w:tc>
          <w:tcPr>
            <w:tcW w:w="500" w:type="dxa"/>
            <w:vAlign w:val="bottom"/>
          </w:tcPr>
          <w:p>
            <w:pPr>
              <w:spacing w:after="0"/>
              <w:rPr>
                <w:sz w:val="5"/>
                <w:szCs w:val="5"/>
                <w:color w:val="auto"/>
              </w:rPr>
            </w:pPr>
          </w:p>
        </w:tc>
        <w:tc>
          <w:tcPr>
            <w:tcW w:w="280" w:type="dxa"/>
            <w:vAlign w:val="bottom"/>
            <w:vMerge w:val="restart"/>
          </w:tcPr>
          <w:p>
            <w:pPr>
              <w:jc w:val="right"/>
              <w:ind w:right="36"/>
              <w:spacing w:after="0" w:line="149" w:lineRule="exact"/>
              <w:rPr>
                <w:sz w:val="20"/>
                <w:szCs w:val="20"/>
                <w:color w:val="auto"/>
              </w:rPr>
            </w:pPr>
            <w:r>
              <w:rPr>
                <w:rFonts w:ascii="Arial" w:cs="Arial" w:eastAsia="Arial" w:hAnsi="Arial"/>
                <w:sz w:val="14"/>
                <w:szCs w:val="14"/>
                <w:color w:val="0000FF"/>
              </w:rPr>
              <w:t>37</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3,930</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0000FF"/>
                <w:w w:val="85"/>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Although the reporting person elected to defer receipt of the shares of Class A common stock underlying the phantom shares, these shares were withheld for payment of tax liability.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11/23/2012</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0704"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2019-12-18T08:18:35Z</dcterms:created>
  <dcterms:modified xsi:type="dcterms:W3CDTF">2019-12-18T08:18:35Z</dcterms:modified>
</cp:coreProperties>
</file>