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25, 2019</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020"/>
          </w:cols>
          <w:pgMar w:left="240" w:top="908" w:right="63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1080"/>
        <w:spacing w:after="0" w:line="277" w:lineRule="auto"/>
        <w:rPr>
          <w:sz w:val="20"/>
          <w:szCs w:val="20"/>
          <w:color w:val="auto"/>
        </w:rPr>
      </w:pPr>
      <w:r>
        <w:rPr>
          <w:rFonts w:ascii="Arial" w:cs="Arial" w:eastAsia="Arial" w:hAnsi="Arial"/>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460"/>
          </w:cols>
          <w:pgMar w:left="240" w:top="908" w:right="6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June 30, 2019, which was filed with the Securities and Exchange Commission on July 25, 2019.</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020"/>
      </w:cols>
      <w:pgMar w:left="240" w:top="908"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2019-11-30T18:39:45Z</dcterms:created>
  <dcterms:modified xsi:type="dcterms:W3CDTF">2019-11-30T18:39:45Z</dcterms:modified>
</cp:coreProperties>
</file>