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6997065" cy="4928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92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Reid Thomas J.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Legal Officer, Secretary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7,935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23,642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4,457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19,185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240,100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36.63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240,100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02/28/2033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0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7,935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7,935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2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95,395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date of the grant was March 1, 2023, and the stock options vest as follows: 20% vest on the 1st, 2nd, 3rd, 4th and 5th anniversaries of the date of the grant.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2. Each restricted stock unit represents a contingent right to receive one share of Class A Common Stock.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These restricted stock units vest on the transaction date.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03/03/2023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-3205480</wp:posOffset>
            </wp:positionV>
            <wp:extent cx="28575" cy="2069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6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122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2023-03-03T17:23:42Z</dcterms:created>
  <dcterms:modified xsi:type="dcterms:W3CDTF">2023-03-03T17:23:42Z</dcterms:modified>
</cp:coreProperties>
</file>