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00" w:type="dxa"/>
            <w:vAlign w:val="bottom"/>
            <w:gridSpan w:val="25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righ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220" w:type="dxa"/>
            <w:vAlign w:val="bottom"/>
            <w:gridSpan w:val="20"/>
            <w:vMerge w:val="restart"/>
          </w:tcPr>
          <w:p>
            <w:pPr>
              <w:jc w:val="center"/>
              <w:ind w:left="4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  <w:vMerge w:val="restart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BRIAN L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1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Board, Pres.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1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87,700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3,125,378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13,712,646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7,404,817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Elizabeth Wideman, Attorney-</w:t>
            </w:r>
          </w:p>
        </w:tc>
        <w:tc>
          <w:tcPr>
            <w:tcW w:w="13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-7348855</wp:posOffset>
            </wp:positionV>
            <wp:extent cx="7044055" cy="67856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8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6394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2022-02-11T23:28:46Z</dcterms:created>
  <dcterms:modified xsi:type="dcterms:W3CDTF">2022-02-11T23:28:46Z</dcterms:modified>
</cp:coreProperties>
</file>