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2"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4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205740</wp:posOffset>
            </wp:positionV>
            <wp:extent cx="3180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266065</wp:posOffset>
            </wp:positionV>
            <wp:extent cx="137160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Arial" w:cs="Arial" w:eastAsia="Arial" w:hAnsi="Arial"/>
                <w:sz w:val="18"/>
                <w:szCs w:val="18"/>
                <w:color w:val="auto"/>
                <w:w w:val="90"/>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vMerge w:val="restart"/>
          </w:tcPr>
          <w:p>
            <w:pPr>
              <w:jc w:val="center"/>
              <w:ind w:right="970"/>
              <w:spacing w:after="0"/>
              <w:rPr>
                <w:sz w:val="20"/>
                <w:szCs w:val="20"/>
                <w:color w:val="auto"/>
              </w:rPr>
            </w:pPr>
            <w:r>
              <w:rPr>
                <w:rFonts w:ascii="Arial" w:cs="Arial" w:eastAsia="Arial" w:hAnsi="Arial"/>
                <w:sz w:val="18"/>
                <w:szCs w:val="18"/>
                <w:color w:val="auto"/>
                <w:w w:val="92"/>
              </w:rPr>
              <w:t>Commission File Number</w:t>
            </w:r>
          </w:p>
        </w:tc>
        <w:tc>
          <w:tcPr>
            <w:tcW w:w="2940" w:type="dxa"/>
            <w:vAlign w:val="bottom"/>
            <w:gridSpan w:val="6"/>
          </w:tcPr>
          <w:p>
            <w:pPr>
              <w:jc w:val="center"/>
              <w:ind w:right="60"/>
              <w:spacing w:after="0" w:line="176" w:lineRule="exact"/>
              <w:rPr>
                <w:sz w:val="20"/>
                <w:szCs w:val="20"/>
                <w:color w:val="auto"/>
              </w:rPr>
            </w:pPr>
            <w:r>
              <w:rPr>
                <w:rFonts w:ascii="Arial" w:cs="Arial" w:eastAsia="Arial" w:hAnsi="Arial"/>
                <w:sz w:val="18"/>
                <w:szCs w:val="18"/>
                <w:color w:val="auto"/>
                <w:w w:val="90"/>
              </w:rPr>
              <w:t>Incorporation; Address and Telephone</w:t>
            </w:r>
          </w:p>
        </w:tc>
        <w:tc>
          <w:tcPr>
            <w:tcW w:w="4080" w:type="dxa"/>
            <w:vAlign w:val="bottom"/>
            <w:vMerge w:val="restart"/>
          </w:tcPr>
          <w:p>
            <w:pPr>
              <w:jc w:val="center"/>
              <w:ind w:left="910"/>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vMerge w:val="continue"/>
          </w:tcPr>
          <w:p>
            <w:pPr>
              <w:spacing w:after="0"/>
              <w:rPr>
                <w:sz w:val="19"/>
                <w:szCs w:val="19"/>
                <w:color w:val="auto"/>
              </w:rPr>
            </w:pPr>
          </w:p>
        </w:tc>
        <w:tc>
          <w:tcPr>
            <w:tcW w:w="29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93"/>
              </w:rPr>
              <w:t>Number of Principal Executive Offices</w:t>
            </w:r>
          </w:p>
        </w:tc>
        <w:tc>
          <w:tcPr>
            <w:tcW w:w="40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jc w:val="right"/>
              <w:ind w:right="2130"/>
              <w:spacing w:after="0"/>
              <w:rPr>
                <w:sz w:val="20"/>
                <w:szCs w:val="20"/>
                <w:color w:val="auto"/>
              </w:rPr>
            </w:pPr>
            <w:r>
              <w:rPr>
                <w:rFonts w:ascii="Arial" w:cs="Arial" w:eastAsia="Arial" w:hAnsi="Arial"/>
                <w:sz w:val="18"/>
                <w:szCs w:val="18"/>
                <w:b w:val="1"/>
                <w:bCs w:val="1"/>
                <w:color w:val="auto"/>
              </w:rPr>
              <w:t>001-32871</w:t>
            </w:r>
          </w:p>
        </w:tc>
        <w:tc>
          <w:tcPr>
            <w:tcW w:w="220" w:type="dxa"/>
            <w:vAlign w:val="bottom"/>
          </w:tcPr>
          <w:p>
            <w:pPr>
              <w:spacing w:after="0"/>
              <w:rPr>
                <w:sz w:val="19"/>
                <w:szCs w:val="19"/>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COMCAST CORPORATION</w:t>
            </w:r>
          </w:p>
        </w:tc>
        <w:tc>
          <w:tcPr>
            <w:tcW w:w="4080" w:type="dxa"/>
            <w:vAlign w:val="bottom"/>
          </w:tcPr>
          <w:p>
            <w:pPr>
              <w:jc w:val="right"/>
              <w:ind w:right="1010"/>
              <w:spacing w:after="0"/>
              <w:rPr>
                <w:sz w:val="20"/>
                <w:szCs w:val="20"/>
                <w:color w:val="auto"/>
              </w:rPr>
            </w:pPr>
            <w:r>
              <w:rPr>
                <w:rFonts w:ascii="Arial" w:cs="Arial" w:eastAsia="Arial" w:hAnsi="Arial"/>
                <w:sz w:val="18"/>
                <w:szCs w:val="18"/>
                <w:b w:val="1"/>
                <w:bCs w:val="1"/>
                <w:color w:val="auto"/>
              </w:rPr>
              <w:t>27-0000798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8"/>
              </w:rPr>
              <w:t>Pennsylvania</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0"/>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6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Trading Symbol(s)</w:t>
            </w:r>
          </w:p>
        </w:tc>
        <w:tc>
          <w:tcPr>
            <w:tcW w:w="4080" w:type="dxa"/>
            <w:vAlign w:val="bottom"/>
          </w:tcPr>
          <w:p>
            <w:pPr>
              <w:jc w:val="center"/>
              <w:ind w:right="45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Borders>
              <w:top w:val="single" w:sz="8" w:color="auto"/>
            </w:tcBorders>
          </w:tcPr>
          <w:p>
            <w:pPr>
              <w:jc w:val="center"/>
              <w:ind w:left="410"/>
              <w:spacing w:after="0"/>
              <w:rPr>
                <w:sz w:val="20"/>
                <w:szCs w:val="20"/>
                <w:color w:val="auto"/>
              </w:rPr>
            </w:pPr>
            <w:r>
              <w:rPr>
                <w:rFonts w:ascii="Arial" w:cs="Arial" w:eastAsia="Arial" w:hAnsi="Arial"/>
                <w:sz w:val="18"/>
                <w:szCs w:val="18"/>
                <w:color w:val="auto"/>
                <w:w w:val="90"/>
              </w:rPr>
              <w:t>Class A Common Stock, $0.01 par value</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NASDAQ Global Select Market</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CMCS27</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CMCS29</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CMCS32</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CMCS36</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CMCS40</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8"/>
              </w:rPr>
              <w:t>9.455% Guaranteed Notes due 2022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8"/>
                <w:szCs w:val="18"/>
                <w:color w:val="auto"/>
                <w:w w:val="95"/>
              </w:rPr>
              <w:t>CMCSA/22</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CCGBP29</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8"/>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3"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p>
      <w:pPr>
        <w:ind w:left="20"/>
        <w:spacing w:after="0" w:line="196" w:lineRule="exact"/>
        <w:tabs>
          <w:tab w:leader="none" w:pos="1740" w:val="left"/>
          <w:tab w:leader="none" w:pos="3440" w:val="left"/>
          <w:tab w:leader="none" w:pos="54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ab/>
        <w:t xml:space="preserve">☐ </w:t>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228"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1" w:lineRule="exact"/>
        <w:rPr>
          <w:sz w:val="24"/>
          <w:szCs w:val="24"/>
          <w:color w:val="auto"/>
        </w:rPr>
      </w:pPr>
    </w:p>
    <w:p>
      <w:pPr>
        <w:jc w:val="both"/>
        <w:spacing w:after="0" w:line="257" w:lineRule="auto"/>
        <w:rPr>
          <w:sz w:val="20"/>
          <w:szCs w:val="20"/>
          <w:color w:val="auto"/>
        </w:rPr>
      </w:pPr>
      <w:r>
        <w:rPr>
          <w:rFonts w:ascii="Arial" w:cs="Arial" w:eastAsia="Arial" w:hAnsi="Arial"/>
          <w:sz w:val="17"/>
          <w:szCs w:val="17"/>
          <w:color w:val="auto"/>
        </w:rPr>
        <w:t>As of September 30, 2020, there were 4,565,878,780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182245</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147955</wp:posOffset>
            </wp:positionV>
            <wp:extent cx="7012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00" w:type="dxa"/>
            <w:vAlign w:val="bottom"/>
          </w:tcPr>
          <w:p>
            <w:pPr>
              <w:jc w:val="right"/>
              <w:ind w:right="1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22"/>
        </w:trPr>
        <w:tc>
          <w:tcPr>
            <w:tcW w:w="9220" w:type="dxa"/>
            <w:vAlign w:val="bottom"/>
            <w:gridSpan w:val="2"/>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FINANCIAL INFORMATION</w:t>
              </w:r>
            </w:hyperlink>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Item 1.</w:t>
            </w:r>
          </w:p>
        </w:tc>
        <w:tc>
          <w:tcPr>
            <w:tcW w:w="7920" w:type="dxa"/>
            <w:vAlign w:val="bottom"/>
          </w:tcPr>
          <w:p>
            <w:pPr>
              <w:ind w:left="1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2000" w:type="dxa"/>
            <w:vAlign w:val="bottom"/>
          </w:tcPr>
          <w:p>
            <w:pPr>
              <w:jc w:val="right"/>
              <w:spacing w:after="0"/>
              <w:rPr>
                <w:rFonts w:ascii="Arial" w:cs="Arial" w:eastAsia="Arial" w:hAnsi="Arial"/>
                <w:sz w:val="18"/>
                <w:szCs w:val="18"/>
                <w:color w:val="2C2C2C"/>
              </w:rPr>
            </w:pPr>
            <w:hyperlink w:anchor="page3">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7920" w:type="dxa"/>
            <w:vAlign w:val="bottom"/>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 of Income (Unaudited)</w:t>
              </w:r>
            </w:hyperlink>
          </w:p>
        </w:tc>
        <w:tc>
          <w:tcPr>
            <w:tcW w:w="200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7920" w:type="dxa"/>
            <w:vAlign w:val="bottom"/>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 of Comprehensive Income (Unaudited)</w:t>
              </w:r>
            </w:hyperlink>
          </w:p>
        </w:tc>
        <w:tc>
          <w:tcPr>
            <w:tcW w:w="200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2</w:t>
              </w:r>
            </w:hyperlink>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7920" w:type="dxa"/>
            <w:vAlign w:val="bottom"/>
          </w:tcPr>
          <w:p>
            <w:pPr>
              <w:ind w:left="1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 of Cash Flows (Unaudited)</w:t>
              </w:r>
            </w:hyperlink>
          </w:p>
        </w:tc>
        <w:tc>
          <w:tcPr>
            <w:tcW w:w="200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7920" w:type="dxa"/>
            <w:vAlign w:val="bottom"/>
          </w:tcPr>
          <w:p>
            <w:pPr>
              <w:ind w:left="1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Balance Sheet (Unaudited)</w:t>
              </w:r>
            </w:hyperlink>
          </w:p>
        </w:tc>
        <w:tc>
          <w:tcPr>
            <w:tcW w:w="200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7920" w:type="dxa"/>
            <w:vAlign w:val="bottom"/>
          </w:tcPr>
          <w:p>
            <w:pPr>
              <w:ind w:left="1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 of Changes in Equity (Unaudited)</w:t>
              </w:r>
            </w:hyperlink>
          </w:p>
        </w:tc>
        <w:tc>
          <w:tcPr>
            <w:tcW w:w="200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5</w:t>
              </w:r>
            </w:hyperlink>
          </w:p>
        </w:tc>
        <w:tc>
          <w:tcPr>
            <w:tcW w:w="0" w:type="dxa"/>
            <w:vAlign w:val="bottom"/>
          </w:tcPr>
          <w:p>
            <w:pPr>
              <w:spacing w:after="0"/>
              <w:rPr>
                <w:sz w:val="1"/>
                <w:szCs w:val="1"/>
                <w:color w:val="auto"/>
              </w:rPr>
            </w:pPr>
          </w:p>
        </w:tc>
      </w:tr>
      <w:tr>
        <w:trPr>
          <w:trHeight w:val="229"/>
        </w:trPr>
        <w:tc>
          <w:tcPr>
            <w:tcW w:w="13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Item 2.</w:t>
            </w:r>
          </w:p>
        </w:tc>
        <w:tc>
          <w:tcPr>
            <w:tcW w:w="7920" w:type="dxa"/>
            <w:vAlign w:val="bottom"/>
          </w:tcPr>
          <w:p>
            <w:pPr>
              <w:ind w:left="1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2000" w:type="dxa"/>
            <w:vAlign w:val="bottom"/>
          </w:tcPr>
          <w:p>
            <w:pPr>
              <w:jc w:val="right"/>
              <w:spacing w:after="0"/>
              <w:rPr>
                <w:rFonts w:ascii="Arial" w:cs="Arial" w:eastAsia="Arial" w:hAnsi="Arial"/>
                <w:sz w:val="18"/>
                <w:szCs w:val="18"/>
                <w:color w:val="2C2C2C"/>
              </w:rPr>
            </w:pPr>
            <w:hyperlink w:anchor="page8">
              <w:r>
                <w:rPr>
                  <w:rFonts w:ascii="Arial" w:cs="Arial" w:eastAsia="Arial" w:hAnsi="Arial"/>
                  <w:sz w:val="18"/>
                  <w:szCs w:val="18"/>
                  <w:color w:val="2C2C2C"/>
                </w:rPr>
                <w:t>6</w:t>
              </w:r>
            </w:hyperlink>
          </w:p>
        </w:tc>
        <w:tc>
          <w:tcPr>
            <w:tcW w:w="0" w:type="dxa"/>
            <w:vAlign w:val="bottom"/>
          </w:tcPr>
          <w:p>
            <w:pPr>
              <w:spacing w:after="0"/>
              <w:rPr>
                <w:sz w:val="1"/>
                <w:szCs w:val="1"/>
                <w:color w:val="auto"/>
              </w:rPr>
            </w:pPr>
          </w:p>
        </w:tc>
      </w:tr>
      <w:tr>
        <w:trPr>
          <w:trHeight w:val="226"/>
        </w:trPr>
        <w:tc>
          <w:tcPr>
            <w:tcW w:w="1300" w:type="dxa"/>
            <w:vAlign w:val="bottom"/>
            <w:vMerge w:val="continue"/>
          </w:tcPr>
          <w:p>
            <w:pPr>
              <w:spacing w:after="0"/>
              <w:rPr>
                <w:sz w:val="19"/>
                <w:szCs w:val="19"/>
                <w:color w:val="auto"/>
              </w:rPr>
            </w:pPr>
          </w:p>
        </w:tc>
        <w:tc>
          <w:tcPr>
            <w:tcW w:w="7920" w:type="dxa"/>
            <w:vAlign w:val="bottom"/>
          </w:tcPr>
          <w:p>
            <w:pPr>
              <w:ind w:left="1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Management’s Discussion and Analysis of Financial Condition and Results of Operations</w:t>
              </w:r>
            </w:hyperlink>
          </w:p>
        </w:tc>
        <w:tc>
          <w:tcPr>
            <w:tcW w:w="200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29"/>
        </w:trPr>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Item 3.</w:t>
            </w:r>
          </w:p>
        </w:tc>
        <w:tc>
          <w:tcPr>
            <w:tcW w:w="7920" w:type="dxa"/>
            <w:vAlign w:val="bottom"/>
          </w:tcPr>
          <w:p>
            <w:pPr>
              <w:ind w:left="1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Quantitative and Qualitative Disclosures About Market Risk</w:t>
              </w:r>
            </w:hyperlink>
          </w:p>
        </w:tc>
        <w:tc>
          <w:tcPr>
            <w:tcW w:w="20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30"/>
        </w:trPr>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Item 4.</w:t>
            </w:r>
          </w:p>
        </w:tc>
        <w:tc>
          <w:tcPr>
            <w:tcW w:w="7920" w:type="dxa"/>
            <w:vAlign w:val="bottom"/>
          </w:tcPr>
          <w:p>
            <w:pPr>
              <w:ind w:left="1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Controls and Procedures</w:t>
              </w:r>
            </w:hyperlink>
          </w:p>
        </w:tc>
        <w:tc>
          <w:tcPr>
            <w:tcW w:w="20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29"/>
        </w:trPr>
        <w:tc>
          <w:tcPr>
            <w:tcW w:w="9220" w:type="dxa"/>
            <w:vAlign w:val="bottom"/>
            <w:gridSpan w:val="2"/>
          </w:tcPr>
          <w:p>
            <w:pPr>
              <w:ind w:left="20"/>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PART II. OTHER INFORMATION</w:t>
              </w:r>
            </w:hyperlink>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Item 1.</w:t>
            </w:r>
          </w:p>
        </w:tc>
        <w:tc>
          <w:tcPr>
            <w:tcW w:w="7920" w:type="dxa"/>
            <w:vAlign w:val="bottom"/>
          </w:tcPr>
          <w:p>
            <w:pPr>
              <w:ind w:left="1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Legal Proceedings</w:t>
              </w:r>
            </w:hyperlink>
          </w:p>
        </w:tc>
        <w:tc>
          <w:tcPr>
            <w:tcW w:w="20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30"/>
        </w:trPr>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Item 1A.</w:t>
            </w:r>
          </w:p>
        </w:tc>
        <w:tc>
          <w:tcPr>
            <w:tcW w:w="7920" w:type="dxa"/>
            <w:vAlign w:val="bottom"/>
          </w:tcPr>
          <w:p>
            <w:pPr>
              <w:ind w:left="1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Risk Factors</w:t>
              </w:r>
            </w:hyperlink>
          </w:p>
        </w:tc>
        <w:tc>
          <w:tcPr>
            <w:tcW w:w="20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29"/>
        </w:trPr>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Item 6.</w:t>
            </w:r>
          </w:p>
        </w:tc>
        <w:tc>
          <w:tcPr>
            <w:tcW w:w="7920" w:type="dxa"/>
            <w:vAlign w:val="bottom"/>
          </w:tcPr>
          <w:p>
            <w:pPr>
              <w:ind w:left="1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Exhibits</w:t>
              </w:r>
            </w:hyperlink>
          </w:p>
        </w:tc>
        <w:tc>
          <w:tcPr>
            <w:tcW w:w="20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34"/>
        </w:trPr>
        <w:tc>
          <w:tcPr>
            <w:tcW w:w="1300" w:type="dxa"/>
            <w:vAlign w:val="bottom"/>
            <w:tcBorders>
              <w:bottom w:val="single" w:sz="8" w:color="auto"/>
            </w:tcBorders>
          </w:tcPr>
          <w:p>
            <w:pPr>
              <w:ind w:left="20"/>
              <w:spacing w:after="0"/>
              <w:rPr>
                <w:rFonts w:ascii="Arial" w:cs="Arial" w:eastAsia="Arial" w:hAnsi="Arial"/>
                <w:sz w:val="18"/>
                <w:szCs w:val="18"/>
                <w:b w:val="1"/>
                <w:bCs w:val="1"/>
                <w:u w:val="single" w:color="auto"/>
                <w:color w:val="0000FF"/>
              </w:rPr>
            </w:pPr>
            <w:hyperlink w:anchor="page46">
              <w:r>
                <w:rPr>
                  <w:rFonts w:ascii="Arial" w:cs="Arial" w:eastAsia="Arial" w:hAnsi="Arial"/>
                  <w:sz w:val="18"/>
                  <w:szCs w:val="18"/>
                  <w:b w:val="1"/>
                  <w:bCs w:val="1"/>
                  <w:u w:val="single" w:color="auto"/>
                  <w:color w:val="0000FF"/>
                </w:rPr>
                <w:t>SIGNATURES</w:t>
              </w:r>
            </w:hyperlink>
          </w:p>
        </w:tc>
        <w:tc>
          <w:tcPr>
            <w:tcW w:w="79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with our Quarterly Report on Form 10-Q for the quarter ended March 31, 2020, we are voluntarily complying with new disclosure rules for guarantors and issuers of guaranteed debt securities issued by the Securities and Exchange Commission (“SEC”) in March 2020, as permitted by the transition guidance contained in the SEC’s final rule release “Financial Disclosures about Guarantors and Issuers of Guaranteed Securities and Affiliates Whose Securities Collateralize a Registrant’s Securities.” As a result, this report includes disclosures related to our consolidated subsidiaries that guarantee or have issued guaranteed debt securities registered with the SEC that are included within our guarantee structure (refer to Guarantee Structure within the Liquidity and Capital Resources section of Item 2: Management’s Discussion and Analysis of Financial Condition and Results of Operations). As a result of these rules, NBCUniversal Media, LLC is no longer required to prepare stand-alone periodic reports under SEC rules, and our periodic reports are no longer prepared as a combined report being filed separately by Comcast Corporation and NBCUniversal Media, LLC.</w:t>
      </w:r>
    </w:p>
    <w:p>
      <w:pPr>
        <w:spacing w:after="0" w:line="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indicated otherwise, throughout this Quarterly Report on Form 10-Q, we refer to Comcast and its consolidated subsidiaries, as “Comcast,” “we,” “us” and “our;” Comcast Cable Communications, LLC and its consolidated subsidiaries as “Comcast Cable;” Comcast Holdings Corporation as “Comcast Holdings;” NBCUniversal, LLC as “NBCUniversal Holdings;” NBCUniversal Enterprise, Inc. as “NBCUniversal Enterprise;” NBCUniversal Media, LLC and its consolidated subsidiaries as “NBCUniversal;” and Sky Limited and its consolidated subsidiaries as “Sky.”</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and nine months ended September 30, 2020. This Quarterly Report on Form 10-Q modifies and supersedes documents filed before it. The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outlined below and in other reports we file with the SEC. Actual events or our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we expect will continue to have, a material adverse effect on our businesses and results of operations</w:t>
      </w:r>
    </w:p>
    <w:p>
      <w:pPr>
        <w:spacing w:after="0" w:line="8"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operate in highly competitive and dynamic industries,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continue to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impose additional costs and restrictions on our businesses</w:t>
      </w:r>
    </w:p>
    <w:p>
      <w:pPr>
        <w:spacing w:after="0" w:line="8"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Cable Communications’ and Sky’s video businesses</w:t>
      </w:r>
    </w:p>
    <w:p>
      <w:pPr>
        <w:spacing w:after="0" w:line="8" w:lineRule="exact"/>
        <w:rPr>
          <w:rFonts w:ascii="Arial" w:cs="Arial" w:eastAsia="Arial" w:hAnsi="Arial"/>
          <w:sz w:val="18"/>
          <w:szCs w:val="18"/>
          <w:color w:val="auto"/>
        </w:rPr>
      </w:pPr>
    </w:p>
    <w:p>
      <w:pPr>
        <w:ind w:left="660" w:right="98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programming distribution and licensing agreements, or the renewal of these agreements on less favorable terms, could adversely affect our businesses</w:t>
      </w:r>
    </w:p>
    <w:p>
      <w:pPr>
        <w:spacing w:after="0" w:line="8" w:lineRule="exact"/>
        <w:rPr>
          <w:rFonts w:ascii="Arial" w:cs="Arial" w:eastAsia="Arial" w:hAnsi="Arial"/>
          <w:sz w:val="18"/>
          <w:szCs w:val="18"/>
          <w:color w:val="auto"/>
        </w:rPr>
      </w:pPr>
    </w:p>
    <w:p>
      <w:pPr>
        <w:ind w:left="660" w:right="980" w:hanging="328"/>
        <w:spacing w:after="0" w:line="31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favorable telecommunications access regulations, the loss of Sky’s transmission agreements with satellite or telecommunications providers or the renewal of these agreements on less favorable terms could adversely affect Sky’s businesses</w:t>
      </w:r>
    </w:p>
    <w:p>
      <w:pPr>
        <w:spacing w:after="0" w:line="1" w:lineRule="exact"/>
        <w:rPr>
          <w:rFonts w:ascii="Arial" w:cs="Arial" w:eastAsia="Arial" w:hAnsi="Arial"/>
          <w:sz w:val="16"/>
          <w:szCs w:val="16"/>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initiatives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jc w:val="both"/>
        <w:ind w:left="660" w:right="98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89"/>
              </w:rPr>
              <w:t>2019</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2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25,532</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26,827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75,856</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80,544</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8,565</w:t>
            </w:r>
          </w:p>
        </w:tc>
        <w:tc>
          <w:tcPr>
            <w:tcW w:w="66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8,316</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23,683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30"/>
        </w:trPr>
        <w:tc>
          <w:tcPr>
            <w:tcW w:w="494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8,059</w:t>
            </w:r>
          </w:p>
        </w:tc>
        <w:tc>
          <w:tcPr>
            <w:tcW w:w="66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8,090</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23,959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24,076</w:t>
            </w:r>
          </w:p>
        </w:tc>
        <w:tc>
          <w:tcPr>
            <w:tcW w:w="0" w:type="dxa"/>
            <w:vAlign w:val="bottom"/>
          </w:tcPr>
          <w:p>
            <w:pPr>
              <w:spacing w:after="0"/>
              <w:rPr>
                <w:sz w:val="1"/>
                <w:szCs w:val="1"/>
                <w:color w:val="auto"/>
              </w:rPr>
            </w:pPr>
          </w:p>
        </w:tc>
      </w:tr>
      <w:tr>
        <w:trPr>
          <w:trHeight w:val="229"/>
        </w:trPr>
        <w:tc>
          <w:tcPr>
            <w:tcW w:w="4940" w:type="dxa"/>
            <w:vAlign w:val="bottom"/>
          </w:tcPr>
          <w:p>
            <w:pPr>
              <w:ind w:left="34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1,512</w:t>
            </w:r>
          </w:p>
        </w:tc>
        <w:tc>
          <w:tcPr>
            <w:tcW w:w="66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1,901</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4,791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29"/>
        </w:trPr>
        <w:tc>
          <w:tcPr>
            <w:tcW w:w="49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2,122</w:t>
            </w:r>
          </w:p>
        </w:tc>
        <w:tc>
          <w:tcPr>
            <w:tcW w:w="66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2,124</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6,328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1,198</w:t>
            </w: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1,056</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3,520</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21,456</w:t>
            </w: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21,487</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62,281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64,666</w:t>
            </w:r>
          </w:p>
        </w:tc>
        <w:tc>
          <w:tcPr>
            <w:tcW w:w="0" w:type="dxa"/>
            <w:vAlign w:val="bottom"/>
          </w:tcPr>
          <w:p>
            <w:pPr>
              <w:spacing w:after="0"/>
              <w:rPr>
                <w:sz w:val="1"/>
                <w:szCs w:val="1"/>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4,076</w:t>
            </w:r>
          </w:p>
        </w:tc>
        <w:tc>
          <w:tcPr>
            <w:tcW w:w="66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5,340</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13,575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15,878</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(1,220)</w:t>
            </w:r>
          </w:p>
        </w:tc>
        <w:tc>
          <w:tcPr>
            <w:tcW w:w="6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(1,167)</w:t>
            </w:r>
          </w:p>
        </w:tc>
        <w:tc>
          <w:tcPr>
            <w:tcW w:w="4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(3,544)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w:t>
            </w: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(382)</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2,770</w:t>
            </w:r>
          </w:p>
        </w:tc>
        <w:tc>
          <w:tcPr>
            <w:tcW w:w="66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4,063</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9,649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(739)</w:t>
            </w: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(775)</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(2,385)</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2,031</w:t>
            </w:r>
          </w:p>
        </w:tc>
        <w:tc>
          <w:tcPr>
            <w:tcW w:w="66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3,288</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7,264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176"/>
        </w:trPr>
        <w:tc>
          <w:tcPr>
            <w:tcW w:w="4940" w:type="dxa"/>
            <w:vAlign w:val="bottom"/>
          </w:tcPr>
          <w:p>
            <w:pPr>
              <w:spacing w:after="0" w:line="176" w:lineRule="exact"/>
              <w:rPr>
                <w:sz w:val="20"/>
                <w:szCs w:val="20"/>
                <w:color w:val="auto"/>
              </w:rPr>
            </w:pPr>
            <w:r>
              <w:rPr>
                <w:rFonts w:ascii="Arial" w:cs="Arial" w:eastAsia="Arial" w:hAnsi="Arial"/>
                <w:sz w:val="18"/>
                <w:szCs w:val="18"/>
                <w:color w:val="auto"/>
                <w:w w:val="93"/>
              </w:rPr>
              <w:t>Less: Net income (loss) attributable to noncontrolling interests and</w:t>
            </w:r>
          </w:p>
        </w:tc>
        <w:tc>
          <w:tcPr>
            <w:tcW w:w="340" w:type="dxa"/>
            <w:vAlign w:val="bottom"/>
          </w:tcPr>
          <w:p>
            <w:pPr>
              <w:spacing w:after="0"/>
              <w:rPr>
                <w:sz w:val="15"/>
                <w:szCs w:val="15"/>
                <w:color w:val="auto"/>
              </w:rPr>
            </w:pPr>
          </w:p>
        </w:tc>
        <w:tc>
          <w:tcPr>
            <w:tcW w:w="1160" w:type="dxa"/>
            <w:vAlign w:val="bottom"/>
            <w:vMerge w:val="restart"/>
          </w:tcPr>
          <w:p>
            <w:pPr>
              <w:jc w:val="right"/>
              <w:ind w:right="73"/>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5"/>
                <w:szCs w:val="15"/>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5"/>
                <w:szCs w:val="15"/>
                <w:color w:val="auto"/>
              </w:rPr>
            </w:pPr>
          </w:p>
        </w:tc>
        <w:tc>
          <w:tcPr>
            <w:tcW w:w="1180" w:type="dxa"/>
            <w:vAlign w:val="bottom"/>
            <w:vMerge w:val="restart"/>
          </w:tcPr>
          <w:p>
            <w:pPr>
              <w:jc w:val="right"/>
              <w:ind w:right="73"/>
              <w:spacing w:after="0"/>
              <w:rPr>
                <w:sz w:val="20"/>
                <w:szCs w:val="20"/>
                <w:color w:val="auto"/>
              </w:rPr>
            </w:pPr>
            <w:r>
              <w:rPr>
                <w:rFonts w:ascii="Arial" w:cs="Arial" w:eastAsia="Arial" w:hAnsi="Arial"/>
                <w:sz w:val="18"/>
                <w:szCs w:val="18"/>
                <w:color w:val="auto"/>
              </w:rPr>
              <w:t>110</w:t>
            </w:r>
          </w:p>
        </w:tc>
        <w:tc>
          <w:tcPr>
            <w:tcW w:w="6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redeemable subsidiary preferred stock</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3,217</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7,154</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9,895</w:t>
            </w:r>
          </w:p>
        </w:tc>
        <w:tc>
          <w:tcPr>
            <w:tcW w:w="0" w:type="dxa"/>
            <w:vAlign w:val="bottom"/>
          </w:tcPr>
          <w:p>
            <w:pPr>
              <w:spacing w:after="0"/>
              <w:rPr>
                <w:sz w:val="1"/>
                <w:szCs w:val="1"/>
                <w:color w:val="auto"/>
              </w:rPr>
            </w:pPr>
          </w:p>
        </w:tc>
      </w:tr>
      <w:tr>
        <w:trPr>
          <w:trHeight w:val="175"/>
        </w:trPr>
        <w:tc>
          <w:tcPr>
            <w:tcW w:w="4940" w:type="dxa"/>
            <w:vAlign w:val="bottom"/>
          </w:tcPr>
          <w:p>
            <w:pPr>
              <w:spacing w:after="0" w:line="176" w:lineRule="exact"/>
              <w:rPr>
                <w:sz w:val="20"/>
                <w:szCs w:val="20"/>
                <w:color w:val="auto"/>
              </w:rPr>
            </w:pPr>
            <w:r>
              <w:rPr>
                <w:rFonts w:ascii="Arial" w:cs="Arial" w:eastAsia="Arial" w:hAnsi="Arial"/>
                <w:sz w:val="18"/>
                <w:szCs w:val="18"/>
                <w:b w:val="1"/>
                <w:bCs w:val="1"/>
                <w:color w:val="auto"/>
                <w:w w:val="98"/>
              </w:rPr>
              <w:t>Basic earnings per common share attributable to Comcast</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0.44</w:t>
            </w:r>
          </w:p>
        </w:tc>
        <w:tc>
          <w:tcPr>
            <w:tcW w:w="6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0.71</w:t>
            </w: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1.57</w:t>
            </w:r>
          </w:p>
        </w:tc>
        <w:tc>
          <w:tcPr>
            <w:tcW w:w="6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2.18</w:t>
            </w:r>
          </w:p>
        </w:tc>
        <w:tc>
          <w:tcPr>
            <w:tcW w:w="0" w:type="dxa"/>
            <w:vAlign w:val="bottom"/>
          </w:tcPr>
          <w:p>
            <w:pPr>
              <w:spacing w:after="0"/>
              <w:rPr>
                <w:sz w:val="1"/>
                <w:szCs w:val="1"/>
                <w:color w:val="auto"/>
              </w:rPr>
            </w:pPr>
          </w:p>
        </w:tc>
      </w:tr>
      <w:tr>
        <w:trPr>
          <w:trHeight w:val="225"/>
        </w:trPr>
        <w:tc>
          <w:tcPr>
            <w:tcW w:w="494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3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line="181" w:lineRule="exact"/>
              <w:rPr>
                <w:sz w:val="20"/>
                <w:szCs w:val="20"/>
                <w:color w:val="auto"/>
              </w:rPr>
            </w:pPr>
            <w:r>
              <w:rPr>
                <w:rFonts w:ascii="Arial" w:cs="Arial" w:eastAsia="Arial" w:hAnsi="Arial"/>
                <w:sz w:val="18"/>
                <w:szCs w:val="18"/>
                <w:b w:val="1"/>
                <w:bCs w:val="1"/>
                <w:color w:val="auto"/>
                <w:w w:val="95"/>
              </w:rPr>
              <w:t>Diluted earnings per common share attributable to Comcast</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0.44</w:t>
            </w:r>
          </w:p>
        </w:tc>
        <w:tc>
          <w:tcPr>
            <w:tcW w:w="6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0.70</w:t>
            </w: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1.55</w:t>
            </w:r>
          </w:p>
        </w:tc>
        <w:tc>
          <w:tcPr>
            <w:tcW w:w="6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3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89"/>
              </w:rPr>
              <w:t>2019</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26"/>
        </w:trPr>
        <w:tc>
          <w:tcPr>
            <w:tcW w:w="4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2,031</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3,288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7,264</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w w:val="92"/>
              </w:rPr>
              <w:t>Unrealized gains (losses) on marketable securities, net of deferred</w:t>
            </w:r>
          </w:p>
        </w:tc>
        <w:tc>
          <w:tcPr>
            <w:tcW w:w="340" w:type="dxa"/>
            <w:vAlign w:val="bottom"/>
          </w:tcPr>
          <w:p>
            <w:pPr>
              <w:spacing w:after="0"/>
              <w:rPr>
                <w:sz w:val="15"/>
                <w:szCs w:val="15"/>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5"/>
                <w:szCs w:val="15"/>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5"/>
                <w:szCs w:val="15"/>
                <w:color w:val="auto"/>
              </w:rPr>
            </w:pP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taxes of $—, $—, $1 and $—</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Deferred gains (losses) on cash flow hedges, net of</w:t>
            </w:r>
          </w:p>
        </w:tc>
        <w:tc>
          <w:tcPr>
            <w:tcW w:w="340" w:type="dxa"/>
            <w:vAlign w:val="bottom"/>
          </w:tcPr>
          <w:p>
            <w:pPr>
              <w:spacing w:after="0"/>
              <w:rPr>
                <w:sz w:val="15"/>
                <w:szCs w:val="15"/>
                <w:color w:val="auto"/>
              </w:rPr>
            </w:pP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15"/>
                <w:szCs w:val="15"/>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15"/>
                <w:szCs w:val="15"/>
                <w:color w:val="auto"/>
              </w:rPr>
            </w:pP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(72)</w:t>
            </w:r>
          </w:p>
        </w:tc>
        <w:tc>
          <w:tcPr>
            <w:tcW w:w="6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deferred taxes of $6, $(35), $23 and $(24)</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Amounts reclassified to net income: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360"/>
              <w:spacing w:after="0" w:line="176" w:lineRule="exact"/>
              <w:rPr>
                <w:sz w:val="20"/>
                <w:szCs w:val="20"/>
                <w:color w:val="auto"/>
              </w:rPr>
            </w:pPr>
            <w:r>
              <w:rPr>
                <w:rFonts w:ascii="Arial" w:cs="Arial" w:eastAsia="Arial" w:hAnsi="Arial"/>
                <w:sz w:val="18"/>
                <w:szCs w:val="18"/>
                <w:color w:val="auto"/>
              </w:rPr>
              <w:t>Realized (gains) losses on cash flow hedges, net of</w:t>
            </w:r>
          </w:p>
        </w:tc>
        <w:tc>
          <w:tcPr>
            <w:tcW w:w="340" w:type="dxa"/>
            <w:vAlign w:val="bottom"/>
          </w:tcPr>
          <w:p>
            <w:pPr>
              <w:spacing w:after="0"/>
              <w:rPr>
                <w:sz w:val="15"/>
                <w:szCs w:val="15"/>
                <w:color w:val="auto"/>
              </w:rPr>
            </w:pP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5"/>
                <w:szCs w:val="15"/>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5"/>
                <w:szCs w:val="15"/>
                <w:color w:val="auto"/>
              </w:rPr>
            </w:pP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(135)</w:t>
            </w:r>
          </w:p>
        </w:tc>
        <w:tc>
          <w:tcPr>
            <w:tcW w:w="6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940" w:type="dxa"/>
            <w:vAlign w:val="bottom"/>
          </w:tcPr>
          <w:p>
            <w:pPr>
              <w:ind w:left="560"/>
              <w:spacing w:after="0"/>
              <w:rPr>
                <w:sz w:val="20"/>
                <w:szCs w:val="20"/>
                <w:color w:val="auto"/>
              </w:rPr>
            </w:pPr>
            <w:r>
              <w:rPr>
                <w:rFonts w:ascii="Arial" w:cs="Arial" w:eastAsia="Arial" w:hAnsi="Arial"/>
                <w:sz w:val="18"/>
                <w:szCs w:val="18"/>
                <w:color w:val="auto"/>
              </w:rPr>
              <w:t>deferred taxes of $8, $11, $29 and $7</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Employee benefit obligations, net of deferred taxes of</w:t>
            </w:r>
          </w:p>
        </w:tc>
        <w:tc>
          <w:tcPr>
            <w:tcW w:w="340" w:type="dxa"/>
            <w:vAlign w:val="bottom"/>
          </w:tcPr>
          <w:p>
            <w:pPr>
              <w:spacing w:after="0"/>
              <w:rPr>
                <w:sz w:val="15"/>
                <w:szCs w:val="15"/>
                <w:color w:val="auto"/>
              </w:rPr>
            </w:pP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5"/>
                <w:szCs w:val="15"/>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5"/>
                <w:szCs w:val="15"/>
                <w:color w:val="auto"/>
              </w:rPr>
            </w:pP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$2, $3, $7 and $8</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Currency translation adjustments, net of deferred taxes</w:t>
            </w:r>
          </w:p>
        </w:tc>
        <w:tc>
          <w:tcPr>
            <w:tcW w:w="340" w:type="dxa"/>
            <w:vAlign w:val="bottom"/>
          </w:tcPr>
          <w:p>
            <w:pPr>
              <w:spacing w:after="0"/>
              <w:rPr>
                <w:sz w:val="15"/>
                <w:szCs w:val="15"/>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8"/>
                <w:szCs w:val="18"/>
                <w:color w:val="auto"/>
              </w:rPr>
              <w:t>1,642</w:t>
            </w:r>
          </w:p>
        </w:tc>
        <w:tc>
          <w:tcPr>
            <w:tcW w:w="660" w:type="dxa"/>
            <w:vAlign w:val="bottom"/>
          </w:tcPr>
          <w:p>
            <w:pPr>
              <w:spacing w:after="0"/>
              <w:rPr>
                <w:sz w:val="15"/>
                <w:szCs w:val="15"/>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(1,144)</w:t>
            </w:r>
          </w:p>
        </w:tc>
        <w:tc>
          <w:tcPr>
            <w:tcW w:w="460" w:type="dxa"/>
            <w:vAlign w:val="bottom"/>
          </w:tcPr>
          <w:p>
            <w:pPr>
              <w:spacing w:after="0"/>
              <w:rPr>
                <w:sz w:val="15"/>
                <w:szCs w:val="15"/>
                <w:color w:val="auto"/>
              </w:rPr>
            </w:pP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(589)</w:t>
            </w:r>
          </w:p>
        </w:tc>
        <w:tc>
          <w:tcPr>
            <w:tcW w:w="6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of $40, $(80), $24 and $(98)</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3,559</w:t>
            </w:r>
          </w:p>
        </w:tc>
        <w:tc>
          <w:tcPr>
            <w:tcW w:w="66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2,168</w:t>
            </w:r>
          </w:p>
        </w:tc>
        <w:tc>
          <w:tcPr>
            <w:tcW w:w="46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6,443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176"/>
        </w:trPr>
        <w:tc>
          <w:tcPr>
            <w:tcW w:w="4940" w:type="dxa"/>
            <w:vAlign w:val="bottom"/>
          </w:tcPr>
          <w:p>
            <w:pPr>
              <w:spacing w:after="0" w:line="176" w:lineRule="exact"/>
              <w:rPr>
                <w:sz w:val="20"/>
                <w:szCs w:val="20"/>
                <w:color w:val="auto"/>
              </w:rPr>
            </w:pPr>
            <w:r>
              <w:rPr>
                <w:rFonts w:ascii="Arial" w:cs="Arial" w:eastAsia="Arial" w:hAnsi="Arial"/>
                <w:sz w:val="18"/>
                <w:szCs w:val="18"/>
                <w:color w:val="auto"/>
                <w:w w:val="93"/>
              </w:rPr>
              <w:t>Less: Net income (loss) attributable to noncontrolling interests and</w:t>
            </w:r>
          </w:p>
        </w:tc>
        <w:tc>
          <w:tcPr>
            <w:tcW w:w="340" w:type="dxa"/>
            <w:vAlign w:val="bottom"/>
          </w:tcPr>
          <w:p>
            <w:pPr>
              <w:spacing w:after="0"/>
              <w:rPr>
                <w:sz w:val="15"/>
                <w:szCs w:val="15"/>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5"/>
                <w:szCs w:val="15"/>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5"/>
                <w:szCs w:val="15"/>
                <w:color w:val="auto"/>
              </w:rPr>
            </w:pPr>
          </w:p>
        </w:tc>
        <w:tc>
          <w:tcPr>
            <w:tcW w:w="1180" w:type="dxa"/>
            <w:vAlign w:val="bottom"/>
            <w:vMerge w:val="restart"/>
          </w:tcPr>
          <w:p>
            <w:pPr>
              <w:jc w:val="right"/>
              <w:ind w:right="74"/>
              <w:spacing w:after="0"/>
              <w:rPr>
                <w:sz w:val="20"/>
                <w:szCs w:val="20"/>
                <w:color w:val="auto"/>
              </w:rPr>
            </w:pPr>
            <w:r>
              <w:rPr>
                <w:rFonts w:ascii="Arial" w:cs="Arial" w:eastAsia="Arial" w:hAnsi="Arial"/>
                <w:sz w:val="18"/>
                <w:szCs w:val="18"/>
                <w:color w:val="auto"/>
              </w:rPr>
              <w:t>110</w:t>
            </w:r>
          </w:p>
        </w:tc>
        <w:tc>
          <w:tcPr>
            <w:tcW w:w="6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redeemable subsidiary preferred stock</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line="176" w:lineRule="exact"/>
              <w:rPr>
                <w:sz w:val="20"/>
                <w:szCs w:val="20"/>
                <w:color w:val="auto"/>
              </w:rPr>
            </w:pPr>
            <w:r>
              <w:rPr>
                <w:rFonts w:ascii="Arial" w:cs="Arial" w:eastAsia="Arial" w:hAnsi="Arial"/>
                <w:sz w:val="18"/>
                <w:szCs w:val="18"/>
                <w:color w:val="auto"/>
              </w:rPr>
              <w:t>Less: Other comprehensive income (loss) attributable to</w:t>
            </w:r>
          </w:p>
        </w:tc>
        <w:tc>
          <w:tcPr>
            <w:tcW w:w="340" w:type="dxa"/>
            <w:vAlign w:val="bottom"/>
          </w:tcPr>
          <w:p>
            <w:pPr>
              <w:spacing w:after="0"/>
              <w:rPr>
                <w:sz w:val="15"/>
                <w:szCs w:val="15"/>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15"/>
                <w:szCs w:val="15"/>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5"/>
                <w:szCs w:val="15"/>
                <w:color w:val="auto"/>
              </w:rPr>
            </w:pPr>
          </w:p>
        </w:tc>
        <w:tc>
          <w:tcPr>
            <w:tcW w:w="1180" w:type="dxa"/>
            <w:vAlign w:val="bottom"/>
            <w:vMerge w:val="restart"/>
          </w:tcPr>
          <w:p>
            <w:pPr>
              <w:jc w:val="right"/>
              <w:ind w:right="74"/>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line="169"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3,510</w:t>
            </w:r>
          </w:p>
        </w:tc>
        <w:tc>
          <w:tcPr>
            <w:tcW w:w="6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2,120</w:t>
            </w: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6,319</w:t>
            </w:r>
          </w:p>
        </w:tc>
        <w:tc>
          <w:tcPr>
            <w:tcW w:w="6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9,104</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Corporation</w:t>
            </w:r>
          </w:p>
        </w:tc>
        <w:tc>
          <w:tcPr>
            <w:tcW w:w="3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2019</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7,264</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10,123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9,848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9,776</w:t>
            </w: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922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606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Net (gain) loss on investment activity and other</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514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982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Film and television costs,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163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30"/>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operating assets and liabilities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165</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19,695</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19,462</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(6,344)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(6,866)</w:t>
            </w: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Cash paid for intangible assets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(1,771)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(1,118)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2,131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30"/>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(101)</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(7,973)</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(10,912)</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Proceeds from (repayments of) short-term borrowings,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18,339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Proceeds from collateralized obligation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5,175</w:t>
            </w: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(16,771)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(9,975)</w:t>
            </w: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Repurchases of common stock under employee plans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(3,086)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(2,778)</w:t>
            </w:r>
          </w:p>
        </w:tc>
      </w:tr>
      <w:tr>
        <w:trPr>
          <w:trHeight w:val="230"/>
        </w:trPr>
        <w:tc>
          <w:tcPr>
            <w:tcW w:w="8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(1,644)</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(3,591)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(8,826)</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8,148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5,589</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13,737</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3,602</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4"/>
                <w:szCs w:val="14"/>
                <w:color w:val="auto"/>
              </w:rPr>
              <w:t>(in millions, except share data)</w:t>
            </w:r>
          </w:p>
        </w:tc>
        <w:tc>
          <w:tcPr>
            <w:tcW w:w="240" w:type="dxa"/>
            <w:vAlign w:val="bottom"/>
          </w:tcPr>
          <w:p>
            <w:pPr>
              <w:spacing w:after="0"/>
              <w:rPr>
                <w:sz w:val="14"/>
                <w:szCs w:val="14"/>
                <w:color w:val="auto"/>
              </w:rPr>
            </w:pPr>
          </w:p>
        </w:tc>
        <w:tc>
          <w:tcPr>
            <w:tcW w:w="1320" w:type="dxa"/>
            <w:vAlign w:val="bottom"/>
          </w:tcPr>
          <w:p>
            <w:pPr>
              <w:jc w:val="right"/>
              <w:ind w:right="311"/>
              <w:spacing w:after="0"/>
              <w:rPr>
                <w:sz w:val="20"/>
                <w:szCs w:val="20"/>
                <w:color w:val="auto"/>
              </w:rPr>
            </w:pPr>
            <w:r>
              <w:rPr>
                <w:rFonts w:ascii="Arial" w:cs="Arial" w:eastAsia="Arial" w:hAnsi="Arial"/>
                <w:sz w:val="14"/>
                <w:szCs w:val="14"/>
                <w:color w:val="auto"/>
                <w:w w:val="97"/>
              </w:rPr>
              <w:t>September 30,</w:t>
            </w:r>
          </w:p>
        </w:tc>
        <w:tc>
          <w:tcPr>
            <w:tcW w:w="320" w:type="dxa"/>
            <w:vAlign w:val="bottom"/>
          </w:tcPr>
          <w:p>
            <w:pPr>
              <w:spacing w:after="0"/>
              <w:rPr>
                <w:sz w:val="14"/>
                <w:szCs w:val="14"/>
                <w:color w:val="auto"/>
              </w:rPr>
            </w:pPr>
          </w:p>
        </w:tc>
        <w:tc>
          <w:tcPr>
            <w:tcW w:w="1220" w:type="dxa"/>
            <w:vAlign w:val="bottom"/>
          </w:tcPr>
          <w:p>
            <w:pPr>
              <w:jc w:val="right"/>
              <w:ind w:right="23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6"/>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13,707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81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10,310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29"/>
        </w:trPr>
        <w:tc>
          <w:tcPr>
            <w:tcW w:w="8140" w:type="dxa"/>
            <w:vAlign w:val="bottom"/>
          </w:tcPr>
          <w:p>
            <w:pPr>
              <w:ind w:left="340"/>
              <w:spacing w:after="0"/>
              <w:rPr>
                <w:sz w:val="20"/>
                <w:szCs w:val="20"/>
                <w:color w:val="auto"/>
              </w:rPr>
            </w:pPr>
            <w:r>
              <w:rPr>
                <w:rFonts w:ascii="Arial" w:cs="Arial" w:eastAsia="Arial" w:hAnsi="Arial"/>
                <w:sz w:val="18"/>
                <w:szCs w:val="18"/>
                <w:color w:val="auto"/>
              </w:rPr>
              <w:t>Programming rights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3,352</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27,369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12,741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6,702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Investment securing collateralized obligation</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$53,959 and $53,239</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50,466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48,322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68,898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68,725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59,365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Other intangible assets, net of accumulated amortization of $18,405 and $17,217</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34,485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36,128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8,485</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268,940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263,414</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10,979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30"/>
        </w:trPr>
        <w:tc>
          <w:tcPr>
            <w:tcW w:w="814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1,794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9"/>
        </w:trPr>
        <w:tc>
          <w:tcPr>
            <w:tcW w:w="81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2,888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30"/>
        </w:trPr>
        <w:tc>
          <w:tcPr>
            <w:tcW w:w="81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9,421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4,429</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29,511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30,292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99,995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97,765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Collateralized obligation</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5,167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27,905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28,180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17,537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1,254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Preferred stock—authorized, 20,000,000 shares; issued, zero</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140" w:type="dxa"/>
            <w:vAlign w:val="bottom"/>
          </w:tcPr>
          <w:p>
            <w:pPr>
              <w:ind w:left="360"/>
              <w:spacing w:after="0" w:line="176" w:lineRule="exact"/>
              <w:rPr>
                <w:sz w:val="20"/>
                <w:szCs w:val="20"/>
                <w:color w:val="auto"/>
              </w:rPr>
            </w:pPr>
            <w:r>
              <w:rPr>
                <w:rFonts w:ascii="Arial" w:cs="Arial" w:eastAsia="Arial" w:hAnsi="Arial"/>
                <w:sz w:val="18"/>
                <w:szCs w:val="18"/>
                <w:color w:val="auto"/>
                <w:w w:val="94"/>
              </w:rPr>
              <w:t>Class A common stock, $0.01 par value—authorized, 7,500,000,000 shares; issued, 5,438,669,808 and</w:t>
            </w:r>
          </w:p>
        </w:tc>
        <w:tc>
          <w:tcPr>
            <w:tcW w:w="240" w:type="dxa"/>
            <w:vAlign w:val="bottom"/>
          </w:tcPr>
          <w:p>
            <w:pPr>
              <w:spacing w:after="0"/>
              <w:rPr>
                <w:sz w:val="15"/>
                <w:szCs w:val="15"/>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8140" w:type="dxa"/>
            <w:vAlign w:val="bottom"/>
          </w:tcPr>
          <w:p>
            <w:pPr>
              <w:ind w:left="520"/>
              <w:spacing w:after="0"/>
              <w:rPr>
                <w:sz w:val="20"/>
                <w:szCs w:val="20"/>
                <w:color w:val="auto"/>
              </w:rPr>
            </w:pPr>
            <w:r>
              <w:rPr>
                <w:rFonts w:ascii="Arial" w:cs="Arial" w:eastAsia="Arial" w:hAnsi="Arial"/>
                <w:sz w:val="18"/>
                <w:szCs w:val="18"/>
                <w:color w:val="auto"/>
              </w:rPr>
              <w:t>5,416,381,298; outstanding, 4,565,878,780 and 4,543,590,270</w:t>
            </w: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w w:val="89"/>
              </w:rPr>
              <w:t>Class B common stock, $0.01 par value—authorized, 75,000,000 shares; issued and outstanding, 9,444,375</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39,173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38,447</w:t>
            </w:r>
          </w:p>
        </w:tc>
        <w:tc>
          <w:tcPr>
            <w:tcW w:w="0" w:type="dxa"/>
            <w:vAlign w:val="bottom"/>
          </w:tcPr>
          <w:p>
            <w:pPr>
              <w:spacing w:after="0"/>
              <w:rPr>
                <w:sz w:val="1"/>
                <w:szCs w:val="1"/>
                <w:color w:val="auto"/>
              </w:rPr>
            </w:pPr>
          </w:p>
        </w:tc>
      </w:tr>
      <w:tr>
        <w:trPr>
          <w:trHeight w:val="229"/>
        </w:trPr>
        <w:tc>
          <w:tcPr>
            <w:tcW w:w="81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54,254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50,695</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Treasury stock, 872,791,028 Class A common shares</w:t>
            </w:r>
          </w:p>
        </w:tc>
        <w:tc>
          <w:tcPr>
            <w:tcW w:w="2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212</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Total Comcast Corporation shareholders’ equity</w:t>
            </w:r>
          </w:p>
        </w:tc>
        <w:tc>
          <w:tcPr>
            <w:tcW w:w="240" w:type="dxa"/>
            <w:vAlign w:val="bottom"/>
          </w:tcPr>
          <w:p>
            <w:pPr>
              <w:spacing w:after="0"/>
              <w:rPr>
                <w:sz w:val="19"/>
                <w:szCs w:val="19"/>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86,176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82,726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1,395</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87,571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268,940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263,414</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831"/>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2520" w:type="dxa"/>
            <w:vAlign w:val="bottom"/>
            <w:gridSpan w:val="3"/>
          </w:tcPr>
          <w:p>
            <w:pPr>
              <w:jc w:val="right"/>
              <w:ind w:right="771"/>
              <w:spacing w:after="0"/>
              <w:rPr>
                <w:sz w:val="20"/>
                <w:szCs w:val="20"/>
                <w:color w:val="auto"/>
              </w:rPr>
            </w:pPr>
            <w:r>
              <w:rPr>
                <w:rFonts w:ascii="Arial" w:cs="Arial" w:eastAsia="Arial" w:hAnsi="Arial"/>
                <w:sz w:val="14"/>
                <w:szCs w:val="14"/>
                <w:color w:val="auto"/>
              </w:rPr>
              <w:t>Nine Months Ended</w:t>
            </w:r>
          </w:p>
        </w:tc>
      </w:tr>
      <w:tr>
        <w:trPr>
          <w:trHeight w:val="183"/>
        </w:trPr>
        <w:tc>
          <w:tcPr>
            <w:tcW w:w="5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5"/>
                <w:szCs w:val="15"/>
                <w:color w:val="auto"/>
              </w:rPr>
            </w:pPr>
          </w:p>
        </w:tc>
      </w:tr>
      <w:tr>
        <w:trPr>
          <w:trHeight w:val="18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r>
      <w:tr>
        <w:trPr>
          <w:trHeight w:val="172"/>
        </w:trPr>
        <w:tc>
          <w:tcPr>
            <w:tcW w:w="5320" w:type="dxa"/>
            <w:vAlign w:val="bottom"/>
          </w:tcPr>
          <w:p>
            <w:pPr>
              <w:ind w:left="20"/>
              <w:spacing w:after="0" w:line="172" w:lineRule="exact"/>
              <w:rPr>
                <w:sz w:val="20"/>
                <w:szCs w:val="20"/>
                <w:color w:val="auto"/>
              </w:rPr>
            </w:pPr>
            <w:r>
              <w:rPr>
                <w:rFonts w:ascii="Arial" w:cs="Arial" w:eastAsia="Arial" w:hAnsi="Arial"/>
                <w:sz w:val="18"/>
                <w:szCs w:val="18"/>
                <w:b w:val="1"/>
                <w:bCs w:val="1"/>
                <w:color w:val="auto"/>
                <w:w w:val="93"/>
              </w:rPr>
              <w:t>Redeemable Noncontrolling Interests and Redeemable Subsidiary</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b w:val="1"/>
                <w:bCs w:val="1"/>
                <w:color w:val="auto"/>
              </w:rPr>
              <w:t>Preferred Stock</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1,256</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1,329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1,316</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1,368</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w:t>
            </w:r>
          </w:p>
        </w:tc>
      </w:tr>
      <w:tr>
        <w:trPr>
          <w:trHeight w:val="31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54</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54</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r>
      <w:tr>
        <w:trPr>
          <w:trHeight w:val="30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38,936</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37,950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38,447</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37,461</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Stock compensation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w:t>
            </w:r>
          </w:p>
        </w:tc>
        <w:tc>
          <w:tcPr>
            <w:tcW w:w="50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Repurchases of common stock under employee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Employee stock purchase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39,173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38,196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39,173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38,196</w:t>
            </w: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53,420</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46,425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50,695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41,983</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Cumulative effects of adoption of accounting standards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Repurchases of common stock under employee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5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(1,062)</w:t>
            </w:r>
          </w:p>
        </w:tc>
        <w:tc>
          <w:tcPr>
            <w:tcW w:w="5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(965)</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3,217</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9,895</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54,254</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48,570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54,254</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48,570</w:t>
            </w: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Treasury Stock at Cost</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(7,517)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(7,517)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w:t>
            </w: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1,047</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(1,097)</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(1,159)</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w:t>
            </w: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1,177</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980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1,148</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1,016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w:t>
            </w:r>
          </w:p>
        </w:tc>
      </w:tr>
      <w:tr>
        <w:trPr>
          <w:trHeight w:val="21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87,571</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79,160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87,571</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79,160</w:t>
            </w:r>
          </w:p>
        </w:tc>
      </w:tr>
      <w:tr>
        <w:trPr>
          <w:trHeight w:val="23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dividends declared per common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0.21</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0.69</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85" w:lineRule="exact"/>
        <w:rPr>
          <w:sz w:val="20"/>
          <w:szCs w:val="20"/>
          <w:color w:val="auto"/>
        </w:rPr>
      </w:pPr>
    </w:p>
    <w:p>
      <w:pPr>
        <w:ind w:right="420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2019 Annual Report on Form 10-K and the notes within this Form 10-Q.</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our operations in six reportable business segments: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is a leading provider of high-speed internet, video, voice, wireless, and security and automation services to residential customers under the Xfinity brand; we also provide these and other services to business customers and sell advertising.</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Cable Networks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Broadcast Television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Filmed Entertainment consists primarily of the operations of Universal Pictures, which produces, acquires, markets and distributes filmed entertainment worldwide; our films are also produced under the Illumination, DreamWorks Animation and Focus Features names.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Peacock, our new direct-to-consumer streaming service that primarily features NBCUniversal content.</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business segment is presented in the tables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center"/>
              <w:ind w:right="313"/>
              <w:spacing w:after="0"/>
              <w:rPr>
                <w:sz w:val="20"/>
                <w:szCs w:val="20"/>
                <w:color w:val="auto"/>
              </w:rPr>
            </w:pPr>
            <w:r>
              <w:rPr>
                <w:rFonts w:ascii="Arial" w:cs="Arial" w:eastAsia="Arial" w:hAnsi="Arial"/>
                <w:sz w:val="14"/>
                <w:szCs w:val="14"/>
                <w:color w:val="auto"/>
                <w:w w:val="91"/>
              </w:rPr>
              <w:t>Three Months Ended September 30, 2020</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1"/>
                <w:szCs w:val="11"/>
                <w:color w:val="auto"/>
              </w:rPr>
            </w:pPr>
          </w:p>
        </w:tc>
        <w:tc>
          <w:tcPr>
            <w:tcW w:w="1000" w:type="dxa"/>
            <w:vAlign w:val="bottom"/>
            <w:vMerge w:val="restart"/>
          </w:tcPr>
          <w:p>
            <w:pPr>
              <w:jc w:val="right"/>
              <w:ind w:right="291"/>
              <w:spacing w:after="0"/>
              <w:rPr>
                <w:sz w:val="20"/>
                <w:szCs w:val="20"/>
                <w:color w:val="auto"/>
              </w:rPr>
            </w:pPr>
            <w:r>
              <w:rPr>
                <w:rFonts w:ascii="Arial" w:cs="Arial" w:eastAsia="Arial" w:hAnsi="Arial"/>
                <w:sz w:val="14"/>
                <w:szCs w:val="14"/>
                <w:color w:val="auto"/>
              </w:rPr>
              <w:t>Revenue</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color w:val="auto"/>
                <w:w w:val="97"/>
              </w:rPr>
              <w:t>Adjusted EBITDA</w:t>
            </w:r>
            <w:r>
              <w:rPr>
                <w:rFonts w:ascii="Arial" w:cs="Arial" w:eastAsia="Arial" w:hAnsi="Arial"/>
                <w:sz w:val="18"/>
                <w:szCs w:val="18"/>
                <w:color w:val="auto"/>
                <w:w w:val="97"/>
                <w:vertAlign w:val="superscript"/>
              </w:rPr>
              <w:t>(d)</w:t>
            </w:r>
          </w:p>
        </w:tc>
        <w:tc>
          <w:tcPr>
            <w:tcW w:w="140" w:type="dxa"/>
            <w:vAlign w:val="bottom"/>
          </w:tcPr>
          <w:p>
            <w:pPr>
              <w:spacing w:after="0"/>
              <w:rPr>
                <w:sz w:val="11"/>
                <w:szCs w:val="11"/>
                <w:color w:val="auto"/>
              </w:rPr>
            </w:pPr>
          </w:p>
        </w:tc>
        <w:tc>
          <w:tcPr>
            <w:tcW w:w="118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2"/>
              </w:rPr>
              <w:t>Depreciation and</w:t>
            </w:r>
          </w:p>
        </w:tc>
        <w:tc>
          <w:tcPr>
            <w:tcW w:w="180" w:type="dxa"/>
            <w:vAlign w:val="bottom"/>
          </w:tcPr>
          <w:p>
            <w:pPr>
              <w:spacing w:after="0"/>
              <w:rPr>
                <w:sz w:val="11"/>
                <w:szCs w:val="11"/>
                <w:color w:val="auto"/>
              </w:rPr>
            </w:pPr>
          </w:p>
        </w:tc>
        <w:tc>
          <w:tcPr>
            <w:tcW w:w="102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1"/>
                <w:szCs w:val="11"/>
                <w:color w:val="auto"/>
              </w:rPr>
            </w:pPr>
          </w:p>
        </w:tc>
        <w:tc>
          <w:tcPr>
            <w:tcW w:w="1040" w:type="dxa"/>
            <w:vAlign w:val="bottom"/>
          </w:tcPr>
          <w:p>
            <w:pPr>
              <w:jc w:val="center"/>
              <w:ind w:right="71"/>
              <w:spacing w:after="0" w:line="135" w:lineRule="exact"/>
              <w:rPr>
                <w:sz w:val="20"/>
                <w:szCs w:val="20"/>
                <w:color w:val="auto"/>
              </w:rPr>
            </w:pPr>
            <w:r>
              <w:rPr>
                <w:rFonts w:ascii="Arial" w:cs="Arial" w:eastAsia="Arial" w:hAnsi="Arial"/>
                <w:sz w:val="14"/>
                <w:szCs w:val="14"/>
                <w:color w:val="auto"/>
                <w:w w:val="94"/>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3"/>
              <w:spacing w:after="0"/>
              <w:rPr>
                <w:sz w:val="20"/>
                <w:szCs w:val="20"/>
                <w:color w:val="auto"/>
              </w:rPr>
            </w:pPr>
            <w:r>
              <w:rPr>
                <w:rFonts w:ascii="Arial" w:cs="Arial" w:eastAsia="Arial" w:hAnsi="Arial"/>
                <w:sz w:val="14"/>
                <w:szCs w:val="14"/>
                <w:color w:val="auto"/>
                <w:w w:val="97"/>
              </w:rPr>
              <w:t>Amortization</w:t>
            </w:r>
          </w:p>
        </w:tc>
        <w:tc>
          <w:tcPr>
            <w:tcW w:w="180" w:type="dxa"/>
            <w:vAlign w:val="bottom"/>
          </w:tcPr>
          <w:p>
            <w:pPr>
              <w:spacing w:after="0"/>
              <w:rPr>
                <w:sz w:val="16"/>
                <w:szCs w:val="16"/>
                <w:color w:val="auto"/>
              </w:rPr>
            </w:pPr>
          </w:p>
        </w:tc>
        <w:tc>
          <w:tcPr>
            <w:tcW w:w="1020" w:type="dxa"/>
            <w:vAlign w:val="bottom"/>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Intangible Assets</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40"/>
              <w:spacing w:after="0" w:line="230"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34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25,532</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13"/>
              <w:spacing w:after="0"/>
              <w:rPr>
                <w:sz w:val="20"/>
                <w:szCs w:val="20"/>
                <w:color w:val="auto"/>
              </w:rPr>
            </w:pPr>
            <w:r>
              <w:rPr>
                <w:rFonts w:ascii="Arial" w:cs="Arial" w:eastAsia="Arial" w:hAnsi="Arial"/>
                <w:sz w:val="14"/>
                <w:szCs w:val="14"/>
                <w:color w:val="auto"/>
                <w:w w:val="91"/>
              </w:rPr>
              <w:t>Three Months Ended September 30, 2019</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1"/>
                <w:szCs w:val="11"/>
                <w:color w:val="auto"/>
              </w:rPr>
            </w:pPr>
          </w:p>
        </w:tc>
        <w:tc>
          <w:tcPr>
            <w:tcW w:w="1000" w:type="dxa"/>
            <w:vAlign w:val="bottom"/>
            <w:vMerge w:val="restart"/>
          </w:tcPr>
          <w:p>
            <w:pPr>
              <w:jc w:val="right"/>
              <w:ind w:right="291"/>
              <w:spacing w:after="0"/>
              <w:rPr>
                <w:sz w:val="20"/>
                <w:szCs w:val="20"/>
                <w:color w:val="auto"/>
              </w:rPr>
            </w:pPr>
            <w:r>
              <w:rPr>
                <w:rFonts w:ascii="Arial" w:cs="Arial" w:eastAsia="Arial" w:hAnsi="Arial"/>
                <w:sz w:val="14"/>
                <w:szCs w:val="14"/>
                <w:color w:val="auto"/>
              </w:rPr>
              <w:t>Revenue</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color w:val="auto"/>
                <w:w w:val="97"/>
              </w:rPr>
              <w:t>Adjusted EBITDA</w:t>
            </w:r>
            <w:r>
              <w:rPr>
                <w:rFonts w:ascii="Arial" w:cs="Arial" w:eastAsia="Arial" w:hAnsi="Arial"/>
                <w:sz w:val="18"/>
                <w:szCs w:val="18"/>
                <w:color w:val="auto"/>
                <w:w w:val="97"/>
                <w:vertAlign w:val="superscript"/>
              </w:rPr>
              <w:t>(d)</w:t>
            </w:r>
          </w:p>
        </w:tc>
        <w:tc>
          <w:tcPr>
            <w:tcW w:w="140" w:type="dxa"/>
            <w:vAlign w:val="bottom"/>
          </w:tcPr>
          <w:p>
            <w:pPr>
              <w:spacing w:after="0"/>
              <w:rPr>
                <w:sz w:val="11"/>
                <w:szCs w:val="11"/>
                <w:color w:val="auto"/>
              </w:rPr>
            </w:pPr>
          </w:p>
        </w:tc>
        <w:tc>
          <w:tcPr>
            <w:tcW w:w="118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2"/>
              </w:rPr>
              <w:t>Depreciation and</w:t>
            </w:r>
          </w:p>
        </w:tc>
        <w:tc>
          <w:tcPr>
            <w:tcW w:w="180" w:type="dxa"/>
            <w:vAlign w:val="bottom"/>
          </w:tcPr>
          <w:p>
            <w:pPr>
              <w:spacing w:after="0"/>
              <w:rPr>
                <w:sz w:val="11"/>
                <w:szCs w:val="11"/>
                <w:color w:val="auto"/>
              </w:rPr>
            </w:pPr>
          </w:p>
        </w:tc>
        <w:tc>
          <w:tcPr>
            <w:tcW w:w="102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1"/>
                <w:szCs w:val="11"/>
                <w:color w:val="auto"/>
              </w:rPr>
            </w:pPr>
          </w:p>
        </w:tc>
        <w:tc>
          <w:tcPr>
            <w:tcW w:w="1040" w:type="dxa"/>
            <w:vAlign w:val="bottom"/>
          </w:tcPr>
          <w:p>
            <w:pPr>
              <w:jc w:val="center"/>
              <w:ind w:right="71"/>
              <w:spacing w:after="0" w:line="135" w:lineRule="exact"/>
              <w:rPr>
                <w:sz w:val="20"/>
                <w:szCs w:val="20"/>
                <w:color w:val="auto"/>
              </w:rPr>
            </w:pPr>
            <w:r>
              <w:rPr>
                <w:rFonts w:ascii="Arial" w:cs="Arial" w:eastAsia="Arial" w:hAnsi="Arial"/>
                <w:sz w:val="14"/>
                <w:szCs w:val="14"/>
                <w:color w:val="auto"/>
                <w:w w:val="94"/>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3"/>
              <w:spacing w:after="0"/>
              <w:rPr>
                <w:sz w:val="20"/>
                <w:szCs w:val="20"/>
                <w:color w:val="auto"/>
              </w:rPr>
            </w:pPr>
            <w:r>
              <w:rPr>
                <w:rFonts w:ascii="Arial" w:cs="Arial" w:eastAsia="Arial" w:hAnsi="Arial"/>
                <w:sz w:val="14"/>
                <w:szCs w:val="14"/>
                <w:color w:val="auto"/>
                <w:w w:val="97"/>
              </w:rPr>
              <w:t>Amortization</w:t>
            </w:r>
          </w:p>
        </w:tc>
        <w:tc>
          <w:tcPr>
            <w:tcW w:w="180" w:type="dxa"/>
            <w:vAlign w:val="bottom"/>
          </w:tcPr>
          <w:p>
            <w:pPr>
              <w:spacing w:after="0"/>
              <w:rPr>
                <w:sz w:val="16"/>
                <w:szCs w:val="16"/>
                <w:color w:val="auto"/>
              </w:rPr>
            </w:pPr>
          </w:p>
        </w:tc>
        <w:tc>
          <w:tcPr>
            <w:tcW w:w="1020" w:type="dxa"/>
            <w:vAlign w:val="bottom"/>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Intangible Assets</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14,584</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40"/>
              <w:spacing w:after="0" w:line="230"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34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8,295</w:t>
            </w: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26,827</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333"/>
              <w:spacing w:after="0"/>
              <w:rPr>
                <w:sz w:val="20"/>
                <w:szCs w:val="20"/>
                <w:color w:val="auto"/>
              </w:rPr>
            </w:pPr>
            <w:r>
              <w:rPr>
                <w:rFonts w:ascii="Arial" w:cs="Arial" w:eastAsia="Arial" w:hAnsi="Arial"/>
                <w:sz w:val="14"/>
                <w:szCs w:val="14"/>
                <w:color w:val="auto"/>
                <w:w w:val="92"/>
              </w:rPr>
              <w:t>Nine Months Ended September 30, 2020</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1"/>
                <w:szCs w:val="11"/>
                <w:color w:val="auto"/>
              </w:rPr>
            </w:pPr>
          </w:p>
        </w:tc>
        <w:tc>
          <w:tcPr>
            <w:tcW w:w="1000" w:type="dxa"/>
            <w:vAlign w:val="bottom"/>
            <w:vMerge w:val="restart"/>
          </w:tcPr>
          <w:p>
            <w:pPr>
              <w:jc w:val="right"/>
              <w:ind w:right="291"/>
              <w:spacing w:after="0"/>
              <w:rPr>
                <w:sz w:val="20"/>
                <w:szCs w:val="20"/>
                <w:color w:val="auto"/>
              </w:rPr>
            </w:pPr>
            <w:r>
              <w:rPr>
                <w:rFonts w:ascii="Arial" w:cs="Arial" w:eastAsia="Arial" w:hAnsi="Arial"/>
                <w:sz w:val="14"/>
                <w:szCs w:val="14"/>
                <w:color w:val="auto"/>
              </w:rPr>
              <w:t>Revenue</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color w:val="auto"/>
                <w:w w:val="97"/>
              </w:rPr>
              <w:t>Adjusted EBITDA</w:t>
            </w:r>
            <w:r>
              <w:rPr>
                <w:rFonts w:ascii="Arial" w:cs="Arial" w:eastAsia="Arial" w:hAnsi="Arial"/>
                <w:sz w:val="18"/>
                <w:szCs w:val="18"/>
                <w:color w:val="auto"/>
                <w:w w:val="97"/>
                <w:vertAlign w:val="superscript"/>
              </w:rPr>
              <w:t>(d)</w:t>
            </w:r>
          </w:p>
        </w:tc>
        <w:tc>
          <w:tcPr>
            <w:tcW w:w="140" w:type="dxa"/>
            <w:vAlign w:val="bottom"/>
          </w:tcPr>
          <w:p>
            <w:pPr>
              <w:spacing w:after="0"/>
              <w:rPr>
                <w:sz w:val="11"/>
                <w:szCs w:val="11"/>
                <w:color w:val="auto"/>
              </w:rPr>
            </w:pPr>
          </w:p>
        </w:tc>
        <w:tc>
          <w:tcPr>
            <w:tcW w:w="118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2"/>
              </w:rPr>
              <w:t>Depreciation and</w:t>
            </w:r>
          </w:p>
        </w:tc>
        <w:tc>
          <w:tcPr>
            <w:tcW w:w="180" w:type="dxa"/>
            <w:vAlign w:val="bottom"/>
          </w:tcPr>
          <w:p>
            <w:pPr>
              <w:spacing w:after="0"/>
              <w:rPr>
                <w:sz w:val="11"/>
                <w:szCs w:val="11"/>
                <w:color w:val="auto"/>
              </w:rPr>
            </w:pPr>
          </w:p>
        </w:tc>
        <w:tc>
          <w:tcPr>
            <w:tcW w:w="102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1"/>
                <w:szCs w:val="11"/>
                <w:color w:val="auto"/>
              </w:rPr>
            </w:pPr>
          </w:p>
        </w:tc>
        <w:tc>
          <w:tcPr>
            <w:tcW w:w="1040" w:type="dxa"/>
            <w:vAlign w:val="bottom"/>
          </w:tcPr>
          <w:p>
            <w:pPr>
              <w:jc w:val="center"/>
              <w:ind w:right="71"/>
              <w:spacing w:after="0" w:line="135" w:lineRule="exact"/>
              <w:rPr>
                <w:sz w:val="20"/>
                <w:szCs w:val="20"/>
                <w:color w:val="auto"/>
              </w:rPr>
            </w:pPr>
            <w:r>
              <w:rPr>
                <w:rFonts w:ascii="Arial" w:cs="Arial" w:eastAsia="Arial" w:hAnsi="Arial"/>
                <w:sz w:val="14"/>
                <w:szCs w:val="14"/>
                <w:color w:val="auto"/>
                <w:w w:val="94"/>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3"/>
              <w:spacing w:after="0"/>
              <w:rPr>
                <w:sz w:val="20"/>
                <w:szCs w:val="20"/>
                <w:color w:val="auto"/>
              </w:rPr>
            </w:pPr>
            <w:r>
              <w:rPr>
                <w:rFonts w:ascii="Arial" w:cs="Arial" w:eastAsia="Arial" w:hAnsi="Arial"/>
                <w:sz w:val="14"/>
                <w:szCs w:val="14"/>
                <w:color w:val="auto"/>
                <w:w w:val="97"/>
              </w:rPr>
              <w:t>Amortization</w:t>
            </w:r>
          </w:p>
        </w:tc>
        <w:tc>
          <w:tcPr>
            <w:tcW w:w="180" w:type="dxa"/>
            <w:vAlign w:val="bottom"/>
          </w:tcPr>
          <w:p>
            <w:pPr>
              <w:spacing w:after="0"/>
              <w:rPr>
                <w:sz w:val="16"/>
                <w:szCs w:val="16"/>
                <w:color w:val="auto"/>
              </w:rPr>
            </w:pPr>
          </w:p>
        </w:tc>
        <w:tc>
          <w:tcPr>
            <w:tcW w:w="1020" w:type="dxa"/>
            <w:vAlign w:val="bottom"/>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Intangible Assets</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44,346</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8,110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40"/>
              <w:spacing w:after="0" w:line="230"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34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20,582</w:t>
            </w: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13,389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75,856</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23,640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451"/>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9A9A9A"/>
            </w:tcBorders>
          </w:tcPr>
          <w:p>
            <w:pPr>
              <w:spacing w:after="0"/>
              <w:rPr>
                <w:sz w:val="19"/>
                <w:szCs w:val="19"/>
                <w:color w:val="auto"/>
              </w:rPr>
            </w:pPr>
          </w:p>
        </w:tc>
        <w:tc>
          <w:tcPr>
            <w:tcW w:w="49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jc w:val="right"/>
              <w:ind w:right="653"/>
              <w:spacing w:after="0"/>
              <w:rPr>
                <w:sz w:val="20"/>
                <w:szCs w:val="20"/>
                <w:color w:val="auto"/>
              </w:rPr>
            </w:pPr>
            <w:r>
              <w:rPr>
                <w:rFonts w:ascii="Arial" w:cs="Arial" w:eastAsia="Arial" w:hAnsi="Arial"/>
                <w:sz w:val="14"/>
                <w:szCs w:val="14"/>
                <w:color w:val="auto"/>
              </w:rPr>
              <w:t>Nine Months Ended September 30, 2019</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1"/>
                <w:szCs w:val="11"/>
                <w:color w:val="auto"/>
              </w:rPr>
            </w:pPr>
          </w:p>
        </w:tc>
        <w:tc>
          <w:tcPr>
            <w:tcW w:w="1000" w:type="dxa"/>
            <w:vAlign w:val="bottom"/>
            <w:vMerge w:val="restart"/>
          </w:tcPr>
          <w:p>
            <w:pPr>
              <w:jc w:val="right"/>
              <w:ind w:right="271"/>
              <w:spacing w:after="0"/>
              <w:rPr>
                <w:sz w:val="20"/>
                <w:szCs w:val="20"/>
                <w:color w:val="auto"/>
              </w:rPr>
            </w:pPr>
            <w:r>
              <w:rPr>
                <w:rFonts w:ascii="Arial" w:cs="Arial" w:eastAsia="Arial" w:hAnsi="Arial"/>
                <w:sz w:val="14"/>
                <w:szCs w:val="14"/>
                <w:color w:val="auto"/>
              </w:rPr>
              <w:t>Revenue</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w w:val="98"/>
              </w:rPr>
              <w:t>Adjusted EBITDA</w:t>
            </w:r>
            <w:r>
              <w:rPr>
                <w:rFonts w:ascii="Arial" w:cs="Arial" w:eastAsia="Arial" w:hAnsi="Arial"/>
                <w:sz w:val="18"/>
                <w:szCs w:val="18"/>
                <w:color w:val="auto"/>
                <w:w w:val="98"/>
                <w:vertAlign w:val="superscript"/>
              </w:rPr>
              <w:t>(d)</w:t>
            </w:r>
          </w:p>
        </w:tc>
        <w:tc>
          <w:tcPr>
            <w:tcW w:w="140" w:type="dxa"/>
            <w:vAlign w:val="bottom"/>
          </w:tcPr>
          <w:p>
            <w:pPr>
              <w:spacing w:after="0"/>
              <w:rPr>
                <w:sz w:val="11"/>
                <w:szCs w:val="11"/>
                <w:color w:val="auto"/>
              </w:rPr>
            </w:pPr>
          </w:p>
        </w:tc>
        <w:tc>
          <w:tcPr>
            <w:tcW w:w="1160" w:type="dxa"/>
            <w:vAlign w:val="bottom"/>
          </w:tcPr>
          <w:p>
            <w:pPr>
              <w:jc w:val="right"/>
              <w:ind w:right="53"/>
              <w:spacing w:after="0" w:line="135" w:lineRule="exact"/>
              <w:rPr>
                <w:sz w:val="20"/>
                <w:szCs w:val="20"/>
                <w:color w:val="auto"/>
              </w:rPr>
            </w:pPr>
            <w:r>
              <w:rPr>
                <w:rFonts w:ascii="Arial" w:cs="Arial" w:eastAsia="Arial" w:hAnsi="Arial"/>
                <w:sz w:val="14"/>
                <w:szCs w:val="14"/>
                <w:color w:val="auto"/>
                <w:w w:val="94"/>
              </w:rPr>
              <w:t>Depreciation and</w:t>
            </w:r>
          </w:p>
        </w:tc>
        <w:tc>
          <w:tcPr>
            <w:tcW w:w="200" w:type="dxa"/>
            <w:vAlign w:val="bottom"/>
          </w:tcPr>
          <w:p>
            <w:pPr>
              <w:spacing w:after="0"/>
              <w:rPr>
                <w:sz w:val="11"/>
                <w:szCs w:val="11"/>
                <w:color w:val="auto"/>
              </w:rPr>
            </w:pPr>
          </w:p>
        </w:tc>
        <w:tc>
          <w:tcPr>
            <w:tcW w:w="1020" w:type="dxa"/>
            <w:vAlign w:val="bottom"/>
          </w:tcPr>
          <w:p>
            <w:pPr>
              <w:jc w:val="right"/>
              <w:ind w:right="293"/>
              <w:spacing w:after="0" w:line="135" w:lineRule="exact"/>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1"/>
                <w:szCs w:val="11"/>
                <w:color w:val="auto"/>
              </w:rPr>
            </w:pPr>
          </w:p>
        </w:tc>
        <w:tc>
          <w:tcPr>
            <w:tcW w:w="1020" w:type="dxa"/>
            <w:vAlign w:val="bottom"/>
          </w:tcPr>
          <w:p>
            <w:pPr>
              <w:jc w:val="right"/>
              <w:ind w:right="111"/>
              <w:spacing w:after="0" w:line="135" w:lineRule="exact"/>
              <w:rPr>
                <w:sz w:val="20"/>
                <w:szCs w:val="20"/>
                <w:color w:val="auto"/>
              </w:rPr>
            </w:pPr>
            <w:r>
              <w:rPr>
                <w:rFonts w:ascii="Arial" w:cs="Arial" w:eastAsia="Arial" w:hAnsi="Arial"/>
                <w:sz w:val="14"/>
                <w:szCs w:val="14"/>
                <w:color w:val="auto"/>
                <w:w w:val="94"/>
              </w:rPr>
              <w:t>Cash Paid for</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Amortization</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7"/>
              </w:rPr>
              <w:t>Expenditures</w:t>
            </w:r>
          </w:p>
        </w:tc>
        <w:tc>
          <w:tcPr>
            <w:tcW w:w="12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Intangible Assets</w:t>
            </w:r>
          </w:p>
        </w:tc>
        <w:tc>
          <w:tcPr>
            <w:tcW w:w="0" w:type="dxa"/>
            <w:vAlign w:val="bottom"/>
          </w:tcPr>
          <w:p>
            <w:pPr>
              <w:spacing w:after="0"/>
              <w:rPr>
                <w:sz w:val="1"/>
                <w:szCs w:val="1"/>
                <w:color w:val="auto"/>
              </w:rPr>
            </w:pPr>
          </w:p>
        </w:tc>
      </w:tr>
      <w:tr>
        <w:trPr>
          <w:trHeight w:val="222"/>
        </w:trPr>
        <w:tc>
          <w:tcPr>
            <w:tcW w:w="490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43,314</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40"/>
              <w:spacing w:after="0"/>
              <w:rPr>
                <w:sz w:val="20"/>
                <w:szCs w:val="20"/>
                <w:color w:val="auto"/>
              </w:rPr>
            </w:pPr>
            <w:r>
              <w:rPr>
                <w:rFonts w:ascii="Arial" w:cs="Arial" w:eastAsia="Arial" w:hAnsi="Arial"/>
                <w:sz w:val="18"/>
                <w:szCs w:val="18"/>
                <w:color w:val="auto"/>
              </w:rPr>
              <w:t>Cable Networks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900" w:type="dxa"/>
            <w:vAlign w:val="bottom"/>
          </w:tcPr>
          <w:p>
            <w:pPr>
              <w:ind w:left="34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900" w:type="dxa"/>
            <w:vAlign w:val="bottom"/>
          </w:tcPr>
          <w:p>
            <w:pPr>
              <w:ind w:left="34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line="230"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auto"/>
            </w:tcBorders>
          </w:tcPr>
          <w:p>
            <w:pPr>
              <w:ind w:left="36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24,814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6,752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Sky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14,179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80,544</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1,686</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jc w:val="both"/>
        <w:ind w:left="340" w:hanging="332"/>
        <w:spacing w:after="0" w:line="257"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w:t>
      </w:r>
    </w:p>
    <w:p>
      <w:pPr>
        <w:spacing w:after="0" w:line="36" w:lineRule="exact"/>
        <w:rPr>
          <w:rFonts w:ascii="Arial" w:cs="Arial" w:eastAsia="Arial" w:hAnsi="Arial"/>
          <w:sz w:val="14"/>
          <w:szCs w:val="14"/>
          <w:color w:val="auto"/>
        </w:rPr>
      </w:pPr>
    </w:p>
    <w:p>
      <w:pPr>
        <w:jc w:val="both"/>
        <w:ind w:left="340"/>
        <w:spacing w:after="0" w:line="277" w:lineRule="auto"/>
        <w:rPr>
          <w:rFonts w:ascii="Arial" w:cs="Arial" w:eastAsia="Arial" w:hAnsi="Arial"/>
          <w:sz w:val="14"/>
          <w:szCs w:val="14"/>
          <w:color w:val="auto"/>
        </w:rPr>
      </w:pPr>
      <w:r>
        <w:rPr>
          <w:rFonts w:ascii="Arial" w:cs="Arial" w:eastAsia="Arial" w:hAnsi="Arial"/>
          <w:sz w:val="13"/>
          <w:szCs w:val="13"/>
          <w:color w:val="auto"/>
        </w:rPr>
        <w:t>The most significant transactions between our segments include distribution revenue at Cable Networks for the sale of programming to Cable Communications; content licensing revenue in our NBCUniversal segments (Broadcast Television, Filmed Entertainment and Cable Networks) for the license of owned content to Peacock and Sky, and for licenses of owned content to other NBCUniversal segments; advertising revenue at Cable Communications, Cable Networks and Broadcast Television; and distribution revenue at Broadcast Television for fees received under retransmission consent agreements from Cable Communications. For segment reporting purposes, we account for intercompany content licenses as follows:</w:t>
      </w:r>
    </w:p>
    <w:p>
      <w:pPr>
        <w:spacing w:after="0" w:line="11" w:lineRule="exact"/>
        <w:rPr>
          <w:rFonts w:ascii="Arial" w:cs="Arial" w:eastAsia="Arial" w:hAnsi="Arial"/>
          <w:sz w:val="14"/>
          <w:szCs w:val="14"/>
          <w:color w:val="auto"/>
        </w:rPr>
      </w:pPr>
    </w:p>
    <w:p>
      <w:pPr>
        <w:jc w:val="both"/>
        <w:ind w:left="980" w:hanging="324"/>
        <w:spacing w:after="0" w:line="252" w:lineRule="auto"/>
        <w:tabs>
          <w:tab w:leader="none" w:pos="976" w:val="left"/>
        </w:tabs>
        <w:numPr>
          <w:ilvl w:val="1"/>
          <w:numId w:val="4"/>
        </w:numPr>
        <w:rPr>
          <w:rFonts w:ascii="Arial" w:cs="Arial" w:eastAsia="Arial" w:hAnsi="Arial"/>
          <w:sz w:val="14"/>
          <w:szCs w:val="14"/>
          <w:color w:val="auto"/>
        </w:rPr>
      </w:pPr>
      <w:r>
        <w:rPr>
          <w:rFonts w:ascii="Arial" w:cs="Arial" w:eastAsia="Arial" w:hAnsi="Arial"/>
          <w:sz w:val="14"/>
          <w:szCs w:val="14"/>
          <w:color w:val="auto"/>
        </w:rPr>
        <w:t>Revenue for licenses of content from NBCUniversal segments to Peacock and Sky are generally recognized at a point in time, consistent with the recognition of transactions with third parties, when the content is delivered and made available for use. The costs of these licenses at Peacock and Sky are recognized as the content is used over the license period. The difference in timing of recognition between segments results in an Adjusted EBITDA impact in eliminations as the profits on these transactions are deferred in our consolidated results and recognized as the content is used over the license period.</w:t>
      </w:r>
    </w:p>
    <w:p>
      <w:pPr>
        <w:spacing w:after="0" w:line="79" w:lineRule="exact"/>
        <w:rPr>
          <w:rFonts w:ascii="Arial" w:cs="Arial" w:eastAsia="Arial" w:hAnsi="Arial"/>
          <w:sz w:val="14"/>
          <w:szCs w:val="14"/>
          <w:color w:val="auto"/>
        </w:rPr>
      </w:pPr>
    </w:p>
    <w:p>
      <w:pPr>
        <w:ind w:left="980" w:hanging="324"/>
        <w:spacing w:after="0" w:line="273" w:lineRule="auto"/>
        <w:tabs>
          <w:tab w:leader="none" w:pos="976" w:val="left"/>
        </w:tabs>
        <w:numPr>
          <w:ilvl w:val="1"/>
          <w:numId w:val="4"/>
        </w:numPr>
        <w:rPr>
          <w:rFonts w:ascii="Arial" w:cs="Arial" w:eastAsia="Arial" w:hAnsi="Arial"/>
          <w:sz w:val="14"/>
          <w:szCs w:val="14"/>
          <w:color w:val="auto"/>
        </w:rPr>
      </w:pPr>
      <w:r>
        <w:rPr>
          <w:rFonts w:ascii="Arial" w:cs="Arial" w:eastAsia="Arial" w:hAnsi="Arial"/>
          <w:sz w:val="14"/>
          <w:szCs w:val="14"/>
          <w:color w:val="auto"/>
        </w:rPr>
        <w:t>Revenue for licenses of content between NBCUniversal segments is recognized over time to correspond with the amortization of the programming rights asset for the licensed content as the content is used over the license period.</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our other business interests, including Peacock.</w:t>
      </w:r>
    </w:p>
    <w:p>
      <w:pPr>
        <w:spacing w:after="0" w:line="109" w:lineRule="exact"/>
        <w:rPr>
          <w:rFonts w:ascii="Arial" w:cs="Arial" w:eastAsia="Arial" w:hAnsi="Arial"/>
          <w:sz w:val="14"/>
          <w:szCs w:val="14"/>
          <w:color w:val="auto"/>
        </w:rPr>
      </w:pPr>
    </w:p>
    <w:p>
      <w:pPr>
        <w:jc w:val="both"/>
        <w:ind w:left="340" w:hanging="332"/>
        <w:spacing w:after="0" w:line="247"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80" w:type="dxa"/>
            <w:vAlign w:val="bottom"/>
            <w:gridSpan w:val="3"/>
          </w:tcPr>
          <w:p>
            <w:pPr>
              <w:jc w:val="right"/>
              <w:ind w:right="228"/>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w w:val="94"/>
              </w:rPr>
              <w:t>Nine Months Ended</w:t>
            </w:r>
          </w:p>
        </w:tc>
        <w:tc>
          <w:tcPr>
            <w:tcW w:w="780" w:type="dxa"/>
            <w:vAlign w:val="bottom"/>
          </w:tcPr>
          <w:p>
            <w:pPr>
              <w:spacing w:after="0"/>
              <w:rPr>
                <w:sz w:val="14"/>
                <w:szCs w:val="14"/>
                <w:color w:val="auto"/>
              </w:rPr>
            </w:pPr>
          </w:p>
        </w:tc>
      </w:tr>
      <w:tr>
        <w:trPr>
          <w:trHeight w:val="183"/>
        </w:trPr>
        <w:tc>
          <w:tcPr>
            <w:tcW w:w="48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September 30,</w:t>
            </w: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5"/>
                <w:szCs w:val="15"/>
                <w:color w:val="auto"/>
              </w:rPr>
            </w:pPr>
          </w:p>
        </w:tc>
      </w:tr>
      <w:tr>
        <w:trPr>
          <w:trHeight w:val="18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89"/>
              </w:rPr>
              <w:t>2019</w:t>
            </w:r>
          </w:p>
        </w:tc>
      </w:tr>
      <w:tr>
        <w:trPr>
          <w:trHeight w:val="179"/>
        </w:trPr>
        <w:tc>
          <w:tcPr>
            <w:tcW w:w="48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7,583</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8,553</w:t>
            </w:r>
          </w:p>
        </w:tc>
        <w:tc>
          <w:tcPr>
            <w:tcW w:w="8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w w:val="93"/>
              </w:rPr>
              <w:t>23,640</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25,822</w:t>
            </w:r>
          </w:p>
        </w:tc>
      </w:tr>
      <w:tr>
        <w:trPr>
          <w:trHeight w:val="184"/>
        </w:trPr>
        <w:tc>
          <w:tcPr>
            <w:tcW w:w="4800" w:type="dxa"/>
            <w:vAlign w:val="bottom"/>
          </w:tcPr>
          <w:p>
            <w:pPr>
              <w:ind w:left="20"/>
              <w:spacing w:after="0"/>
              <w:rPr>
                <w:sz w:val="20"/>
                <w:szCs w:val="20"/>
                <w:color w:val="auto"/>
              </w:rPr>
            </w:pPr>
            <w:r>
              <w:rPr>
                <w:rFonts w:ascii="Arial" w:cs="Arial" w:eastAsia="Arial" w:hAnsi="Arial"/>
                <w:sz w:val="14"/>
                <w:szCs w:val="14"/>
                <w:color w:val="auto"/>
              </w:rPr>
              <w:t>Adjustment for potential legal settlement</w:t>
            </w:r>
          </w:p>
        </w:tc>
        <w:tc>
          <w:tcPr>
            <w:tcW w:w="80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92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8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8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(2,122)</w:t>
            </w: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(2,124)</w:t>
            </w:r>
          </w:p>
        </w:tc>
        <w:tc>
          <w:tcPr>
            <w:tcW w:w="8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w w:val="99"/>
              </w:rPr>
              <w:t>(6,328)</w:t>
            </w:r>
          </w:p>
        </w:tc>
        <w:tc>
          <w:tcPr>
            <w:tcW w:w="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(6,561)</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(1,198)</w:t>
            </w: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(1,056)</w:t>
            </w:r>
          </w:p>
        </w:tc>
        <w:tc>
          <w:tcPr>
            <w:tcW w:w="8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w w:val="99"/>
              </w:rPr>
              <w:t>(3,520)</w:t>
            </w:r>
          </w:p>
        </w:tc>
        <w:tc>
          <w:tcPr>
            <w:tcW w:w="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(3,215)</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(1,220)</w:t>
            </w: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(1,167)</w:t>
            </w:r>
          </w:p>
        </w:tc>
        <w:tc>
          <w:tcPr>
            <w:tcW w:w="8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w w:val="99"/>
              </w:rPr>
              <w:t>(3,544)</w:t>
            </w:r>
          </w:p>
        </w:tc>
        <w:tc>
          <w:tcPr>
            <w:tcW w:w="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(3,454)</w:t>
            </w:r>
          </w:p>
        </w:tc>
      </w:tr>
      <w:tr>
        <w:trPr>
          <w:trHeight w:val="195"/>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w:t>
            </w: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r>
      <w:tr>
        <w:trPr>
          <w:trHeight w:val="19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2,770</w:t>
            </w:r>
          </w:p>
        </w:tc>
        <w:tc>
          <w:tcPr>
            <w:tcW w:w="9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4,063</w:t>
            </w:r>
          </w:p>
        </w:tc>
        <w:tc>
          <w:tcPr>
            <w:tcW w:w="8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9,649</w:t>
            </w:r>
          </w:p>
        </w:tc>
        <w:tc>
          <w:tcPr>
            <w:tcW w:w="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20" w:type="dxa"/>
            <w:vAlign w:val="bottom"/>
          </w:tcPr>
          <w:p>
            <w:pPr>
              <w:spacing w:after="0"/>
              <w:rPr>
                <w:sz w:val="14"/>
                <w:szCs w:val="14"/>
                <w:color w:val="auto"/>
              </w:rPr>
            </w:pPr>
          </w:p>
        </w:tc>
      </w:tr>
      <w:tr>
        <w:trPr>
          <w:trHeight w:val="183"/>
        </w:trPr>
        <w:tc>
          <w:tcPr>
            <w:tcW w:w="5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5"/>
                <w:szCs w:val="15"/>
                <w:color w:val="auto"/>
              </w:rPr>
            </w:pPr>
          </w:p>
        </w:tc>
      </w:tr>
      <w:tr>
        <w:trPr>
          <w:trHeight w:val="186"/>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9"/>
              </w:rPr>
              <w:t>2019</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w w:val="89"/>
              </w:rPr>
              <w:t>2019</w:t>
            </w:r>
          </w:p>
        </w:tc>
      </w:tr>
      <w:tr>
        <w:trPr>
          <w:trHeight w:val="226"/>
        </w:trPr>
        <w:tc>
          <w:tcPr>
            <w:tcW w:w="536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360" w:type="dxa"/>
            <w:vAlign w:val="bottom"/>
          </w:tcPr>
          <w:p>
            <w:pPr>
              <w:ind w:left="120"/>
              <w:spacing w:after="0"/>
              <w:rPr>
                <w:sz w:val="20"/>
                <w:szCs w:val="20"/>
                <w:color w:val="auto"/>
              </w:rPr>
            </w:pPr>
            <w:r>
              <w:rPr>
                <w:rFonts w:ascii="Arial" w:cs="Arial" w:eastAsia="Arial" w:hAnsi="Arial"/>
                <w:sz w:val="18"/>
                <w:szCs w:val="18"/>
                <w:color w:val="auto"/>
              </w:rPr>
              <w:t>High-speed internet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5,198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4,721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15,199</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13,961</w:t>
            </w:r>
          </w:p>
        </w:tc>
      </w:tr>
      <w:tr>
        <w:trPr>
          <w:trHeight w:val="229"/>
        </w:trPr>
        <w:tc>
          <w:tcPr>
            <w:tcW w:w="5360" w:type="dxa"/>
            <w:vAlign w:val="bottom"/>
          </w:tcPr>
          <w:p>
            <w:pPr>
              <w:ind w:left="120"/>
              <w:spacing w:after="0"/>
              <w:rPr>
                <w:sz w:val="20"/>
                <w:szCs w:val="20"/>
                <w:color w:val="auto"/>
              </w:rPr>
            </w:pPr>
            <w:r>
              <w:rPr>
                <w:rFonts w:ascii="Arial" w:cs="Arial" w:eastAsia="Arial" w:hAnsi="Arial"/>
                <w:sz w:val="18"/>
                <w:szCs w:val="18"/>
                <w:color w:val="auto"/>
              </w:rPr>
              <w:t>Video</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5,421</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5,541</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16,468</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16,763</w:t>
            </w:r>
          </w:p>
        </w:tc>
      </w:tr>
      <w:tr>
        <w:trPr>
          <w:trHeight w:val="230"/>
        </w:trPr>
        <w:tc>
          <w:tcPr>
            <w:tcW w:w="5360" w:type="dxa"/>
            <w:vAlign w:val="bottom"/>
          </w:tcPr>
          <w:p>
            <w:pPr>
              <w:ind w:left="120"/>
              <w:spacing w:after="0"/>
              <w:rPr>
                <w:sz w:val="20"/>
                <w:szCs w:val="20"/>
                <w:color w:val="auto"/>
              </w:rPr>
            </w:pPr>
            <w:r>
              <w:rPr>
                <w:rFonts w:ascii="Arial" w:cs="Arial" w:eastAsia="Arial" w:hAnsi="Arial"/>
                <w:sz w:val="18"/>
                <w:szCs w:val="18"/>
                <w:color w:val="auto"/>
              </w:rPr>
              <w:t>Voice</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876</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963</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2,652</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2,935</w:t>
            </w:r>
          </w:p>
        </w:tc>
      </w:tr>
      <w:tr>
        <w:trPr>
          <w:trHeight w:val="229"/>
        </w:trPr>
        <w:tc>
          <w:tcPr>
            <w:tcW w:w="5360" w:type="dxa"/>
            <w:vAlign w:val="bottom"/>
          </w:tcPr>
          <w:p>
            <w:pPr>
              <w:ind w:left="120"/>
              <w:spacing w:after="0"/>
              <w:rPr>
                <w:sz w:val="20"/>
                <w:szCs w:val="20"/>
                <w:color w:val="auto"/>
              </w:rPr>
            </w:pPr>
            <w:r>
              <w:rPr>
                <w:rFonts w:ascii="Arial" w:cs="Arial" w:eastAsia="Arial" w:hAnsi="Arial"/>
                <w:sz w:val="18"/>
                <w:szCs w:val="18"/>
                <w:color w:val="auto"/>
              </w:rPr>
              <w:t>Wireless</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400</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1,069</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Business services</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2,049</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1,971</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6,096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5,795</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674</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603</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1,659</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1,766</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382</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459</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1,203</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r>
      <w:tr>
        <w:trPr>
          <w:trHeight w:val="298"/>
        </w:trPr>
        <w:tc>
          <w:tcPr>
            <w:tcW w:w="5360" w:type="dxa"/>
            <w:vAlign w:val="bottom"/>
          </w:tcPr>
          <w:p>
            <w:pPr>
              <w:ind w:left="2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3"/>
                <w:szCs w:val="23"/>
                <w:color w:val="auto"/>
                <w:vertAlign w:val="superscript"/>
              </w:rPr>
              <w:t>(a)</w:t>
            </w:r>
          </w:p>
        </w:tc>
        <w:tc>
          <w:tcPr>
            <w:tcW w:w="32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15,000</w:t>
            </w:r>
          </w:p>
        </w:tc>
        <w:tc>
          <w:tcPr>
            <w:tcW w:w="60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14,584</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44,346</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43,314</w:t>
            </w:r>
          </w:p>
        </w:tc>
      </w:tr>
      <w:tr>
        <w:trPr>
          <w:trHeight w:val="262"/>
        </w:trPr>
        <w:tc>
          <w:tcPr>
            <w:tcW w:w="536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32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1,617</w:t>
            </w:r>
          </w:p>
        </w:tc>
        <w:tc>
          <w:tcPr>
            <w:tcW w:w="600" w:type="dxa"/>
            <w:vAlign w:val="bottom"/>
          </w:tcPr>
          <w:p>
            <w:pPr>
              <w:spacing w:after="0"/>
              <w:rPr>
                <w:sz w:val="22"/>
                <w:szCs w:val="22"/>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1,681</w:t>
            </w:r>
          </w:p>
        </w:tc>
        <w:tc>
          <w:tcPr>
            <w:tcW w:w="42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4,780</w:t>
            </w:r>
          </w:p>
        </w:tc>
        <w:tc>
          <w:tcPr>
            <w:tcW w:w="6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5,123</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793</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809</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2,306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Content licensing and other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326</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1,024</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Cable Networks</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2,736</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2,771</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8,110</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8,586</w:t>
            </w:r>
          </w:p>
        </w:tc>
      </w:tr>
      <w:tr>
        <w:trPr>
          <w:trHeight w:val="336"/>
        </w:trPr>
        <w:tc>
          <w:tcPr>
            <w:tcW w:w="536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1,054</w:t>
            </w:r>
          </w:p>
        </w:tc>
        <w:tc>
          <w:tcPr>
            <w:tcW w:w="60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1,191</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3,331</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3,837</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Content licensing</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740</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2,224</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Distribution and other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620</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592</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1,907</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Broadcast Television</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2,414</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2,230</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7,462</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7,099</w:t>
            </w:r>
          </w:p>
        </w:tc>
      </w:tr>
      <w:tr>
        <w:trPr>
          <w:trHeight w:val="336"/>
        </w:trPr>
        <w:tc>
          <w:tcPr>
            <w:tcW w:w="5360" w:type="dxa"/>
            <w:vAlign w:val="bottom"/>
          </w:tcPr>
          <w:p>
            <w:pPr>
              <w:ind w:left="20"/>
              <w:spacing w:after="0"/>
              <w:rPr>
                <w:sz w:val="20"/>
                <w:szCs w:val="20"/>
                <w:color w:val="auto"/>
              </w:rPr>
            </w:pPr>
            <w:r>
              <w:rPr>
                <w:rFonts w:ascii="Arial" w:cs="Arial" w:eastAsia="Arial" w:hAnsi="Arial"/>
                <w:sz w:val="18"/>
                <w:szCs w:val="18"/>
                <w:color w:val="auto"/>
              </w:rPr>
              <w:t>Theatrical</w:t>
            </w:r>
          </w:p>
        </w:tc>
        <w:tc>
          <w:tcPr>
            <w:tcW w:w="32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549</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354</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Content licensing</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844</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737</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2,385</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Home entertainment</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278</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678</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129</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235</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427</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Filmed Entertainment</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1,280</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1,706</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3,844</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4,931</w:t>
            </w:r>
          </w:p>
        </w:tc>
      </w:tr>
      <w:tr>
        <w:trPr>
          <w:trHeight w:val="336"/>
        </w:trPr>
        <w:tc>
          <w:tcPr>
            <w:tcW w:w="5360" w:type="dxa"/>
            <w:vAlign w:val="bottom"/>
          </w:tcPr>
          <w:p>
            <w:pPr>
              <w:ind w:left="20"/>
              <w:spacing w:after="0"/>
              <w:rPr>
                <w:sz w:val="20"/>
                <w:szCs w:val="20"/>
                <w:color w:val="auto"/>
              </w:rPr>
            </w:pPr>
            <w:r>
              <w:rPr>
                <w:rFonts w:ascii="Arial" w:cs="Arial" w:eastAsia="Arial" w:hAnsi="Arial"/>
                <w:sz w:val="18"/>
                <w:szCs w:val="18"/>
                <w:color w:val="auto"/>
              </w:rPr>
              <w:t>Total Theme Parks</w:t>
            </w:r>
          </w:p>
        </w:tc>
        <w:tc>
          <w:tcPr>
            <w:tcW w:w="32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1,631</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1,267</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4,371</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Headquarters and Other</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79</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6"/>
        </w:trPr>
        <w:tc>
          <w:tcPr>
            <w:tcW w:w="536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(180)</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NBCUniversal</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6,724</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8,295</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20,582</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24,814</w:t>
            </w:r>
          </w:p>
        </w:tc>
      </w:tr>
      <w:tr>
        <w:trPr>
          <w:trHeight w:val="336"/>
        </w:trPr>
        <w:tc>
          <w:tcPr>
            <w:tcW w:w="5360" w:type="dxa"/>
            <w:vAlign w:val="bottom"/>
          </w:tcPr>
          <w:p>
            <w:pPr>
              <w:ind w:left="20"/>
              <w:spacing w:after="0"/>
              <w:rPr>
                <w:sz w:val="20"/>
                <w:szCs w:val="20"/>
                <w:color w:val="auto"/>
              </w:rPr>
            </w:pPr>
            <w:r>
              <w:rPr>
                <w:rFonts w:ascii="Arial" w:cs="Arial" w:eastAsia="Arial" w:hAnsi="Arial"/>
                <w:sz w:val="18"/>
                <w:szCs w:val="18"/>
                <w:color w:val="auto"/>
              </w:rPr>
              <w:t>Direct-to-consumer</w:t>
            </w:r>
          </w:p>
        </w:tc>
        <w:tc>
          <w:tcPr>
            <w:tcW w:w="32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3,943</w:t>
            </w:r>
          </w:p>
        </w:tc>
        <w:tc>
          <w:tcPr>
            <w:tcW w:w="60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3,793</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11,146</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11,516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Content</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388</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315</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947</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462</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446</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1,296</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Sky</w:t>
            </w:r>
          </w:p>
        </w:tc>
        <w:tc>
          <w:tcPr>
            <w:tcW w:w="32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4,793</w:t>
            </w:r>
          </w:p>
        </w:tc>
        <w:tc>
          <w:tcPr>
            <w:tcW w:w="6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4,554</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13,389</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14,179</w:t>
            </w:r>
          </w:p>
        </w:tc>
      </w:tr>
      <w:tr>
        <w:trPr>
          <w:trHeight w:val="330"/>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84</w:t>
            </w:r>
          </w:p>
        </w:tc>
        <w:tc>
          <w:tcPr>
            <w:tcW w:w="60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250</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6"/>
        </w:trPr>
        <w:tc>
          <w:tcPr>
            <w:tcW w:w="536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(b)</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(1,069)</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(648)</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(2,711)</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25,532</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26,827</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75,856</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80,544</w:t>
            </w:r>
          </w:p>
        </w:tc>
      </w:tr>
    </w:tbl>
    <w:p>
      <w:pPr>
        <w:spacing w:after="0" w:line="14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both the three and nine months ended September 30, 2020 and 2019, 2.6% of Cable Communications segment revenue was derived from franchise and other regulatory fees.</w:t>
      </w:r>
    </w:p>
    <w:p>
      <w:pPr>
        <w:spacing w:after="0" w:line="80" w:lineRule="exact"/>
        <w:rPr>
          <w:rFonts w:ascii="Arial" w:cs="Arial" w:eastAsia="Arial" w:hAnsi="Arial"/>
          <w:sz w:val="13"/>
          <w:szCs w:val="13"/>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We operate primarily in the United States but also in select international markets. The table below summarizes revenue by geographic location.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20" w:type="dxa"/>
            <w:vAlign w:val="bottom"/>
          </w:tcPr>
          <w:p>
            <w:pPr>
              <w:spacing w:after="0"/>
              <w:rPr>
                <w:sz w:val="14"/>
                <w:szCs w:val="14"/>
                <w:color w:val="auto"/>
              </w:rPr>
            </w:pPr>
          </w:p>
        </w:tc>
      </w:tr>
      <w:tr>
        <w:trPr>
          <w:trHeight w:val="183"/>
        </w:trPr>
        <w:tc>
          <w:tcPr>
            <w:tcW w:w="5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5"/>
                <w:szCs w:val="15"/>
                <w:color w:val="auto"/>
              </w:rPr>
            </w:pPr>
          </w:p>
        </w:tc>
      </w:tr>
      <w:tr>
        <w:trPr>
          <w:trHeight w:val="186"/>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89"/>
              </w:rPr>
              <w:t>2019</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w w:val="89"/>
              </w:rPr>
              <w:t>2019</w:t>
            </w:r>
          </w:p>
        </w:tc>
      </w:tr>
      <w:tr>
        <w:trPr>
          <w:trHeight w:val="226"/>
        </w:trPr>
        <w:tc>
          <w:tcPr>
            <w:tcW w:w="53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19,680</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20,398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59,026</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61,394</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5,196</w:t>
            </w:r>
          </w:p>
        </w:tc>
        <w:tc>
          <w:tcPr>
            <w:tcW w:w="64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5,211</w:t>
            </w:r>
          </w:p>
        </w:tc>
        <w:tc>
          <w:tcPr>
            <w:tcW w:w="440" w:type="dxa"/>
            <w:vAlign w:val="bottom"/>
          </w:tcPr>
          <w:p>
            <w:pPr>
              <w:spacing w:after="0"/>
              <w:rPr>
                <w:sz w:val="19"/>
                <w:szCs w:val="19"/>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14,850</w:t>
            </w:r>
          </w:p>
        </w:tc>
        <w:tc>
          <w:tcPr>
            <w:tcW w:w="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15,878</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656</w:t>
            </w: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1,218</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1,980</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25,532</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26,827</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75,856</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80,544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tables summarize our accounts receivable and other balances that are not separately presented in our condensed consolidated balance sheet that relate to the recognition of revenue and collection of the related cash, as well as deferred costs associated with our contracts with customers.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120" w:type="dxa"/>
            <w:vAlign w:val="bottom"/>
          </w:tcPr>
          <w:p>
            <w:pPr>
              <w:jc w:val="center"/>
              <w:ind w:left="3388"/>
              <w:spacing w:after="0"/>
              <w:rPr>
                <w:sz w:val="20"/>
                <w:szCs w:val="20"/>
                <w:color w:val="auto"/>
              </w:rPr>
            </w:pPr>
            <w:r>
              <w:rPr>
                <w:rFonts w:ascii="Arial" w:cs="Arial" w:eastAsia="Arial" w:hAnsi="Arial"/>
                <w:sz w:val="14"/>
                <w:szCs w:val="14"/>
                <w:color w:val="auto"/>
                <w:w w:val="89"/>
              </w:rPr>
              <w:t>September 30,</w:t>
            </w:r>
          </w:p>
        </w:tc>
        <w:tc>
          <w:tcPr>
            <w:tcW w:w="1200" w:type="dxa"/>
            <w:vAlign w:val="bottom"/>
          </w:tcPr>
          <w:p>
            <w:pPr>
              <w:jc w:val="center"/>
              <w:ind w:left="328"/>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5120" w:type="dxa"/>
            <w:vAlign w:val="bottom"/>
          </w:tcPr>
          <w:p>
            <w:pPr>
              <w:jc w:val="right"/>
              <w:ind w:right="608"/>
              <w:spacing w:after="0"/>
              <w:rPr>
                <w:sz w:val="20"/>
                <w:szCs w:val="20"/>
                <w:color w:val="auto"/>
              </w:rPr>
            </w:pPr>
            <w:r>
              <w:rPr>
                <w:rFonts w:ascii="Arial" w:cs="Arial" w:eastAsia="Arial" w:hAnsi="Arial"/>
                <w:sz w:val="14"/>
                <w:szCs w:val="14"/>
                <w:color w:val="auto"/>
              </w:rPr>
              <w:t>2020</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Receivables, gross</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11,110</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1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800</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Receivables, net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10,310</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11,292</w:t>
            </w:r>
          </w:p>
        </w:tc>
        <w:tc>
          <w:tcPr>
            <w:tcW w:w="0" w:type="dxa"/>
            <w:vAlign w:val="bottom"/>
          </w:tcPr>
          <w:p>
            <w:pPr>
              <w:spacing w:after="0"/>
              <w:rPr>
                <w:sz w:val="1"/>
                <w:szCs w:val="1"/>
                <w:color w:val="auto"/>
              </w:rPr>
            </w:pPr>
          </w:p>
        </w:tc>
      </w:tr>
      <w:tr>
        <w:trPr>
          <w:trHeight w:val="311"/>
        </w:trPr>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4"/>
                <w:szCs w:val="24"/>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color w:val="auto"/>
                <w:w w:val="97"/>
              </w:rPr>
              <w:t>September 30,</w:t>
            </w:r>
          </w:p>
        </w:tc>
        <w:tc>
          <w:tcPr>
            <w:tcW w:w="340" w:type="dxa"/>
            <w:vAlign w:val="bottom"/>
          </w:tcPr>
          <w:p>
            <w:pPr>
              <w:spacing w:after="0"/>
              <w:rPr>
                <w:sz w:val="24"/>
                <w:szCs w:val="2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71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6"/>
        </w:trPr>
        <w:tc>
          <w:tcPr>
            <w:tcW w:w="7100" w:type="dxa"/>
            <w:vAlign w:val="bottom"/>
          </w:tcPr>
          <w:p>
            <w:pPr>
              <w:ind w:left="2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1,138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1,043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698</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Cable Networks, Broadcast Television, Filmed Entertainment and Sky produce owned content or acquire the rights to programming from third parties, which are described as owned film and television costs and programming rights, respectively. We adopted new accounting guidance related to film and television costs in the first quarter of 2020 (see Note 8), and accordingly amounts presented below for periods in 2020 and the policy discussion reflect the updated accounting guidance, and amounts presented for 2019 reflect the accounting guidance in effect at that time. Under the new accounting guidance, we have determined that the predominant monetization strategy for the substantial majority of our content is on an individual basis.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Amortization of Film and Television Costs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4340" w:type="dxa"/>
            <w:vAlign w:val="bottom"/>
          </w:tcPr>
          <w:p>
            <w:pPr>
              <w:spacing w:after="0"/>
              <w:rPr>
                <w:sz w:val="14"/>
                <w:szCs w:val="14"/>
                <w:color w:val="auto"/>
              </w:rPr>
            </w:pPr>
          </w:p>
        </w:tc>
        <w:tc>
          <w:tcPr>
            <w:tcW w:w="1400" w:type="dxa"/>
            <w:vAlign w:val="bottom"/>
          </w:tcPr>
          <w:p>
            <w:pPr>
              <w:jc w:val="right"/>
              <w:ind w:right="99"/>
              <w:spacing w:after="0"/>
              <w:rPr>
                <w:sz w:val="20"/>
                <w:szCs w:val="20"/>
                <w:color w:val="auto"/>
              </w:rPr>
            </w:pPr>
            <w:r>
              <w:rPr>
                <w:rFonts w:ascii="Arial" w:cs="Arial" w:eastAsia="Arial" w:hAnsi="Arial"/>
                <w:sz w:val="14"/>
                <w:szCs w:val="14"/>
                <w:color w:val="auto"/>
                <w:w w:val="91"/>
              </w:rPr>
              <w:t>Three Months Ended</w:t>
            </w:r>
          </w:p>
        </w:tc>
        <w:tc>
          <w:tcPr>
            <w:tcW w:w="260" w:type="dxa"/>
            <w:vAlign w:val="bottom"/>
          </w:tcPr>
          <w:p>
            <w:pPr>
              <w:spacing w:after="0"/>
              <w:rPr>
                <w:sz w:val="14"/>
                <w:szCs w:val="14"/>
                <w:color w:val="auto"/>
              </w:rPr>
            </w:pPr>
          </w:p>
        </w:tc>
        <w:tc>
          <w:tcPr>
            <w:tcW w:w="1300" w:type="dxa"/>
            <w:vAlign w:val="bottom"/>
          </w:tcPr>
          <w:p>
            <w:pPr>
              <w:jc w:val="right"/>
              <w:ind w:right="59"/>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86"/>
        </w:trPr>
        <w:tc>
          <w:tcPr>
            <w:tcW w:w="3940" w:type="dxa"/>
            <w:vAlign w:val="bottom"/>
            <w:tcBorders>
              <w:bottom w:val="single" w:sz="8" w:color="auto"/>
            </w:tcBorders>
            <w:vMerge w:val="continue"/>
          </w:tcPr>
          <w:p>
            <w:pPr>
              <w:spacing w:after="0"/>
              <w:rPr>
                <w:sz w:val="16"/>
                <w:szCs w:val="16"/>
                <w:color w:val="auto"/>
              </w:rPr>
            </w:pPr>
          </w:p>
        </w:tc>
        <w:tc>
          <w:tcPr>
            <w:tcW w:w="4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1"/>
              </w:rPr>
              <w:t>September 30, 2020</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w w:val="89"/>
              </w:rPr>
              <w:t>September 30, 2020</w:t>
            </w:r>
          </w:p>
        </w:tc>
        <w:tc>
          <w:tcPr>
            <w:tcW w:w="0" w:type="dxa"/>
            <w:vAlign w:val="bottom"/>
          </w:tcPr>
          <w:p>
            <w:pPr>
              <w:spacing w:after="0"/>
              <w:rPr>
                <w:sz w:val="1"/>
                <w:szCs w:val="1"/>
                <w:color w:val="auto"/>
              </w:rPr>
            </w:pPr>
          </w:p>
        </w:tc>
      </w:tr>
      <w:tr>
        <w:trPr>
          <w:trHeight w:val="226"/>
        </w:trPr>
        <w:tc>
          <w:tcPr>
            <w:tcW w:w="3940" w:type="dxa"/>
            <w:vAlign w:val="bottom"/>
          </w:tcPr>
          <w:p>
            <w:pPr>
              <w:ind w:left="20"/>
              <w:spacing w:after="0"/>
              <w:rPr>
                <w:sz w:val="20"/>
                <w:szCs w:val="20"/>
                <w:color w:val="auto"/>
              </w:rPr>
            </w:pPr>
            <w:r>
              <w:rPr>
                <w:rFonts w:ascii="Arial" w:cs="Arial" w:eastAsia="Arial" w:hAnsi="Arial"/>
                <w:sz w:val="18"/>
                <w:szCs w:val="18"/>
                <w:color w:val="auto"/>
              </w:rPr>
              <w:t>Owned film and television costs</w:t>
            </w:r>
          </w:p>
        </w:tc>
        <w:tc>
          <w:tcPr>
            <w:tcW w:w="43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9"/>
              <w:spacing w:after="0"/>
              <w:rPr>
                <w:sz w:val="20"/>
                <w:szCs w:val="20"/>
                <w:color w:val="auto"/>
              </w:rPr>
            </w:pPr>
            <w:r>
              <w:rPr>
                <w:rFonts w:ascii="Arial" w:cs="Arial" w:eastAsia="Arial" w:hAnsi="Arial"/>
                <w:sz w:val="18"/>
                <w:szCs w:val="18"/>
                <w:color w:val="auto"/>
              </w:rPr>
              <w:t>1,556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Programming rights</w:t>
            </w: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3,526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790"/>
        </w:trPr>
        <w:tc>
          <w:tcPr>
            <w:tcW w:w="3940" w:type="dxa"/>
            <w:vAlign w:val="bottom"/>
          </w:tcPr>
          <w:p>
            <w:pPr>
              <w:spacing w:after="0"/>
              <w:rPr>
                <w:sz w:val="24"/>
                <w:szCs w:val="24"/>
                <w:color w:val="auto"/>
              </w:rPr>
            </w:pPr>
          </w:p>
        </w:tc>
        <w:tc>
          <w:tcPr>
            <w:tcW w:w="4340" w:type="dxa"/>
            <w:vAlign w:val="bottom"/>
          </w:tcPr>
          <w:p>
            <w:pPr>
              <w:jc w:val="right"/>
              <w:ind w:right="2470"/>
              <w:spacing w:after="0"/>
              <w:rPr>
                <w:sz w:val="20"/>
                <w:szCs w:val="20"/>
                <w:color w:val="auto"/>
              </w:rPr>
            </w:pPr>
            <w:r>
              <w:rPr>
                <w:rFonts w:ascii="Arial" w:cs="Arial" w:eastAsia="Arial" w:hAnsi="Arial"/>
                <w:sz w:val="18"/>
                <w:szCs w:val="18"/>
                <w:color w:val="auto"/>
              </w:rPr>
              <w:t>10</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9A9A9A"/>
            </w:tcBorders>
          </w:tcPr>
          <w:p>
            <w:pPr>
              <w:spacing w:after="0"/>
              <w:rPr>
                <w:sz w:val="19"/>
                <w:szCs w:val="19"/>
                <w:color w:val="auto"/>
              </w:rPr>
            </w:pPr>
          </w:p>
        </w:tc>
        <w:tc>
          <w:tcPr>
            <w:tcW w:w="434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2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September 30, 2020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December 31, 2019</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6"/>
              </w:rPr>
              <w:t>Film and Television</w:t>
            </w:r>
          </w:p>
        </w:tc>
        <w:tc>
          <w:tcPr>
            <w:tcW w:w="300" w:type="dxa"/>
            <w:vAlign w:val="bottom"/>
          </w:tcPr>
          <w:p>
            <w:pPr>
              <w:spacing w:after="0"/>
              <w:rPr>
                <w:sz w:val="11"/>
                <w:szCs w:val="11"/>
                <w:color w:val="auto"/>
              </w:rPr>
            </w:pPr>
          </w:p>
        </w:tc>
        <w:tc>
          <w:tcPr>
            <w:tcW w:w="1000" w:type="dxa"/>
            <w:vAlign w:val="bottom"/>
            <w:vMerge w:val="restart"/>
          </w:tcPr>
          <w:p>
            <w:pPr>
              <w:jc w:val="right"/>
              <w:ind w:right="214"/>
              <w:spacing w:after="0"/>
              <w:rPr>
                <w:sz w:val="20"/>
                <w:szCs w:val="20"/>
                <w:color w:val="auto"/>
              </w:rPr>
            </w:pPr>
            <w:r>
              <w:rPr>
                <w:rFonts w:ascii="Arial" w:cs="Arial" w:eastAsia="Arial" w:hAnsi="Arial"/>
                <w:sz w:val="14"/>
                <w:szCs w:val="14"/>
                <w:color w:val="auto"/>
              </w:rPr>
              <w:t>Film Costs</w:t>
            </w:r>
          </w:p>
        </w:tc>
        <w:tc>
          <w:tcPr>
            <w:tcW w:w="1380" w:type="dxa"/>
            <w:vAlign w:val="bottom"/>
            <w:gridSpan w:val="2"/>
            <w:vMerge w:val="restart"/>
          </w:tcPr>
          <w:p>
            <w:pPr>
              <w:jc w:val="right"/>
              <w:ind w:right="90"/>
              <w:spacing w:after="0"/>
              <w:rPr>
                <w:sz w:val="20"/>
                <w:szCs w:val="20"/>
                <w:color w:val="auto"/>
              </w:rPr>
            </w:pPr>
            <w:r>
              <w:rPr>
                <w:rFonts w:ascii="Arial" w:cs="Arial" w:eastAsia="Arial" w:hAnsi="Arial"/>
                <w:sz w:val="14"/>
                <w:szCs w:val="14"/>
                <w:color w:val="auto"/>
              </w:rPr>
              <w:t>Television Costs</w:t>
            </w:r>
          </w:p>
        </w:tc>
        <w:tc>
          <w:tcPr>
            <w:tcW w:w="360" w:type="dxa"/>
            <w:vAlign w:val="bottom"/>
          </w:tcPr>
          <w:p>
            <w:pPr>
              <w:spacing w:after="0"/>
              <w:rPr>
                <w:sz w:val="11"/>
                <w:szCs w:val="11"/>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60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color w:val="auto"/>
                <w:w w:val="89"/>
              </w:rPr>
              <w:t>Costs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020" w:type="dxa"/>
            <w:vAlign w:val="bottom"/>
          </w:tcPr>
          <w:p>
            <w:pPr>
              <w:ind w:left="20"/>
              <w:spacing w:after="0"/>
              <w:rPr>
                <w:sz w:val="20"/>
                <w:szCs w:val="20"/>
                <w:color w:val="auto"/>
              </w:rPr>
            </w:pPr>
            <w:r>
              <w:rPr>
                <w:rFonts w:ascii="Arial" w:cs="Arial" w:eastAsia="Arial" w:hAnsi="Arial"/>
                <w:sz w:val="18"/>
                <w:szCs w:val="18"/>
                <w:color w:val="auto"/>
              </w:rPr>
              <w:t>Owned film and television costs: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Released, less amortization</w:t>
            </w: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3,578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1,551</w:t>
            </w:r>
          </w:p>
        </w:tc>
        <w:tc>
          <w:tcPr>
            <w:tcW w:w="540" w:type="dxa"/>
            <w:vAlign w:val="bottom"/>
          </w:tcPr>
          <w:p>
            <w:pPr>
              <w:jc w:val="right"/>
              <w:ind w:right="20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2,810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Completed, not released</w:t>
            </w:r>
          </w:p>
        </w:tc>
        <w:tc>
          <w:tcPr>
            <w:tcW w:w="30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54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2,608</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1,314</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1,162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22"/>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6,333</w:t>
            </w:r>
          </w:p>
        </w:tc>
        <w:tc>
          <w:tcPr>
            <w:tcW w:w="3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3,052</w:t>
            </w:r>
          </w:p>
        </w:tc>
        <w:tc>
          <w:tcPr>
            <w:tcW w:w="54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3,972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7,024</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Programming rights, less amortization</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6,408</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22"/>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12,741</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portion of programming rights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Film and television costs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12,741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summarizes estimated future amortization expense for the capitalized film and television costs recorded in our condensed consolidated balance sheet as of September 30,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8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Owned Film and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color w:val="auto"/>
              </w:rPr>
              <w:t>Programming Rights</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auto"/>
            </w:tcBorders>
            <w:vMerge w:val="continue"/>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Television Costs</w:t>
            </w: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460" w:type="dxa"/>
            <w:vAlign w:val="bottom"/>
          </w:tcPr>
          <w:p>
            <w:pPr>
              <w:ind w:left="20"/>
              <w:spacing w:after="0"/>
              <w:rPr>
                <w:sz w:val="20"/>
                <w:szCs w:val="20"/>
                <w:color w:val="auto"/>
              </w:rPr>
            </w:pPr>
            <w:r>
              <w:rPr>
                <w:rFonts w:ascii="Arial" w:cs="Arial" w:eastAsia="Arial" w:hAnsi="Arial"/>
                <w:sz w:val="18"/>
                <w:szCs w:val="18"/>
                <w:color w:val="auto"/>
              </w:rPr>
              <w:t>Completed, not released:</w:t>
            </w:r>
          </w:p>
        </w:tc>
        <w:tc>
          <w:tcPr>
            <w:tcW w:w="3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Remaining three months of 2020</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460" w:type="dxa"/>
            <w:vAlign w:val="bottom"/>
          </w:tcPr>
          <w:p>
            <w:pPr>
              <w:ind w:left="20"/>
              <w:spacing w:after="0"/>
              <w:rPr>
                <w:sz w:val="20"/>
                <w:szCs w:val="20"/>
                <w:color w:val="auto"/>
              </w:rPr>
            </w:pPr>
            <w:r>
              <w:rPr>
                <w:rFonts w:ascii="Arial" w:cs="Arial" w:eastAsia="Arial" w:hAnsi="Arial"/>
                <w:sz w:val="18"/>
                <w:szCs w:val="18"/>
                <w:color w:val="auto"/>
              </w:rPr>
              <w:t>Released and programming rights:</w:t>
            </w:r>
          </w:p>
        </w:tc>
        <w:tc>
          <w:tcPr>
            <w:tcW w:w="3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Remaining three months of 2020</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440</w:t>
            </w:r>
          </w:p>
        </w:tc>
        <w:tc>
          <w:tcPr>
            <w:tcW w:w="62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2021</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901</w:t>
            </w:r>
          </w:p>
        </w:tc>
        <w:tc>
          <w:tcPr>
            <w:tcW w:w="62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2022</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463</w:t>
            </w:r>
          </w:p>
        </w:tc>
        <w:tc>
          <w:tcPr>
            <w:tcW w:w="6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and Recognition of Film and Television Costs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capitalize costs for owned film and television content, including direct costs, production overhead, print costs, development costs and interest, as well as acquired libraries. Amortization for content predominantly monetized on an individual basis and accrued costs associated with participations and residual payments are recorded using the individual film forecast computation method, which recognizes the costs in the same ratio as the associated ultimate revenue. Estimates of ultimate revenue and total costs are based on anticipated release patterns, public acceptance and historical results for similar productions. Amortization for content predominantly monetized with other owned or licensed content is recorded based on estimated usage. In determining the method of amortization and estimated life of an acquired film or television library, we generally use the method and the life that most closely follow the undiscounted cash flows over the estimated life of the asset. We do not capitalize costs related to the distribution of a film in movie theaters or the licensing or sale of a film or television production, which primarily include costs associated with marketing and distribution.</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for the portion of the film acquired in these arrangements. We account for the proceeds received from the investor under these arrangements as a reduction of our capitalized film costs and the investor’s interest in the profit or loss of the film is recorded as either a charge or a benefit, respectively, in programming and production costs. The investor’s interest in the profit or loss of a film is recorded each period using the individual film forecast computation method.</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capitalize the costs of programming rights for content that we license but do not own when the license period begins, the content is made available for use and the costs of programming licenses are known. Programming rights are amortized as the associated programs are broadcast.</w:t>
      </w:r>
    </w:p>
    <w:p>
      <w:pPr>
        <w:spacing w:after="0" w:line="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Owned film and television costs and programming rights are presented as noncurrent assets in film and television costs. We present amortization of film and television costs and accrued costs associated with participation and residual payments in programming and production costs.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either owned film and television content or programming rights is less than the unamortized costs in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balance sheet, we determine the fair value and record an impairment charge to the extent the unamortized costs exceed the fair value. Owned film and television costs are assessed either individually or in identified film groups, for content predominantly monetized on an individual basis or with other content, respectively. The substantial majority of our owned film and television costs are evaluated for impairment on an individual title basis. Programming rights that are not part of a film group are generally assessed in packages, channels, or dayparts. A daypart is an aggregation of programs broadcast during a particular time of day or programs of a similar type. Programming rights licensed by Cable Networks are primarily tested on a channel basis for impairment, whereas programming rights licensed by Broadcast Television are tested on a daypart basis. Estimated fair values of owned film and television costs or programming rights are generally based on level 3 inputs including analysis of market participant estimates of future cash flows. We record charges related to impairments or content that is substantively abandoned to programming and production costs. Impairments of capitalized film and television costs were not material in any of the periods presented.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Sports Programming Rights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costs of multiyear, live-event sports programming rights as the rights are utilized over the contract term based on estimated relative value. Estimated relative value is generally based on the ratio of the current period revenue to the estimated ultimate revenue or the terms of the contract. When cash payments, including advanced payments, exceed the relative value of the programming delivered, we recognize an asset in programming rights. Production costs incurred in advance of airing are also presented in programming rights.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color w:val="auto"/>
                <w:w w:val="93"/>
              </w:rPr>
              <w:t>Three Months Ended September 30,</w:t>
            </w: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6"/>
              </w:rPr>
              <w:t>2020</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302"/>
              <w:spacing w:after="0" w:line="132" w:lineRule="exact"/>
              <w:rPr>
                <w:sz w:val="20"/>
                <w:szCs w:val="20"/>
                <w:color w:val="auto"/>
              </w:rPr>
            </w:pPr>
            <w:r>
              <w:rPr>
                <w:rFonts w:ascii="Arial" w:cs="Arial" w:eastAsia="Arial" w:hAnsi="Arial"/>
                <w:sz w:val="14"/>
                <w:szCs w:val="14"/>
                <w:color w:val="auto"/>
                <w:w w:val="94"/>
              </w:rPr>
              <w:t>Net Income</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362"/>
              <w:spacing w:after="0" w:line="132"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302"/>
              <w:spacing w:after="0" w:line="135" w:lineRule="exact"/>
              <w:rPr>
                <w:sz w:val="20"/>
                <w:szCs w:val="20"/>
                <w:color w:val="auto"/>
              </w:rPr>
            </w:pPr>
            <w:r>
              <w:rPr>
                <w:rFonts w:ascii="Arial" w:cs="Arial" w:eastAsia="Arial" w:hAnsi="Arial"/>
                <w:sz w:val="14"/>
                <w:szCs w:val="14"/>
                <w:color w:val="auto"/>
                <w:w w:val="97"/>
              </w:rPr>
              <w:t>Attributable to</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281"/>
              <w:spacing w:after="0"/>
              <w:rPr>
                <w:sz w:val="20"/>
                <w:szCs w:val="20"/>
                <w:color w:val="auto"/>
              </w:rPr>
            </w:pPr>
            <w:r>
              <w:rPr>
                <w:rFonts w:ascii="Arial" w:cs="Arial" w:eastAsia="Arial" w:hAnsi="Arial"/>
                <w:sz w:val="14"/>
                <w:szCs w:val="14"/>
                <w:color w:val="auto"/>
              </w:rPr>
              <w:t>Per Share</w:t>
            </w:r>
          </w:p>
        </w:tc>
        <w:tc>
          <w:tcPr>
            <w:tcW w:w="240" w:type="dxa"/>
            <w:vAlign w:val="bottom"/>
          </w:tcPr>
          <w:p>
            <w:pPr>
              <w:spacing w:after="0"/>
              <w:rPr>
                <w:sz w:val="11"/>
                <w:szCs w:val="11"/>
                <w:color w:val="auto"/>
              </w:rPr>
            </w:pPr>
          </w:p>
        </w:tc>
        <w:tc>
          <w:tcPr>
            <w:tcW w:w="1280" w:type="dxa"/>
            <w:vAlign w:val="bottom"/>
          </w:tcPr>
          <w:p>
            <w:pPr>
              <w:jc w:val="center"/>
              <w:ind w:right="362"/>
              <w:spacing w:after="0" w:line="135"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14"/>
                <w:szCs w:val="14"/>
                <w:color w:val="auto"/>
                <w:w w:val="98"/>
              </w:rPr>
              <w:t>Per 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34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140" w:type="dxa"/>
            <w:vAlign w:val="bottom"/>
          </w:tcPr>
          <w:p>
            <w:pPr>
              <w:spacing w:after="0"/>
              <w:rPr>
                <w:sz w:val="11"/>
                <w:szCs w:val="11"/>
                <w:color w:val="auto"/>
              </w:rPr>
            </w:pPr>
          </w:p>
        </w:tc>
        <w:tc>
          <w:tcPr>
            <w:tcW w:w="1300" w:type="dxa"/>
            <w:vAlign w:val="bottom"/>
          </w:tcPr>
          <w:p>
            <w:pPr>
              <w:jc w:val="center"/>
              <w:ind w:right="322"/>
              <w:spacing w:after="0" w:line="135" w:lineRule="exact"/>
              <w:rPr>
                <w:sz w:val="20"/>
                <w:szCs w:val="20"/>
                <w:color w:val="auto"/>
              </w:rPr>
            </w:pPr>
            <w:r>
              <w:rPr>
                <w:rFonts w:ascii="Arial" w:cs="Arial" w:eastAsia="Arial" w:hAnsi="Arial"/>
                <w:sz w:val="14"/>
                <w:szCs w:val="14"/>
                <w:color w:val="auto"/>
                <w:w w:val="90"/>
              </w:rPr>
              <w:t>Comcast</w:t>
            </w:r>
          </w:p>
        </w:tc>
        <w:tc>
          <w:tcPr>
            <w:tcW w:w="1100" w:type="dxa"/>
            <w:vAlign w:val="bottom"/>
            <w:vMerge w:val="restart"/>
          </w:tcPr>
          <w:p>
            <w:pPr>
              <w:jc w:val="center"/>
              <w:ind w:right="37"/>
              <w:spacing w:after="0"/>
              <w:rPr>
                <w:sz w:val="20"/>
                <w:szCs w:val="20"/>
                <w:color w:val="auto"/>
              </w:rPr>
            </w:pPr>
            <w:r>
              <w:rPr>
                <w:rFonts w:ascii="Arial" w:cs="Arial" w:eastAsia="Arial" w:hAnsi="Arial"/>
                <w:sz w:val="14"/>
                <w:szCs w:val="14"/>
                <w:color w:val="auto"/>
                <w:w w:val="85"/>
              </w:rPr>
              <w:t>Shares</w:t>
            </w: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342"/>
              <w:spacing w:after="0" w:line="135" w:lineRule="exact"/>
              <w:rPr>
                <w:sz w:val="20"/>
                <w:szCs w:val="20"/>
                <w:color w:val="auto"/>
              </w:rPr>
            </w:pPr>
            <w:r>
              <w:rPr>
                <w:rFonts w:ascii="Arial" w:cs="Arial" w:eastAsia="Arial" w:hAnsi="Arial"/>
                <w:sz w:val="14"/>
                <w:szCs w:val="14"/>
                <w:color w:val="auto"/>
                <w:w w:val="90"/>
              </w:rPr>
              <w:t>Comcast</w:t>
            </w:r>
          </w:p>
        </w:tc>
        <w:tc>
          <w:tcPr>
            <w:tcW w:w="1140" w:type="dxa"/>
            <w:vAlign w:val="bottom"/>
            <w:vMerge w:val="restart"/>
          </w:tcPr>
          <w:p>
            <w:pPr>
              <w:jc w:val="right"/>
              <w:ind w:right="397"/>
              <w:spacing w:after="0"/>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3340" w:type="dxa"/>
            <w:vAlign w:val="bottom"/>
          </w:tcPr>
          <w:p>
            <w:pPr>
              <w:ind w:left="40"/>
              <w:spacing w:after="0" w:line="172" w:lineRule="exact"/>
              <w:rPr>
                <w:sz w:val="20"/>
                <w:szCs w:val="20"/>
                <w:color w:val="auto"/>
              </w:rPr>
            </w:pPr>
            <w:r>
              <w:rPr>
                <w:rFonts w:ascii="Arial" w:cs="Arial" w:eastAsia="Arial" w:hAnsi="Arial"/>
                <w:sz w:val="18"/>
                <w:szCs w:val="18"/>
                <w:color w:val="auto"/>
              </w:rPr>
              <w:t>Basic EPS attributable to Comcast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ind w:right="242"/>
              <w:spacing w:after="0"/>
              <w:rPr>
                <w:sz w:val="20"/>
                <w:szCs w:val="20"/>
                <w:color w:val="auto"/>
              </w:rPr>
            </w:pPr>
            <w:r>
              <w:rPr>
                <w:rFonts w:ascii="Arial" w:cs="Arial" w:eastAsia="Arial" w:hAnsi="Arial"/>
                <w:sz w:val="18"/>
                <w:szCs w:val="18"/>
                <w:color w:val="auto"/>
              </w:rPr>
              <w:t>2,019</w:t>
            </w:r>
          </w:p>
        </w:tc>
        <w:tc>
          <w:tcPr>
            <w:tcW w:w="1100" w:type="dxa"/>
            <w:vAlign w:val="bottom"/>
            <w:vMerge w:val="restart"/>
          </w:tcPr>
          <w:p>
            <w:pPr>
              <w:jc w:val="right"/>
              <w:ind w:right="17"/>
              <w:spacing w:after="0"/>
              <w:rPr>
                <w:sz w:val="20"/>
                <w:szCs w:val="20"/>
                <w:color w:val="auto"/>
              </w:rPr>
            </w:pPr>
            <w:r>
              <w:rPr>
                <w:rFonts w:ascii="Arial" w:cs="Arial" w:eastAsia="Arial" w:hAnsi="Arial"/>
                <w:sz w:val="18"/>
                <w:szCs w:val="18"/>
                <w:color w:val="auto"/>
              </w:rPr>
              <w:t>4,577</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41"/>
              <w:spacing w:after="0"/>
              <w:rPr>
                <w:sz w:val="20"/>
                <w:szCs w:val="20"/>
                <w:color w:val="auto"/>
              </w:rPr>
            </w:pPr>
            <w:r>
              <w:rPr>
                <w:rFonts w:ascii="Arial" w:cs="Arial" w:eastAsia="Arial" w:hAnsi="Arial"/>
                <w:sz w:val="18"/>
                <w:szCs w:val="18"/>
                <w:color w:val="auto"/>
              </w:rPr>
              <w:t>0.44</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242"/>
              <w:spacing w:after="0"/>
              <w:rPr>
                <w:sz w:val="20"/>
                <w:szCs w:val="20"/>
                <w:color w:val="auto"/>
              </w:rPr>
            </w:pPr>
            <w:r>
              <w:rPr>
                <w:rFonts w:ascii="Arial" w:cs="Arial" w:eastAsia="Arial" w:hAnsi="Arial"/>
                <w:sz w:val="18"/>
                <w:szCs w:val="18"/>
                <w:color w:val="auto"/>
              </w:rPr>
              <w:t>3,217</w:t>
            </w:r>
          </w:p>
        </w:tc>
        <w:tc>
          <w:tcPr>
            <w:tcW w:w="1140" w:type="dxa"/>
            <w:vAlign w:val="bottom"/>
            <w:vMerge w:val="restart"/>
          </w:tcPr>
          <w:p>
            <w:pPr>
              <w:jc w:val="right"/>
              <w:ind w:right="57"/>
              <w:spacing w:after="0"/>
              <w:rPr>
                <w:sz w:val="20"/>
                <w:szCs w:val="20"/>
                <w:color w:val="auto"/>
              </w:rPr>
            </w:pPr>
            <w:r>
              <w:rPr>
                <w:rFonts w:ascii="Arial" w:cs="Arial" w:eastAsia="Arial" w:hAnsi="Arial"/>
                <w:sz w:val="18"/>
                <w:szCs w:val="18"/>
                <w:color w:val="auto"/>
              </w:rPr>
              <w:t>4,551</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Corporation shareholders</w:t>
            </w:r>
          </w:p>
        </w:tc>
        <w:tc>
          <w:tcPr>
            <w:tcW w:w="1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340" w:type="dxa"/>
            <w:vAlign w:val="bottom"/>
          </w:tcPr>
          <w:p>
            <w:pPr>
              <w:ind w:left="280"/>
              <w:spacing w:after="0" w:line="176" w:lineRule="exact"/>
              <w:rPr>
                <w:sz w:val="20"/>
                <w:szCs w:val="20"/>
                <w:color w:val="auto"/>
              </w:rPr>
            </w:pPr>
            <w:r>
              <w:rPr>
                <w:rFonts w:ascii="Arial" w:cs="Arial" w:eastAsia="Arial" w:hAnsi="Arial"/>
                <w:sz w:val="18"/>
                <w:szCs w:val="18"/>
                <w:color w:val="auto"/>
                <w:w w:val="94"/>
              </w:rPr>
              <w:t>Assumed exercise or issuance of shares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vMerge w:val="restart"/>
          </w:tcPr>
          <w:p>
            <w:pPr>
              <w:jc w:val="right"/>
              <w:ind w:right="17"/>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relating to stock plans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340" w:type="dxa"/>
            <w:vAlign w:val="bottom"/>
          </w:tcPr>
          <w:p>
            <w:pPr>
              <w:ind w:left="40"/>
              <w:spacing w:after="0" w:line="169" w:lineRule="exact"/>
              <w:rPr>
                <w:sz w:val="20"/>
                <w:szCs w:val="20"/>
                <w:color w:val="auto"/>
              </w:rPr>
            </w:pPr>
            <w:r>
              <w:rPr>
                <w:rFonts w:ascii="Arial" w:cs="Arial" w:eastAsia="Arial" w:hAnsi="Arial"/>
                <w:sz w:val="18"/>
                <w:szCs w:val="18"/>
                <w:b w:val="1"/>
                <w:bCs w:val="1"/>
                <w:color w:val="auto"/>
              </w:rPr>
              <w:t>Diluted EPS attributable to</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340" w:type="dxa"/>
            <w:vAlign w:val="bottom"/>
          </w:tcPr>
          <w:p>
            <w:pPr>
              <w:ind w:left="160"/>
              <w:spacing w:after="0" w:line="176" w:lineRule="exact"/>
              <w:rPr>
                <w:sz w:val="20"/>
                <w:szCs w:val="20"/>
                <w:color w:val="auto"/>
              </w:rPr>
            </w:pPr>
            <w:r>
              <w:rPr>
                <w:rFonts w:ascii="Arial" w:cs="Arial" w:eastAsia="Arial" w:hAnsi="Arial"/>
                <w:sz w:val="18"/>
                <w:szCs w:val="18"/>
                <w:b w:val="1"/>
                <w:bCs w:val="1"/>
                <w:color w:val="auto"/>
              </w:rPr>
              <w:t>Comcast Corporation</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vMerge w:val="restart"/>
          </w:tcPr>
          <w:p>
            <w:pPr>
              <w:jc w:val="right"/>
              <w:ind w:right="242"/>
              <w:spacing w:after="0"/>
              <w:rPr>
                <w:sz w:val="20"/>
                <w:szCs w:val="20"/>
                <w:color w:val="auto"/>
              </w:rPr>
            </w:pPr>
            <w:r>
              <w:rPr>
                <w:rFonts w:ascii="Arial" w:cs="Arial" w:eastAsia="Arial" w:hAnsi="Arial"/>
                <w:sz w:val="18"/>
                <w:szCs w:val="18"/>
                <w:b w:val="1"/>
                <w:bCs w:val="1"/>
                <w:color w:val="auto"/>
              </w:rPr>
              <w:t>2,019</w:t>
            </w:r>
          </w:p>
        </w:tc>
        <w:tc>
          <w:tcPr>
            <w:tcW w:w="110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4,628</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ind w:right="41"/>
              <w:spacing w:after="0"/>
              <w:rPr>
                <w:sz w:val="20"/>
                <w:szCs w:val="20"/>
                <w:color w:val="auto"/>
              </w:rPr>
            </w:pPr>
            <w:r>
              <w:rPr>
                <w:rFonts w:ascii="Arial" w:cs="Arial" w:eastAsia="Arial" w:hAnsi="Arial"/>
                <w:sz w:val="18"/>
                <w:szCs w:val="18"/>
                <w:b w:val="1"/>
                <w:bCs w:val="1"/>
                <w:color w:val="auto"/>
              </w:rPr>
              <w:t>0.44</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vMerge w:val="restart"/>
          </w:tcPr>
          <w:p>
            <w:pPr>
              <w:jc w:val="right"/>
              <w:ind w:right="242"/>
              <w:spacing w:after="0"/>
              <w:rPr>
                <w:sz w:val="20"/>
                <w:szCs w:val="20"/>
                <w:color w:val="auto"/>
              </w:rPr>
            </w:pPr>
            <w:r>
              <w:rPr>
                <w:rFonts w:ascii="Arial" w:cs="Arial" w:eastAsia="Arial" w:hAnsi="Arial"/>
                <w:sz w:val="18"/>
                <w:szCs w:val="18"/>
                <w:b w:val="1"/>
                <w:bCs w:val="1"/>
                <w:color w:val="auto"/>
              </w:rPr>
              <w:t>3,217</w:t>
            </w:r>
          </w:p>
        </w:tc>
        <w:tc>
          <w:tcPr>
            <w:tcW w:w="114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4,619</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3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shareholders</w:t>
            </w:r>
          </w:p>
        </w:tc>
        <w:tc>
          <w:tcPr>
            <w:tcW w:w="14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color w:val="auto"/>
                <w:w w:val="96"/>
              </w:rPr>
              <w:t>Nine Months Ended September 30,</w:t>
            </w: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89"/>
              </w:rPr>
              <w:t>2020</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302"/>
              <w:spacing w:after="0" w:line="132" w:lineRule="exact"/>
              <w:rPr>
                <w:sz w:val="20"/>
                <w:szCs w:val="20"/>
                <w:color w:val="auto"/>
              </w:rPr>
            </w:pPr>
            <w:r>
              <w:rPr>
                <w:rFonts w:ascii="Arial" w:cs="Arial" w:eastAsia="Arial" w:hAnsi="Arial"/>
                <w:sz w:val="14"/>
                <w:szCs w:val="14"/>
                <w:color w:val="auto"/>
                <w:w w:val="94"/>
              </w:rPr>
              <w:t>Net Income</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242"/>
              <w:spacing w:after="0" w:line="132"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302"/>
              <w:spacing w:after="0" w:line="135" w:lineRule="exact"/>
              <w:rPr>
                <w:sz w:val="20"/>
                <w:szCs w:val="20"/>
                <w:color w:val="auto"/>
              </w:rPr>
            </w:pPr>
            <w:r>
              <w:rPr>
                <w:rFonts w:ascii="Arial" w:cs="Arial" w:eastAsia="Arial" w:hAnsi="Arial"/>
                <w:sz w:val="14"/>
                <w:szCs w:val="14"/>
                <w:color w:val="auto"/>
                <w:w w:val="97"/>
              </w:rPr>
              <w:t>Attributable to</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261"/>
              <w:spacing w:after="0"/>
              <w:rPr>
                <w:sz w:val="20"/>
                <w:szCs w:val="20"/>
                <w:color w:val="auto"/>
              </w:rPr>
            </w:pPr>
            <w:r>
              <w:rPr>
                <w:rFonts w:ascii="Arial" w:cs="Arial" w:eastAsia="Arial" w:hAnsi="Arial"/>
                <w:sz w:val="14"/>
                <w:szCs w:val="14"/>
                <w:color w:val="auto"/>
              </w:rPr>
              <w:t>Per Share</w:t>
            </w:r>
          </w:p>
        </w:tc>
        <w:tc>
          <w:tcPr>
            <w:tcW w:w="240" w:type="dxa"/>
            <w:vAlign w:val="bottom"/>
          </w:tcPr>
          <w:p>
            <w:pPr>
              <w:spacing w:after="0"/>
              <w:rPr>
                <w:sz w:val="11"/>
                <w:szCs w:val="11"/>
                <w:color w:val="auto"/>
              </w:rPr>
            </w:pPr>
          </w:p>
        </w:tc>
        <w:tc>
          <w:tcPr>
            <w:tcW w:w="1280" w:type="dxa"/>
            <w:vAlign w:val="bottom"/>
          </w:tcPr>
          <w:p>
            <w:pPr>
              <w:jc w:val="center"/>
              <w:ind w:right="242"/>
              <w:spacing w:after="0" w:line="135"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179"/>
              <w:spacing w:after="0"/>
              <w:rPr>
                <w:sz w:val="20"/>
                <w:szCs w:val="20"/>
                <w:color w:val="auto"/>
              </w:rPr>
            </w:pPr>
            <w:r>
              <w:rPr>
                <w:rFonts w:ascii="Arial" w:cs="Arial" w:eastAsia="Arial" w:hAnsi="Arial"/>
                <w:sz w:val="14"/>
                <w:szCs w:val="14"/>
                <w:color w:val="auto"/>
              </w:rPr>
              <w:t>Per 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140" w:type="dxa"/>
            <w:vAlign w:val="bottom"/>
          </w:tcPr>
          <w:p>
            <w:pPr>
              <w:spacing w:after="0"/>
              <w:rPr>
                <w:sz w:val="11"/>
                <w:szCs w:val="11"/>
                <w:color w:val="auto"/>
              </w:rPr>
            </w:pPr>
          </w:p>
        </w:tc>
        <w:tc>
          <w:tcPr>
            <w:tcW w:w="1300" w:type="dxa"/>
            <w:vAlign w:val="bottom"/>
          </w:tcPr>
          <w:p>
            <w:pPr>
              <w:jc w:val="center"/>
              <w:ind w:right="322"/>
              <w:spacing w:after="0" w:line="135" w:lineRule="exact"/>
              <w:rPr>
                <w:sz w:val="20"/>
                <w:szCs w:val="20"/>
                <w:color w:val="auto"/>
              </w:rPr>
            </w:pPr>
            <w:r>
              <w:rPr>
                <w:rFonts w:ascii="Arial" w:cs="Arial" w:eastAsia="Arial" w:hAnsi="Arial"/>
                <w:sz w:val="14"/>
                <w:szCs w:val="14"/>
                <w:color w:val="auto"/>
                <w:w w:val="90"/>
              </w:rPr>
              <w:t>Comcast</w:t>
            </w:r>
          </w:p>
        </w:tc>
        <w:tc>
          <w:tcPr>
            <w:tcW w:w="1100" w:type="dxa"/>
            <w:vAlign w:val="bottom"/>
            <w:vMerge w:val="restart"/>
          </w:tcPr>
          <w:p>
            <w:pPr>
              <w:jc w:val="center"/>
              <w:ind w:right="37"/>
              <w:spacing w:after="0"/>
              <w:rPr>
                <w:sz w:val="20"/>
                <w:szCs w:val="20"/>
                <w:color w:val="auto"/>
              </w:rPr>
            </w:pPr>
            <w:r>
              <w:rPr>
                <w:rFonts w:ascii="Arial" w:cs="Arial" w:eastAsia="Arial" w:hAnsi="Arial"/>
                <w:sz w:val="14"/>
                <w:szCs w:val="14"/>
                <w:color w:val="auto"/>
                <w:w w:val="85"/>
              </w:rPr>
              <w:t>Shares</w:t>
            </w: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242"/>
              <w:spacing w:after="0" w:line="135" w:lineRule="exact"/>
              <w:rPr>
                <w:sz w:val="20"/>
                <w:szCs w:val="20"/>
                <w:color w:val="auto"/>
              </w:rPr>
            </w:pPr>
            <w:r>
              <w:rPr>
                <w:rFonts w:ascii="Arial" w:cs="Arial" w:eastAsia="Arial" w:hAnsi="Arial"/>
                <w:sz w:val="14"/>
                <w:szCs w:val="14"/>
                <w:color w:val="auto"/>
                <w:w w:val="94"/>
              </w:rPr>
              <w:t>Comcast</w:t>
            </w:r>
          </w:p>
        </w:tc>
        <w:tc>
          <w:tcPr>
            <w:tcW w:w="1140" w:type="dxa"/>
            <w:vAlign w:val="bottom"/>
            <w:vMerge w:val="restart"/>
          </w:tcPr>
          <w:p>
            <w:pPr>
              <w:ind w:left="340"/>
              <w:spacing w:after="0"/>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color w:val="auto"/>
                <w:w w:val="92"/>
              </w:rPr>
              <w:t>Corporation</w:t>
            </w:r>
          </w:p>
        </w:tc>
        <w:tc>
          <w:tcPr>
            <w:tcW w:w="11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Amount</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400" w:type="dxa"/>
            <w:vAlign w:val="bottom"/>
            <w:gridSpan w:val="2"/>
          </w:tcPr>
          <w:p>
            <w:pPr>
              <w:ind w:left="60"/>
              <w:spacing w:after="0" w:line="172" w:lineRule="exact"/>
              <w:rPr>
                <w:sz w:val="20"/>
                <w:szCs w:val="20"/>
                <w:color w:val="auto"/>
              </w:rPr>
            </w:pPr>
            <w:r>
              <w:rPr>
                <w:rFonts w:ascii="Arial" w:cs="Arial" w:eastAsia="Arial" w:hAnsi="Arial"/>
                <w:sz w:val="18"/>
                <w:szCs w:val="18"/>
                <w:color w:val="auto"/>
              </w:rPr>
              <w:t>Basic EPS attributable to Comcast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ind w:right="242"/>
              <w:spacing w:after="0"/>
              <w:rPr>
                <w:sz w:val="20"/>
                <w:szCs w:val="20"/>
                <w:color w:val="auto"/>
              </w:rPr>
            </w:pPr>
            <w:r>
              <w:rPr>
                <w:rFonts w:ascii="Arial" w:cs="Arial" w:eastAsia="Arial" w:hAnsi="Arial"/>
                <w:sz w:val="18"/>
                <w:szCs w:val="18"/>
                <w:color w:val="auto"/>
              </w:rPr>
              <w:t>7,154</w:t>
            </w:r>
          </w:p>
        </w:tc>
        <w:tc>
          <w:tcPr>
            <w:tcW w:w="1100" w:type="dxa"/>
            <w:vAlign w:val="bottom"/>
            <w:vMerge w:val="restart"/>
          </w:tcPr>
          <w:p>
            <w:pPr>
              <w:jc w:val="right"/>
              <w:ind w:right="17"/>
              <w:spacing w:after="0"/>
              <w:rPr>
                <w:sz w:val="20"/>
                <w:szCs w:val="20"/>
                <w:color w:val="auto"/>
              </w:rPr>
            </w:pPr>
            <w:r>
              <w:rPr>
                <w:rFonts w:ascii="Arial" w:cs="Arial" w:eastAsia="Arial" w:hAnsi="Arial"/>
                <w:sz w:val="18"/>
                <w:szCs w:val="18"/>
                <w:color w:val="auto"/>
              </w:rPr>
              <w:t>4,571</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8"/>
                <w:szCs w:val="18"/>
                <w:color w:val="auto"/>
              </w:rPr>
              <w:t>1.57</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202"/>
              <w:spacing w:after="0"/>
              <w:rPr>
                <w:sz w:val="20"/>
                <w:szCs w:val="20"/>
                <w:color w:val="auto"/>
              </w:rPr>
            </w:pPr>
            <w:r>
              <w:rPr>
                <w:rFonts w:ascii="Arial" w:cs="Arial" w:eastAsia="Arial" w:hAnsi="Arial"/>
                <w:sz w:val="18"/>
                <w:szCs w:val="18"/>
                <w:color w:val="auto"/>
              </w:rPr>
              <w:t>9,895</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4,544</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Corporation shareholders</w:t>
            </w:r>
          </w:p>
        </w:tc>
        <w:tc>
          <w:tcPr>
            <w:tcW w:w="1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340" w:type="dxa"/>
            <w:vAlign w:val="bottom"/>
          </w:tcPr>
          <w:p>
            <w:pPr>
              <w:ind w:left="240"/>
              <w:spacing w:after="0" w:line="176" w:lineRule="exact"/>
              <w:rPr>
                <w:sz w:val="20"/>
                <w:szCs w:val="20"/>
                <w:color w:val="auto"/>
              </w:rPr>
            </w:pPr>
            <w:r>
              <w:rPr>
                <w:rFonts w:ascii="Arial" w:cs="Arial" w:eastAsia="Arial" w:hAnsi="Arial"/>
                <w:sz w:val="18"/>
                <w:szCs w:val="18"/>
                <w:color w:val="auto"/>
                <w:w w:val="95"/>
              </w:rPr>
              <w:t>Assumed exercise or issuance of shares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vMerge w:val="restart"/>
          </w:tcPr>
          <w:p>
            <w:pPr>
              <w:jc w:val="right"/>
              <w:ind w:right="17"/>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relating to stock plans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Diluted EPS attributable to</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340" w:type="dxa"/>
            <w:vAlign w:val="bottom"/>
          </w:tcPr>
          <w:p>
            <w:pPr>
              <w:ind w:left="100"/>
              <w:spacing w:after="0" w:line="176" w:lineRule="exact"/>
              <w:rPr>
                <w:sz w:val="20"/>
                <w:szCs w:val="20"/>
                <w:color w:val="auto"/>
              </w:rPr>
            </w:pPr>
            <w:r>
              <w:rPr>
                <w:rFonts w:ascii="Arial" w:cs="Arial" w:eastAsia="Arial" w:hAnsi="Arial"/>
                <w:sz w:val="18"/>
                <w:szCs w:val="18"/>
                <w:b w:val="1"/>
                <w:bCs w:val="1"/>
                <w:color w:val="auto"/>
              </w:rPr>
              <w:t>Comcast Corporation</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vMerge w:val="restart"/>
          </w:tcPr>
          <w:p>
            <w:pPr>
              <w:jc w:val="right"/>
              <w:ind w:right="242"/>
              <w:spacing w:after="0"/>
              <w:rPr>
                <w:sz w:val="20"/>
                <w:szCs w:val="20"/>
                <w:color w:val="auto"/>
              </w:rPr>
            </w:pPr>
            <w:r>
              <w:rPr>
                <w:rFonts w:ascii="Arial" w:cs="Arial" w:eastAsia="Arial" w:hAnsi="Arial"/>
                <w:sz w:val="18"/>
                <w:szCs w:val="18"/>
                <w:b w:val="1"/>
                <w:bCs w:val="1"/>
                <w:color w:val="auto"/>
              </w:rPr>
              <w:t>7,154</w:t>
            </w:r>
          </w:p>
        </w:tc>
        <w:tc>
          <w:tcPr>
            <w:tcW w:w="110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4,616</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8"/>
                <w:szCs w:val="18"/>
                <w:b w:val="1"/>
                <w:bCs w:val="1"/>
                <w:color w:val="auto"/>
              </w:rPr>
              <w:t>1.55</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vMerge w:val="restart"/>
          </w:tcPr>
          <w:p>
            <w:pPr>
              <w:jc w:val="right"/>
              <w:ind w:right="202"/>
              <w:spacing w:after="0"/>
              <w:rPr>
                <w:sz w:val="20"/>
                <w:szCs w:val="20"/>
                <w:color w:val="auto"/>
              </w:rPr>
            </w:pPr>
            <w:r>
              <w:rPr>
                <w:rFonts w:ascii="Arial" w:cs="Arial" w:eastAsia="Arial" w:hAnsi="Arial"/>
                <w:sz w:val="18"/>
                <w:szCs w:val="18"/>
                <w:b w:val="1"/>
                <w:bCs w:val="1"/>
                <w:color w:val="auto"/>
              </w:rPr>
              <w:t>9,895</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4,606</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shareholders</w:t>
            </w:r>
          </w:p>
        </w:tc>
        <w:tc>
          <w:tcPr>
            <w:tcW w:w="14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 The amount of potential common shares related to our share-based compensation plans that were excluded from diluted EPS because their effect would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have been antidilutive was not material for the three and nine months ended September 30, 2020 or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2020, our debt had a carrying value of $104.4 billion and an estimated fair value of $124.2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As of September 30, 2020, Universal Beijing Resort had $2.1 billion principal amount of a term loan outstanding under the debt financing agreement.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our condensed consolidated balance sheet included assets, primarily property and equipment, and liabilities, including the term loan, of Universal Beijing Resort totaling $4.5 billion and $3.0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2019, the Financial Accounting Standards Board (“FASB”) updated the accounting guidance related to film and television costs. The updated guidance aligned the accounting for production costs of episodic television series with those of films, allowing for costs to be capitalized in excess of amounts of revenue contracted for each episode. The guidance also updated certain presentation and disclosure requirements for capitalized film and television costs, and when content is predominantly monetized with other owned or licensed content the guidance requires impairment testing for capitalized film and television costs to be performed at a film group level and amortization to be based on usage. We adopted the updated guidance on January 1, 2020 on a prospective basis and as a result, prior period amounts were not adjusted.</w:t>
      </w: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adoption, we now present all film and television costs, including acquired programming rights previously classified as current, as noncurrent in the condensed consolidated balance sheet. The adoption of the updated accounting guidance did not have a material impact on our consolidated results of operations or financial position. See Note 4 for further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the FASB updated the accounting guidance related to the measurement of credit losses on financial instruments, including trade receivables and loans. The updated guidance requires the recognition of credit losses on financial instruments based on an estimate of expected losses, replacing the incurred loss model in the prior guidance. We adopted the updated guidance on January 1, 2020 on a prospective basis, recording $124 million, net of tax, as a cumulative effect adjustment to retained earnings and as a result, prior period amounts were not adjusted. The adoption of the updated accounting guidance did not have a material impact on our consolidated results of operations or financial position for any periods presented.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Investments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tcPr>
          <w:p>
            <w:pPr>
              <w:jc w:val="center"/>
              <w:ind w:right="928"/>
              <w:spacing w:after="0"/>
              <w:rPr>
                <w:sz w:val="20"/>
                <w:szCs w:val="20"/>
                <w:color w:val="auto"/>
              </w:rPr>
            </w:pPr>
            <w:r>
              <w:rPr>
                <w:rFonts w:ascii="Arial" w:cs="Arial" w:eastAsia="Arial" w:hAnsi="Arial"/>
                <w:sz w:val="14"/>
                <w:szCs w:val="14"/>
                <w:color w:val="auto"/>
                <w:w w:val="93"/>
              </w:rPr>
              <w:t>Three Months Ended</w:t>
            </w:r>
          </w:p>
        </w:tc>
        <w:tc>
          <w:tcPr>
            <w:tcW w:w="1000" w:type="dxa"/>
            <w:vAlign w:val="bottom"/>
          </w:tcPr>
          <w:p>
            <w:pPr>
              <w:spacing w:after="0"/>
              <w:rPr>
                <w:sz w:val="14"/>
                <w:szCs w:val="14"/>
                <w:color w:val="auto"/>
              </w:rPr>
            </w:pPr>
          </w:p>
        </w:tc>
        <w:tc>
          <w:tcPr>
            <w:tcW w:w="2160" w:type="dxa"/>
            <w:vAlign w:val="bottom"/>
          </w:tcPr>
          <w:p>
            <w:pPr>
              <w:jc w:val="center"/>
              <w:ind w:right="848"/>
              <w:spacing w:after="0"/>
              <w:rPr>
                <w:sz w:val="20"/>
                <w:szCs w:val="20"/>
                <w:color w:val="auto"/>
              </w:rPr>
            </w:pPr>
            <w:r>
              <w:rPr>
                <w:rFonts w:ascii="Arial" w:cs="Arial" w:eastAsia="Arial" w:hAnsi="Arial"/>
                <w:sz w:val="14"/>
                <w:szCs w:val="14"/>
                <w:color w:val="auto"/>
                <w:w w:val="94"/>
              </w:rPr>
              <w:t>Nine Months Ended</w:t>
            </w:r>
          </w:p>
        </w:tc>
      </w:tr>
      <w:tr>
        <w:trPr>
          <w:trHeight w:val="183"/>
        </w:trPr>
        <w:tc>
          <w:tcPr>
            <w:tcW w:w="4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center"/>
              <w:ind w:right="928"/>
              <w:spacing w:after="0"/>
              <w:rPr>
                <w:sz w:val="20"/>
                <w:szCs w:val="20"/>
                <w:color w:val="auto"/>
              </w:rPr>
            </w:pPr>
            <w:r>
              <w:rPr>
                <w:rFonts w:ascii="Arial" w:cs="Arial" w:eastAsia="Arial" w:hAnsi="Arial"/>
                <w:sz w:val="14"/>
                <w:szCs w:val="14"/>
                <w:color w:val="auto"/>
                <w:w w:val="89"/>
              </w:rPr>
              <w:t>September 30,</w:t>
            </w:r>
          </w:p>
        </w:tc>
        <w:tc>
          <w:tcPr>
            <w:tcW w:w="10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color w:val="auto"/>
                <w:w w:val="89"/>
              </w:rPr>
              <w:t>September 30,</w:t>
            </w:r>
          </w:p>
        </w:tc>
      </w:tr>
      <w:tr>
        <w:trPr>
          <w:trHeight w:val="182"/>
        </w:trPr>
        <w:tc>
          <w:tcPr>
            <w:tcW w:w="492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Pr>
          <w:p>
            <w:pPr>
              <w:jc w:val="right"/>
              <w:spacing w:after="0"/>
              <w:rPr>
                <w:sz w:val="20"/>
                <w:szCs w:val="20"/>
                <w:color w:val="auto"/>
              </w:rPr>
            </w:pPr>
            <w:r>
              <w:rPr>
                <w:rFonts w:ascii="Arial" w:cs="Arial" w:eastAsia="Arial" w:hAnsi="Arial"/>
                <w:sz w:val="14"/>
                <w:szCs w:val="14"/>
                <w:color w:val="auto"/>
              </w:rPr>
              <w:t>2020</w:t>
            </w:r>
          </w:p>
        </w:tc>
        <w:tc>
          <w:tcPr>
            <w:tcW w:w="2260" w:type="dxa"/>
            <w:vAlign w:val="bottom"/>
          </w:tcPr>
          <w:p>
            <w:pPr>
              <w:jc w:val="right"/>
              <w:ind w:right="608"/>
              <w:spacing w:after="0"/>
              <w:rPr>
                <w:sz w:val="20"/>
                <w:szCs w:val="20"/>
                <w:color w:val="auto"/>
              </w:rPr>
            </w:pPr>
            <w:r>
              <w:rPr>
                <w:rFonts w:ascii="Arial" w:cs="Arial" w:eastAsia="Arial" w:hAnsi="Arial"/>
                <w:sz w:val="14"/>
                <w:szCs w:val="14"/>
                <w:color w:val="auto"/>
              </w:rPr>
              <w:t>2019</w:t>
            </w:r>
          </w:p>
        </w:tc>
        <w:tc>
          <w:tcPr>
            <w:tcW w:w="1000" w:type="dxa"/>
            <w:vAlign w:val="bottom"/>
          </w:tcPr>
          <w:p>
            <w:pPr>
              <w:jc w:val="right"/>
              <w:spacing w:after="0"/>
              <w:rPr>
                <w:sz w:val="20"/>
                <w:szCs w:val="20"/>
                <w:color w:val="auto"/>
              </w:rPr>
            </w:pPr>
            <w:r>
              <w:rPr>
                <w:rFonts w:ascii="Arial" w:cs="Arial" w:eastAsia="Arial" w:hAnsi="Arial"/>
                <w:sz w:val="14"/>
                <w:szCs w:val="14"/>
                <w:color w:val="auto"/>
              </w:rPr>
              <w:t>2020</w:t>
            </w:r>
          </w:p>
        </w:tc>
        <w:tc>
          <w:tcPr>
            <w:tcW w:w="2160" w:type="dxa"/>
            <w:vAlign w:val="bottom"/>
          </w:tcPr>
          <w:p>
            <w:pPr>
              <w:jc w:val="right"/>
              <w:ind w:right="508"/>
              <w:spacing w:after="0"/>
              <w:rPr>
                <w:sz w:val="20"/>
                <w:szCs w:val="20"/>
                <w:color w:val="auto"/>
              </w:rPr>
            </w:pPr>
            <w:r>
              <w:rPr>
                <w:rFonts w:ascii="Arial" w:cs="Arial" w:eastAsia="Arial" w:hAnsi="Arial"/>
                <w:sz w:val="14"/>
                <w:szCs w:val="14"/>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7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(266)</w:t>
            </w:r>
          </w:p>
        </w:tc>
        <w:tc>
          <w:tcPr>
            <w:tcW w:w="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(634)</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w w:val="93"/>
              </w:rPr>
              <w:t>Realized and unrealized gains (losses) on equity securities, net</w:t>
            </w:r>
          </w:p>
        </w:tc>
        <w:tc>
          <w:tcPr>
            <w:tcW w:w="7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118</w:t>
            </w:r>
          </w:p>
        </w:tc>
        <w:tc>
          <w:tcPr>
            <w:tcW w:w="66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9"/>
                <w:szCs w:val="19"/>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(loss), net</w:t>
            </w:r>
          </w:p>
        </w:tc>
        <w:tc>
          <w:tcPr>
            <w:tcW w:w="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w:t>
            </w: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187</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Investment and other income (loss), net</w:t>
            </w: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w:t>
            </w:r>
          </w:p>
        </w:tc>
        <w:tc>
          <w:tcPr>
            <w:tcW w:w="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(382)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0" w:type="dxa"/>
            <w:vAlign w:val="bottom"/>
          </w:tcPr>
          <w:p>
            <w:pPr>
              <w:spacing w:after="0"/>
              <w:rPr>
                <w:sz w:val="1"/>
                <w:szCs w:val="1"/>
                <w:color w:val="auto"/>
              </w:rPr>
            </w:pPr>
          </w:p>
        </w:tc>
      </w:tr>
      <w:tr>
        <w:trPr>
          <w:trHeight w:val="378"/>
        </w:trPr>
        <w:tc>
          <w:tcPr>
            <w:tcW w:w="47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313"/>
              <w:spacing w:after="0"/>
              <w:rPr>
                <w:sz w:val="20"/>
                <w:szCs w:val="20"/>
                <w:color w:val="auto"/>
              </w:rPr>
            </w:pPr>
            <w:r>
              <w:rPr>
                <w:rFonts w:ascii="Arial" w:cs="Arial" w:eastAsia="Arial" w:hAnsi="Arial"/>
                <w:sz w:val="14"/>
                <w:szCs w:val="14"/>
                <w:color w:val="auto"/>
                <w:w w:val="97"/>
              </w:rPr>
              <w:t>September 30,</w:t>
            </w:r>
          </w:p>
        </w:tc>
        <w:tc>
          <w:tcPr>
            <w:tcW w:w="320" w:type="dxa"/>
            <w:vAlign w:val="bottom"/>
          </w:tcPr>
          <w:p>
            <w:pPr>
              <w:spacing w:after="0"/>
              <w:rPr>
                <w:sz w:val="24"/>
                <w:szCs w:val="24"/>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47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6"/>
        </w:trPr>
        <w:tc>
          <w:tcPr>
            <w:tcW w:w="4740" w:type="dxa"/>
            <w:vAlign w:val="bottom"/>
          </w:tcPr>
          <w:p>
            <w:pPr>
              <w:ind w:left="20"/>
              <w:spacing w:after="0"/>
              <w:rPr>
                <w:sz w:val="20"/>
                <w:szCs w:val="20"/>
                <w:color w:val="auto"/>
              </w:rPr>
            </w:pPr>
            <w:r>
              <w:rPr>
                <w:rFonts w:ascii="Arial" w:cs="Arial" w:eastAsia="Arial" w:hAnsi="Arial"/>
                <w:sz w:val="18"/>
                <w:szCs w:val="18"/>
                <w:color w:val="auto"/>
              </w:rPr>
              <w:t>Equity method</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5,097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Marketable equity securities</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Nonmarketable equity securities</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1,833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investments</w:t>
            </w:r>
          </w:p>
        </w:tc>
        <w:tc>
          <w:tcPr>
            <w:tcW w:w="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22"/>
        </w:trPr>
        <w:tc>
          <w:tcPr>
            <w:tcW w:w="47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7,209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Less: Current investments</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Investment securing collateralized obligation</w:t>
            </w:r>
          </w:p>
        </w:tc>
        <w:tc>
          <w:tcPr>
            <w:tcW w:w="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429</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Noncurrent investments</w:t>
            </w:r>
          </w:p>
        </w:tc>
        <w:tc>
          <w:tcPr>
            <w:tcW w:w="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6,702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6,989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three and nine months ended September 30, 2020, we recognized losses of $107 million and $242 million, respectively. For the three and nine months ended September 30, 2019, we recognized a loss of $262 million and income of $6 million, respectively. For the nine months ended September 30, 2020 and 2019, we made cash capital contributions to Atairos totaling $184 million and $475 million, respectively. As of September 30, 2020 and December 31, 2019, our investment in Atairos was $3.3 billion and $3.2 billion,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 and Collateralized Obligation</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three and nine months ended September 30, 2020, we recognized losses of $104 million and $265 million, respectively, in equity in net income (losses) of investees, net. For the three and nine months ended September 30, 2019, we recognized losses of $101 million and $351 million, respectively, in equity in net income (losses) of investees, net and in the first quarter of 2019, we recognized a previously deferred dilution gain of $159 million in other income (loss), net. For the nine months ended September 30, 2019, we made cash capital contributions totaling $903 million to Hulu, inclusive of the funding to acquire our proportionate share of AT&amp;T’s previously held 10% interest. There were no cash capital contributions made during the nine months ended September 30, 2020. As of September 30, 2020 and December 31, 2019, our investment was $429 million and $694 million, respectively.</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we borrowed $5.2 billion under a term loan facility due March 2024 which is fully collateralized by the minimum guaranteed proceeds of the put/call option related to our investment in Hulu. As of September 30, 2020, both the carrying value and fair value of our collateralized obligation was $5.2 billion. The estimated fair value was based on level 2 inputs that use interest rates for debt with similar terms and remaining maturities. We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Peloton</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Peloton’s initial public offering in September 2019, we recognized unrealized gains of $150 million in realized and unrealized gains (losses) on equity securities, net and presented our investment in Peloton in marketable equity securities, which was previously presented in nonmarketable equity securities. In the second quarter of 2020, we sold our investment in Peloton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recognized gains of $67 million in realized and unrealized gains (losses) on equity securities, net. As of December 31, 2019, our investment in Peloton was $294 million.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2019, we sold our investment in Snap. For the three and nine months ended September 30, 2019, we recognized unrealized gains of $45 million and $303 million, respectively, in realized and unrealized gains (losses) on equity securities, net.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Verizon Americas, Inc., formerly known as AirTouch Communications, Inc. (“AirTouch”), redeemed the two series of preferred stock and we received cash payments totaling $1.7 billion. Subsequently, we redeemed and repurchased the three series of preferred shares issued by one of our consolidated subsidiaries and made cash payments totaling $1.8 billion.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our AirTouch investment was $1.6 billion, and the associated liability related to redeemable subsidiary preferred shares was $1.7 billion.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Intangible Assets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color w:val="auto"/>
              </w:rPr>
              <w:t>September 30, 2020</w:t>
            </w:r>
          </w:p>
        </w:tc>
        <w:tc>
          <w:tcPr>
            <w:tcW w:w="3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color w:val="auto"/>
              </w:rPr>
              <w:t>December 31, 2019</w:t>
            </w:r>
          </w:p>
        </w:tc>
        <w:tc>
          <w:tcPr>
            <w:tcW w:w="20" w:type="dxa"/>
            <w:vAlign w:val="bottom"/>
          </w:tcPr>
          <w:p>
            <w:pPr>
              <w:spacing w:after="0"/>
              <w:rPr>
                <w:sz w:val="16"/>
                <w:szCs w:val="16"/>
                <w:color w:val="auto"/>
              </w:rPr>
            </w:pPr>
          </w:p>
        </w:tc>
      </w:tr>
      <w:tr>
        <w:trPr>
          <w:trHeight w:val="197"/>
        </w:trPr>
        <w:tc>
          <w:tcPr>
            <w:tcW w:w="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920" w:type="dxa"/>
            <w:vAlign w:val="bottom"/>
            <w:gridSpan w:val="2"/>
          </w:tcPr>
          <w:p>
            <w:pPr>
              <w:jc w:val="right"/>
              <w:ind w:right="380"/>
              <w:spacing w:after="0"/>
              <w:rPr>
                <w:sz w:val="20"/>
                <w:szCs w:val="20"/>
                <w:color w:val="auto"/>
              </w:rPr>
            </w:pPr>
            <w:r>
              <w:rPr>
                <w:rFonts w:ascii="Arial" w:cs="Arial" w:eastAsia="Arial" w:hAnsi="Arial"/>
                <w:sz w:val="14"/>
                <w:szCs w:val="14"/>
                <w:color w:val="auto"/>
              </w:rPr>
              <w:t>Weighted-Average</w:t>
            </w:r>
          </w:p>
        </w:tc>
        <w:tc>
          <w:tcPr>
            <w:tcW w:w="880" w:type="dxa"/>
            <w:vAlign w:val="bottom"/>
          </w:tcPr>
          <w:p>
            <w:pPr>
              <w:jc w:val="right"/>
              <w:spacing w:after="0"/>
              <w:rPr>
                <w:sz w:val="20"/>
                <w:szCs w:val="20"/>
                <w:color w:val="auto"/>
              </w:rPr>
            </w:pPr>
            <w:r>
              <w:rPr>
                <w:rFonts w:ascii="Arial" w:cs="Arial" w:eastAsia="Arial" w:hAnsi="Arial"/>
                <w:sz w:val="14"/>
                <w:szCs w:val="14"/>
                <w:color w:val="auto"/>
              </w:rPr>
              <w:t>Gross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Gross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6"/>
        </w:trPr>
        <w:tc>
          <w:tcPr>
            <w:tcW w:w="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920" w:type="dxa"/>
            <w:vAlign w:val="bottom"/>
            <w:gridSpan w:val="2"/>
          </w:tcPr>
          <w:p>
            <w:pPr>
              <w:jc w:val="right"/>
              <w:ind w:right="380"/>
              <w:spacing w:after="0"/>
              <w:rPr>
                <w:sz w:val="20"/>
                <w:szCs w:val="20"/>
                <w:color w:val="auto"/>
              </w:rPr>
            </w:pPr>
            <w:r>
              <w:rPr>
                <w:rFonts w:ascii="Arial" w:cs="Arial" w:eastAsia="Arial" w:hAnsi="Arial"/>
                <w:sz w:val="14"/>
                <w:szCs w:val="14"/>
                <w:color w:val="auto"/>
              </w:rPr>
              <w:t>Original Useful Life</w:t>
            </w:r>
          </w:p>
        </w:tc>
        <w:tc>
          <w:tcPr>
            <w:tcW w:w="880" w:type="dxa"/>
            <w:vAlign w:val="bottom"/>
          </w:tcPr>
          <w:p>
            <w:pPr>
              <w:jc w:val="right"/>
              <w:spacing w:after="0"/>
              <w:rPr>
                <w:sz w:val="20"/>
                <w:szCs w:val="20"/>
                <w:color w:val="auto"/>
              </w:rPr>
            </w:pPr>
            <w:r>
              <w:rPr>
                <w:rFonts w:ascii="Arial" w:cs="Arial" w:eastAsia="Arial" w:hAnsi="Arial"/>
                <w:sz w:val="14"/>
                <w:szCs w:val="14"/>
                <w:color w:val="auto"/>
              </w:rPr>
              <w:t>Carrying</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Accumulated</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Carrying</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5"/>
                <w:szCs w:val="15"/>
                <w:color w:val="auto"/>
              </w:rPr>
            </w:pPr>
          </w:p>
        </w:tc>
      </w:tr>
      <w:tr>
        <w:trPr>
          <w:trHeight w:val="202"/>
        </w:trPr>
        <w:tc>
          <w:tcPr>
            <w:tcW w:w="40" w:type="dxa"/>
            <w:vAlign w:val="bottom"/>
          </w:tcPr>
          <w:p>
            <w:pPr>
              <w:spacing w:after="0"/>
              <w:rPr>
                <w:sz w:val="17"/>
                <w:szCs w:val="17"/>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as of September 30, 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7"/>
                <w:szCs w:val="17"/>
                <w:color w:val="auto"/>
              </w:rPr>
            </w:pPr>
          </w:p>
        </w:tc>
      </w:tr>
      <w:tr>
        <w:trPr>
          <w:trHeight w:val="228"/>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Franchise rights</w:t>
            </w:r>
          </w:p>
        </w:tc>
        <w:tc>
          <w:tcPr>
            <w:tcW w:w="2920" w:type="dxa"/>
            <w:vAlign w:val="bottom"/>
            <w:gridSpan w:val="2"/>
          </w:tcPr>
          <w:p>
            <w:pPr>
              <w:jc w:val="right"/>
              <w:ind w:right="240"/>
              <w:spacing w:after="0"/>
              <w:rPr>
                <w:sz w:val="20"/>
                <w:szCs w:val="20"/>
                <w:color w:val="auto"/>
              </w:rPr>
            </w:pPr>
            <w:r>
              <w:rPr>
                <w:rFonts w:ascii="Arial" w:cs="Arial" w:eastAsia="Arial" w:hAnsi="Arial"/>
                <w:sz w:val="18"/>
                <w:szCs w:val="18"/>
                <w:color w:val="auto"/>
              </w:rPr>
              <w:t>N/A $</w:t>
            </w:r>
          </w:p>
        </w:tc>
        <w:tc>
          <w:tcPr>
            <w:tcW w:w="880" w:type="dxa"/>
            <w:vAlign w:val="bottom"/>
          </w:tcPr>
          <w:p>
            <w:pPr>
              <w:jc w:val="right"/>
              <w:spacing w:after="0"/>
              <w:rPr>
                <w:sz w:val="20"/>
                <w:szCs w:val="20"/>
                <w:color w:val="auto"/>
              </w:rPr>
            </w:pPr>
            <w:r>
              <w:rPr>
                <w:rFonts w:ascii="Arial" w:cs="Arial" w:eastAsia="Arial" w:hAnsi="Arial"/>
                <w:sz w:val="18"/>
                <w:szCs w:val="18"/>
                <w:color w:val="auto"/>
              </w:rPr>
              <w:t>59,365</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59,365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Trade names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8,809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FCC licenses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color w:val="auto"/>
              </w:rPr>
              <w:t>2,345</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Finite-Lived Intangible Assets:</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14 years</w:t>
            </w:r>
          </w:p>
        </w:tc>
        <w:tc>
          <w:tcPr>
            <w:tcW w:w="880" w:type="dxa"/>
            <w:vAlign w:val="bottom"/>
          </w:tcPr>
          <w:p>
            <w:pPr>
              <w:jc w:val="right"/>
              <w:spacing w:after="0"/>
              <w:rPr>
                <w:sz w:val="20"/>
                <w:szCs w:val="20"/>
                <w:color w:val="auto"/>
              </w:rPr>
            </w:pPr>
            <w:r>
              <w:rPr>
                <w:rFonts w:ascii="Arial" w:cs="Arial" w:eastAsia="Arial" w:hAnsi="Arial"/>
                <w:sz w:val="18"/>
                <w:szCs w:val="18"/>
                <w:color w:val="auto"/>
              </w:rPr>
              <w:t>21,665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(8,363)</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22,884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(8,295)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5 years</w:t>
            </w:r>
          </w:p>
        </w:tc>
        <w:tc>
          <w:tcPr>
            <w:tcW w:w="880" w:type="dxa"/>
            <w:vAlign w:val="bottom"/>
          </w:tcPr>
          <w:p>
            <w:pPr>
              <w:jc w:val="right"/>
              <w:spacing w:after="0"/>
              <w:rPr>
                <w:sz w:val="20"/>
                <w:szCs w:val="20"/>
                <w:color w:val="auto"/>
              </w:rPr>
            </w:pPr>
            <w:r>
              <w:rPr>
                <w:rFonts w:ascii="Arial" w:cs="Arial" w:eastAsia="Arial" w:hAnsi="Arial"/>
                <w:sz w:val="18"/>
                <w:szCs w:val="18"/>
                <w:color w:val="auto"/>
              </w:rPr>
              <w:t>16,770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(8,786)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15,357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agreements and rights</w:t>
            </w:r>
          </w:p>
        </w:tc>
        <w:tc>
          <w:tcPr>
            <w:tcW w:w="2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28 years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12,110</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20"/>
                <w:szCs w:val="20"/>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112,255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(18,405)</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112,710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(17,217)</w:t>
            </w:r>
          </w:p>
        </w:tc>
        <w:tc>
          <w:tcPr>
            <w:tcW w:w="20" w:type="dxa"/>
            <w:vAlign w:val="bottom"/>
          </w:tcPr>
          <w:p>
            <w:pPr>
              <w:spacing w:after="0"/>
              <w:rPr>
                <w:sz w:val="20"/>
                <w:szCs w:val="20"/>
                <w:color w:val="auto"/>
              </w:rPr>
            </w:pPr>
          </w:p>
        </w:tc>
      </w:tr>
      <w:tr>
        <w:trPr>
          <w:trHeight w:val="432"/>
        </w:trPr>
        <w:tc>
          <w:tcPr>
            <w:tcW w:w="6560" w:type="dxa"/>
            <w:vAlign w:val="bottom"/>
            <w:gridSpan w:val="4"/>
          </w:tcPr>
          <w:p>
            <w:pPr>
              <w:spacing w:after="0"/>
              <w:rPr>
                <w:sz w:val="20"/>
                <w:szCs w:val="20"/>
                <w:color w:val="auto"/>
              </w:rPr>
            </w:pPr>
            <w:r>
              <w:rPr>
                <w:rFonts w:ascii="Arial" w:cs="Arial" w:eastAsia="Arial" w:hAnsi="Arial"/>
                <w:sz w:val="18"/>
                <w:szCs w:val="18"/>
                <w:b w:val="1"/>
                <w:bCs w:val="1"/>
                <w:color w:val="auto"/>
              </w:rPr>
              <w:t>Estimated Amortization Expense of Finite-Lived Intangible Assets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3640" w:type="dxa"/>
            <w:vAlign w:val="bottom"/>
            <w:tcBorders>
              <w:bottom w:val="single" w:sz="8" w:color="auto"/>
            </w:tcBorders>
            <w:gridSpan w:val="2"/>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17"/>
        </w:trPr>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8"/>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Remaining three months of 2020</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9"/>
                <w:szCs w:val="19"/>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4,443</w:t>
            </w:r>
          </w:p>
        </w:tc>
        <w:tc>
          <w:tcPr>
            <w:tcW w:w="20" w:type="dxa"/>
            <w:vAlign w:val="bottom"/>
          </w:tcPr>
          <w:p>
            <w:pPr>
              <w:spacing w:after="0"/>
              <w:rPr>
                <w:sz w:val="19"/>
                <w:szCs w:val="19"/>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3,868</w:t>
            </w:r>
          </w:p>
        </w:tc>
        <w:tc>
          <w:tcPr>
            <w:tcW w:w="20" w:type="dxa"/>
            <w:vAlign w:val="bottom"/>
          </w:tcPr>
          <w:p>
            <w:pPr>
              <w:spacing w:after="0"/>
              <w:rPr>
                <w:sz w:val="19"/>
                <w:szCs w:val="19"/>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3,209</w:t>
            </w:r>
          </w:p>
        </w:tc>
        <w:tc>
          <w:tcPr>
            <w:tcW w:w="20" w:type="dxa"/>
            <w:vAlign w:val="bottom"/>
          </w:tcPr>
          <w:p>
            <w:pPr>
              <w:spacing w:after="0"/>
              <w:rPr>
                <w:sz w:val="19"/>
                <w:szCs w:val="19"/>
                <w:color w:val="auto"/>
              </w:rPr>
            </w:pPr>
          </w:p>
        </w:tc>
      </w:tr>
      <w:tr>
        <w:trPr>
          <w:trHeight w:val="230"/>
        </w:trPr>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2024</w:t>
            </w:r>
          </w:p>
        </w:tc>
        <w:tc>
          <w:tcPr>
            <w:tcW w:w="2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20" w:type="dxa"/>
            <w:vAlign w:val="bottom"/>
            <w:tcBorders>
              <w:bottom w:val="single" w:sz="8" w:color="auto"/>
            </w:tcBorders>
          </w:tcPr>
          <w:p>
            <w:pPr>
              <w:spacing w:after="0"/>
              <w:rPr>
                <w:sz w:val="20"/>
                <w:szCs w:val="20"/>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Supplemental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2020, we granted 15.8 million RSUs and 59.9 million stock options related to our annual management awards. The weighted-average fair values associated with these grants were $42.47 per RSU and $6.53 per stock option.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2"/>
          </w:tcPr>
          <w:p>
            <w:pPr>
              <w:jc w:val="right"/>
              <w:ind w:right="376"/>
              <w:spacing w:after="0"/>
              <w:rPr>
                <w:sz w:val="20"/>
                <w:szCs w:val="20"/>
                <w:color w:val="auto"/>
              </w:rPr>
            </w:pPr>
            <w:r>
              <w:rPr>
                <w:rFonts w:ascii="Arial" w:cs="Arial" w:eastAsia="Arial" w:hAnsi="Arial"/>
                <w:sz w:val="14"/>
                <w:szCs w:val="14"/>
                <w:color w:val="auto"/>
                <w:w w:val="93"/>
              </w:rPr>
              <w:t>Three Months Ended</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w w:val="95"/>
              </w:rPr>
              <w:t>Nine Months Ended</w:t>
            </w:r>
          </w:p>
        </w:tc>
        <w:tc>
          <w:tcPr>
            <w:tcW w:w="900" w:type="dxa"/>
            <w:vAlign w:val="bottom"/>
          </w:tcPr>
          <w:p>
            <w:pPr>
              <w:spacing w:after="0"/>
              <w:rPr>
                <w:sz w:val="14"/>
                <w:szCs w:val="14"/>
                <w:color w:val="auto"/>
              </w:rPr>
            </w:pPr>
          </w:p>
        </w:tc>
      </w:tr>
      <w:tr>
        <w:trPr>
          <w:trHeight w:val="183"/>
        </w:trPr>
        <w:tc>
          <w:tcPr>
            <w:tcW w:w="49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576"/>
              <w:spacing w:after="0"/>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8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2019</w:t>
            </w:r>
          </w:p>
        </w:tc>
      </w:tr>
      <w:tr>
        <w:trPr>
          <w:trHeight w:val="226"/>
        </w:trPr>
        <w:tc>
          <w:tcPr>
            <w:tcW w:w="4940" w:type="dxa"/>
            <w:vAlign w:val="bottom"/>
          </w:tcPr>
          <w:p>
            <w:pPr>
              <w:ind w:left="20"/>
              <w:spacing w:after="0"/>
              <w:rPr>
                <w:sz w:val="20"/>
                <w:szCs w:val="20"/>
                <w:color w:val="auto"/>
              </w:rPr>
            </w:pPr>
            <w:r>
              <w:rPr>
                <w:rFonts w:ascii="Arial" w:cs="Arial" w:eastAsia="Arial" w:hAnsi="Arial"/>
                <w:sz w:val="18"/>
                <w:szCs w:val="18"/>
                <w:color w:val="auto"/>
              </w:rPr>
              <w:t>Restricted share units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164</w:t>
            </w:r>
          </w:p>
        </w:tc>
        <w:tc>
          <w:tcPr>
            <w:tcW w:w="11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143</w:t>
            </w:r>
          </w:p>
        </w:tc>
        <w:tc>
          <w:tcPr>
            <w:tcW w:w="104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484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880" w:type="dxa"/>
            <w:vAlign w:val="bottom"/>
          </w:tcPr>
          <w:p>
            <w:pPr>
              <w:spacing w:after="0"/>
              <w:rPr>
                <w:sz w:val="19"/>
                <w:szCs w:val="19"/>
                <w:color w:val="auto"/>
              </w:rPr>
            </w:pP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72</w:t>
            </w:r>
          </w:p>
        </w:tc>
        <w:tc>
          <w:tcPr>
            <w:tcW w:w="11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1040" w:type="dxa"/>
            <w:vAlign w:val="bottom"/>
          </w:tcPr>
          <w:p>
            <w:pPr>
              <w:spacing w:after="0"/>
              <w:rPr>
                <w:sz w:val="19"/>
                <w:szCs w:val="19"/>
                <w:color w:val="auto"/>
              </w:rPr>
            </w:pP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226</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 stock purchase plans</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10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30</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245</w:t>
            </w:r>
          </w:p>
        </w:tc>
        <w:tc>
          <w:tcPr>
            <w:tcW w:w="110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w:t>
            </w:r>
          </w:p>
        </w:tc>
        <w:tc>
          <w:tcPr>
            <w:tcW w:w="104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740</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we had unrecognized pretax compensation expense of $1.3 billion and $615 million related to nonvested RSUs and nonvested stock options, respectively.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color w:val="auto"/>
                <w:w w:val="97"/>
              </w:rPr>
              <w:t>Nine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96"/>
              </w:rPr>
              <w:t>2019</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2,845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3,167</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2,298</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w:t>
      </w:r>
    </w:p>
    <w:p>
      <w:pPr>
        <w:spacing w:after="0" w:line="7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acquired $1.9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$0.23 per common share paid in October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4"/>
                <w:szCs w:val="14"/>
                <w:color w:val="auto"/>
              </w:rPr>
            </w:pPr>
          </w:p>
        </w:tc>
        <w:tc>
          <w:tcPr>
            <w:tcW w:w="1320" w:type="dxa"/>
            <w:vAlign w:val="bottom"/>
          </w:tcPr>
          <w:p>
            <w:pPr>
              <w:jc w:val="center"/>
              <w:ind w:right="216"/>
              <w:spacing w:after="0"/>
              <w:rPr>
                <w:sz w:val="20"/>
                <w:szCs w:val="20"/>
                <w:color w:val="auto"/>
              </w:rPr>
            </w:pPr>
            <w:r>
              <w:rPr>
                <w:rFonts w:ascii="Arial" w:cs="Arial" w:eastAsia="Arial" w:hAnsi="Arial"/>
                <w:sz w:val="14"/>
                <w:szCs w:val="14"/>
                <w:color w:val="auto"/>
                <w:w w:val="89"/>
              </w:rPr>
              <w:t>September 30,</w:t>
            </w:r>
          </w:p>
        </w:tc>
        <w:tc>
          <w:tcPr>
            <w:tcW w:w="3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6"/>
        </w:trPr>
        <w:tc>
          <w:tcPr>
            <w:tcW w:w="80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96"/>
              </w:rPr>
              <w:t>2020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2019</w:t>
            </w:r>
          </w:p>
        </w:tc>
        <w:tc>
          <w:tcPr>
            <w:tcW w:w="0" w:type="dxa"/>
            <w:vAlign w:val="bottom"/>
          </w:tcPr>
          <w:p>
            <w:pPr>
              <w:spacing w:after="0"/>
              <w:rPr>
                <w:sz w:val="1"/>
                <w:szCs w:val="1"/>
                <w:color w:val="auto"/>
              </w:rPr>
            </w:pPr>
          </w:p>
        </w:tc>
      </w:tr>
      <w:tr>
        <w:trPr>
          <w:trHeight w:val="226"/>
        </w:trPr>
        <w:tc>
          <w:tcPr>
            <w:tcW w:w="80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13,707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tcPr>
          <w:p>
            <w:pPr>
              <w:spacing w:after="0"/>
              <w:rPr>
                <w:sz w:val="19"/>
                <w:szCs w:val="19"/>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included in other noncurrent assets, net</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13,737</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5,589</w:t>
            </w:r>
          </w:p>
        </w:tc>
        <w:tc>
          <w:tcPr>
            <w:tcW w:w="0" w:type="dxa"/>
            <w:vAlign w:val="bottom"/>
          </w:tcPr>
          <w:p>
            <w:pPr>
              <w:spacing w:after="0"/>
              <w:rPr>
                <w:sz w:val="1"/>
                <w:szCs w:val="1"/>
                <w:color w:val="auto"/>
              </w:rPr>
            </w:pPr>
          </w:p>
        </w:tc>
      </w:tr>
      <w:tr>
        <w:trPr>
          <w:trHeight w:val="432"/>
        </w:trPr>
        <w:tc>
          <w:tcPr>
            <w:tcW w:w="8000" w:type="dxa"/>
            <w:vAlign w:val="bottom"/>
          </w:tcPr>
          <w:p>
            <w:pPr>
              <w:ind w:left="3460"/>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2"/>
                <w:szCs w:val="22"/>
                <w:color w:val="auto"/>
              </w:rPr>
            </w:pPr>
          </w:p>
        </w:tc>
        <w:tc>
          <w:tcPr>
            <w:tcW w:w="1320" w:type="dxa"/>
            <w:vAlign w:val="bottom"/>
          </w:tcPr>
          <w:p>
            <w:pPr>
              <w:jc w:val="center"/>
              <w:ind w:right="216"/>
              <w:spacing w:after="0"/>
              <w:rPr>
                <w:sz w:val="20"/>
                <w:szCs w:val="20"/>
                <w:color w:val="auto"/>
              </w:rPr>
            </w:pPr>
            <w:r>
              <w:rPr>
                <w:rFonts w:ascii="Arial" w:cs="Arial" w:eastAsia="Arial" w:hAnsi="Arial"/>
                <w:sz w:val="14"/>
                <w:szCs w:val="14"/>
                <w:color w:val="auto"/>
                <w:w w:val="89"/>
              </w:rPr>
              <w:t>September 30,</w:t>
            </w:r>
          </w:p>
        </w:tc>
        <w:tc>
          <w:tcPr>
            <w:tcW w:w="320" w:type="dxa"/>
            <w:vAlign w:val="bottom"/>
          </w:tcPr>
          <w:p>
            <w:pPr>
              <w:spacing w:after="0"/>
              <w:rPr>
                <w:sz w:val="22"/>
                <w:szCs w:val="22"/>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86"/>
        </w:trPr>
        <w:tc>
          <w:tcPr>
            <w:tcW w:w="80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96"/>
              </w:rPr>
              <w:t>2020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2019</w:t>
            </w:r>
          </w:p>
        </w:tc>
        <w:tc>
          <w:tcPr>
            <w:tcW w:w="0" w:type="dxa"/>
            <w:vAlign w:val="bottom"/>
          </w:tcPr>
          <w:p>
            <w:pPr>
              <w:spacing w:after="0"/>
              <w:rPr>
                <w:sz w:val="1"/>
                <w:szCs w:val="1"/>
                <w:color w:val="auto"/>
              </w:rPr>
            </w:pPr>
          </w:p>
        </w:tc>
      </w:tr>
      <w:tr>
        <w:trPr>
          <w:trHeight w:val="226"/>
        </w:trPr>
        <w:tc>
          <w:tcPr>
            <w:tcW w:w="8000" w:type="dxa"/>
            <w:vAlign w:val="bottom"/>
          </w:tcPr>
          <w:p>
            <w:pPr>
              <w:ind w:left="20"/>
              <w:spacing w:after="0"/>
              <w:rPr>
                <w:sz w:val="20"/>
                <w:szCs w:val="20"/>
                <w:color w:val="auto"/>
              </w:rPr>
            </w:pPr>
            <w:r>
              <w:rPr>
                <w:rFonts w:ascii="Arial" w:cs="Arial" w:eastAsia="Arial" w:hAnsi="Arial"/>
                <w:sz w:val="18"/>
                <w:szCs w:val="18"/>
                <w:color w:val="auto"/>
              </w:rPr>
              <w:t>Unrealized gains (losses) on marketable securities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Deferred gains (losses) on cash flow hedges</w:t>
            </w:r>
          </w:p>
        </w:tc>
        <w:tc>
          <w:tcPr>
            <w:tcW w:w="3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Unrecognized gains (losses) on employee benefit obligations</w:t>
            </w:r>
          </w:p>
        </w:tc>
        <w:tc>
          <w:tcPr>
            <w:tcW w:w="380" w:type="dxa"/>
            <w:vAlign w:val="bottom"/>
          </w:tcPr>
          <w:p>
            <w:pPr>
              <w:spacing w:after="0"/>
              <w:rPr>
                <w:sz w:val="19"/>
                <w:szCs w:val="19"/>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Cumulative translation adjustments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212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the fair value of the NBCUniversal Enterprise redeemable subsidiary preferred stock was $731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76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Cable Communications is a leading provider of high-speed internet, video, voice, wireless, and security and automation services to residential customers under the Xfinity brand; we also provide these and other services to business customers and sell advertising. As of September 30, 2020, our cable systems had 32.7 million total customer relationships, including 30.3 million residential and 2.4 million business customer relationships, and passed more than 59 million homes and businesses. Revenue is generated primarily from residential and business customers that subscribe to our services, which are marketed individually and as bundled services, and from the sale of advertising.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r>
        <w:rPr>
          <w:rFonts w:ascii="Arial" w:cs="Arial" w:eastAsia="Arial" w:hAnsi="Arial"/>
          <w:sz w:val="18"/>
          <w:szCs w:val="18"/>
          <w:i w:val="1"/>
          <w:iCs w:val="1"/>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Cable Networks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 Revenue is generated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content on standard-definition DVDs and Blu-ray discs (together, “DVDs”) and through digital distribution services such as iTunes.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Broadcast Television consists primarily of the NBC and Telemundo broadcast networks, our NBC and Telemundo owned local broadcast television stations, the NBC Universo national cable network, our broadcast television studio production operations, and various digital properties. Revenue is generated primarily from the sale of advertising on our networks and digital properties, from the licensing of programming, including to cable and broadcast networks as well as to subscription video on demand services; from the fees received under retransmission consent agreements and associated fees received from NBC-affiliated and Telemundo-affiliated local broadcast television stations; and from the sale of our owned programming on DVDs and through digital distribution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Filmed Entertainment primarily produces, acquires, markets and distributes filmed entertainment worldwide. Our films are produced primarily under the Universal Pictures, Illumination, DreamWorks Animation and Focus Features names. Revenue is generated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Filmed Entertainment also generates revenue from Fandango, a movie ticketing and entertainment business, consumer products, the production and licensing of live stage plays, and the distribution of filmed entertainment produced by third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 Revenue is generated primarily from guest spending at our Universal theme parks.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 As of September 30, 2020, Sky had 23.7 million retail customer relationships.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Peacock, which was made available to Comcast customers in April 2020 and launched nationally in July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novel coronavirus disease 2019 (“COVID-19”) and measures taken to prevent its spread across the globe continue to impact our businesses in a number of ways. Our Cable Communications results of operations were strong in the nine months ended September 30, 2020, despite having been affected by the significant deterioration in domestic economic conditions and by the costs associated with our support of customer connectivity as people continued to work and learn remotely from home. COVID-19 had material negative impacts on NBCUniversal and Sky results of operations during the second and third quarters of 2020 primarily due to the temporary closure of our theme parks and the postponement and cancellation of many sporting events. We continue to implement and evaluate cost initiatives across our businesses that have impacted and will continue to impact our results of operations; certain costs incurred by our businesses in response to COVID-19, including severance and restructuring charges, are presented in Corporate and Other. We expect the impacts of COVID-19 will continue to have a material adverse impact on our consolidated results of operations over the near to medium term.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Communications</w:t>
      </w:r>
    </w:p>
    <w:p>
      <w:pPr>
        <w:spacing w:after="0" w:line="72" w:lineRule="exact"/>
        <w:rPr>
          <w:sz w:val="20"/>
          <w:szCs w:val="20"/>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distribution network to date has performed well under the stress of increased traffic and peak usage driven by increased video streaming, gaming and videoconferencing as more customers work and learn remotely from home.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incurred costs in 2020 associated with compensating personnel in roles affected by COVID-19, primarily during the first half of the year. These costs included additional compensation for frontline personnel who worked to keep our customers connected to our services and compensation for certain personnel who were unable to work due to the closing or suspension of operations.</w:t>
      </w:r>
    </w:p>
    <w:p>
      <w:pPr>
        <w:spacing w:after="0" w:line="75"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Beginning in March 2020 and continuing through the end of December 2020, new qualifying customers for Internet Essentials, our low-income internet adoption program, will receive 60 days of free internet services. We also implemented programs, primarily during the second quarter of 2020, under which we elected to waive certain fees and to not disconnect internet, voice or wireless services for customers for nonpayment, and we are now providing customers a variety of flexible and extended payment options. As a result of these programs, our customer metrics for 2020 do not include customers in the free Internet Essentials offer or certain high-risk customers who continued to receive service following nonpayment. The number of customers excluded from our customer metrics was highest as of June 30, 2020 and these customers were excluded from second quarter net additions. The number of such customers decreased in the third quarter as some of these customers began paying for service, resulting in customer net additions, or disconnected and no longer receive service. We expect the number of excluded customers to continue to decrease in the fourth quarter.</w:t>
      </w:r>
    </w:p>
    <w:p>
      <w:pPr>
        <w:spacing w:after="0" w:line="72"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sports leagues have generally resumed, some with a reduced schedule for the remainder of the interrupted seasons. Certain of our programming distribution agreements with regional sports networks include contractual adjustment provisions if a minimum number of sporting events does not occur. In the second and third quarters of 2020, our programming expenses were reduced as a result of these provisions, and our revenue was negatively impacted in similar amounts as a result of adjustments that we have begun passing through to our customers in the fourth quarter of 2020.</w:t>
      </w:r>
    </w:p>
    <w:p>
      <w:pPr>
        <w:spacing w:after="0" w:line="79"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deterioration of economic conditions and increased economic uncertainty resulting from COVID-19 have resulted in reduced demand for certain of our residential and business services and reduced spending from advertisers, which have had, and likely will continue to have, negative impacts on our revenue over the near to medium term. In addition, we believe there is increased risk associated with collections on our outstanding receivables, and we have incurred, and expect to continue to incur, increases in our bad debt expense compared to the prior year periods.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NBCUniversal</w:t>
      </w:r>
    </w:p>
    <w:p>
      <w:pPr>
        <w:spacing w:after="0" w:line="72" w:lineRule="exact"/>
        <w:rPr>
          <w:sz w:val="20"/>
          <w:szCs w:val="20"/>
          <w:color w:val="auto"/>
        </w:rPr>
      </w:pPr>
    </w:p>
    <w:p>
      <w:pPr>
        <w:jc w:val="both"/>
        <w:ind w:left="660" w:hanging="328"/>
        <w:spacing w:after="0" w:line="273"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temporary closure of all of our theme parks had the most significant impact on our revenue and Adjusted EBITDA for the nine months ended September 30, 2020 on a consolidated basis. Our parks in Orlando and Japan reopened with limited capacity in June 2020, while our park in Hollywood remains closed. We expect the results of operations at our theme parks will continue to be negatively impacted in the near to medium term, and we cannot predict when the Hollywood park will reopen, if any reopened parks will remain open or the level of attendance at any reopened parks. In addition, although we currently expect that Universal Beijing Resort will open in 2021, we have delayed certain construction projects, including the development of the Epic Universe theme park in Orlando.</w:t>
      </w:r>
    </w:p>
    <w:p>
      <w:pPr>
        <w:spacing w:after="0" w:line="69"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deterioration of economic conditions caused by COVID-19 resulted in significant reductions in advertising spend by our customers in the Cable Networks and Broadcast Television segments in the second and third quarters of 2020, and we expect this trend to continue over the near to medium term. These conditions have also resulted, and may continue to result, in an acceleration of subscriber losses at our networks.</w:t>
      </w:r>
    </w:p>
    <w:p>
      <w:pPr>
        <w:spacing w:after="0" w:line="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incurred costs in 2020 associated with compensating personnel who were unable to work due to the closing or suspension of operations, primarily during the first half of the year, including at our theme parks and at our production studios.</w:t>
      </w:r>
    </w:p>
    <w:p>
      <w:pPr>
        <w:spacing w:after="0" w:line="62"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postponement and cancellation of many sporting events and professional sports seasons impacted our first and second quarter 2020 results of operations, since both advertising revenues and costs associated with broadcasting these programs were not recognized. Professional sports leagues have generally resumed in the third quarter of 2020, some with reduced numbers of events for the remainder of the interrupted seasons. Certain of our sports programming rights agreements and distribution agreements with multichannel video providers include contractual provisions if a minimum number of events does not occur. Our distribution revenue in the second and third quarters of 2020 was negatively impacted as a result of credits accrued relating to these provisions; and the programming costs that we recognize as the remaining events occur, which were primarily in the third quarter of 2020, will also be impacted. When, or the extent to which, sporting events will occur for the remainder of 2020 and into 2021 will impact the timing, and potentially the amount, of revenue and expense recognition. In addition, the 2020 Tokyo Olympics have been postponed from the third quarter of 2020 to the third quarter of 2021, which will result in a corresponding delay of the associated revenue and costs.</w:t>
      </w:r>
    </w:p>
    <w:p>
      <w:pPr>
        <w:spacing w:after="0" w:line="86"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creation and availability of our film and television programming in the United States and globally have been disrupted, including from the suspension of studio production operations in the first half of 2020. In the third quarter of 2020, our studio production operations resumed at a limited capacity. Additionally, with the temporary closure of many movie theaters worldwide, we have delayed or altered the theatrical distribution strategy for certain of our films, both domestically and internationally. Delays in theatrical releases will affect both current and future periods as a result of corresponding delays in subsequent content licensing windows. We expect results of operations in our Filmed Entertainment segment to continue to be negatively impacted over the near to medium term as a result of COVID-19.</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w:t>
      </w:r>
    </w:p>
    <w:p>
      <w:pPr>
        <w:spacing w:after="0" w:line="72" w:lineRule="exact"/>
        <w:rPr>
          <w:sz w:val="20"/>
          <w:szCs w:val="20"/>
          <w:color w:val="auto"/>
        </w:rPr>
      </w:pPr>
    </w:p>
    <w:p>
      <w:pPr>
        <w:jc w:val="both"/>
        <w:ind w:left="660" w:hanging="328"/>
        <w:spacing w:after="0" w:line="25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sporting events and professional sports seasons were postponed beginning in the second half of the first quarter of 2020, with certain sports, including European soccer, resuming in May and June 2020, which resulted in significant impacts on Sky’s results of operations in the first, second and third quarters of 2020. Direct-to-consumer revenue has been negatively impacted as a result of lower sports subscription revenue and we expect continued negative impacts as a result of the impacts of COVID-19 on the reopening plans and the extent of reopening of our commercial customers. Additionally, significant costs associated with broadcasting these programs were not recognized as a result of the sporting events not occurring in the first quarter and for most of the second quarter. These costs were generally recognized in the third quarter of 2020; and although sporting events have resumed, COVID-19 continues to result in uncertainty in the ultimate timing of when, or the extent to which, sporting events will occur for the remainder of 2020; their broadcast is expected to impact the timing, and potentially the amount, of revenue and expense recognition.</w:t>
      </w:r>
    </w:p>
    <w:p>
      <w:pPr>
        <w:spacing w:after="0" w:line="8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temporarily suspended certain sales channels due to COVID-19, which negatively impacted net customer additions and revenue in the first and second quarters of 2020. Our sales channels generally resumed operations in June.</w:t>
      </w:r>
    </w:p>
    <w:p>
      <w:pPr>
        <w:spacing w:after="0" w:line="6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COVID-19 has resulted in the deterioration of economic conditions and increased economic uncertainty in the U.K. and Europe, intensifying what was an already deteriorating economic and advertising environment. These conditions negatively impacted revenue in the nine months ended September 30, 2020, and we expect will continue to reduce advertising spend and consumer demand for our services for the remainder of 2020. In addition, there is increased risk associated with collections on our outstanding receivables, and we have incurred and expect to continue to incur increases in our bad debt expense.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Global financial markets have been volatile and domestic and global economic conditions continue to show signs of material weakness. At this point, it is impossible to predict the extent and duration of these and any other impacts of COVID-19 to our businesses, or the degree to which demand for our products and services, or supply of key inputs to those products and services, will be affected. This uncertainty makes it challenging for management to estimate with precision the future performance of our businesses.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2020, we evaluated whether the facts and circumstances and available information resulted in the need for an impairment assessment for any of our long-lived assets and concluded no assessment was required. Refer to the Critical Accounting Judgments and Estimates section for discussion of our impairment testing of goodwill and cable franchise rights. We will continue to evaluate the impacts of COVID-19 to our businesses, including the impacts of overall economic conditions, which could result in the recognition of an impairment charge in the future. Our results for the nine months ended September 30, 2020 were impacted by significant losses and gains as a result of the volatility in the market values for publicly traded equity securities underlying our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negatively impacted by the effects of COVID-19, we expect that our businesses will continue to generate significant cash flow from operating activities and we believe that these cash flows, together with our existing cash, cash equivalents and investments, available borrowings under our existing credit facilities, and our ability to obtain future external financing, will be sufficient for us to meet our current and long-term liquidity and capital requirements. However, we expect the timing of certain priorities to be impacted, such as the pace of our debt reduction efforts and return to share repurchases, and the delay of certain capital projects.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to consumers has intensified audience fragmentation and disaggregated the way that content traditionally has been viewed by consumers. This increase has caused and likely will continue to cause audience ratings declines at our programming channels.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additional information on the competition our businesses face, see our 2019 Annual Report on Form 10-K and refer to Item 1: Business and Item 1A: Risk Factors. Within the Business section, refer to the “Competition” discussion, and within the Risk Factors section, refer to the risk factors entitled “Our businesses operate in highly competitive and dynamic industries, and our businesses and results of operations could be adversely affected if we do not compete effectively” and “Changes in consumer behavior driven by online video distribution platforms for viewing content continue to adversely affect our businesses and challenge existing business models.”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our businesses is typically subject to seasonal and cyclical variations. Cable Communications’ results are impacted by the seasonal nature of residential customers receiving our services in college and vacation markets. This generally results in fewer net customer relationship additions in the second quarter of each year.</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 and operating costs and expenses (comprised of total costs and expenses, excluding depreciation and amortization expense and other operating gains) are cyclical as a result of our periodic broadcasts of major sporting events, such as the Olympic Games, which affect Cable Networks and Broadcast Television, and the Super Bowl, which affects Broadcast Television. In particular, advertising revenue increases due to increased demand for advertising time for these events and distribution revenue increases in the period of broadcasts of the Olympic Games. Operating costs and expenses also increase as a result of our production costs for these broadcasts and the amortization of the related rights fees.</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in Cable Communications, Cable Networks, Broadcast Television and Sky is also subject to cyclical advertising patterns and changes in viewership levels. Advertising revenue in the U.S. is generally higher in the second and fourth quarters of each year and in even-numbered years due to increases in consumer advertising in the spring and in the period leading up to and including the holiday season and advertising related to candidates running for political office and issue-oriented advertising, respectively. Revenue in Cable Networks and Broadcast Television fluctuates depending on the timing of when our programming is aired, which typically results in higher advertising revenue in the second and fourth quarters of each year.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Revenue at Sky has seasonally higher audience levels in winter months and increased competition during major sporting events where public service broadcasters lease the rights, such as the Olympic Games and the FIFA World Cup</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Filmed Entertainment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in Theme Parks fluctuates with changes in theme park attendance that result from the seasonal nature of vacation travel and weather variations, local entertainment offerings and the opening of new attractions, as well as with changes in currency exchange rates. Theme Parks generally experiences peak attendance during the spring holiday period, the summer months when schools are closed and the Christmas holiday season.</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Sky’s results are impacted by the seasonal nature of residential customers receiving direct-to-home (“DTH”) and over the top (“OTT”) video services, including the start of the new soccer seasons and the Christmas holiday. This generally results in greater net customer relationship additions and higher subscriber acquisition costs in the second half of each year due to higher marketing expenses.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Exclusive sports rights play a key role within Sky’s wider content strategy. In Europe, broadcasting rights for major sports are usually tendered through a competitive auction process, with the winning bidder or bidders acquiring rights over a three to five-year period. This creates some level of cyclicality for Sky, although the staggered timing of major sports rights auctions usually gives Sky time to react to any material changes in the competitive dynamics of the prevailing market. Certain of Sky’s significant sports rights agreements require payments at the start of each season, resulting in increases in sports rights payments in the third and fourth quarter of each year.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91"/>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93"/>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460" w:type="dxa"/>
            <w:vAlign w:val="bottom"/>
            <w:gridSpan w:val="3"/>
          </w:tcPr>
          <w:p>
            <w:pPr>
              <w:jc w:val="right"/>
              <w:ind w:right="811"/>
              <w:spacing w:after="0"/>
              <w:rPr>
                <w:sz w:val="20"/>
                <w:szCs w:val="20"/>
                <w:color w:val="auto"/>
              </w:rPr>
            </w:pPr>
            <w:r>
              <w:rPr>
                <w:rFonts w:ascii="Arial" w:cs="Arial" w:eastAsia="Arial" w:hAnsi="Arial"/>
                <w:sz w:val="14"/>
                <w:szCs w:val="14"/>
                <w:color w:val="auto"/>
              </w:rPr>
              <w:t>Nine Months Ended</w:t>
            </w:r>
          </w:p>
        </w:tc>
        <w:tc>
          <w:tcPr>
            <w:tcW w:w="1260" w:type="dxa"/>
            <w:vAlign w:val="bottom"/>
          </w:tcPr>
          <w:p>
            <w:pPr>
              <w:jc w:val="center"/>
              <w:ind w:right="13"/>
              <w:spacing w:after="0"/>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18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6"/>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25,532</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26,827</w:t>
            </w:r>
          </w:p>
        </w:tc>
        <w:tc>
          <w:tcPr>
            <w:tcW w:w="1300" w:type="dxa"/>
            <w:vAlign w:val="bottom"/>
          </w:tcPr>
          <w:p>
            <w:pPr>
              <w:jc w:val="right"/>
              <w:spacing w:after="0"/>
              <w:rPr>
                <w:sz w:val="20"/>
                <w:szCs w:val="20"/>
                <w:color w:val="auto"/>
              </w:rPr>
            </w:pPr>
            <w:r>
              <w:rPr>
                <w:rFonts w:ascii="Arial" w:cs="Arial" w:eastAsia="Arial" w:hAnsi="Arial"/>
                <w:sz w:val="18"/>
                <w:szCs w:val="18"/>
                <w:color w:val="auto"/>
              </w:rPr>
              <w:t>(4.8) %</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75,856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80,544</w:t>
            </w:r>
          </w:p>
        </w:tc>
        <w:tc>
          <w:tcPr>
            <w:tcW w:w="126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8,565</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8,316</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23,683</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25,140</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w w:val="98"/>
              </w:rPr>
              <w:t>Other operating and administrative</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8,059</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8,090</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23,959</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24,076</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76"/>
        </w:trPr>
        <w:tc>
          <w:tcPr>
            <w:tcW w:w="3100" w:type="dxa"/>
            <w:vAlign w:val="bottom"/>
          </w:tcPr>
          <w:p>
            <w:pPr>
              <w:ind w:left="360"/>
              <w:spacing w:after="0" w:line="176" w:lineRule="exact"/>
              <w:rPr>
                <w:sz w:val="20"/>
                <w:szCs w:val="20"/>
                <w:color w:val="auto"/>
              </w:rPr>
            </w:pPr>
            <w:r>
              <w:rPr>
                <w:rFonts w:ascii="Arial" w:cs="Arial" w:eastAsia="Arial" w:hAnsi="Arial"/>
                <w:sz w:val="18"/>
                <w:szCs w:val="18"/>
                <w:color w:val="auto"/>
              </w:rPr>
              <w:t>Advertising, marketing and</w:t>
            </w:r>
          </w:p>
        </w:tc>
        <w:tc>
          <w:tcPr>
            <w:tcW w:w="280" w:type="dxa"/>
            <w:vAlign w:val="bottom"/>
          </w:tcPr>
          <w:p>
            <w:pPr>
              <w:spacing w:after="0"/>
              <w:rPr>
                <w:sz w:val="15"/>
                <w:szCs w:val="15"/>
                <w:color w:val="auto"/>
              </w:rPr>
            </w:pPr>
          </w:p>
        </w:tc>
        <w:tc>
          <w:tcPr>
            <w:tcW w:w="980" w:type="dxa"/>
            <w:vAlign w:val="bottom"/>
            <w:vMerge w:val="restart"/>
          </w:tcPr>
          <w:p>
            <w:pPr>
              <w:jc w:val="right"/>
              <w:ind w:right="53"/>
              <w:spacing w:after="0"/>
              <w:rPr>
                <w:sz w:val="20"/>
                <w:szCs w:val="20"/>
                <w:color w:val="auto"/>
              </w:rPr>
            </w:pPr>
            <w:r>
              <w:rPr>
                <w:rFonts w:ascii="Arial" w:cs="Arial" w:eastAsia="Arial" w:hAnsi="Arial"/>
                <w:sz w:val="18"/>
                <w:szCs w:val="18"/>
                <w:color w:val="auto"/>
              </w:rPr>
              <w:t>1,512</w:t>
            </w:r>
          </w:p>
        </w:tc>
        <w:tc>
          <w:tcPr>
            <w:tcW w:w="460" w:type="dxa"/>
            <w:vAlign w:val="bottom"/>
          </w:tcPr>
          <w:p>
            <w:pPr>
              <w:spacing w:after="0"/>
              <w:rPr>
                <w:sz w:val="15"/>
                <w:szCs w:val="15"/>
                <w:color w:val="auto"/>
              </w:rPr>
            </w:pP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color w:val="auto"/>
              </w:rPr>
              <w:t>1,901</w:t>
            </w:r>
          </w:p>
        </w:tc>
        <w:tc>
          <w:tcPr>
            <w:tcW w:w="1300" w:type="dxa"/>
            <w:vAlign w:val="bottom"/>
            <w:vMerge w:val="restart"/>
          </w:tcPr>
          <w:p>
            <w:pPr>
              <w:jc w:val="right"/>
              <w:ind w:right="153"/>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5"/>
                <w:szCs w:val="15"/>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color w:val="auto"/>
              </w:rPr>
              <w:t>4,791</w:t>
            </w:r>
          </w:p>
        </w:tc>
        <w:tc>
          <w:tcPr>
            <w:tcW w:w="460" w:type="dxa"/>
            <w:vAlign w:val="bottom"/>
          </w:tcPr>
          <w:p>
            <w:pPr>
              <w:spacing w:after="0"/>
              <w:rPr>
                <w:sz w:val="15"/>
                <w:szCs w:val="15"/>
                <w:color w:val="auto"/>
              </w:rPr>
            </w:pP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color w:val="auto"/>
              </w:rPr>
              <w:t>5,674</w:t>
            </w:r>
          </w:p>
        </w:tc>
        <w:tc>
          <w:tcPr>
            <w:tcW w:w="1260" w:type="dxa"/>
            <w:vAlign w:val="bottom"/>
            <w:vMerge w:val="restart"/>
          </w:tcPr>
          <w:p>
            <w:pPr>
              <w:jc w:val="right"/>
              <w:ind w:right="11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3100" w:type="dxa"/>
            <w:vAlign w:val="bottom"/>
          </w:tcPr>
          <w:p>
            <w:pPr>
              <w:ind w:left="520"/>
              <w:spacing w:after="0"/>
              <w:rPr>
                <w:sz w:val="20"/>
                <w:szCs w:val="20"/>
                <w:color w:val="auto"/>
              </w:rPr>
            </w:pPr>
            <w:r>
              <w:rPr>
                <w:rFonts w:ascii="Arial" w:cs="Arial" w:eastAsia="Arial" w:hAnsi="Arial"/>
                <w:sz w:val="18"/>
                <w:szCs w:val="18"/>
                <w:color w:val="auto"/>
              </w:rPr>
              <w:t>promotion</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2,122</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2,124</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6,328</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6,561</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1,198</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1,056</w:t>
            </w:r>
          </w:p>
        </w:tc>
        <w:tc>
          <w:tcPr>
            <w:tcW w:w="13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13.4</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3,520</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3,215</w:t>
            </w: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2"/>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4,076</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5,340</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13,575</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15,878</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w:t>
            </w:r>
          </w:p>
        </w:tc>
        <w:tc>
          <w:tcPr>
            <w:tcW w:w="46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(1,167)</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(3,544)</w:t>
            </w:r>
          </w:p>
        </w:tc>
        <w:tc>
          <w:tcPr>
            <w:tcW w:w="460" w:type="dxa"/>
            <w:vAlign w:val="bottom"/>
          </w:tcPr>
          <w:p>
            <w:pPr>
              <w:spacing w:after="0"/>
              <w:rPr>
                <w:sz w:val="19"/>
                <w:szCs w:val="19"/>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(3,454)</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6"/>
              </w:rPr>
              <w:t>Investment and other income (loss),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(110)</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(21.9)</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511</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2"/>
        </w:trPr>
        <w:tc>
          <w:tcPr>
            <w:tcW w:w="31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2,770</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4,063</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9,649</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12,935</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(775)</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(2,812)</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2"/>
        </w:trPr>
        <w:tc>
          <w:tcPr>
            <w:tcW w:w="3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2,031</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3,288</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7,264</w:t>
            </w:r>
          </w:p>
        </w:tc>
        <w:tc>
          <w:tcPr>
            <w:tcW w:w="46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Arial" w:cs="Arial" w:eastAsia="Arial" w:hAnsi="Arial"/>
                <w:sz w:val="18"/>
                <w:szCs w:val="18"/>
                <w:color w:val="auto"/>
              </w:rPr>
              <w:t>10,123</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attributable to</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180"/>
              <w:spacing w:after="0" w:line="176" w:lineRule="exact"/>
              <w:rPr>
                <w:sz w:val="20"/>
                <w:szCs w:val="20"/>
                <w:color w:val="auto"/>
              </w:rPr>
            </w:pPr>
            <w:r>
              <w:rPr>
                <w:rFonts w:ascii="Arial" w:cs="Arial" w:eastAsia="Arial" w:hAnsi="Arial"/>
                <w:sz w:val="18"/>
                <w:szCs w:val="18"/>
                <w:color w:val="auto"/>
                <w:w w:val="90"/>
              </w:rPr>
              <w:t>noncontrolling interests and redeemable</w:t>
            </w:r>
          </w:p>
        </w:tc>
        <w:tc>
          <w:tcPr>
            <w:tcW w:w="280" w:type="dxa"/>
            <w:vAlign w:val="bottom"/>
          </w:tcPr>
          <w:p>
            <w:pPr>
              <w:spacing w:after="0"/>
              <w:rPr>
                <w:sz w:val="15"/>
                <w:szCs w:val="15"/>
                <w:color w:val="auto"/>
              </w:rPr>
            </w:pPr>
          </w:p>
        </w:tc>
        <w:tc>
          <w:tcPr>
            <w:tcW w:w="980" w:type="dxa"/>
            <w:vAlign w:val="bottom"/>
            <w:vMerge w:val="restart"/>
          </w:tcPr>
          <w:p>
            <w:pPr>
              <w:jc w:val="right"/>
              <w:ind w:right="53"/>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5"/>
                <w:szCs w:val="15"/>
                <w:color w:val="auto"/>
              </w:rPr>
            </w:pP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color w:val="auto"/>
              </w:rPr>
              <w:t>71</w:t>
            </w:r>
          </w:p>
        </w:tc>
        <w:tc>
          <w:tcPr>
            <w:tcW w:w="1300" w:type="dxa"/>
            <w:vAlign w:val="bottom"/>
            <w:vMerge w:val="restart"/>
          </w:tcPr>
          <w:p>
            <w:pPr>
              <w:jc w:val="right"/>
              <w:ind w:right="153"/>
              <w:spacing w:after="0"/>
              <w:rPr>
                <w:sz w:val="20"/>
                <w:szCs w:val="20"/>
                <w:color w:val="auto"/>
              </w:rPr>
            </w:pPr>
            <w:r>
              <w:rPr>
                <w:rFonts w:ascii="Arial" w:cs="Arial" w:eastAsia="Arial" w:hAnsi="Arial"/>
                <w:sz w:val="18"/>
                <w:szCs w:val="18"/>
                <w:color w:val="auto"/>
              </w:rPr>
              <w:t>(83.6)</w:t>
            </w:r>
          </w:p>
        </w:tc>
        <w:tc>
          <w:tcPr>
            <w:tcW w:w="340" w:type="dxa"/>
            <w:vAlign w:val="bottom"/>
          </w:tcPr>
          <w:p>
            <w:pPr>
              <w:spacing w:after="0"/>
              <w:rPr>
                <w:sz w:val="15"/>
                <w:szCs w:val="15"/>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5"/>
                <w:szCs w:val="15"/>
                <w:color w:val="auto"/>
              </w:rPr>
            </w:pP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color w:val="auto"/>
              </w:rPr>
              <w:t>228</w:t>
            </w:r>
          </w:p>
        </w:tc>
        <w:tc>
          <w:tcPr>
            <w:tcW w:w="1260" w:type="dxa"/>
            <w:vAlign w:val="bottom"/>
            <w:vMerge w:val="restart"/>
          </w:tcPr>
          <w:p>
            <w:pPr>
              <w:jc w:val="right"/>
              <w:ind w:right="113"/>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subsidiary preferred stock</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0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Net income attributable to Comcast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2,019</w:t>
            </w:r>
          </w:p>
        </w:tc>
        <w:tc>
          <w:tcPr>
            <w:tcW w:w="4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3,217</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(37.2)%</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7,154</w:t>
            </w:r>
          </w:p>
        </w:tc>
        <w:tc>
          <w:tcPr>
            <w:tcW w:w="4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9,895</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(27.7)%</w:t>
            </w:r>
          </w:p>
        </w:tc>
        <w:tc>
          <w:tcPr>
            <w:tcW w:w="0" w:type="dxa"/>
            <w:vAlign w:val="bottom"/>
          </w:tcPr>
          <w:p>
            <w:pPr>
              <w:spacing w:after="0"/>
              <w:rPr>
                <w:sz w:val="1"/>
                <w:szCs w:val="1"/>
                <w:color w:val="auto"/>
              </w:rPr>
            </w:pPr>
          </w:p>
        </w:tc>
      </w:tr>
      <w:tr>
        <w:trPr>
          <w:trHeight w:val="236"/>
        </w:trPr>
        <w:tc>
          <w:tcPr>
            <w:tcW w:w="3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180"/>
              <w:spacing w:after="0" w:line="176" w:lineRule="exact"/>
              <w:rPr>
                <w:sz w:val="20"/>
                <w:szCs w:val="20"/>
                <w:color w:val="auto"/>
              </w:rPr>
            </w:pPr>
            <w:r>
              <w:rPr>
                <w:rFonts w:ascii="Arial" w:cs="Arial" w:eastAsia="Arial" w:hAnsi="Arial"/>
                <w:sz w:val="18"/>
                <w:szCs w:val="18"/>
                <w:b w:val="1"/>
                <w:bCs w:val="1"/>
                <w:color w:val="auto"/>
                <w:w w:val="93"/>
              </w:rPr>
              <w:t>attributable to Comcast Corporation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0.44</w:t>
            </w:r>
          </w:p>
        </w:tc>
        <w:tc>
          <w:tcPr>
            <w:tcW w:w="4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0.71</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(38.0)%</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1.57</w:t>
            </w:r>
          </w:p>
        </w:tc>
        <w:tc>
          <w:tcPr>
            <w:tcW w:w="4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2.18</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(28.0)%</w:t>
            </w:r>
          </w:p>
        </w:tc>
        <w:tc>
          <w:tcPr>
            <w:tcW w:w="0" w:type="dxa"/>
            <w:vAlign w:val="bottom"/>
          </w:tcPr>
          <w:p>
            <w:pPr>
              <w:spacing w:after="0"/>
              <w:rPr>
                <w:sz w:val="1"/>
                <w:szCs w:val="1"/>
                <w:color w:val="auto"/>
              </w:rPr>
            </w:pPr>
          </w:p>
        </w:tc>
      </w:tr>
      <w:tr>
        <w:trPr>
          <w:trHeight w:val="225"/>
        </w:trPr>
        <w:tc>
          <w:tcPr>
            <w:tcW w:w="310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line="181" w:lineRule="exact"/>
              <w:rPr>
                <w:sz w:val="20"/>
                <w:szCs w:val="20"/>
                <w:color w:val="auto"/>
              </w:rPr>
            </w:pPr>
            <w:r>
              <w:rPr>
                <w:rFonts w:ascii="Arial" w:cs="Arial" w:eastAsia="Arial" w:hAnsi="Arial"/>
                <w:sz w:val="18"/>
                <w:szCs w:val="18"/>
                <w:b w:val="1"/>
                <w:bCs w:val="1"/>
                <w:color w:val="auto"/>
                <w:w w:val="99"/>
              </w:rPr>
              <w:t>Diluted earnings per common share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80"/>
              <w:spacing w:after="0" w:line="176" w:lineRule="exact"/>
              <w:rPr>
                <w:sz w:val="20"/>
                <w:szCs w:val="20"/>
                <w:color w:val="auto"/>
              </w:rPr>
            </w:pPr>
            <w:r>
              <w:rPr>
                <w:rFonts w:ascii="Arial" w:cs="Arial" w:eastAsia="Arial" w:hAnsi="Arial"/>
                <w:sz w:val="18"/>
                <w:szCs w:val="18"/>
                <w:b w:val="1"/>
                <w:bCs w:val="1"/>
                <w:color w:val="auto"/>
                <w:w w:val="93"/>
              </w:rPr>
              <w:t>attributable to Comcast Corporation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0.44</w:t>
            </w:r>
          </w:p>
        </w:tc>
        <w:tc>
          <w:tcPr>
            <w:tcW w:w="4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0.70</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(37.1)%</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1.55</w:t>
            </w:r>
          </w:p>
        </w:tc>
        <w:tc>
          <w:tcPr>
            <w:tcW w:w="4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2.15</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(27.9)%</w:t>
            </w:r>
          </w:p>
        </w:tc>
        <w:tc>
          <w:tcPr>
            <w:tcW w:w="0" w:type="dxa"/>
            <w:vAlign w:val="bottom"/>
          </w:tcPr>
          <w:p>
            <w:pPr>
              <w:spacing w:after="0"/>
              <w:rPr>
                <w:sz w:val="1"/>
                <w:szCs w:val="1"/>
                <w:color w:val="auto"/>
              </w:rPr>
            </w:pPr>
          </w:p>
        </w:tc>
      </w:tr>
      <w:tr>
        <w:trPr>
          <w:trHeight w:val="236"/>
        </w:trPr>
        <w:tc>
          <w:tcPr>
            <w:tcW w:w="3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color w:val="auto"/>
                <w:vertAlign w:val="superscript"/>
              </w:rPr>
              <w:t>(a)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7,583</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8,553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23,640</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25,822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 Percentage changes that are considered not meaningful are denoted with NM.</w:t>
      </w:r>
    </w:p>
    <w:p>
      <w:pPr>
        <w:spacing w:after="0" w:line="55" w:lineRule="exact"/>
        <w:rPr>
          <w:sz w:val="20"/>
          <w:szCs w:val="20"/>
          <w:color w:val="auto"/>
        </w:rPr>
      </w:pPr>
    </w:p>
    <w:p>
      <w:pPr>
        <w:ind w:left="260" w:hanging="252"/>
        <w:spacing w:after="0" w:line="273" w:lineRule="auto"/>
        <w:tabs>
          <w:tab w:leader="none" w:pos="257"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36 for additional information, including our definition and our use of Adjusted EBITDA, and for a reconciliation from net income attributable to Comcast Corporation to Adjusted EBITDA.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Theme Parks, Filmed Entertainment and Cable Networks drove decreases in consolidated revenue for the three months ended September 30, 2020, which were partially offset by increases in revenue in Cable Communications, Sky and Broadcast Television.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Theme Parks, Filmed Entertainment, Sky and Cable Networks drove decreases in consolidated revenue for the nine months ended September 30, 2020, which were partially offset by increases in revenue in Cable Communications and Broadcast Television.</w:t>
      </w:r>
    </w:p>
    <w:p>
      <w:pPr>
        <w:spacing w:after="0" w:line="62" w:lineRule="exact"/>
        <w:rPr>
          <w:sz w:val="20"/>
          <w:szCs w:val="20"/>
          <w:color w:val="auto"/>
        </w:rPr>
      </w:pPr>
    </w:p>
    <w:p>
      <w:pPr>
        <w:ind w:right="2120"/>
        <w:spacing w:after="0" w:line="367" w:lineRule="auto"/>
        <w:rPr>
          <w:sz w:val="20"/>
          <w:szCs w:val="20"/>
          <w:color w:val="auto"/>
        </w:rPr>
      </w:pPr>
      <w:r>
        <w:rPr>
          <w:rFonts w:ascii="Arial" w:cs="Arial" w:eastAsia="Arial" w:hAnsi="Arial"/>
          <w:sz w:val="18"/>
          <w:szCs w:val="18"/>
          <w:color w:val="auto"/>
        </w:rPr>
        <w:t xml:space="preserve">Revenue for our segments and other businesses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Filmed Entertainment, Theme Parks and Cable Communications drove decreases in consolidated operating costs and expenses for the three months ended September 30, 2020, which were partially offset by increases in operating costs and expenses in Sky, Broadcast Television and Cable Networks.</w:t>
      </w:r>
    </w:p>
    <w:p>
      <w:pPr>
        <w:spacing w:after="0" w:line="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Filmed Entertainment, Theme Parks, Cable Networks, Sky and Cable Communications drove decreases in consolidated operating costs and expenses for the nine months ended September 30, 2020, which were partially offset by increases in operating costs and expenses in Broadcast Television.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for our segments and our corporate operations, businesses development initiatives and other businesses are discussed separately below under the heading “Segment Operating Results.”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right"/>
              <w:ind w:right="773"/>
              <w:spacing w:after="0"/>
              <w:rPr>
                <w:sz w:val="20"/>
                <w:szCs w:val="20"/>
                <w:color w:val="auto"/>
              </w:rPr>
            </w:pPr>
            <w:r>
              <w:rPr>
                <w:rFonts w:ascii="Arial" w:cs="Arial" w:eastAsia="Arial" w:hAnsi="Arial"/>
                <w:sz w:val="14"/>
                <w:szCs w:val="14"/>
                <w:color w:val="auto"/>
              </w:rPr>
              <w:t>Three Months Ended</w:t>
            </w:r>
          </w:p>
        </w:tc>
        <w:tc>
          <w:tcPr>
            <w:tcW w:w="1340" w:type="dxa"/>
            <w:vAlign w:val="bottom"/>
          </w:tcPr>
          <w:p>
            <w:pPr>
              <w:jc w:val="center"/>
              <w:ind w:right="97"/>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440" w:type="dxa"/>
            <w:vAlign w:val="bottom"/>
            <w:gridSpan w:val="3"/>
          </w:tcPr>
          <w:p>
            <w:pPr>
              <w:jc w:val="right"/>
              <w:ind w:right="813"/>
              <w:spacing w:after="0"/>
              <w:rPr>
                <w:sz w:val="20"/>
                <w:szCs w:val="20"/>
                <w:color w:val="auto"/>
              </w:rPr>
            </w:pPr>
            <w:r>
              <w:rPr>
                <w:rFonts w:ascii="Arial" w:cs="Arial" w:eastAsia="Arial" w:hAnsi="Arial"/>
                <w:sz w:val="14"/>
                <w:szCs w:val="14"/>
                <w:color w:val="auto"/>
              </w:rPr>
              <w:t>Nine Months Ended</w:t>
            </w:r>
          </w:p>
        </w:tc>
        <w:tc>
          <w:tcPr>
            <w:tcW w:w="1280" w:type="dxa"/>
            <w:vAlign w:val="bottom"/>
          </w:tcPr>
          <w:p>
            <w:pPr>
              <w:jc w:val="center"/>
              <w:ind w:right="37"/>
              <w:spacing w:after="0"/>
              <w:rPr>
                <w:sz w:val="20"/>
                <w:szCs w:val="20"/>
                <w:color w:val="auto"/>
              </w:rPr>
            </w:pPr>
            <w:r>
              <w:rPr>
                <w:rFonts w:ascii="Arial" w:cs="Arial" w:eastAsia="Arial" w:hAnsi="Arial"/>
                <w:sz w:val="14"/>
                <w:szCs w:val="14"/>
                <w:color w:val="auto"/>
                <w:w w:val="90"/>
              </w:rPr>
              <w:t>Increase/</w:t>
            </w:r>
          </w:p>
        </w:tc>
      </w:tr>
      <w:tr>
        <w:trPr>
          <w:trHeight w:val="183"/>
        </w:trPr>
        <w:tc>
          <w:tcPr>
            <w:tcW w:w="3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89"/>
              </w:rPr>
              <w:t>(Decrease)</w:t>
            </w:r>
          </w:p>
        </w:tc>
      </w:tr>
      <w:tr>
        <w:trPr>
          <w:trHeight w:val="18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13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12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6"/>
              </w:rPr>
              <w:t>%</w:t>
            </w:r>
          </w:p>
        </w:tc>
      </w:tr>
      <w:tr>
        <w:trPr>
          <w:trHeight w:val="226"/>
        </w:trPr>
        <w:tc>
          <w:tcPr>
            <w:tcW w:w="310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1,952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1,967</w:t>
            </w:r>
          </w:p>
        </w:tc>
        <w:tc>
          <w:tcPr>
            <w:tcW w:w="1340" w:type="dxa"/>
            <w:vAlign w:val="bottom"/>
          </w:tcPr>
          <w:p>
            <w:pPr>
              <w:jc w:val="right"/>
              <w:spacing w:after="0"/>
              <w:rPr>
                <w:sz w:val="20"/>
                <w:szCs w:val="20"/>
                <w:color w:val="auto"/>
              </w:rPr>
            </w:pPr>
            <w:r>
              <w:rPr>
                <w:rFonts w:ascii="Arial" w:cs="Arial" w:eastAsia="Arial" w:hAnsi="Arial"/>
                <w:sz w:val="18"/>
                <w:szCs w:val="18"/>
                <w:color w:val="auto"/>
              </w:rPr>
              <w:t>(0.7)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5,835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6,038</w:t>
            </w:r>
          </w:p>
        </w:tc>
        <w:tc>
          <w:tcPr>
            <w:tcW w:w="1280" w:type="dxa"/>
            <w:vAlign w:val="bottom"/>
          </w:tcPr>
          <w:p>
            <w:pPr>
              <w:ind w:left="740"/>
              <w:spacing w:after="0"/>
              <w:rPr>
                <w:sz w:val="20"/>
                <w:szCs w:val="20"/>
                <w:color w:val="auto"/>
              </w:rPr>
            </w:pPr>
            <w:r>
              <w:rPr>
                <w:rFonts w:ascii="Arial" w:cs="Arial" w:eastAsia="Arial" w:hAnsi="Arial"/>
                <w:sz w:val="18"/>
                <w:szCs w:val="18"/>
                <w:color w:val="auto"/>
                <w:w w:val="89"/>
              </w:rPr>
              <w:t>(3.4) %</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576</w:t>
            </w:r>
          </w:p>
        </w:tc>
        <w:tc>
          <w:tcPr>
            <w:tcW w:w="480" w:type="dxa"/>
            <w:vAlign w:val="bottom"/>
          </w:tcPr>
          <w:p>
            <w:pPr>
              <w:spacing w:after="0"/>
              <w:rPr>
                <w:sz w:val="19"/>
                <w:szCs w:val="19"/>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537</w:t>
            </w:r>
          </w:p>
        </w:tc>
        <w:tc>
          <w:tcPr>
            <w:tcW w:w="1340" w:type="dxa"/>
            <w:vAlign w:val="bottom"/>
          </w:tcPr>
          <w:p>
            <w:pPr>
              <w:jc w:val="right"/>
              <w:ind w:right="217"/>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1,715</w:t>
            </w:r>
          </w:p>
        </w:tc>
        <w:tc>
          <w:tcPr>
            <w:tcW w:w="480" w:type="dxa"/>
            <w:vAlign w:val="bottom"/>
          </w:tcPr>
          <w:p>
            <w:pPr>
              <w:spacing w:after="0"/>
              <w:rPr>
                <w:sz w:val="19"/>
                <w:szCs w:val="19"/>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1,579</w:t>
            </w:r>
          </w:p>
        </w:tc>
        <w:tc>
          <w:tcPr>
            <w:tcW w:w="1280" w:type="dxa"/>
            <w:vAlign w:val="bottom"/>
          </w:tcPr>
          <w:p>
            <w:pPr>
              <w:ind w:left="800"/>
              <w:spacing w:after="0"/>
              <w:rPr>
                <w:sz w:val="20"/>
                <w:szCs w:val="20"/>
                <w:color w:val="auto"/>
              </w:rPr>
            </w:pPr>
            <w:r>
              <w:rPr>
                <w:rFonts w:ascii="Arial" w:cs="Arial" w:eastAsia="Arial" w:hAnsi="Arial"/>
                <w:sz w:val="18"/>
                <w:szCs w:val="18"/>
                <w:color w:val="auto"/>
              </w:rPr>
              <w:t>8.6</w:t>
            </w: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Sky</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9"/>
                <w:szCs w:val="19"/>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644</w:t>
            </w:r>
          </w:p>
        </w:tc>
        <w:tc>
          <w:tcPr>
            <w:tcW w:w="1340" w:type="dxa"/>
            <w:vAlign w:val="bottom"/>
          </w:tcPr>
          <w:p>
            <w:pPr>
              <w:jc w:val="right"/>
              <w:ind w:right="217"/>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2,188</w:t>
            </w:r>
          </w:p>
        </w:tc>
        <w:tc>
          <w:tcPr>
            <w:tcW w:w="480" w:type="dxa"/>
            <w:vAlign w:val="bottom"/>
          </w:tcPr>
          <w:p>
            <w:pPr>
              <w:spacing w:after="0"/>
              <w:rPr>
                <w:sz w:val="19"/>
                <w:szCs w:val="19"/>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2,058</w:t>
            </w:r>
          </w:p>
        </w:tc>
        <w:tc>
          <w:tcPr>
            <w:tcW w:w="1280" w:type="dxa"/>
            <w:vAlign w:val="bottom"/>
          </w:tcPr>
          <w:p>
            <w:pPr>
              <w:ind w:left="800"/>
              <w:spacing w:after="0"/>
              <w:rPr>
                <w:sz w:val="20"/>
                <w:szCs w:val="20"/>
                <w:color w:val="auto"/>
              </w:rPr>
            </w:pPr>
            <w:r>
              <w:rPr>
                <w:rFonts w:ascii="Arial" w:cs="Arial" w:eastAsia="Arial" w:hAnsi="Arial"/>
                <w:sz w:val="18"/>
                <w:szCs w:val="18"/>
                <w:color w:val="auto"/>
              </w:rPr>
              <w:t>6.3</w:t>
            </w:r>
          </w:p>
        </w:tc>
      </w:tr>
      <w:tr>
        <w:trPr>
          <w:trHeight w:val="23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42</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32</w:t>
            </w:r>
          </w:p>
        </w:tc>
        <w:tc>
          <w:tcPr>
            <w:tcW w:w="134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26.7</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110</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101</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6.9</w:t>
            </w:r>
          </w:p>
        </w:tc>
      </w:tr>
      <w:tr>
        <w:trPr>
          <w:trHeight w:val="23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3,320</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3,180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4.4 %</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9,848</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9,776</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w w:val="99"/>
              </w:rPr>
              <w:t>0.7 %</w:t>
            </w: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depreciation and amortization expense increased for the three and nine months ended September 30, 2020 compared to the same periods in 2019 primarily due to an increase in the amortization of certain trade names beginning in the first quarter of 2020, which were previously accounted for as indefinite-lived intangible assets (see Note 10), partially offset by a decrease in depreciation at Cable Communications related to a reduction in capital expenditures on customer premise equipment. During the first quarter of 2019, we recorded adjustments to the purchase price allocation of Sky, primarily related to intangible assets and property and equipment. This change resulted in an adjustment recorded in the first quarter of 2019 related to the fourth quarter of 2018 that increased depreciation and amortization expense by $53 million.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from acquisition-related intangible assets totaled $574 million and $1.7 billion for the three and nine months ended September 30, 2020, respectively. Amortization expense from acquisition-related intangible assets totaled $486 million and $1.5 billion for the three and nine months ended September 30, 2019, respectively. Amounts primarily relate to customer relationship intangible assets recorded in connection with the Sky transaction in the fourth quarter of 2018 and the NBCUniversal transaction in 2011.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increased for the three months ended September 30, 2020 compared to the same period in 2019 primarily due to a $220 million charge recorded in the third quarter of 2020 related to the early redemption of senior notes due 2022 and 2023, partially offset by lower weighted average interest rates in the current year period. Interest expense increased for the nine months ended September 30, 2020 compared to the same period in 2019 primarily due to $360 million of charges recorded in the first and third quarters of 2020 related to the early redemption of senior notes due 2021 to 2023, partially offset by decreases in our debt outstanding.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2"/>
          </w:tcPr>
          <w:p>
            <w:pPr>
              <w:jc w:val="right"/>
              <w:ind w:right="296"/>
              <w:spacing w:after="0"/>
              <w:rPr>
                <w:sz w:val="20"/>
                <w:szCs w:val="20"/>
                <w:color w:val="auto"/>
              </w:rPr>
            </w:pPr>
            <w:r>
              <w:rPr>
                <w:rFonts w:ascii="Arial" w:cs="Arial" w:eastAsia="Arial" w:hAnsi="Arial"/>
                <w:sz w:val="14"/>
                <w:szCs w:val="14"/>
                <w:color w:val="auto"/>
                <w:w w:val="93"/>
              </w:rPr>
              <w:t>Three Months Ended</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w w:val="94"/>
              </w:rPr>
              <w:t>Nine Months Ended</w:t>
            </w:r>
          </w:p>
        </w:tc>
        <w:tc>
          <w:tcPr>
            <w:tcW w:w="880" w:type="dxa"/>
            <w:vAlign w:val="bottom"/>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color w:val="auto"/>
              </w:rPr>
              <w:t>September 30,</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80" w:type="dxa"/>
            <w:vAlign w:val="bottom"/>
            <w:tcBorders>
              <w:bottom w:val="single" w:sz="8" w:color="auto"/>
            </w:tcBorders>
          </w:tcPr>
          <w:p>
            <w:pPr>
              <w:spacing w:after="0"/>
              <w:rPr>
                <w:sz w:val="15"/>
                <w:szCs w:val="15"/>
                <w:color w:val="auto"/>
              </w:rPr>
            </w:pPr>
          </w:p>
        </w:tc>
      </w:tr>
      <w:tr>
        <w:trPr>
          <w:trHeight w:val="186"/>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89"/>
              </w:rPr>
              <w:t>2019</w:t>
            </w:r>
          </w:p>
        </w:tc>
      </w:tr>
      <w:tr>
        <w:trPr>
          <w:trHeight w:val="226"/>
        </w:trPr>
        <w:tc>
          <w:tcPr>
            <w:tcW w:w="5140" w:type="dxa"/>
            <w:vAlign w:val="bottom"/>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(266)</w:t>
            </w:r>
          </w:p>
        </w:tc>
        <w:tc>
          <w:tcPr>
            <w:tcW w:w="100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96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(634)</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Realized and unrealized gains (losses) on equity securities, net</w:t>
            </w:r>
          </w:p>
        </w:tc>
        <w:tc>
          <w:tcPr>
            <w:tcW w:w="860" w:type="dxa"/>
            <w:vAlign w:val="bottom"/>
          </w:tcPr>
          <w:p>
            <w:pPr>
              <w:spacing w:after="0"/>
              <w:rPr>
                <w:sz w:val="19"/>
                <w:szCs w:val="19"/>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118</w:t>
            </w:r>
          </w:p>
        </w:tc>
        <w:tc>
          <w:tcPr>
            <w:tcW w:w="10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960" w:type="dxa"/>
            <w:vAlign w:val="bottom"/>
          </w:tcPr>
          <w:p>
            <w:pPr>
              <w:spacing w:after="0"/>
              <w:rPr>
                <w:sz w:val="19"/>
                <w:szCs w:val="19"/>
                <w:color w:val="auto"/>
              </w:rPr>
            </w:pP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65</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(loss), net</w:t>
            </w:r>
          </w:p>
        </w:tc>
        <w:tc>
          <w:tcPr>
            <w:tcW w:w="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62</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187</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investment and other income (loss), net</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(86)</w:t>
            </w:r>
          </w:p>
        </w:tc>
        <w:tc>
          <w:tcPr>
            <w:tcW w:w="100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w:t>
            </w:r>
          </w:p>
        </w:tc>
        <w:tc>
          <w:tcPr>
            <w:tcW w:w="96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(382)</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Income (Losses) of Investees, Net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equity in net income (losses) of investees, net for the three and nine months ended September 30, 2020 compared to the same periods in 2019 were primarily due to our equity method investments in Atairos and Hulu. The income (losses) at Atairos were driven by fair value adjustments on its underlying investments. The equity in net income (losses) of Atairos and Hulu for the three and nine months ended September 30, 2020 and 2019 are presented 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w w:val="91"/>
              </w:rPr>
              <w:t>Three Months Ended</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80" w:type="dxa"/>
            <w:vAlign w:val="bottom"/>
          </w:tcPr>
          <w:p>
            <w:pPr>
              <w:spacing w:after="0"/>
              <w:rPr>
                <w:sz w:val="14"/>
                <w:szCs w:val="14"/>
                <w:color w:val="auto"/>
              </w:rPr>
            </w:pPr>
          </w:p>
        </w:tc>
      </w:tr>
      <w:tr>
        <w:trPr>
          <w:trHeight w:val="183"/>
        </w:trPr>
        <w:tc>
          <w:tcPr>
            <w:tcW w:w="5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80" w:type="dxa"/>
            <w:vAlign w:val="bottom"/>
            <w:tcBorders>
              <w:bottom w:val="single" w:sz="8" w:color="auto"/>
            </w:tcBorders>
          </w:tcPr>
          <w:p>
            <w:pPr>
              <w:spacing w:after="0"/>
              <w:rPr>
                <w:sz w:val="15"/>
                <w:szCs w:val="15"/>
                <w:color w:val="auto"/>
              </w:rPr>
            </w:pPr>
          </w:p>
        </w:tc>
      </w:tr>
      <w:tr>
        <w:trPr>
          <w:trHeight w:val="186"/>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w w:val="89"/>
              </w:rPr>
              <w:t>2019</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89"/>
              </w:rPr>
              <w:t>2019</w:t>
            </w:r>
          </w:p>
        </w:tc>
      </w:tr>
      <w:tr>
        <w:trPr>
          <w:trHeight w:val="226"/>
        </w:trPr>
        <w:tc>
          <w:tcPr>
            <w:tcW w:w="5120" w:type="dxa"/>
            <w:vAlign w:val="bottom"/>
          </w:tcPr>
          <w:p>
            <w:pPr>
              <w:ind w:left="20"/>
              <w:spacing w:after="0"/>
              <w:rPr>
                <w:sz w:val="20"/>
                <w:szCs w:val="20"/>
                <w:color w:val="auto"/>
              </w:rPr>
            </w:pPr>
            <w:r>
              <w:rPr>
                <w:rFonts w:ascii="Arial" w:cs="Arial" w:eastAsia="Arial" w:hAnsi="Arial"/>
                <w:sz w:val="18"/>
                <w:szCs w:val="18"/>
                <w:color w:val="auto"/>
              </w:rPr>
              <w:t>Atairos</w:t>
            </w: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(262)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
              <w:spacing w:after="0"/>
              <w:rPr>
                <w:sz w:val="20"/>
                <w:szCs w:val="20"/>
                <w:color w:val="auto"/>
              </w:rPr>
            </w:pPr>
            <w:r>
              <w:rPr>
                <w:rFonts w:ascii="Arial" w:cs="Arial" w:eastAsia="Arial" w:hAnsi="Arial"/>
                <w:sz w:val="18"/>
                <w:szCs w:val="18"/>
                <w:color w:val="auto"/>
              </w:rPr>
              <w:t>(242)</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Hulu</w:t>
            </w:r>
          </w:p>
        </w:tc>
        <w:tc>
          <w:tcPr>
            <w:tcW w:w="88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(265)</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790"/>
        </w:trPr>
        <w:tc>
          <w:tcPr>
            <w:tcW w:w="5120" w:type="dxa"/>
            <w:vAlign w:val="bottom"/>
          </w:tcPr>
          <w:p>
            <w:pPr>
              <w:spacing w:after="0"/>
              <w:rPr>
                <w:sz w:val="24"/>
                <w:szCs w:val="24"/>
                <w:color w:val="auto"/>
              </w:rPr>
            </w:pPr>
          </w:p>
        </w:tc>
        <w:tc>
          <w:tcPr>
            <w:tcW w:w="880" w:type="dxa"/>
            <w:vAlign w:val="bottom"/>
          </w:tcPr>
          <w:p>
            <w:pPr>
              <w:jc w:val="right"/>
              <w:ind w:right="195"/>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512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Gains (Losses) on Equity Securities, Net</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realized and unrealized gains (losses) on equity securities, net for the three and nine months ended September 30, 2020 compared to the same periods in 2019 were primarily due to gains related to our investment in Peloton and gains and losses related to other investments in the current year compared to gains related to our investments in Snap and Peloton in the prior year. See Note 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other income (loss), net for the three months ended September 30, 2020 compared to the same period in 2019 primarily relates to higher foreign exchange remeasurement gains in 2020, more than offset by a gain of $60 million recorded in the prior year period related to the dilution of our Hulu ownership. The decrease in other income (loss), net for the nine months ended September 30, 2020 compared to the same period in 2019 primarily relates to gains of $219 million recorded in the first and third quarters of 2019 related to the dilution of our Hulu ownership, partially offset by $90 million of losses due to equity method investment impairments recorded in the second and third quarters of 2019 and higher foreign exchange remeasurement gains in 2020. See Note 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Tax Expense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for the three and nine months ended September 30, 2020 and 2019 reflects an effective income tax rate that differs from the federal statutory rate primarily due to state and foreign income taxes and adjustments associated with uncertain tax positions. The decrease in income tax expense for the three and nine months ended September 30, 2020 compared to the same periods in 2019 was primarily due to lower income before income taxes in 2020, partially offset by the impact of tax law changes in the third quarter of 2020 and a benefit from state tax adjustments recognized in the third quarter of 2019.</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 See Note 2 for our definition of Adjusted EBITDA and a reconciliation from the aggregate amount of Adjusted EBITDA for our reportable business segments to consolidated income before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ind w:right="193"/>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3"/>
        </w:trPr>
        <w:tc>
          <w:tcPr>
            <w:tcW w:w="4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5"/>
                <w:szCs w:val="15"/>
                <w:color w:val="auto"/>
              </w:rPr>
            </w:pPr>
          </w:p>
        </w:tc>
      </w:tr>
      <w:tr>
        <w:trPr>
          <w:trHeight w:val="18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293"/>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color w:val="auto"/>
              </w:rPr>
              <w:t>%</w:t>
            </w:r>
          </w:p>
        </w:tc>
      </w:tr>
      <w:tr>
        <w:trPr>
          <w:trHeight w:val="226"/>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840" w:type="dxa"/>
            <w:vAlign w:val="bottom"/>
          </w:tcPr>
          <w:p>
            <w:pPr>
              <w:ind w:left="3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840" w:type="dxa"/>
            <w:vAlign w:val="bottom"/>
          </w:tcPr>
          <w:p>
            <w:pPr>
              <w:ind w:left="66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5,198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4,721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477</w:t>
            </w:r>
          </w:p>
        </w:tc>
        <w:tc>
          <w:tcPr>
            <w:tcW w:w="106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30"/>
        </w:trPr>
        <w:tc>
          <w:tcPr>
            <w:tcW w:w="4840" w:type="dxa"/>
            <w:vAlign w:val="bottom"/>
          </w:tcPr>
          <w:p>
            <w:pPr>
              <w:ind w:left="66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5,421</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5,541</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(120)</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w:t>
            </w:r>
          </w:p>
        </w:tc>
      </w:tr>
      <w:tr>
        <w:trPr>
          <w:trHeight w:val="230"/>
        </w:trPr>
        <w:tc>
          <w:tcPr>
            <w:tcW w:w="4840" w:type="dxa"/>
            <w:vAlign w:val="bottom"/>
          </w:tcPr>
          <w:p>
            <w:pPr>
              <w:ind w:left="66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876</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963</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(87)</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(9.0)</w:t>
            </w:r>
          </w:p>
        </w:tc>
      </w:tr>
      <w:tr>
        <w:trPr>
          <w:trHeight w:val="229"/>
        </w:trPr>
        <w:tc>
          <w:tcPr>
            <w:tcW w:w="4840" w:type="dxa"/>
            <w:vAlign w:val="bottom"/>
          </w:tcPr>
          <w:p>
            <w:pPr>
              <w:ind w:left="66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326</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74</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22.8</w:t>
            </w: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2,049</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1,971</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78</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4.0</w:t>
            </w: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674</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603</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71</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11.8</w:t>
            </w:r>
          </w:p>
        </w:tc>
      </w:tr>
      <w:tr>
        <w:trPr>
          <w:trHeight w:val="230"/>
        </w:trPr>
        <w:tc>
          <w:tcPr>
            <w:tcW w:w="48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382</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459</w:t>
            </w: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(77)</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(17.2)</w:t>
            </w: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15,000</w:t>
            </w:r>
          </w:p>
        </w:tc>
        <w:tc>
          <w:tcPr>
            <w:tcW w:w="66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14,584</w:t>
            </w:r>
          </w:p>
        </w:tc>
        <w:tc>
          <w:tcPr>
            <w:tcW w:w="520" w:type="dxa"/>
            <w:vAlign w:val="bottom"/>
          </w:tcPr>
          <w:p>
            <w:pPr>
              <w:spacing w:after="0"/>
              <w:rPr>
                <w:sz w:val="18"/>
                <w:szCs w:val="18"/>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b w:val="1"/>
                <w:bCs w:val="1"/>
                <w:color w:val="auto"/>
              </w:rPr>
              <w:t>416</w:t>
            </w:r>
          </w:p>
        </w:tc>
        <w:tc>
          <w:tcPr>
            <w:tcW w:w="1060" w:type="dxa"/>
            <w:vAlign w:val="bottom"/>
          </w:tcPr>
          <w:p>
            <w:pPr>
              <w:jc w:val="right"/>
              <w:ind w:right="151"/>
              <w:spacing w:after="0"/>
              <w:rPr>
                <w:sz w:val="20"/>
                <w:szCs w:val="20"/>
                <w:color w:val="auto"/>
              </w:rPr>
            </w:pPr>
            <w:r>
              <w:rPr>
                <w:rFonts w:ascii="Arial" w:cs="Arial" w:eastAsia="Arial" w:hAnsi="Arial"/>
                <w:sz w:val="18"/>
                <w:szCs w:val="18"/>
                <w:b w:val="1"/>
                <w:bCs w:val="1"/>
                <w:color w:val="auto"/>
              </w:rPr>
              <w:t>2.9</w:t>
            </w:r>
          </w:p>
        </w:tc>
      </w:tr>
      <w:tr>
        <w:trPr>
          <w:trHeight w:val="234"/>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4840" w:type="dxa"/>
            <w:vAlign w:val="bottom"/>
          </w:tcPr>
          <w:p>
            <w:pPr>
              <w:ind w:left="34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3,296</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3,315</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(19)</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(0.6)</w:t>
            </w: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1,980</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2,066</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(86)</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(4.2)</w:t>
            </w: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598</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628</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(30)</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(4.8)</w:t>
            </w: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929</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1,024</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(95)</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(9.2)</w:t>
            </w:r>
          </w:p>
        </w:tc>
      </w:tr>
      <w:tr>
        <w:trPr>
          <w:trHeight w:val="229"/>
        </w:trPr>
        <w:tc>
          <w:tcPr>
            <w:tcW w:w="4840" w:type="dxa"/>
            <w:vAlign w:val="bottom"/>
          </w:tcPr>
          <w:p>
            <w:pPr>
              <w:ind w:left="34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421</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408</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13</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3.3</w:t>
            </w:r>
          </w:p>
        </w:tc>
      </w:tr>
      <w:tr>
        <w:trPr>
          <w:trHeight w:val="230"/>
        </w:trPr>
        <w:tc>
          <w:tcPr>
            <w:tcW w:w="48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1,365</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1,342</w:t>
            </w: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8,589</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8,783</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(194)</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(2.2)</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6,411</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5,801</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b w:val="1"/>
                <w:bCs w:val="1"/>
                <w:color w:val="auto"/>
              </w:rPr>
              <w:t>610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10.5 %</w:t>
            </w:r>
          </w:p>
        </w:tc>
      </w:tr>
      <w:tr>
        <w:trPr>
          <w:trHeight w:val="918"/>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48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ind w:right="193"/>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3"/>
        </w:trPr>
        <w:tc>
          <w:tcPr>
            <w:tcW w:w="4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5"/>
                <w:szCs w:val="15"/>
                <w:color w:val="auto"/>
              </w:rPr>
            </w:pPr>
          </w:p>
        </w:tc>
      </w:tr>
      <w:tr>
        <w:trPr>
          <w:trHeight w:val="18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293"/>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color w:val="auto"/>
              </w:rPr>
              <w:t>%</w:t>
            </w:r>
          </w:p>
        </w:tc>
      </w:tr>
      <w:tr>
        <w:trPr>
          <w:trHeight w:val="226"/>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840" w:type="dxa"/>
            <w:vAlign w:val="bottom"/>
          </w:tcPr>
          <w:p>
            <w:pPr>
              <w:ind w:left="3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840" w:type="dxa"/>
            <w:vAlign w:val="bottom"/>
          </w:tcPr>
          <w:p>
            <w:pPr>
              <w:ind w:left="66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15,199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13,961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1,238</w:t>
            </w:r>
          </w:p>
        </w:tc>
        <w:tc>
          <w:tcPr>
            <w:tcW w:w="106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29"/>
        </w:trPr>
        <w:tc>
          <w:tcPr>
            <w:tcW w:w="4840" w:type="dxa"/>
            <w:vAlign w:val="bottom"/>
          </w:tcPr>
          <w:p>
            <w:pPr>
              <w:ind w:left="66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16,468</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16,763</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(295)</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(1.8)</w:t>
            </w:r>
          </w:p>
        </w:tc>
      </w:tr>
      <w:tr>
        <w:trPr>
          <w:trHeight w:val="229"/>
        </w:trPr>
        <w:tc>
          <w:tcPr>
            <w:tcW w:w="4840" w:type="dxa"/>
            <w:vAlign w:val="bottom"/>
          </w:tcPr>
          <w:p>
            <w:pPr>
              <w:ind w:left="66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2,652</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2,935</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(283)</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(9.6)</w:t>
            </w:r>
          </w:p>
        </w:tc>
      </w:tr>
      <w:tr>
        <w:trPr>
          <w:trHeight w:val="230"/>
        </w:trPr>
        <w:tc>
          <w:tcPr>
            <w:tcW w:w="4840" w:type="dxa"/>
            <w:vAlign w:val="bottom"/>
          </w:tcPr>
          <w:p>
            <w:pPr>
              <w:ind w:left="66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1,069</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795</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274</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34.5</w:t>
            </w:r>
          </w:p>
        </w:tc>
      </w:tr>
      <w:tr>
        <w:trPr>
          <w:trHeight w:val="229"/>
        </w:trPr>
        <w:tc>
          <w:tcPr>
            <w:tcW w:w="4840" w:type="dxa"/>
            <w:vAlign w:val="bottom"/>
          </w:tcPr>
          <w:p>
            <w:pPr>
              <w:ind w:left="34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6,096</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5,795</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301</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5.2</w:t>
            </w: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1,659</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1,766</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(107)</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(6.1)</w:t>
            </w:r>
          </w:p>
        </w:tc>
      </w:tr>
      <w:tr>
        <w:trPr>
          <w:trHeight w:val="230"/>
        </w:trPr>
        <w:tc>
          <w:tcPr>
            <w:tcW w:w="48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1,203</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1,299</w:t>
            </w: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(96)</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(7.5)</w:t>
            </w: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44,346</w:t>
            </w:r>
          </w:p>
        </w:tc>
        <w:tc>
          <w:tcPr>
            <w:tcW w:w="64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43,314</w:t>
            </w:r>
          </w:p>
        </w:tc>
        <w:tc>
          <w:tcPr>
            <w:tcW w:w="520" w:type="dxa"/>
            <w:vAlign w:val="bottom"/>
          </w:tcPr>
          <w:p>
            <w:pPr>
              <w:spacing w:after="0"/>
              <w:rPr>
                <w:sz w:val="18"/>
                <w:szCs w:val="18"/>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b w:val="1"/>
                <w:bCs w:val="1"/>
                <w:color w:val="auto"/>
              </w:rPr>
              <w:t>1,032</w:t>
            </w:r>
          </w:p>
        </w:tc>
        <w:tc>
          <w:tcPr>
            <w:tcW w:w="1060" w:type="dxa"/>
            <w:vAlign w:val="bottom"/>
          </w:tcPr>
          <w:p>
            <w:pPr>
              <w:jc w:val="right"/>
              <w:ind w:right="151"/>
              <w:spacing w:after="0"/>
              <w:rPr>
                <w:sz w:val="20"/>
                <w:szCs w:val="20"/>
                <w:color w:val="auto"/>
              </w:rPr>
            </w:pPr>
            <w:r>
              <w:rPr>
                <w:rFonts w:ascii="Arial" w:cs="Arial" w:eastAsia="Arial" w:hAnsi="Arial"/>
                <w:sz w:val="18"/>
                <w:szCs w:val="18"/>
                <w:b w:val="1"/>
                <w:bCs w:val="1"/>
                <w:color w:val="auto"/>
              </w:rPr>
              <w:t>2.4</w:t>
            </w:r>
          </w:p>
        </w:tc>
      </w:tr>
      <w:tr>
        <w:trPr>
          <w:trHeight w:val="23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4840" w:type="dxa"/>
            <w:vAlign w:val="bottom"/>
          </w:tcPr>
          <w:p>
            <w:pPr>
              <w:ind w:left="34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9,978</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10,106</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(128)</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(1.3)</w:t>
            </w: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5,925</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5,844</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81</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1.4</w:t>
            </w:r>
          </w:p>
        </w:tc>
      </w:tr>
      <w:tr>
        <w:trPr>
          <w:trHeight w:val="229"/>
        </w:trPr>
        <w:tc>
          <w:tcPr>
            <w:tcW w:w="4840" w:type="dxa"/>
            <w:vAlign w:val="bottom"/>
          </w:tcPr>
          <w:p>
            <w:pPr>
              <w:ind w:left="34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1,836</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1,877</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(41)</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(2.2)</w:t>
            </w:r>
          </w:p>
        </w:tc>
      </w:tr>
      <w:tr>
        <w:trPr>
          <w:trHeight w:val="229"/>
        </w:trPr>
        <w:tc>
          <w:tcPr>
            <w:tcW w:w="4840" w:type="dxa"/>
            <w:vAlign w:val="bottom"/>
          </w:tcPr>
          <w:p>
            <w:pPr>
              <w:ind w:left="34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2,717</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3,000</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(283)</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(9.4)</w:t>
            </w: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1,225</w:t>
            </w:r>
          </w:p>
        </w:tc>
        <w:tc>
          <w:tcPr>
            <w:tcW w:w="64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1,189</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3.0</w:t>
            </w:r>
          </w:p>
        </w:tc>
      </w:tr>
      <w:tr>
        <w:trPr>
          <w:trHeight w:val="230"/>
        </w:trPr>
        <w:tc>
          <w:tcPr>
            <w:tcW w:w="48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4,002</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3,915</w:t>
            </w: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87</w:t>
            </w: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25,683</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25,931</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(248)</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18,663</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17,383</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b w:val="1"/>
                <w:bCs w:val="1"/>
                <w:color w:val="auto"/>
              </w:rPr>
              <w:t>1,280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7.4 %</w:t>
            </w:r>
          </w:p>
        </w:tc>
      </w:tr>
      <w:tr>
        <w:trPr>
          <w:trHeight w:val="918"/>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48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733"/>
              <w:spacing w:after="0"/>
              <w:rPr>
                <w:sz w:val="20"/>
                <w:szCs w:val="20"/>
                <w:color w:val="auto"/>
              </w:rPr>
            </w:pPr>
            <w:r>
              <w:rPr>
                <w:rFonts w:ascii="Arial" w:cs="Arial" w:eastAsia="Arial" w:hAnsi="Arial"/>
                <w:sz w:val="14"/>
                <w:szCs w:val="14"/>
                <w:color w:val="auto"/>
              </w:rPr>
              <w:t>Net Additions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2080" w:type="dxa"/>
            <w:vAlign w:val="bottom"/>
            <w:gridSpan w:val="2"/>
            <w:vMerge w:val="restart"/>
          </w:tcPr>
          <w:p>
            <w:pPr>
              <w:jc w:val="right"/>
              <w:ind w:right="531"/>
              <w:spacing w:after="0"/>
              <w:rPr>
                <w:sz w:val="20"/>
                <w:szCs w:val="20"/>
                <w:color w:val="auto"/>
              </w:rPr>
            </w:pPr>
            <w:r>
              <w:rPr>
                <w:rFonts w:ascii="Arial" w:cs="Arial" w:eastAsia="Arial" w:hAnsi="Arial"/>
                <w:sz w:val="14"/>
                <w:szCs w:val="14"/>
                <w:color w:val="auto"/>
              </w:rPr>
              <w:t>September 30,</w:t>
            </w:r>
          </w:p>
        </w:tc>
        <w:tc>
          <w:tcPr>
            <w:tcW w:w="2260" w:type="dxa"/>
            <w:vAlign w:val="bottom"/>
            <w:gridSpan w:val="2"/>
          </w:tcPr>
          <w:p>
            <w:pPr>
              <w:jc w:val="right"/>
              <w:ind w:right="532"/>
              <w:spacing w:after="0" w:line="135" w:lineRule="exact"/>
              <w:rPr>
                <w:sz w:val="20"/>
                <w:szCs w:val="20"/>
                <w:color w:val="auto"/>
              </w:rPr>
            </w:pPr>
            <w:r>
              <w:rPr>
                <w:rFonts w:ascii="Arial" w:cs="Arial" w:eastAsia="Arial" w:hAnsi="Arial"/>
                <w:sz w:val="14"/>
                <w:szCs w:val="14"/>
                <w:color w:val="auto"/>
              </w:rPr>
              <w:t>Three Months Ended</w:t>
            </w:r>
          </w:p>
        </w:tc>
        <w:tc>
          <w:tcPr>
            <w:tcW w:w="1900" w:type="dxa"/>
            <w:vAlign w:val="bottom"/>
            <w:gridSpan w:val="2"/>
          </w:tcPr>
          <w:p>
            <w:pPr>
              <w:jc w:val="right"/>
              <w:ind w:right="371"/>
              <w:spacing w:after="0" w:line="135"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2080" w:type="dxa"/>
            <w:vAlign w:val="bottom"/>
            <w:tcBorders>
              <w:bottom w:val="single" w:sz="8" w:color="auto"/>
            </w:tcBorders>
            <w:gridSpan w:val="2"/>
            <w:vMerge w:val="continue"/>
          </w:tcPr>
          <w:p>
            <w:pPr>
              <w:spacing w:after="0"/>
              <w:rPr>
                <w:sz w:val="15"/>
                <w:szCs w:val="15"/>
                <w:color w:val="auto"/>
              </w:rPr>
            </w:pPr>
          </w:p>
        </w:tc>
        <w:tc>
          <w:tcPr>
            <w:tcW w:w="2260" w:type="dxa"/>
            <w:vAlign w:val="bottom"/>
            <w:tcBorders>
              <w:bottom w:val="single" w:sz="8" w:color="auto"/>
            </w:tcBorders>
            <w:gridSpan w:val="2"/>
          </w:tcPr>
          <w:p>
            <w:pPr>
              <w:jc w:val="right"/>
              <w:ind w:right="712"/>
              <w:spacing w:after="0"/>
              <w:rPr>
                <w:sz w:val="20"/>
                <w:szCs w:val="20"/>
                <w:color w:val="auto"/>
              </w:rPr>
            </w:pPr>
            <w:r>
              <w:rPr>
                <w:rFonts w:ascii="Arial" w:cs="Arial" w:eastAsia="Arial" w:hAnsi="Arial"/>
                <w:sz w:val="14"/>
                <w:szCs w:val="14"/>
                <w:color w:val="auto"/>
              </w:rPr>
              <w:t>September 30,</w:t>
            </w:r>
          </w:p>
        </w:tc>
        <w:tc>
          <w:tcPr>
            <w:tcW w:w="190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8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6"/>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Customer relationships</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Residential customer relationships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30,289</w:t>
            </w:r>
          </w:p>
        </w:tc>
        <w:tc>
          <w:tcPr>
            <w:tcW w:w="880" w:type="dxa"/>
            <w:vAlign w:val="bottom"/>
          </w:tcPr>
          <w:p>
            <w:pPr>
              <w:jc w:val="right"/>
              <w:spacing w:after="0"/>
              <w:rPr>
                <w:sz w:val="20"/>
                <w:szCs w:val="20"/>
                <w:color w:val="auto"/>
              </w:rPr>
            </w:pPr>
            <w:r>
              <w:rPr>
                <w:rFonts w:ascii="Arial" w:cs="Arial" w:eastAsia="Arial" w:hAnsi="Arial"/>
                <w:sz w:val="18"/>
                <w:szCs w:val="18"/>
                <w:color w:val="auto"/>
              </w:rPr>
              <w:t>28,797</w:t>
            </w: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539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288</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1,140</w:t>
            </w:r>
          </w:p>
        </w:tc>
        <w:tc>
          <w:tcPr>
            <w:tcW w:w="860" w:type="dxa"/>
            <w:vAlign w:val="bottom"/>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Business services customer relationships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2,401</w:t>
            </w:r>
          </w:p>
        </w:tc>
        <w:tc>
          <w:tcPr>
            <w:tcW w:w="880" w:type="dxa"/>
            <w:vAlign w:val="bottom"/>
          </w:tcPr>
          <w:p>
            <w:pPr>
              <w:jc w:val="right"/>
              <w:spacing w:after="0"/>
              <w:rPr>
                <w:sz w:val="20"/>
                <w:szCs w:val="20"/>
                <w:color w:val="auto"/>
              </w:rPr>
            </w:pPr>
            <w:r>
              <w:rPr>
                <w:rFonts w:ascii="Arial" w:cs="Arial" w:eastAsia="Arial" w:hAnsi="Arial"/>
                <w:sz w:val="18"/>
                <w:szCs w:val="18"/>
                <w:color w:val="auto"/>
              </w:rPr>
              <w:t>2,377</w:t>
            </w: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32,690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31,173</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556</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309</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1,144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Residential customer relationships mix</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One product customers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11,957</w:t>
            </w:r>
          </w:p>
        </w:tc>
        <w:tc>
          <w:tcPr>
            <w:tcW w:w="880" w:type="dxa"/>
            <w:vAlign w:val="bottom"/>
          </w:tcPr>
          <w:p>
            <w:pPr>
              <w:jc w:val="right"/>
              <w:spacing w:after="0"/>
              <w:rPr>
                <w:sz w:val="20"/>
                <w:szCs w:val="20"/>
                <w:color w:val="auto"/>
              </w:rPr>
            </w:pPr>
            <w:r>
              <w:rPr>
                <w:rFonts w:ascii="Arial" w:cs="Arial" w:eastAsia="Arial" w:hAnsi="Arial"/>
                <w:sz w:val="18"/>
                <w:szCs w:val="18"/>
                <w:color w:val="auto"/>
              </w:rPr>
              <w:t>9,905</w:t>
            </w: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625</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379</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1,710</w:t>
            </w:r>
          </w:p>
        </w:tc>
        <w:tc>
          <w:tcPr>
            <w:tcW w:w="86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Two product customers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8,732</w:t>
            </w:r>
          </w:p>
        </w:tc>
        <w:tc>
          <w:tcPr>
            <w:tcW w:w="880" w:type="dxa"/>
            <w:vAlign w:val="bottom"/>
          </w:tcPr>
          <w:p>
            <w:pPr>
              <w:jc w:val="right"/>
              <w:spacing w:after="0"/>
              <w:rPr>
                <w:sz w:val="20"/>
                <w:szCs w:val="20"/>
                <w:color w:val="auto"/>
              </w:rPr>
            </w:pPr>
            <w:r>
              <w:rPr>
                <w:rFonts w:ascii="Arial" w:cs="Arial" w:eastAsia="Arial" w:hAnsi="Arial"/>
                <w:sz w:val="18"/>
                <w:szCs w:val="18"/>
                <w:color w:val="auto"/>
              </w:rPr>
              <w:t>8,915</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(9)</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(191)</w:t>
            </w: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Three or more product customers</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9,600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9,977</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(77)</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(53)</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(379)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High-speed internet</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27,837</w:t>
            </w:r>
          </w:p>
        </w:tc>
        <w:tc>
          <w:tcPr>
            <w:tcW w:w="880" w:type="dxa"/>
            <w:vAlign w:val="bottom"/>
          </w:tcPr>
          <w:p>
            <w:pPr>
              <w:jc w:val="right"/>
              <w:spacing w:after="0"/>
              <w:rPr>
                <w:sz w:val="20"/>
                <w:szCs w:val="20"/>
                <w:color w:val="auto"/>
              </w:rPr>
            </w:pPr>
            <w:r>
              <w:rPr>
                <w:rFonts w:ascii="Arial" w:cs="Arial" w:eastAsia="Arial" w:hAnsi="Arial"/>
                <w:sz w:val="18"/>
                <w:szCs w:val="18"/>
                <w:color w:val="auto"/>
              </w:rPr>
              <w:t>25,990</w:t>
            </w: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617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359</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1,423</w:t>
            </w:r>
          </w:p>
        </w:tc>
        <w:tc>
          <w:tcPr>
            <w:tcW w:w="86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2,225</w:t>
            </w:r>
          </w:p>
        </w:tc>
        <w:tc>
          <w:tcPr>
            <w:tcW w:w="880" w:type="dxa"/>
            <w:vAlign w:val="bottom"/>
          </w:tcPr>
          <w:p>
            <w:pPr>
              <w:jc w:val="right"/>
              <w:spacing w:after="0"/>
              <w:rPr>
                <w:sz w:val="20"/>
                <w:szCs w:val="20"/>
                <w:color w:val="auto"/>
              </w:rPr>
            </w:pPr>
            <w:r>
              <w:rPr>
                <w:rFonts w:ascii="Arial" w:cs="Arial" w:eastAsia="Arial" w:hAnsi="Arial"/>
                <w:sz w:val="18"/>
                <w:szCs w:val="18"/>
                <w:color w:val="auto"/>
              </w:rPr>
              <w:t>2,197</w:t>
            </w: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16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20</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10</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high-speed internet customers</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30,062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28,186</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633</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379</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1,433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Video</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19,220</w:t>
            </w:r>
          </w:p>
        </w:tc>
        <w:tc>
          <w:tcPr>
            <w:tcW w:w="880" w:type="dxa"/>
            <w:vAlign w:val="bottom"/>
          </w:tcPr>
          <w:p>
            <w:pPr>
              <w:jc w:val="right"/>
              <w:spacing w:after="0"/>
              <w:rPr>
                <w:sz w:val="20"/>
                <w:szCs w:val="20"/>
                <w:color w:val="auto"/>
              </w:rPr>
            </w:pPr>
            <w:r>
              <w:rPr>
                <w:rFonts w:ascii="Arial" w:cs="Arial" w:eastAsia="Arial" w:hAnsi="Arial"/>
                <w:sz w:val="18"/>
                <w:szCs w:val="18"/>
                <w:color w:val="auto"/>
              </w:rPr>
              <w:t>20,421</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(253)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(222)</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(1,068)</w:t>
            </w: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874</w:t>
            </w:r>
          </w:p>
        </w:tc>
        <w:tc>
          <w:tcPr>
            <w:tcW w:w="880" w:type="dxa"/>
            <w:vAlign w:val="bottom"/>
          </w:tcPr>
          <w:p>
            <w:pPr>
              <w:jc w:val="right"/>
              <w:spacing w:after="0"/>
              <w:rPr>
                <w:sz w:val="20"/>
                <w:szCs w:val="20"/>
                <w:color w:val="auto"/>
              </w:rPr>
            </w:pPr>
            <w:r>
              <w:rPr>
                <w:rFonts w:ascii="Arial" w:cs="Arial" w:eastAsia="Arial" w:hAnsi="Arial"/>
                <w:sz w:val="18"/>
                <w:szCs w:val="18"/>
                <w:color w:val="auto"/>
              </w:rPr>
              <w:t>983</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(20)</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(92)</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video customers</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20,094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21,403</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(273)</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(238)</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(1,160)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Voice</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9,684</w:t>
            </w:r>
          </w:p>
        </w:tc>
        <w:tc>
          <w:tcPr>
            <w:tcW w:w="880" w:type="dxa"/>
            <w:vAlign w:val="bottom"/>
          </w:tcPr>
          <w:p>
            <w:pPr>
              <w:jc w:val="right"/>
              <w:spacing w:after="0"/>
              <w:rPr>
                <w:sz w:val="20"/>
                <w:szCs w:val="20"/>
                <w:color w:val="auto"/>
              </w:rPr>
            </w:pPr>
            <w:r>
              <w:rPr>
                <w:rFonts w:ascii="Arial" w:cs="Arial" w:eastAsia="Arial" w:hAnsi="Arial"/>
                <w:sz w:val="18"/>
                <w:szCs w:val="18"/>
                <w:color w:val="auto"/>
              </w:rPr>
              <w:t>9,945</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(14)</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(250)</w:t>
            </w: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1,341</w:t>
            </w:r>
          </w:p>
        </w:tc>
        <w:tc>
          <w:tcPr>
            <w:tcW w:w="880" w:type="dxa"/>
            <w:vAlign w:val="bottom"/>
          </w:tcPr>
          <w:p>
            <w:pPr>
              <w:jc w:val="right"/>
              <w:spacing w:after="0"/>
              <w:rPr>
                <w:sz w:val="20"/>
                <w:szCs w:val="20"/>
                <w:color w:val="auto"/>
              </w:rPr>
            </w:pPr>
            <w:r>
              <w:rPr>
                <w:rFonts w:ascii="Arial" w:cs="Arial" w:eastAsia="Arial" w:hAnsi="Arial"/>
                <w:sz w:val="18"/>
                <w:szCs w:val="18"/>
                <w:color w:val="auto"/>
              </w:rPr>
              <w:t>1,334</w:t>
            </w: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11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voice customers</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11,025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11,278</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(53)</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(251)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Wireless</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Wireless lines</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2,580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12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187</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204</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528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high-definition video (“HD”) or digital video recorder (“DVR”) services, we count and report customers based on the number of potential billable relationships within each MDU. For MDUs whose residents are not able to receive additional services, the MDU is counted as a single customer. Residential high-speed internet and video customers as of September 30, 2020 included prepaid customers totaling approximately 299,000 and 9,000, respectively. Wireless lines represent the number of activated eligible wireless devices on customers’ accounts. Individual customer relationships may have multiple wireless lines. Customer metrics for 2020 do not include customers in the free Internet Essentials offer or certain high-risk customers who continued to receive service following nonpayment (refer to “Impacts of COVID-19” for further discussion).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w w:val="99"/>
              </w:rPr>
              <w:t>Nine Months Ended</w:t>
            </w:r>
          </w:p>
        </w:tc>
        <w:tc>
          <w:tcPr>
            <w:tcW w:w="900" w:type="dxa"/>
            <w:vAlign w:val="bottom"/>
          </w:tcPr>
          <w:p>
            <w:pPr>
              <w:spacing w:after="0"/>
              <w:rPr>
                <w:sz w:val="14"/>
                <w:szCs w:val="14"/>
                <w:color w:val="auto"/>
              </w:rPr>
            </w:pPr>
          </w:p>
        </w:tc>
      </w:tr>
      <w:tr>
        <w:trPr>
          <w:trHeight w:val="186"/>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83"/>
        </w:trPr>
        <w:tc>
          <w:tcPr>
            <w:tcW w:w="4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w w:val="96"/>
              </w:rPr>
              <w:t>2019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96"/>
              </w:rPr>
              <w:t>2019</w:t>
            </w:r>
          </w:p>
        </w:tc>
      </w:tr>
      <w:tr>
        <w:trPr>
          <w:trHeight w:val="226"/>
        </w:trPr>
        <w:tc>
          <w:tcPr>
            <w:tcW w:w="4920" w:type="dxa"/>
            <w:vAlign w:val="bottom"/>
          </w:tcPr>
          <w:p>
            <w:pPr>
              <w:ind w:left="20"/>
              <w:spacing w:after="0"/>
              <w:rPr>
                <w:sz w:val="20"/>
                <w:szCs w:val="20"/>
                <w:color w:val="auto"/>
              </w:rPr>
            </w:pPr>
            <w:r>
              <w:rPr>
                <w:rFonts w:ascii="Arial" w:cs="Arial" w:eastAsia="Arial" w:hAnsi="Arial"/>
                <w:sz w:val="18"/>
                <w:szCs w:val="18"/>
                <w:color w:val="auto"/>
              </w:rPr>
              <w:t>Average monthly total revenue per customer relationship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81"/>
              <w:spacing w:after="0"/>
              <w:rPr>
                <w:sz w:val="20"/>
                <w:szCs w:val="20"/>
                <w:color w:val="auto"/>
              </w:rPr>
            </w:pPr>
            <w:r>
              <w:rPr>
                <w:rFonts w:ascii="Arial" w:cs="Arial" w:eastAsia="Arial" w:hAnsi="Arial"/>
                <w:sz w:val="18"/>
                <w:szCs w:val="18"/>
                <w:color w:val="auto"/>
              </w:rPr>
              <w:t>154.27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156.72</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9"/>
              <w:spacing w:after="0"/>
              <w:rPr>
                <w:sz w:val="20"/>
                <w:szCs w:val="20"/>
                <w:color w:val="auto"/>
              </w:rPr>
            </w:pPr>
            <w:r>
              <w:rPr>
                <w:rFonts w:ascii="Arial" w:cs="Arial" w:eastAsia="Arial" w:hAnsi="Arial"/>
                <w:sz w:val="18"/>
                <w:szCs w:val="18"/>
                <w:color w:val="auto"/>
                <w:w w:val="87"/>
              </w:rPr>
              <w:t>153.42</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156.29</w:t>
            </w: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monthly Adjusted EBITDA per customer relationship</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65.94</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62.34</w:t>
            </w:r>
          </w:p>
        </w:tc>
        <w:tc>
          <w:tcPr>
            <w:tcW w:w="100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64.57</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r>
    </w:tbl>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high-speed internet, video and voice services is also impacted by changes in the allocation of revenue among services sold in a bundle, the allocation does not impact average monthly total revenue per customer relationship. Each of our services has a different contribution to operating margin and we also use average monthly Adjusted EBITDA per customer relationship to evaluate the profitability of our customer base across our service offerings. We believe these metrics are useful to understand the trends in our business and average monthly Adjusted EBITDA per customer relationship is useful particularly as we continue to focus on growing our higher-margin businesses, including residential high-speed internet and business services.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for the three and nine months ended September 30, 2020 compared to the same periods in 2019 due to increases in the number of residential high-speed internet customers and increases in average rates. Average rates in the second and third quarters of 2020 were negatively impacted by customer adjustments and waived fees due to COVID-19. Refer to video description for further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decreased for the three and nine months ended September 30, 2020 compared to the same periods in 2019 due to declines in the number of residential video customers, partially offset by increases in average rates. Average rates in the second and third quarters of 2020 were negatively impacted by customer adjustments accrued as a result of provisions in our programming distribution agreements with regional sports networks related to canceled sporting events. For customers receiving bundled services, the revenue reduction was allocated across each of the services in the bundle.</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and expect that we will continue to experience, declines in the number of residential video customers due to competitive pressures, and we expect that our video revenue will continue to decline as a result of the economic and competitive environment and shifting video consumption patterns. We believe our X1 platform helps us compete more effectively against this competition, and have also continued to employ sales and marketing programs, such as promotions, bundled service offerings and service offerings targeted at specific market segments.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ind w:right="20"/>
        <w:spacing w:after="0" w:line="337" w:lineRule="auto"/>
        <w:rPr>
          <w:sz w:val="20"/>
          <w:szCs w:val="20"/>
          <w:color w:val="auto"/>
        </w:rPr>
      </w:pPr>
      <w:r>
        <w:rPr>
          <w:rFonts w:ascii="Arial" w:cs="Arial" w:eastAsia="Arial" w:hAnsi="Arial"/>
          <w:sz w:val="16"/>
          <w:szCs w:val="16"/>
          <w:color w:val="auto"/>
        </w:rPr>
        <w:t>Revenue decreased for the three and nine months ended September 30, 2020 compared to the same periods in 2019 primarily due to decreases in average rates and the number of residential voice customers. We expect that the number of residential voice customers and voice revenue will continue to decline.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and nine months ended September 30, 2020 compared to the same periods in 2019 primarily due to increases in the number of customer lines.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for the three and nine months ended September 30, 2020 compared to the same periods in 2019 primarily due to increases in average rates and increases in the number of customers receiving our services. The rates of growth in the second and third quarters of 2020 were reduced due to the negative impacts of COVID-19 on small businesses.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increased for the three months ended September 30, 2020 compared to the same period in 2019 due to an increase in political advertising, partially offset by reduced spending from advertisers due to COVID-19. Revenue decreased for the nine months ended September 30, 2020 compared to the same period in 2019 due to reduced spending from advertisers due to COVID-19, partially offset by an increase in political advertising.</w:t>
      </w:r>
    </w:p>
    <w:p>
      <w:pPr>
        <w:spacing w:after="0" w:line="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both the three and nine months ended September 30, 2020, 5% of our advertising revenue was generated from our NBCUniversal segments. For the three and nine months ended September 30, 2019, 8% and 6%, respectively, of our advertising revenue was generated from our NBCUniversal segments. These amounts are eliminated in our condensed consolidated financial statements but are included in the amounts presented above.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decreased for the three months ended September 30, 2020 compared to the same period in 2019 due to certain waived billing and collection fees due to COVID-19 and a decrease in security and automation services. Revenue decreased for the nine months ended September 30, 2020 compared to the same period in 2019 due to certain waived billing and collection fees due to COVID-19, partially offset by an increase in the licensing of our technology platforms to other multichannel video providers.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Programming expenses decreased for the three and nine months ended September 30, 2020 compared to the same periods in 2019 primarily due to adjustments recorded for provisions in our programming distribution agreements with regional sports networks related to canceled sporting events as a result of COVID-19. Excluding these adjustments, programming expenses increased due to increases in retransmission consent and sports programming fees, partially offset by declines in the number of video customers. We anticipate that our programming expenses in the fourth quarter of 2020 will be impacted by higher rate increases compared to those experienced in 2019 due to the timing of contract renewals in 2020, partially offset by an expected decline in the number of residential video customers.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Technical and product support expenses decreased for the three months ended September 30, 2020 compared to the same period in 2019 due to lower personnel costs and cost savings initiatives as well as a reduction in activity in certain aspects of our business related to COVID-19, partially offset by increased costs associated with our wireless phone service. Technical and product support expenses increased for the nine months ended September 30, 2020 compared to the same period in 2019 due to increased costs associated with our wireless phone service and increased costs related to COVID-19, including additional compensation costs for certain personnel, partially offset by cost savings initiatives and a reduction in activity in certain aspects of our business.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service expenses decreased for the three months ended September 30, 2020 compared to the same period in 2019 primarily due to lower labor costs as a result of cost savings initiatives and reduced call volumes. Customer service expenses decreased for the nine months ended September 30, 2020 compared to the same period in 2019 due to lower labor costs as a result of reduced call volumes and cost savings initiatives, partially offset by increases in costs as a result of additional Xfinity stores.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marketing and promotion expenses decreased for the three and nine months ended September 30, 2020 compared to the same periods in 2019 primarily due to decreases in spending.</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increased for the three and nine months ended September 30, 2020 compared to the same periods in 2019 primarily due to increases in the related rates of these fees.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operating costs and expenses increased slightly for the three months ended September 30, 2020 compared to the same period in 2019. Other operating costs and expenses increased for the nine months ended September 30, 2020 compared to the same period in 2019 due to increases in bad debt expense as a result of COVID-19 and personnel-related costs, partially offset by lower third-party advertising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margin is Adjusted EBITDA as a percentage of revenue. We believe this metric is useful particularly as we continue to focus on growing our higher-margin businesses, including residential high-speed internet and business services, and on reducing losses related to our wireless phone service and improving overall operating cost management.</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operating margin for the three and nine months ended September 30, 2020 was 42.7% and 42.1%, respectively. While the accrued adjustments for regional sports networks did not impact Adjusted EBITDA for the three and nine months ended September 30, 2020, they resulted in increases to operating margins. Our operating margin for the three and nine months ended September 30, 2019 was 39.8% and 40.1%, respectively. The most significant operating costs and expenses are the programming expenses we incur to provide content to our video customers, which were flat for the three months ended September 30, 2020 compared to the same period in 2019, and decreased 1.3% for the nine months ended September 30, 2020 compared to the same period in 2019. Losses from our wireless phone service were $50 million and $146 million for the three and nine months ended September 30, 2020, respectively, compared to losses of $94 million and $285 million for the three and nine months ended September 30, 2019,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4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89"/>
              </w:rPr>
              <w:t>2019</w:t>
            </w: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5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26"/>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80" w:type="dxa"/>
            <w:vAlign w:val="bottom"/>
          </w:tcPr>
          <w:p>
            <w:pPr>
              <w:ind w:left="32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2,736</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2,771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14"/>
              <w:spacing w:after="0"/>
              <w:rPr>
                <w:sz w:val="20"/>
                <w:szCs w:val="20"/>
                <w:color w:val="auto"/>
              </w:rPr>
            </w:pPr>
            <w:r>
              <w:rPr>
                <w:rFonts w:ascii="Arial" w:cs="Arial" w:eastAsia="Arial" w:hAnsi="Arial"/>
                <w:sz w:val="18"/>
                <w:szCs w:val="18"/>
                <w:color w:val="auto"/>
              </w:rPr>
              <w:t>(35)</w:t>
            </w: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980" w:type="dxa"/>
            <w:vAlign w:val="bottom"/>
          </w:tcPr>
          <w:p>
            <w:pPr>
              <w:ind w:left="32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2,414</w:t>
            </w: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2,230</w:t>
            </w:r>
          </w:p>
        </w:tc>
        <w:tc>
          <w:tcPr>
            <w:tcW w:w="480" w:type="dxa"/>
            <w:vAlign w:val="bottom"/>
          </w:tcPr>
          <w:p>
            <w:pPr>
              <w:spacing w:after="0"/>
              <w:rPr>
                <w:sz w:val="19"/>
                <w:szCs w:val="19"/>
                <w:color w:val="auto"/>
              </w:rPr>
            </w:pPr>
          </w:p>
        </w:tc>
        <w:tc>
          <w:tcPr>
            <w:tcW w:w="1600" w:type="dxa"/>
            <w:vAlign w:val="bottom"/>
          </w:tcPr>
          <w:p>
            <w:pPr>
              <w:jc w:val="right"/>
              <w:ind w:right="574"/>
              <w:spacing w:after="0"/>
              <w:rPr>
                <w:sz w:val="20"/>
                <w:szCs w:val="20"/>
                <w:color w:val="auto"/>
              </w:rPr>
            </w:pPr>
            <w:r>
              <w:rPr>
                <w:rFonts w:ascii="Arial" w:cs="Arial" w:eastAsia="Arial" w:hAnsi="Arial"/>
                <w:sz w:val="18"/>
                <w:szCs w:val="18"/>
                <w:color w:val="auto"/>
              </w:rPr>
              <w:t>184</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8.3</w:t>
            </w:r>
          </w:p>
        </w:tc>
      </w:tr>
      <w:tr>
        <w:trPr>
          <w:trHeight w:val="230"/>
        </w:trPr>
        <w:tc>
          <w:tcPr>
            <w:tcW w:w="4980" w:type="dxa"/>
            <w:vAlign w:val="bottom"/>
          </w:tcPr>
          <w:p>
            <w:pPr>
              <w:ind w:left="32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1,280</w:t>
            </w: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1,706</w:t>
            </w:r>
          </w:p>
        </w:tc>
        <w:tc>
          <w:tcPr>
            <w:tcW w:w="480" w:type="dxa"/>
            <w:vAlign w:val="bottom"/>
          </w:tcPr>
          <w:p>
            <w:pPr>
              <w:spacing w:after="0"/>
              <w:rPr>
                <w:sz w:val="19"/>
                <w:szCs w:val="19"/>
                <w:color w:val="auto"/>
              </w:rPr>
            </w:pPr>
          </w:p>
        </w:tc>
        <w:tc>
          <w:tcPr>
            <w:tcW w:w="1600" w:type="dxa"/>
            <w:vAlign w:val="bottom"/>
          </w:tcPr>
          <w:p>
            <w:pPr>
              <w:jc w:val="right"/>
              <w:ind w:right="514"/>
              <w:spacing w:after="0"/>
              <w:rPr>
                <w:sz w:val="20"/>
                <w:szCs w:val="20"/>
                <w:color w:val="auto"/>
              </w:rPr>
            </w:pPr>
            <w:r>
              <w:rPr>
                <w:rFonts w:ascii="Arial" w:cs="Arial" w:eastAsia="Arial" w:hAnsi="Arial"/>
                <w:sz w:val="18"/>
                <w:szCs w:val="18"/>
                <w:color w:val="auto"/>
              </w:rPr>
              <w:t>(426)</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(25.0)</w:t>
            </w:r>
          </w:p>
        </w:tc>
      </w:tr>
      <w:tr>
        <w:trPr>
          <w:trHeight w:val="230"/>
        </w:trPr>
        <w:tc>
          <w:tcPr>
            <w:tcW w:w="4980" w:type="dxa"/>
            <w:vAlign w:val="bottom"/>
          </w:tcPr>
          <w:p>
            <w:pPr>
              <w:ind w:left="32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1,631</w:t>
            </w:r>
          </w:p>
        </w:tc>
        <w:tc>
          <w:tcPr>
            <w:tcW w:w="480" w:type="dxa"/>
            <w:vAlign w:val="bottom"/>
          </w:tcPr>
          <w:p>
            <w:pPr>
              <w:spacing w:after="0"/>
              <w:rPr>
                <w:sz w:val="19"/>
                <w:szCs w:val="19"/>
                <w:color w:val="auto"/>
              </w:rPr>
            </w:pPr>
          </w:p>
        </w:tc>
        <w:tc>
          <w:tcPr>
            <w:tcW w:w="1600" w:type="dxa"/>
            <w:vAlign w:val="bottom"/>
          </w:tcPr>
          <w:p>
            <w:pPr>
              <w:jc w:val="right"/>
              <w:ind w:right="514"/>
              <w:spacing w:after="0"/>
              <w:rPr>
                <w:sz w:val="20"/>
                <w:szCs w:val="20"/>
                <w:color w:val="auto"/>
              </w:rPr>
            </w:pPr>
            <w:r>
              <w:rPr>
                <w:rFonts w:ascii="Arial" w:cs="Arial" w:eastAsia="Arial" w:hAnsi="Arial"/>
                <w:sz w:val="18"/>
                <w:szCs w:val="18"/>
                <w:color w:val="auto"/>
              </w:rPr>
              <w:t>(1,320)</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(80.9)</w:t>
            </w:r>
          </w:p>
        </w:tc>
      </w:tr>
      <w:tr>
        <w:trPr>
          <w:trHeight w:val="230"/>
        </w:trPr>
        <w:tc>
          <w:tcPr>
            <w:tcW w:w="49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(17)</w:t>
            </w: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rPr>
              <w:t>26</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NM</w:t>
            </w:r>
          </w:p>
        </w:tc>
      </w:tr>
      <w:tr>
        <w:trPr>
          <w:trHeight w:val="23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6,724</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8,295</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(1,571)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80" w:type="dxa"/>
            <w:vAlign w:val="bottom"/>
          </w:tcPr>
          <w:p>
            <w:pPr>
              <w:ind w:left="32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870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955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14"/>
              <w:spacing w:after="0"/>
              <w:rPr>
                <w:sz w:val="20"/>
                <w:szCs w:val="20"/>
                <w:color w:val="auto"/>
              </w:rPr>
            </w:pPr>
            <w:r>
              <w:rPr>
                <w:rFonts w:ascii="Arial" w:cs="Arial" w:eastAsia="Arial" w:hAnsi="Arial"/>
                <w:sz w:val="18"/>
                <w:szCs w:val="18"/>
                <w:color w:val="auto"/>
              </w:rPr>
              <w:t>(85)</w:t>
            </w:r>
          </w:p>
        </w:tc>
        <w:tc>
          <w:tcPr>
            <w:tcW w:w="102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29"/>
        </w:trPr>
        <w:tc>
          <w:tcPr>
            <w:tcW w:w="4980" w:type="dxa"/>
            <w:vAlign w:val="bottom"/>
          </w:tcPr>
          <w:p>
            <w:pPr>
              <w:ind w:left="32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436</w:t>
            </w: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338</w:t>
            </w:r>
          </w:p>
        </w:tc>
        <w:tc>
          <w:tcPr>
            <w:tcW w:w="480" w:type="dxa"/>
            <w:vAlign w:val="bottom"/>
          </w:tcPr>
          <w:p>
            <w:pPr>
              <w:spacing w:after="0"/>
              <w:rPr>
                <w:sz w:val="19"/>
                <w:szCs w:val="19"/>
                <w:color w:val="auto"/>
              </w:rPr>
            </w:pPr>
          </w:p>
        </w:tc>
        <w:tc>
          <w:tcPr>
            <w:tcW w:w="1600" w:type="dxa"/>
            <w:vAlign w:val="bottom"/>
          </w:tcPr>
          <w:p>
            <w:pPr>
              <w:jc w:val="right"/>
              <w:ind w:right="574"/>
              <w:spacing w:after="0"/>
              <w:rPr>
                <w:sz w:val="20"/>
                <w:szCs w:val="20"/>
                <w:color w:val="auto"/>
              </w:rPr>
            </w:pPr>
            <w:r>
              <w:rPr>
                <w:rFonts w:ascii="Arial" w:cs="Arial" w:eastAsia="Arial" w:hAnsi="Arial"/>
                <w:sz w:val="18"/>
                <w:szCs w:val="18"/>
                <w:color w:val="auto"/>
              </w:rPr>
              <w:t>98</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28.7</w:t>
            </w:r>
          </w:p>
        </w:tc>
      </w:tr>
      <w:tr>
        <w:trPr>
          <w:trHeight w:val="229"/>
        </w:trPr>
        <w:tc>
          <w:tcPr>
            <w:tcW w:w="4980" w:type="dxa"/>
            <w:vAlign w:val="bottom"/>
          </w:tcPr>
          <w:p>
            <w:pPr>
              <w:ind w:left="32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300</w:t>
            </w: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9"/>
                <w:szCs w:val="19"/>
                <w:color w:val="auto"/>
              </w:rPr>
            </w:pPr>
          </w:p>
        </w:tc>
        <w:tc>
          <w:tcPr>
            <w:tcW w:w="1600" w:type="dxa"/>
            <w:vAlign w:val="bottom"/>
          </w:tcPr>
          <w:p>
            <w:pPr>
              <w:jc w:val="right"/>
              <w:ind w:right="574"/>
              <w:spacing w:after="0"/>
              <w:rPr>
                <w:sz w:val="20"/>
                <w:szCs w:val="20"/>
                <w:color w:val="auto"/>
              </w:rPr>
            </w:pPr>
            <w:r>
              <w:rPr>
                <w:rFonts w:ascii="Arial" w:cs="Arial" w:eastAsia="Arial" w:hAnsi="Arial"/>
                <w:sz w:val="18"/>
                <w:szCs w:val="18"/>
                <w:color w:val="auto"/>
              </w:rPr>
              <w:t>105</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53.4</w:t>
            </w:r>
          </w:p>
        </w:tc>
      </w:tr>
      <w:tr>
        <w:trPr>
          <w:trHeight w:val="230"/>
        </w:trPr>
        <w:tc>
          <w:tcPr>
            <w:tcW w:w="4980" w:type="dxa"/>
            <w:vAlign w:val="bottom"/>
          </w:tcPr>
          <w:p>
            <w:pPr>
              <w:ind w:left="32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(203)</w:t>
            </w: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731</w:t>
            </w:r>
          </w:p>
        </w:tc>
        <w:tc>
          <w:tcPr>
            <w:tcW w:w="480" w:type="dxa"/>
            <w:vAlign w:val="bottom"/>
          </w:tcPr>
          <w:p>
            <w:pPr>
              <w:spacing w:after="0"/>
              <w:rPr>
                <w:sz w:val="19"/>
                <w:szCs w:val="19"/>
                <w:color w:val="auto"/>
              </w:rPr>
            </w:pPr>
          </w:p>
        </w:tc>
        <w:tc>
          <w:tcPr>
            <w:tcW w:w="1600" w:type="dxa"/>
            <w:vAlign w:val="bottom"/>
          </w:tcPr>
          <w:p>
            <w:pPr>
              <w:jc w:val="right"/>
              <w:ind w:right="514"/>
              <w:spacing w:after="0"/>
              <w:rPr>
                <w:sz w:val="20"/>
                <w:szCs w:val="20"/>
                <w:color w:val="auto"/>
              </w:rPr>
            </w:pPr>
            <w:r>
              <w:rPr>
                <w:rFonts w:ascii="Arial" w:cs="Arial" w:eastAsia="Arial" w:hAnsi="Arial"/>
                <w:sz w:val="18"/>
                <w:szCs w:val="18"/>
                <w:color w:val="auto"/>
              </w:rPr>
              <w:t>(934)</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(127.7)</w:t>
            </w:r>
          </w:p>
        </w:tc>
      </w:tr>
      <w:tr>
        <w:trPr>
          <w:trHeight w:val="230"/>
        </w:trPr>
        <w:tc>
          <w:tcPr>
            <w:tcW w:w="49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(122)</w:t>
            </w: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(128)</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rPr>
              <w:t>6</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NM</w:t>
            </w:r>
          </w:p>
        </w:tc>
      </w:tr>
      <w:tr>
        <w:trPr>
          <w:trHeight w:val="23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1,281</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2,091</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(810)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8,110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8,586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(476)</w:t>
            </w:r>
          </w:p>
        </w:tc>
        <w:tc>
          <w:tcPr>
            <w:tcW w:w="102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7,462</w:t>
            </w:r>
          </w:p>
        </w:tc>
        <w:tc>
          <w:tcPr>
            <w:tcW w:w="6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7,099</w:t>
            </w:r>
          </w:p>
        </w:tc>
        <w:tc>
          <w:tcPr>
            <w:tcW w:w="480" w:type="dxa"/>
            <w:vAlign w:val="bottom"/>
          </w:tcPr>
          <w:p>
            <w:pPr>
              <w:spacing w:after="0"/>
              <w:rPr>
                <w:sz w:val="19"/>
                <w:szCs w:val="19"/>
                <w:color w:val="auto"/>
              </w:rPr>
            </w:pP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363</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5.1</w:t>
            </w: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3,844</w:t>
            </w:r>
          </w:p>
        </w:tc>
        <w:tc>
          <w:tcPr>
            <w:tcW w:w="6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4,931</w:t>
            </w:r>
          </w:p>
        </w:tc>
        <w:tc>
          <w:tcPr>
            <w:tcW w:w="480" w:type="dxa"/>
            <w:vAlign w:val="bottom"/>
          </w:tcPr>
          <w:p>
            <w:pPr>
              <w:spacing w:after="0"/>
              <w:rPr>
                <w:sz w:val="19"/>
                <w:szCs w:val="19"/>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(1,087)</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(22.0)</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1,267</w:t>
            </w:r>
          </w:p>
        </w:tc>
        <w:tc>
          <w:tcPr>
            <w:tcW w:w="6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4,371</w:t>
            </w:r>
          </w:p>
        </w:tc>
        <w:tc>
          <w:tcPr>
            <w:tcW w:w="480" w:type="dxa"/>
            <w:vAlign w:val="bottom"/>
          </w:tcPr>
          <w:p>
            <w:pPr>
              <w:spacing w:after="0"/>
              <w:rPr>
                <w:sz w:val="19"/>
                <w:szCs w:val="19"/>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(3,104)</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(71.0)</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(101)</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(173)</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72</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NM</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20,582</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24,814</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(4,232)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3,361</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3,418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(57)</w:t>
            </w:r>
          </w:p>
        </w:tc>
        <w:tc>
          <w:tcPr>
            <w:tcW w:w="10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1,578</w:t>
            </w:r>
          </w:p>
        </w:tc>
        <w:tc>
          <w:tcPr>
            <w:tcW w:w="6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1,259</w:t>
            </w:r>
          </w:p>
        </w:tc>
        <w:tc>
          <w:tcPr>
            <w:tcW w:w="480" w:type="dxa"/>
            <w:vAlign w:val="bottom"/>
          </w:tcPr>
          <w:p>
            <w:pPr>
              <w:spacing w:after="0"/>
              <w:rPr>
                <w:sz w:val="19"/>
                <w:szCs w:val="19"/>
                <w:color w:val="auto"/>
              </w:rPr>
            </w:pP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319</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25.3</w:t>
            </w: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634</w:t>
            </w:r>
          </w:p>
        </w:tc>
        <w:tc>
          <w:tcPr>
            <w:tcW w:w="6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742</w:t>
            </w:r>
          </w:p>
        </w:tc>
        <w:tc>
          <w:tcPr>
            <w:tcW w:w="480" w:type="dxa"/>
            <w:vAlign w:val="bottom"/>
          </w:tcPr>
          <w:p>
            <w:pPr>
              <w:spacing w:after="0"/>
              <w:rPr>
                <w:sz w:val="19"/>
                <w:szCs w:val="19"/>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(108)</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(14.6)</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(526)</w:t>
            </w:r>
          </w:p>
        </w:tc>
        <w:tc>
          <w:tcPr>
            <w:tcW w:w="6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1,819</w:t>
            </w:r>
          </w:p>
        </w:tc>
        <w:tc>
          <w:tcPr>
            <w:tcW w:w="480" w:type="dxa"/>
            <w:vAlign w:val="bottom"/>
          </w:tcPr>
          <w:p>
            <w:pPr>
              <w:spacing w:after="0"/>
              <w:rPr>
                <w:sz w:val="19"/>
                <w:szCs w:val="19"/>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(2,345)</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(128.9)</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(381)</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(486)</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105</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NM</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4,666</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6,752</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(2,086)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left="494"/>
              <w:spacing w:after="0"/>
              <w:rPr>
                <w:sz w:val="20"/>
                <w:szCs w:val="20"/>
                <w:color w:val="auto"/>
              </w:rPr>
            </w:pPr>
            <w:r>
              <w:rPr>
                <w:rFonts w:ascii="Arial" w:cs="Arial" w:eastAsia="Arial" w:hAnsi="Arial"/>
                <w:sz w:val="14"/>
                <w:szCs w:val="14"/>
                <w:color w:val="auto"/>
                <w:w w:val="93"/>
              </w:rPr>
              <w:t>Three Months Ended</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center"/>
              <w:ind w:left="535"/>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2"/>
        </w:trPr>
        <w:tc>
          <w:tcPr>
            <w:tcW w:w="5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89"/>
              </w:rPr>
              <w:t>September 30,</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left="555"/>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1,617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1,681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(64)</w:t>
            </w:r>
          </w:p>
        </w:tc>
        <w:tc>
          <w:tcPr>
            <w:tcW w:w="10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793</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809</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(16)</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(2.1)</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Content licensing and other</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326</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281</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45</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16.6</w:t>
            </w: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b w:val="1"/>
                <w:bCs w:val="1"/>
                <w:color w:val="auto"/>
              </w:rPr>
              <w:t>2,736</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2,771</w:t>
            </w:r>
          </w:p>
        </w:tc>
        <w:tc>
          <w:tcPr>
            <w:tcW w:w="520" w:type="dxa"/>
            <w:vAlign w:val="bottom"/>
          </w:tcPr>
          <w:p>
            <w:pPr>
              <w:spacing w:after="0"/>
              <w:rPr>
                <w:sz w:val="18"/>
                <w:szCs w:val="18"/>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b w:val="1"/>
                <w:bCs w:val="1"/>
                <w:color w:val="auto"/>
              </w:rPr>
              <w:t>(35)</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(1.3)</w:t>
            </w:r>
          </w:p>
        </w:tc>
      </w:t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1,432</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1,323</w:t>
            </w:r>
          </w:p>
        </w:tc>
        <w:tc>
          <w:tcPr>
            <w:tcW w:w="520" w:type="dxa"/>
            <w:vAlign w:val="bottom"/>
          </w:tcPr>
          <w:p>
            <w:pPr>
              <w:spacing w:after="0"/>
              <w:rPr>
                <w:sz w:val="19"/>
                <w:szCs w:val="19"/>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color w:val="auto"/>
              </w:rPr>
              <w:t>109</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8.2</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359</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375</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(16)</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(4.0)</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Advertising, marketing and promotion</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75</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(43)</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(36.9)</w:t>
            </w: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1,866</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1,816</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50</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2.8</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870</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955</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b w:val="1"/>
                <w:bCs w:val="1"/>
                <w:color w:val="auto"/>
              </w:rPr>
              <w:t>(85)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r>
      <w:tr>
        <w:trPr>
          <w:trHeight w:val="256"/>
        </w:trPr>
        <w:tc>
          <w:tcPr>
            <w:tcW w:w="5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40" w:type="dxa"/>
            <w:vAlign w:val="bottom"/>
            <w:gridSpan w:val="2"/>
          </w:tcPr>
          <w:p>
            <w:pPr>
              <w:jc w:val="center"/>
              <w:ind w:left="474"/>
              <w:spacing w:after="0"/>
              <w:rPr>
                <w:sz w:val="20"/>
                <w:szCs w:val="20"/>
                <w:color w:val="auto"/>
              </w:rPr>
            </w:pPr>
            <w:r>
              <w:rPr>
                <w:rFonts w:ascii="Arial" w:cs="Arial" w:eastAsia="Arial" w:hAnsi="Arial"/>
                <w:sz w:val="14"/>
                <w:szCs w:val="14"/>
                <w:color w:val="auto"/>
                <w:w w:val="94"/>
              </w:rPr>
              <w:t>Nine Months Ended</w:t>
            </w: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jc w:val="center"/>
              <w:ind w:left="535"/>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2"/>
                <w:szCs w:val="22"/>
                <w:color w:val="auto"/>
              </w:rPr>
            </w:pPr>
          </w:p>
        </w:tc>
      </w:tr>
      <w:tr>
        <w:trPr>
          <w:trHeight w:val="183"/>
        </w:trPr>
        <w:tc>
          <w:tcPr>
            <w:tcW w:w="5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89"/>
              </w:rPr>
              <w:t>September 30,</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left="555"/>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4,780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5,123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(343)</w:t>
            </w:r>
          </w:p>
        </w:tc>
        <w:tc>
          <w:tcPr>
            <w:tcW w:w="102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2,306</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2,592</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(286)</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(11.0)</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Content licensing and other</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1,024</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871</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153</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17.7</w:t>
            </w: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b w:val="1"/>
                <w:bCs w:val="1"/>
                <w:color w:val="auto"/>
              </w:rPr>
              <w:t>8,110</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8,586</w:t>
            </w:r>
          </w:p>
        </w:tc>
        <w:tc>
          <w:tcPr>
            <w:tcW w:w="520" w:type="dxa"/>
            <w:vAlign w:val="bottom"/>
          </w:tcPr>
          <w:p>
            <w:pPr>
              <w:spacing w:after="0"/>
              <w:rPr>
                <w:sz w:val="18"/>
                <w:szCs w:val="18"/>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b w:val="1"/>
                <w:bCs w:val="1"/>
                <w:color w:val="auto"/>
              </w:rPr>
              <w:t>(476)</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(5.5)</w:t>
            </w:r>
          </w:p>
        </w:tc>
      </w:tr>
      <w:tr>
        <w:trPr>
          <w:trHeight w:val="23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3,431</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3,740</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(309)</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(8.3)</w:t>
            </w: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1,078</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1,104</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(26)</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(2.2)</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Advertising, marketing and promotion</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240</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324</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(84)</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(26.1)</w:t>
            </w: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4,749</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5,168</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(419)</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(8.1)</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3,361</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3,418</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b w:val="1"/>
                <w:bCs w:val="1"/>
                <w:color w:val="auto"/>
              </w:rPr>
              <w:t>(57)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r>
      <w:tr>
        <w:trPr>
          <w:trHeight w:val="796"/>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3"/>
        </w:trPr>
        <w:tc>
          <w:tcPr>
            <w:tcW w:w="5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Cable Networks revenue decreased for the three and nine months ended September 30, 2020 compared to the same periods in 2019 due to decreases in distribution revenue and advertising revenue, which were offset by increases in content licensing and other revenue. Distribution revenue decreased primarily due to credits accrued at some of our regional sports networks resulting from the reduced number of games played by professional sports leagues due to COVID-19. Certain of our distribution agreements with multichannel video providers require contractual adjustments if a minimum number of sporting events does not occur. Excluding these credits, distribution revenue decreased due to increased declines in the number of subscribers at our cable networks, partially offset by increases in the contractual rates charged under distribution agreements. Advertising revenue decreased for the three months ended September 30, 2020 compared to the same period in 2019 primarily due to continued audience ratings declines at our networks, partially offset by spending from advertisers on our sports networks as a result of professional sports leagues resuming postponed seasons due to COVID-19. Advertising revenue decreased for the nine months ended September 30, 2020 compared to the same period in 2019 primarily due to continued audience ratings declines at our networks and reduced spending from advertisers as a result of COVID-19, partially offset by higher prices for advertising units sold. Content licensing and other revenue increased primarily due to the timing of content provided under our licensing agreements, which included transactions with Peacock beginning in the second quarter of 2020.</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2020, 15% and 14%, respectively, of our Cable Networks segment revenue was generated from our Cable Communications segment. For the three and nine months ended September 30, 2019, 16% and 15%, respectively, of our Cable Networks segment revenue was generated from our Cable Communications segment. These amounts are eliminated in our condensed consolidated financial statements but are included in the amounts presented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costs and expenses increased for the three months ended September 30, 2020 compared to the same period in 2019 due to increases in programming and production costs, which were offset by decreases in advertising, marketing and promotion costs and other operating and administrative costs. The increase in programming and production costs was primarily due to an increase in sports programming costs as professional sports leagues resumed seasons following postponements as a result of COVID-19, partially offset by decreases in other programming costs at our networks and studio production costs. The decrease in advertising, marketing and promotion costs was due to lower spending on marketing related to our cable networks. The decrease in other operating and administrative costs was primarily due to lower employee-related and other overhead costs as a result of cost savings initiatives.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costs and expenses decreased for the nine months ended September 30, 2020 compared to the same period in 2019 primarily due to decreases in programming and production costs and advertising, marketing and promotion costs. The decrease in programming and production costs was primarily due to decreases in sports programming costs recognized resulting from the reduced number of events as a result of COVID-19, partially offset by increases in studio production costs. The decrease in advertising, marketing and promotion costs was due to lower spending on marketing related to our cable networks. The decrease in other operating and administrative costs was primarily due to lower employee-related and other overhead costs as a result of cost savings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right"/>
              <w:ind w:right="135"/>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1,054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1,191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(137)</w:t>
            </w:r>
          </w:p>
        </w:tc>
        <w:tc>
          <w:tcPr>
            <w:tcW w:w="1020" w:type="dxa"/>
            <w:vAlign w:val="bottom"/>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Content licensing</w:t>
            </w: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740</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447</w:t>
            </w:r>
          </w:p>
        </w:tc>
        <w:tc>
          <w:tcPr>
            <w:tcW w:w="520" w:type="dxa"/>
            <w:vAlign w:val="bottom"/>
          </w:tcPr>
          <w:p>
            <w:pPr>
              <w:spacing w:after="0"/>
              <w:rPr>
                <w:sz w:val="19"/>
                <w:szCs w:val="19"/>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color w:val="auto"/>
              </w:rPr>
              <w:t>293</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65.6</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Distribution and other</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620</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592</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28</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4.9</w:t>
            </w: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b w:val="1"/>
                <w:bCs w:val="1"/>
                <w:color w:val="auto"/>
              </w:rPr>
              <w:t>2,414</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2,230</w:t>
            </w:r>
          </w:p>
        </w:tc>
        <w:tc>
          <w:tcPr>
            <w:tcW w:w="520" w:type="dxa"/>
            <w:vAlign w:val="bottom"/>
          </w:tcPr>
          <w:p>
            <w:pPr>
              <w:spacing w:after="0"/>
              <w:rPr>
                <w:sz w:val="18"/>
                <w:szCs w:val="18"/>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b w:val="1"/>
                <w:bCs w:val="1"/>
                <w:color w:val="auto"/>
              </w:rPr>
              <w:t>184</w:t>
            </w: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rPr>
              <w:t>8.3</w:t>
            </w:r>
          </w:p>
        </w:tc>
      </w:tr>
      <w:tr>
        <w:trPr>
          <w:trHeight w:val="23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1,589</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1,398</w:t>
            </w:r>
          </w:p>
        </w:tc>
        <w:tc>
          <w:tcPr>
            <w:tcW w:w="520" w:type="dxa"/>
            <w:vAlign w:val="bottom"/>
          </w:tcPr>
          <w:p>
            <w:pPr>
              <w:spacing w:after="0"/>
              <w:rPr>
                <w:sz w:val="19"/>
                <w:szCs w:val="19"/>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color w:val="auto"/>
              </w:rPr>
              <w:t>191</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13.7</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300" w:type="dxa"/>
            <w:vAlign w:val="bottom"/>
          </w:tcPr>
          <w:p>
            <w:pPr>
              <w:spacing w:after="0"/>
              <w:rPr>
                <w:sz w:val="19"/>
                <w:szCs w:val="19"/>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335</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373</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(38)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(9.8)</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Advertising, marketing and promotion</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54</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121</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(67)</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(55.4)</w:t>
            </w: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1,978</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1,892</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86</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4.6</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436</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338</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b w:val="1"/>
                <w:bCs w:val="1"/>
                <w:color w:val="auto"/>
              </w:rPr>
              <w:t>98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28.7 %</w:t>
            </w:r>
          </w:p>
        </w:tc>
      </w:tr>
      <w:tr>
        <w:trPr>
          <w:trHeight w:val="796"/>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3"/>
        </w:trPr>
        <w:tc>
          <w:tcPr>
            <w:tcW w:w="5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right"/>
              <w:ind w:right="135"/>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3,331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3,837</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(506)</w:t>
            </w:r>
          </w:p>
        </w:tc>
        <w:tc>
          <w:tcPr>
            <w:tcW w:w="102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2,224</w:t>
            </w:r>
          </w:p>
        </w:tc>
        <w:tc>
          <w:tcPr>
            <w:tcW w:w="6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1,479</w:t>
            </w:r>
          </w:p>
        </w:tc>
        <w:tc>
          <w:tcPr>
            <w:tcW w:w="520" w:type="dxa"/>
            <w:vAlign w:val="bottom"/>
          </w:tcPr>
          <w:p>
            <w:pPr>
              <w:spacing w:after="0"/>
              <w:rPr>
                <w:sz w:val="19"/>
                <w:szCs w:val="19"/>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color w:val="auto"/>
              </w:rPr>
              <w:t>745</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50.3</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Distribution and 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1,907</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1,783</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124</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7.0</w:t>
            </w: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7,462</w:t>
            </w:r>
          </w:p>
        </w:tc>
        <w:tc>
          <w:tcPr>
            <w:tcW w:w="6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7,099</w:t>
            </w:r>
          </w:p>
        </w:tc>
        <w:tc>
          <w:tcPr>
            <w:tcW w:w="520" w:type="dxa"/>
            <w:vAlign w:val="bottom"/>
          </w:tcPr>
          <w:p>
            <w:pPr>
              <w:spacing w:after="0"/>
              <w:rPr>
                <w:sz w:val="18"/>
                <w:szCs w:val="18"/>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b w:val="1"/>
                <w:bCs w:val="1"/>
                <w:color w:val="auto"/>
              </w:rPr>
              <w:t>363</w:t>
            </w: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rPr>
              <w:t>5.1</w:t>
            </w:r>
          </w:p>
        </w:tc>
      </w:t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4,564</w:t>
            </w:r>
          </w:p>
        </w:tc>
        <w:tc>
          <w:tcPr>
            <w:tcW w:w="6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4,344</w:t>
            </w:r>
          </w:p>
        </w:tc>
        <w:tc>
          <w:tcPr>
            <w:tcW w:w="520" w:type="dxa"/>
            <w:vAlign w:val="bottom"/>
          </w:tcPr>
          <w:p>
            <w:pPr>
              <w:spacing w:after="0"/>
              <w:rPr>
                <w:sz w:val="19"/>
                <w:szCs w:val="19"/>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color w:val="auto"/>
              </w:rPr>
              <w:t>220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5.1</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1,103</w:t>
            </w:r>
          </w:p>
        </w:tc>
        <w:tc>
          <w:tcPr>
            <w:tcW w:w="6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1,150</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(47)</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(4.0)</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217</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346</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(129)</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(37.3)</w:t>
            </w: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5,884</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5,840</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44</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0.8</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1,578</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1,259</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b w:val="1"/>
                <w:bCs w:val="1"/>
                <w:color w:val="auto"/>
              </w:rPr>
              <w:t>319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25.3 %</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Broadcast Television revenue increased for the three and nine months ended September 30, 2020 compared to the same periods in 2019 due to increases in content licensing revenue and distribution and other revenue, partially offset by decreases in advertising revenue. The increases in content licensing revenue were primarily due to the timing of content provided under our licensing agreements, which included transactions with Peacock beginning in the second quarter of 2020. The increases in distribution and other revenue were primarily due to increases in fees recognized under our retransmission consent agreements. Advertising revenue decreased for the three months ended September 30, 2020 compared to the same period in 2019 primarily due to continued declines in audience ratings. The decrease in advertising revenue for the nine months ended September 30, 2020 compared to the same period in 2019 was primarily due to continued declines in audience ratings and reduced spending from advertisers as a result of COVID-19, partially offset by higher prices for advertising units sold.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costs and expenses increased for the three and nine months ended September 30, 2020 compared to the same periods in 2019 due to increases in programming and production costs, partially offset by decreases in advertising, marketing and promotion costs and other operating and administrative costs. The increases in programming and production costs for the three and nine months ended September 30, 2020 compared to the same periods in 2019 were primarily due to amortization associated with content licensing sales, partially offset by the impact of the updated accounting guidance, which removed certain limitations on the amounts capitalized for episodic television series and had a favorable impact on programming and production expense in the current year (see Note 8). The increase in programming and production costs for the nine months ended September 30, 2020 compared to the same period in 2019 was also partially offset by decreases in sports programming costs recognized due to the reduced number of events as a result of COVID-19. The decreases in advertising, marketing and promotion costs were primarily due to reduced spending on marketing related to our programming. The decreases in other operating and administrative costs were due to decreased overhead costs as part of cost savings initiatives and lower employee-related costs.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549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(520)</w:t>
            </w:r>
          </w:p>
        </w:tc>
        <w:tc>
          <w:tcPr>
            <w:tcW w:w="1020" w:type="dxa"/>
            <w:vAlign w:val="bottom"/>
          </w:tcPr>
          <w:p>
            <w:pPr>
              <w:jc w:val="right"/>
              <w:spacing w:after="0"/>
              <w:rPr>
                <w:sz w:val="20"/>
                <w:szCs w:val="20"/>
                <w:color w:val="auto"/>
              </w:rPr>
            </w:pPr>
            <w:r>
              <w:rPr>
                <w:rFonts w:ascii="Arial" w:cs="Arial" w:eastAsia="Arial" w:hAnsi="Arial"/>
                <w:sz w:val="18"/>
                <w:szCs w:val="18"/>
                <w:color w:val="auto"/>
              </w:rPr>
              <w:t>(94.7) %</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844</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737</w:t>
            </w:r>
          </w:p>
        </w:tc>
        <w:tc>
          <w:tcPr>
            <w:tcW w:w="520" w:type="dxa"/>
            <w:vAlign w:val="bottom"/>
          </w:tcPr>
          <w:p>
            <w:pPr>
              <w:spacing w:after="0"/>
              <w:rPr>
                <w:sz w:val="19"/>
                <w:szCs w:val="19"/>
                <w:color w:val="auto"/>
              </w:rPr>
            </w:pP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107</w:t>
            </w:r>
          </w:p>
        </w:tc>
        <w:tc>
          <w:tcPr>
            <w:tcW w:w="1020" w:type="dxa"/>
            <w:vAlign w:val="bottom"/>
          </w:tcPr>
          <w:p>
            <w:pPr>
              <w:ind w:left="460"/>
              <w:spacing w:after="0"/>
              <w:rPr>
                <w:sz w:val="20"/>
                <w:szCs w:val="20"/>
                <w:color w:val="auto"/>
              </w:rPr>
            </w:pPr>
            <w:r>
              <w:rPr>
                <w:rFonts w:ascii="Arial" w:cs="Arial" w:eastAsia="Arial" w:hAnsi="Arial"/>
                <w:sz w:val="18"/>
                <w:szCs w:val="18"/>
                <w:color w:val="auto"/>
              </w:rPr>
              <w:t>14.5</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278</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9"/>
                <w:szCs w:val="19"/>
                <w:color w:val="auto"/>
              </w:rPr>
            </w:pP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93</w:t>
            </w:r>
          </w:p>
        </w:tc>
        <w:tc>
          <w:tcPr>
            <w:tcW w:w="1020" w:type="dxa"/>
            <w:vAlign w:val="bottom"/>
          </w:tcPr>
          <w:p>
            <w:pPr>
              <w:ind w:left="460"/>
              <w:spacing w:after="0"/>
              <w:rPr>
                <w:sz w:val="20"/>
                <w:szCs w:val="20"/>
                <w:color w:val="auto"/>
              </w:rPr>
            </w:pPr>
            <w:r>
              <w:rPr>
                <w:rFonts w:ascii="Arial" w:cs="Arial" w:eastAsia="Arial" w:hAnsi="Arial"/>
                <w:sz w:val="18"/>
                <w:szCs w:val="18"/>
                <w:color w:val="auto"/>
              </w:rPr>
              <w:t>49.1</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129</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235</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(106)</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(44.8)</w:t>
            </w: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1,280</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1,706</w:t>
            </w:r>
          </w:p>
        </w:tc>
        <w:tc>
          <w:tcPr>
            <w:tcW w:w="520" w:type="dxa"/>
            <w:vAlign w:val="bottom"/>
          </w:tcPr>
          <w:p>
            <w:pPr>
              <w:spacing w:after="0"/>
              <w:rPr>
                <w:sz w:val="18"/>
                <w:szCs w:val="18"/>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b w:val="1"/>
                <w:bCs w:val="1"/>
                <w:color w:val="auto"/>
              </w:rPr>
              <w:t>(426)</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(25.0)</w:t>
            </w:r>
          </w:p>
        </w:tc>
      </w:t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639</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867</w:t>
            </w:r>
          </w:p>
        </w:tc>
        <w:tc>
          <w:tcPr>
            <w:tcW w:w="520" w:type="dxa"/>
            <w:vAlign w:val="bottom"/>
          </w:tcPr>
          <w:p>
            <w:pPr>
              <w:spacing w:after="0"/>
              <w:rPr>
                <w:sz w:val="19"/>
                <w:szCs w:val="19"/>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(228)</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(26.4)</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248</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277</w:t>
            </w:r>
          </w:p>
        </w:tc>
        <w:tc>
          <w:tcPr>
            <w:tcW w:w="520" w:type="dxa"/>
            <w:vAlign w:val="bottom"/>
          </w:tcPr>
          <w:p>
            <w:pPr>
              <w:spacing w:after="0"/>
              <w:rPr>
                <w:sz w:val="19"/>
                <w:szCs w:val="19"/>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(29)</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(9.7)</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93</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367</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(274)</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(74.8)</w:t>
            </w: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980</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1,511</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(531)</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(35.1)</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300</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195</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b w:val="1"/>
                <w:bCs w:val="1"/>
                <w:color w:val="auto"/>
              </w:rPr>
              <w:t>105</w:t>
            </w: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w w:val="96"/>
              </w:rPr>
              <w:t>53.4 %</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354</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1,246</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(892)</w:t>
            </w:r>
          </w:p>
        </w:tc>
        <w:tc>
          <w:tcPr>
            <w:tcW w:w="1020" w:type="dxa"/>
            <w:vAlign w:val="bottom"/>
          </w:tcPr>
          <w:p>
            <w:pPr>
              <w:jc w:val="right"/>
              <w:spacing w:after="0"/>
              <w:rPr>
                <w:sz w:val="20"/>
                <w:szCs w:val="20"/>
                <w:color w:val="auto"/>
              </w:rPr>
            </w:pPr>
            <w:r>
              <w:rPr>
                <w:rFonts w:ascii="Arial" w:cs="Arial" w:eastAsia="Arial" w:hAnsi="Arial"/>
                <w:sz w:val="18"/>
                <w:szCs w:val="18"/>
                <w:color w:val="auto"/>
              </w:rPr>
              <w:t>(71.6) %</w:t>
            </w: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2,385</w:t>
            </w:r>
          </w:p>
        </w:tc>
        <w:tc>
          <w:tcPr>
            <w:tcW w:w="6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2,266</w:t>
            </w:r>
          </w:p>
        </w:tc>
        <w:tc>
          <w:tcPr>
            <w:tcW w:w="520" w:type="dxa"/>
            <w:vAlign w:val="bottom"/>
          </w:tcPr>
          <w:p>
            <w:pPr>
              <w:spacing w:after="0"/>
              <w:rPr>
                <w:sz w:val="19"/>
                <w:szCs w:val="19"/>
                <w:color w:val="auto"/>
              </w:rPr>
            </w:pP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119</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5.3</w:t>
            </w: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678</w:t>
            </w:r>
          </w:p>
        </w:tc>
        <w:tc>
          <w:tcPr>
            <w:tcW w:w="6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681</w:t>
            </w:r>
          </w:p>
        </w:tc>
        <w:tc>
          <w:tcPr>
            <w:tcW w:w="520" w:type="dxa"/>
            <w:vAlign w:val="bottom"/>
          </w:tcPr>
          <w:p>
            <w:pPr>
              <w:spacing w:after="0"/>
              <w:rPr>
                <w:sz w:val="19"/>
                <w:szCs w:val="19"/>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(3)</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(0.6)</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427</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738</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(311)</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(42.1)</w:t>
            </w: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3,844</w:t>
            </w:r>
          </w:p>
        </w:tc>
        <w:tc>
          <w:tcPr>
            <w:tcW w:w="64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4,931</w:t>
            </w:r>
          </w:p>
        </w:tc>
        <w:tc>
          <w:tcPr>
            <w:tcW w:w="520" w:type="dxa"/>
            <w:vAlign w:val="bottom"/>
          </w:tcPr>
          <w:p>
            <w:pPr>
              <w:spacing w:after="0"/>
              <w:rPr>
                <w:sz w:val="18"/>
                <w:szCs w:val="18"/>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b w:val="1"/>
                <w:bCs w:val="1"/>
                <w:color w:val="auto"/>
              </w:rPr>
              <w:t>(1,087)</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(22.0)</w:t>
            </w:r>
          </w:p>
        </w:tc>
      </w:tr>
      <w:tr>
        <w:trPr>
          <w:trHeight w:val="23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1,841</w:t>
            </w:r>
          </w:p>
        </w:tc>
        <w:tc>
          <w:tcPr>
            <w:tcW w:w="6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2,201</w:t>
            </w:r>
          </w:p>
        </w:tc>
        <w:tc>
          <w:tcPr>
            <w:tcW w:w="520" w:type="dxa"/>
            <w:vAlign w:val="bottom"/>
          </w:tcPr>
          <w:p>
            <w:pPr>
              <w:spacing w:after="0"/>
              <w:rPr>
                <w:sz w:val="19"/>
                <w:szCs w:val="19"/>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(360)</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(16.4)</w:t>
            </w: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718</w:t>
            </w:r>
          </w:p>
        </w:tc>
        <w:tc>
          <w:tcPr>
            <w:tcW w:w="64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832</w:t>
            </w:r>
          </w:p>
        </w:tc>
        <w:tc>
          <w:tcPr>
            <w:tcW w:w="520" w:type="dxa"/>
            <w:vAlign w:val="bottom"/>
          </w:tcPr>
          <w:p>
            <w:pPr>
              <w:spacing w:after="0"/>
              <w:rPr>
                <w:sz w:val="19"/>
                <w:szCs w:val="19"/>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(114)</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(13.6)</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651</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1,156</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(505)</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(43.7)</w:t>
            </w: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3,210</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4,189</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(979)</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(23.4)</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634</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742</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(108)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Filmed Entertainment revenue decreased for the three months ended September 30, 2020 compared to the same period in 2019 due to decreases in theatrical revenue and other revenue, partially offset by increases in content licensing revenue and home entertainment revenue. The decrease in theatrical revenue was primarily due to theater closures as a result of COVID-19</w:t>
      </w:r>
      <w:r>
        <w:rPr>
          <w:rFonts w:ascii="Arial" w:cs="Arial" w:eastAsia="Arial" w:hAnsi="Arial"/>
          <w:sz w:val="16"/>
          <w:szCs w:val="16"/>
          <w:i w:val="1"/>
          <w:iCs w:val="1"/>
          <w:color w:val="auto"/>
        </w:rPr>
        <w:t>.</w:t>
      </w:r>
      <w:r>
        <w:rPr>
          <w:rFonts w:ascii="Arial" w:cs="Arial" w:eastAsia="Arial" w:hAnsi="Arial"/>
          <w:sz w:val="16"/>
          <w:szCs w:val="16"/>
          <w:color w:val="auto"/>
        </w:rPr>
        <w:t xml:space="preserve"> The decrease in other revenue was primarily due to decreases in revenue from our movie ticketing and entertainment business and live stage plays, which were impacted by theater and entertainment venue closures as a result of COVID-</w:t>
      </w:r>
    </w:p>
    <w:p>
      <w:pPr>
        <w:spacing w:after="0" w:line="1" w:lineRule="exact"/>
        <w:rPr>
          <w:sz w:val="20"/>
          <w:szCs w:val="20"/>
          <w:color w:val="auto"/>
        </w:rPr>
      </w:pPr>
    </w:p>
    <w:p>
      <w:pPr>
        <w:jc w:val="both"/>
        <w:ind w:firstLine="8"/>
        <w:spacing w:after="0" w:line="302" w:lineRule="auto"/>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increase in content licensing revenue was primarily due to the timing of when content was made available under licensing agreements, increased sales of titles made available on demand, including certain 2020 releases after theater closures due to COVID-19, and transactions with Peacock beginning in the second quarter of 2020. The increase in home entertainment revenue was primarily due to higher sales of 2020 releases, including </w:t>
      </w:r>
      <w:r>
        <w:rPr>
          <w:rFonts w:ascii="Arial" w:cs="Arial" w:eastAsia="Arial" w:hAnsi="Arial"/>
          <w:sz w:val="16"/>
          <w:szCs w:val="16"/>
          <w:i w:val="1"/>
          <w:iCs w:val="1"/>
          <w:color w:val="auto"/>
        </w:rPr>
        <w:t>Trolls World Tour.</w:t>
      </w:r>
    </w:p>
    <w:p>
      <w:pPr>
        <w:spacing w:after="0" w:line="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Filmed Entertainment revenue decreased for the nine months ended September 30, 2020 compared to the same period in 2019 primarily due to decreases in theatrical revenue and other revenue, partially offset by an increase in content licensing revenue. The decreases in theatrical and other revenue were primarily due to theater and entertainment venue closures as a result of COVID-19. The increase in content licensing revenue was primarily due to the timing of when content was made available under licensing agreements, increased sales of titles made available on demand, including certain 2020 releases after theater closures due to COVID-19, and transactions with Peacock beginning in the second quarter of 2020.</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costs and expenses decreased for the three and nine months ended September 30, 2020 compared to the same periods in 2019 due to decreases in advertising, marketing and promotion costs, programming and production costs, and other operating and administrative costs. The decreases in advertising, marketing and promotion costs were due to lower spending on current period releases as a result of COVID-19. The decreases in programming and production costs were primarily due to higher amortization of film production costs in the prior year period. The decreases in other operating and administrative costs were due to lower costs associated with our movie ticketing and entertainment business and live stage plays, which were impacted by theater and entertainment venue closures as a result of COVID-19, and overall efforts of the business to reduce costs.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00" w:type="dxa"/>
            <w:vAlign w:val="bottom"/>
          </w:tcPr>
          <w:p>
            <w:pPr>
              <w:jc w:val="center"/>
              <w:ind w:right="948"/>
              <w:spacing w:after="0"/>
              <w:rPr>
                <w:sz w:val="20"/>
                <w:szCs w:val="20"/>
                <w:color w:val="auto"/>
              </w:rPr>
            </w:pPr>
            <w:r>
              <w:rPr>
                <w:rFonts w:ascii="Arial" w:cs="Arial" w:eastAsia="Arial" w:hAnsi="Arial"/>
                <w:sz w:val="14"/>
                <w:szCs w:val="14"/>
                <w:color w:val="auto"/>
                <w:w w:val="91"/>
              </w:rPr>
              <w:t>Three Months Ended</w:t>
            </w:r>
          </w:p>
        </w:tc>
        <w:tc>
          <w:tcPr>
            <w:tcW w:w="1020" w:type="dxa"/>
            <w:vAlign w:val="bottom"/>
          </w:tcPr>
          <w:p>
            <w:pPr>
              <w:spacing w:after="0"/>
              <w:rPr>
                <w:sz w:val="14"/>
                <w:szCs w:val="14"/>
                <w:color w:val="auto"/>
              </w:rPr>
            </w:pPr>
          </w:p>
        </w:tc>
        <w:tc>
          <w:tcPr>
            <w:tcW w:w="2040" w:type="dxa"/>
            <w:vAlign w:val="bottom"/>
          </w:tcPr>
          <w:p>
            <w:pPr>
              <w:jc w:val="center"/>
              <w:ind w:right="888"/>
              <w:spacing w:after="0"/>
              <w:rPr>
                <w:sz w:val="20"/>
                <w:szCs w:val="20"/>
                <w:color w:val="auto"/>
              </w:rPr>
            </w:pPr>
            <w:r>
              <w:rPr>
                <w:rFonts w:ascii="Arial" w:cs="Arial" w:eastAsia="Arial" w:hAnsi="Arial"/>
                <w:sz w:val="14"/>
                <w:szCs w:val="14"/>
                <w:color w:val="auto"/>
                <w:w w:val="90"/>
              </w:rPr>
              <w:t>Increase/</w:t>
            </w:r>
          </w:p>
        </w:tc>
      </w:tr>
      <w:tr>
        <w:trPr>
          <w:trHeight w:val="183"/>
        </w:trPr>
        <w:tc>
          <w:tcPr>
            <w:tcW w:w="50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center"/>
              <w:ind w:right="948"/>
              <w:spacing w:after="0"/>
              <w:rPr>
                <w:sz w:val="20"/>
                <w:szCs w:val="20"/>
                <w:color w:val="auto"/>
              </w:rPr>
            </w:pPr>
            <w:r>
              <w:rPr>
                <w:rFonts w:ascii="Arial" w:cs="Arial" w:eastAsia="Arial" w:hAnsi="Arial"/>
                <w:sz w:val="14"/>
                <w:szCs w:val="14"/>
                <w:color w:val="auto"/>
                <w:w w:val="91"/>
              </w:rPr>
              <w:t>September 30,</w:t>
            </w:r>
          </w:p>
        </w:tc>
        <w:tc>
          <w:tcPr>
            <w:tcW w:w="10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center"/>
              <w:ind w:right="908"/>
              <w:spacing w:after="0"/>
              <w:rPr>
                <w:sz w:val="20"/>
                <w:szCs w:val="20"/>
                <w:color w:val="auto"/>
              </w:rPr>
            </w:pPr>
            <w:r>
              <w:rPr>
                <w:rFonts w:ascii="Arial" w:cs="Arial" w:eastAsia="Arial" w:hAnsi="Arial"/>
                <w:sz w:val="14"/>
                <w:szCs w:val="14"/>
                <w:color w:val="auto"/>
                <w:w w:val="89"/>
              </w:rPr>
              <w:t>(Decrease)</w:t>
            </w:r>
          </w:p>
        </w:tc>
      </w:tr>
      <w:tr>
        <w:trPr>
          <w:trHeight w:val="182"/>
        </w:trPr>
        <w:tc>
          <w:tcPr>
            <w:tcW w:w="50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Pr>
          <w:p>
            <w:pPr>
              <w:jc w:val="right"/>
              <w:spacing w:after="0"/>
              <w:rPr>
                <w:sz w:val="20"/>
                <w:szCs w:val="20"/>
                <w:color w:val="auto"/>
              </w:rPr>
            </w:pPr>
            <w:r>
              <w:rPr>
                <w:rFonts w:ascii="Arial" w:cs="Arial" w:eastAsia="Arial" w:hAnsi="Arial"/>
                <w:sz w:val="14"/>
                <w:szCs w:val="14"/>
                <w:color w:val="auto"/>
              </w:rPr>
              <w:t>2020</w:t>
            </w:r>
          </w:p>
        </w:tc>
        <w:tc>
          <w:tcPr>
            <w:tcW w:w="2300" w:type="dxa"/>
            <w:vAlign w:val="bottom"/>
          </w:tcPr>
          <w:p>
            <w:pPr>
              <w:jc w:val="right"/>
              <w:ind w:right="648"/>
              <w:spacing w:after="0"/>
              <w:rPr>
                <w:sz w:val="20"/>
                <w:szCs w:val="20"/>
                <w:color w:val="auto"/>
              </w:rPr>
            </w:pPr>
            <w:r>
              <w:rPr>
                <w:rFonts w:ascii="Arial" w:cs="Arial" w:eastAsia="Arial" w:hAnsi="Arial"/>
                <w:sz w:val="14"/>
                <w:szCs w:val="14"/>
                <w:color w:val="auto"/>
              </w:rPr>
              <w:t>2019</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668"/>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311</w:t>
            </w:r>
          </w:p>
        </w:tc>
        <w:tc>
          <w:tcPr>
            <w:tcW w:w="98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1,631</w:t>
            </w:r>
          </w:p>
        </w:tc>
        <w:tc>
          <w:tcPr>
            <w:tcW w:w="5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516"/>
              <w:spacing w:after="0"/>
              <w:rPr>
                <w:sz w:val="20"/>
                <w:szCs w:val="20"/>
                <w:color w:val="auto"/>
              </w:rPr>
            </w:pPr>
            <w:r>
              <w:rPr>
                <w:rFonts w:ascii="Arial" w:cs="Arial" w:eastAsia="Arial" w:hAnsi="Arial"/>
                <w:sz w:val="18"/>
                <w:szCs w:val="18"/>
                <w:color w:val="auto"/>
              </w:rPr>
              <w:t>(1,320)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 %</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514</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900</w:t>
            </w:r>
          </w:p>
        </w:tc>
        <w:tc>
          <w:tcPr>
            <w:tcW w:w="5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(386)</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(42.9)</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88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(203)</w:t>
            </w:r>
          </w:p>
        </w:tc>
        <w:tc>
          <w:tcPr>
            <w:tcW w:w="9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731</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b w:val="1"/>
                <w:bCs w:val="1"/>
                <w:color w:val="auto"/>
              </w:rPr>
              <w:t>(934)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w:t>
            </w:r>
          </w:p>
        </w:tc>
      </w:tr>
      <w:tr>
        <w:trPr>
          <w:trHeight w:val="378"/>
        </w:trPr>
        <w:tc>
          <w:tcPr>
            <w:tcW w:w="5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gridSpan w:val="2"/>
          </w:tcPr>
          <w:p>
            <w:pPr>
              <w:jc w:val="right"/>
              <w:ind w:right="314"/>
              <w:spacing w:after="0"/>
              <w:rPr>
                <w:sz w:val="20"/>
                <w:szCs w:val="20"/>
                <w:color w:val="auto"/>
              </w:rPr>
            </w:pPr>
            <w:r>
              <w:rPr>
                <w:rFonts w:ascii="Arial" w:cs="Arial" w:eastAsia="Arial" w:hAnsi="Arial"/>
                <w:sz w:val="14"/>
                <w:szCs w:val="14"/>
                <w:color w:val="auto"/>
                <w:w w:val="95"/>
              </w:rPr>
              <w:t>Nine Months Ended</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jc w:val="right"/>
              <w:ind w:right="136"/>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24"/>
                <w:szCs w:val="24"/>
                <w:color w:val="auto"/>
              </w:rPr>
            </w:pPr>
          </w:p>
        </w:tc>
      </w:tr>
      <w:tr>
        <w:trPr>
          <w:trHeight w:val="183"/>
        </w:trPr>
        <w:tc>
          <w:tcPr>
            <w:tcW w:w="50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56"/>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color w:val="auto"/>
              </w:rPr>
              <w:t>%</w:t>
            </w: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5"/>
              <w:spacing w:after="0"/>
              <w:rPr>
                <w:sz w:val="20"/>
                <w:szCs w:val="20"/>
                <w:color w:val="auto"/>
              </w:rPr>
            </w:pPr>
            <w:r>
              <w:rPr>
                <w:rFonts w:ascii="Arial" w:cs="Arial" w:eastAsia="Arial" w:hAnsi="Arial"/>
                <w:sz w:val="18"/>
                <w:szCs w:val="18"/>
                <w:color w:val="auto"/>
                <w:w w:val="93"/>
              </w:rPr>
              <w:t>1,267</w:t>
            </w:r>
          </w:p>
        </w:tc>
        <w:tc>
          <w:tcPr>
            <w:tcW w:w="980" w:type="dxa"/>
            <w:vAlign w:val="bottom"/>
          </w:tcPr>
          <w:p>
            <w:pPr>
              <w:jc w:val="right"/>
              <w:ind w:right="674"/>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4,371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16"/>
              <w:spacing w:after="0"/>
              <w:rPr>
                <w:sz w:val="20"/>
                <w:szCs w:val="20"/>
                <w:color w:val="auto"/>
              </w:rPr>
            </w:pPr>
            <w:r>
              <w:rPr>
                <w:rFonts w:ascii="Arial" w:cs="Arial" w:eastAsia="Arial" w:hAnsi="Arial"/>
                <w:sz w:val="18"/>
                <w:szCs w:val="18"/>
                <w:color w:val="auto"/>
              </w:rPr>
              <w:t>(3,104)</w:t>
            </w:r>
          </w:p>
        </w:tc>
        <w:tc>
          <w:tcPr>
            <w:tcW w:w="1020" w:type="dxa"/>
            <w:vAlign w:val="bottom"/>
          </w:tcPr>
          <w:p>
            <w:pPr>
              <w:jc w:val="right"/>
              <w:spacing w:after="0"/>
              <w:rPr>
                <w:sz w:val="20"/>
                <w:szCs w:val="20"/>
                <w:color w:val="auto"/>
              </w:rPr>
            </w:pPr>
            <w:r>
              <w:rPr>
                <w:rFonts w:ascii="Arial" w:cs="Arial" w:eastAsia="Arial" w:hAnsi="Arial"/>
                <w:sz w:val="18"/>
                <w:szCs w:val="18"/>
                <w:color w:val="auto"/>
              </w:rPr>
              <w:t>(71.0) %</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3"/>
              </w:rPr>
              <w:t>1,793</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2,552</w:t>
            </w:r>
          </w:p>
        </w:tc>
        <w:tc>
          <w:tcPr>
            <w:tcW w:w="5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(759)</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(29.8)</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88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(526)</w:t>
            </w:r>
          </w:p>
        </w:tc>
        <w:tc>
          <w:tcPr>
            <w:tcW w:w="9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1,819</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b w:val="1"/>
                <w:bCs w:val="1"/>
                <w:color w:val="auto"/>
              </w:rPr>
              <w:t>(2,345)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Theme Parks revenue decreased for the three and nine months ended September 30, 2020 compared to the same periods in 2019 due to the temporary closures of our theme parks as a result of COVID-19, beginning in late February in Japan and mid-March for our theme parks in Orlando and Hollywood. Our theme parks in Orlando and Japan reopened with limited capacity in June, while our park in Hollywood remains closed.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Theme Parks operating costs and expenses decreased for the three and nine months ended September 30, 2020 compared to the same periods in 2019 primarily due to decreases in costs related to park operations due to the park closures and lower marketing-related costs, partially offset by pre-opening costs associated with Universal Beijing Resort.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jc w:val="right"/>
              <w:ind w:right="115"/>
              <w:spacing w:after="0"/>
              <w:rPr>
                <w:sz w:val="20"/>
                <w:szCs w:val="20"/>
                <w:color w:val="auto"/>
              </w:rPr>
            </w:pPr>
            <w:r>
              <w:rPr>
                <w:rFonts w:ascii="Arial" w:cs="Arial" w:eastAsia="Arial" w:hAnsi="Arial"/>
                <w:sz w:val="14"/>
                <w:szCs w:val="14"/>
                <w:color w:val="auto"/>
              </w:rPr>
              <w:t>Increase/</w:t>
            </w:r>
          </w:p>
        </w:tc>
        <w:tc>
          <w:tcPr>
            <w:tcW w:w="1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4"/>
              </w:rPr>
              <w:t>Constant Currency</w:t>
            </w:r>
          </w:p>
        </w:tc>
        <w:tc>
          <w:tcPr>
            <w:tcW w:w="20" w:type="dxa"/>
            <w:vAlign w:val="bottom"/>
          </w:tcPr>
          <w:p>
            <w:pPr>
              <w:spacing w:after="0"/>
              <w:rPr>
                <w:sz w:val="14"/>
                <w:szCs w:val="14"/>
                <w:color w:val="auto"/>
              </w:rPr>
            </w:pPr>
          </w:p>
        </w:tc>
      </w:tr>
      <w:tr>
        <w:trPr>
          <w:trHeight w:val="189"/>
        </w:trPr>
        <w:tc>
          <w:tcPr>
            <w:tcW w:w="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(Decrease)</w:t>
            </w: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color w:val="auto"/>
                <w:w w:val="90"/>
              </w:rPr>
              <w:t>Growth</w:t>
            </w:r>
            <w:r>
              <w:rPr>
                <w:rFonts w:ascii="Arial" w:cs="Arial" w:eastAsia="Arial" w:hAnsi="Arial"/>
                <w:sz w:val="18"/>
                <w:szCs w:val="18"/>
                <w:color w:val="auto"/>
                <w:w w:val="90"/>
                <w:vertAlign w:val="superscript"/>
              </w:rPr>
              <w:t>(a)</w:t>
            </w:r>
          </w:p>
        </w:tc>
        <w:tc>
          <w:tcPr>
            <w:tcW w:w="20" w:type="dxa"/>
            <w:vAlign w:val="bottom"/>
          </w:tcPr>
          <w:p>
            <w:pPr>
              <w:spacing w:after="0"/>
              <w:rPr>
                <w:sz w:val="16"/>
                <w:szCs w:val="16"/>
                <w:color w:val="auto"/>
              </w:rPr>
            </w:pPr>
          </w:p>
        </w:tc>
      </w:tr>
      <w:tr>
        <w:trPr>
          <w:trHeight w:val="179"/>
        </w:trPr>
        <w:tc>
          <w:tcPr>
            <w:tcW w:w="40" w:type="dxa"/>
            <w:vAlign w:val="bottom"/>
          </w:tcPr>
          <w:p>
            <w:pPr>
              <w:spacing w:after="0"/>
              <w:rPr>
                <w:sz w:val="15"/>
                <w:szCs w:val="15"/>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w w:val="89"/>
              </w:rPr>
              <w:t>2019</w:t>
            </w: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75"/>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15"/>
                <w:szCs w:val="15"/>
                <w:color w:val="auto"/>
              </w:rPr>
            </w:pPr>
          </w:p>
        </w:tc>
      </w:tr>
      <w:tr>
        <w:trPr>
          <w:trHeight w:val="226"/>
        </w:trPr>
        <w:tc>
          <w:tcPr>
            <w:tcW w:w="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Direct-to-consumer</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3,943</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3,793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55"/>
              <w:spacing w:after="0"/>
              <w:rPr>
                <w:sz w:val="20"/>
                <w:szCs w:val="20"/>
                <w:color w:val="auto"/>
              </w:rPr>
            </w:pPr>
            <w:r>
              <w:rPr>
                <w:rFonts w:ascii="Arial" w:cs="Arial" w:eastAsia="Arial" w:hAnsi="Arial"/>
                <w:sz w:val="18"/>
                <w:szCs w:val="18"/>
                <w:color w:val="auto"/>
              </w:rPr>
              <w:t>150</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3.9 %</w:t>
            </w:r>
          </w:p>
        </w:tc>
        <w:tc>
          <w:tcPr>
            <w:tcW w:w="146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Content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388</w:t>
            </w:r>
          </w:p>
        </w:tc>
        <w:tc>
          <w:tcPr>
            <w:tcW w:w="6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315</w:t>
            </w:r>
          </w:p>
        </w:tc>
        <w:tc>
          <w:tcPr>
            <w:tcW w:w="480" w:type="dxa"/>
            <w:vAlign w:val="bottom"/>
          </w:tcPr>
          <w:p>
            <w:pPr>
              <w:spacing w:after="0"/>
              <w:rPr>
                <w:sz w:val="19"/>
                <w:szCs w:val="19"/>
                <w:color w:val="auto"/>
              </w:rPr>
            </w:pPr>
          </w:p>
        </w:tc>
        <w:tc>
          <w:tcPr>
            <w:tcW w:w="1440" w:type="dxa"/>
            <w:vAlign w:val="bottom"/>
          </w:tcPr>
          <w:p>
            <w:pPr>
              <w:jc w:val="right"/>
              <w:ind w:right="555"/>
              <w:spacing w:after="0"/>
              <w:rPr>
                <w:sz w:val="20"/>
                <w:szCs w:val="20"/>
                <w:color w:val="auto"/>
              </w:rPr>
            </w:pPr>
            <w:r>
              <w:rPr>
                <w:rFonts w:ascii="Arial" w:cs="Arial" w:eastAsia="Arial" w:hAnsi="Arial"/>
                <w:sz w:val="18"/>
                <w:szCs w:val="18"/>
                <w:color w:val="auto"/>
              </w:rPr>
              <w:t>73</w:t>
            </w:r>
          </w:p>
        </w:tc>
        <w:tc>
          <w:tcPr>
            <w:tcW w:w="1100" w:type="dxa"/>
            <w:vAlign w:val="bottom"/>
          </w:tcPr>
          <w:p>
            <w:pPr>
              <w:jc w:val="right"/>
              <w:ind w:right="352"/>
              <w:spacing w:after="0"/>
              <w:rPr>
                <w:sz w:val="20"/>
                <w:szCs w:val="20"/>
                <w:color w:val="auto"/>
              </w:rPr>
            </w:pPr>
            <w:r>
              <w:rPr>
                <w:rFonts w:ascii="Arial" w:cs="Arial" w:eastAsia="Arial" w:hAnsi="Arial"/>
                <w:sz w:val="18"/>
                <w:szCs w:val="18"/>
                <w:color w:val="auto"/>
              </w:rPr>
              <w:t>23.3</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Advertising</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462</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446</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3.7</w:t>
            </w: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b w:val="1"/>
                <w:bCs w:val="1"/>
                <w:color w:val="auto"/>
              </w:rPr>
              <w:t>4,793</w:t>
            </w:r>
          </w:p>
        </w:tc>
        <w:tc>
          <w:tcPr>
            <w:tcW w:w="64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4,554</w:t>
            </w:r>
          </w:p>
        </w:tc>
        <w:tc>
          <w:tcPr>
            <w:tcW w:w="480" w:type="dxa"/>
            <w:vAlign w:val="bottom"/>
          </w:tcPr>
          <w:p>
            <w:pPr>
              <w:spacing w:after="0"/>
              <w:rPr>
                <w:sz w:val="18"/>
                <w:szCs w:val="18"/>
                <w:color w:val="auto"/>
              </w:rPr>
            </w:pPr>
          </w:p>
        </w:tc>
        <w:tc>
          <w:tcPr>
            <w:tcW w:w="1440" w:type="dxa"/>
            <w:vAlign w:val="bottom"/>
          </w:tcPr>
          <w:p>
            <w:pPr>
              <w:jc w:val="right"/>
              <w:ind w:right="555"/>
              <w:spacing w:after="0"/>
              <w:rPr>
                <w:sz w:val="20"/>
                <w:szCs w:val="20"/>
                <w:color w:val="auto"/>
              </w:rPr>
            </w:pPr>
            <w:r>
              <w:rPr>
                <w:rFonts w:ascii="Arial" w:cs="Arial" w:eastAsia="Arial" w:hAnsi="Arial"/>
                <w:sz w:val="18"/>
                <w:szCs w:val="18"/>
                <w:b w:val="1"/>
                <w:bCs w:val="1"/>
                <w:color w:val="auto"/>
              </w:rPr>
              <w:t>239</w:t>
            </w:r>
          </w:p>
        </w:tc>
        <w:tc>
          <w:tcPr>
            <w:tcW w:w="1100" w:type="dxa"/>
            <w:vAlign w:val="bottom"/>
          </w:tcPr>
          <w:p>
            <w:pPr>
              <w:jc w:val="right"/>
              <w:ind w:right="352"/>
              <w:spacing w:after="0"/>
              <w:rPr>
                <w:sz w:val="20"/>
                <w:szCs w:val="20"/>
                <w:color w:val="auto"/>
              </w:rPr>
            </w:pPr>
            <w:r>
              <w:rPr>
                <w:rFonts w:ascii="Arial" w:cs="Arial" w:eastAsia="Arial" w:hAnsi="Arial"/>
                <w:sz w:val="18"/>
                <w:szCs w:val="18"/>
                <w:b w:val="1"/>
                <w:bCs w:val="1"/>
                <w:color w:val="auto"/>
              </w:rPr>
              <w:t>5.2</w:t>
            </w:r>
          </w:p>
        </w:tc>
        <w:tc>
          <w:tcPr>
            <w:tcW w:w="1460" w:type="dxa"/>
            <w:vAlign w:val="bottom"/>
          </w:tcPr>
          <w:p>
            <w:pPr>
              <w:jc w:val="right"/>
              <w:ind w:right="155"/>
              <w:spacing w:after="0"/>
              <w:rPr>
                <w:sz w:val="20"/>
                <w:szCs w:val="20"/>
                <w:color w:val="auto"/>
              </w:rPr>
            </w:pPr>
            <w:r>
              <w:rPr>
                <w:rFonts w:ascii="Arial" w:cs="Arial" w:eastAsia="Arial" w:hAnsi="Arial"/>
                <w:sz w:val="18"/>
                <w:szCs w:val="18"/>
                <w:b w:val="1"/>
                <w:bCs w:val="1"/>
                <w:color w:val="auto"/>
              </w:rPr>
              <w:t>0.3</w:t>
            </w:r>
          </w:p>
        </w:tc>
        <w:tc>
          <w:tcPr>
            <w:tcW w:w="20" w:type="dxa"/>
            <w:vAlign w:val="bottom"/>
          </w:tcPr>
          <w:p>
            <w:pPr>
              <w:spacing w:after="0"/>
              <w:rPr>
                <w:sz w:val="18"/>
                <w:szCs w:val="18"/>
                <w:color w:val="auto"/>
              </w:rPr>
            </w:pPr>
          </w:p>
        </w:tc>
      </w:tr>
      <w:tr>
        <w:trPr>
          <w:trHeight w:val="233"/>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Programming and production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2,350</w:t>
            </w:r>
          </w:p>
        </w:tc>
        <w:tc>
          <w:tcPr>
            <w:tcW w:w="6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2,003</w:t>
            </w:r>
          </w:p>
        </w:tc>
        <w:tc>
          <w:tcPr>
            <w:tcW w:w="480" w:type="dxa"/>
            <w:vAlign w:val="bottom"/>
          </w:tcPr>
          <w:p>
            <w:pPr>
              <w:spacing w:after="0"/>
              <w:rPr>
                <w:sz w:val="19"/>
                <w:szCs w:val="19"/>
                <w:color w:val="auto"/>
              </w:rPr>
            </w:pPr>
          </w:p>
        </w:tc>
        <w:tc>
          <w:tcPr>
            <w:tcW w:w="1440" w:type="dxa"/>
            <w:vAlign w:val="bottom"/>
          </w:tcPr>
          <w:p>
            <w:pPr>
              <w:jc w:val="right"/>
              <w:ind w:right="555"/>
              <w:spacing w:after="0"/>
              <w:rPr>
                <w:sz w:val="20"/>
                <w:szCs w:val="20"/>
                <w:color w:val="auto"/>
              </w:rPr>
            </w:pPr>
            <w:r>
              <w:rPr>
                <w:rFonts w:ascii="Arial" w:cs="Arial" w:eastAsia="Arial" w:hAnsi="Arial"/>
                <w:sz w:val="18"/>
                <w:szCs w:val="18"/>
                <w:color w:val="auto"/>
              </w:rPr>
              <w:t>347</w:t>
            </w:r>
          </w:p>
        </w:tc>
        <w:tc>
          <w:tcPr>
            <w:tcW w:w="1100" w:type="dxa"/>
            <w:vAlign w:val="bottom"/>
          </w:tcPr>
          <w:p>
            <w:pPr>
              <w:jc w:val="right"/>
              <w:ind w:right="352"/>
              <w:spacing w:after="0"/>
              <w:rPr>
                <w:sz w:val="20"/>
                <w:szCs w:val="20"/>
                <w:color w:val="auto"/>
              </w:rPr>
            </w:pPr>
            <w:r>
              <w:rPr>
                <w:rFonts w:ascii="Arial" w:cs="Arial" w:eastAsia="Arial" w:hAnsi="Arial"/>
                <w:sz w:val="18"/>
                <w:szCs w:val="18"/>
                <w:color w:val="auto"/>
              </w:rPr>
              <w:t>17.3</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Direct network costs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530</w:t>
            </w:r>
          </w:p>
        </w:tc>
        <w:tc>
          <w:tcPr>
            <w:tcW w:w="6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419</w:t>
            </w:r>
          </w:p>
        </w:tc>
        <w:tc>
          <w:tcPr>
            <w:tcW w:w="480" w:type="dxa"/>
            <w:vAlign w:val="bottom"/>
          </w:tcPr>
          <w:p>
            <w:pPr>
              <w:spacing w:after="0"/>
              <w:rPr>
                <w:sz w:val="19"/>
                <w:szCs w:val="19"/>
                <w:color w:val="auto"/>
              </w:rPr>
            </w:pPr>
          </w:p>
        </w:tc>
        <w:tc>
          <w:tcPr>
            <w:tcW w:w="1440" w:type="dxa"/>
            <w:vAlign w:val="bottom"/>
          </w:tcPr>
          <w:p>
            <w:pPr>
              <w:jc w:val="right"/>
              <w:ind w:right="555"/>
              <w:spacing w:after="0"/>
              <w:rPr>
                <w:sz w:val="20"/>
                <w:szCs w:val="20"/>
                <w:color w:val="auto"/>
              </w:rPr>
            </w:pPr>
            <w:r>
              <w:rPr>
                <w:rFonts w:ascii="Arial" w:cs="Arial" w:eastAsia="Arial" w:hAnsi="Arial"/>
                <w:sz w:val="18"/>
                <w:szCs w:val="18"/>
                <w:color w:val="auto"/>
              </w:rPr>
              <w:t>111</w:t>
            </w:r>
          </w:p>
        </w:tc>
        <w:tc>
          <w:tcPr>
            <w:tcW w:w="1100" w:type="dxa"/>
            <w:vAlign w:val="bottom"/>
          </w:tcPr>
          <w:p>
            <w:pPr>
              <w:jc w:val="right"/>
              <w:ind w:right="352"/>
              <w:spacing w:after="0"/>
              <w:rPr>
                <w:sz w:val="20"/>
                <w:szCs w:val="20"/>
                <w:color w:val="auto"/>
              </w:rPr>
            </w:pPr>
            <w:r>
              <w:rPr>
                <w:rFonts w:ascii="Arial" w:cs="Arial" w:eastAsia="Arial" w:hAnsi="Arial"/>
                <w:sz w:val="18"/>
                <w:szCs w:val="18"/>
                <w:color w:val="auto"/>
              </w:rPr>
              <w:t>26.3</w:t>
            </w:r>
          </w:p>
        </w:tc>
        <w:tc>
          <w:tcPr>
            <w:tcW w:w="1460" w:type="dxa"/>
            <w:vAlign w:val="bottom"/>
          </w:tcPr>
          <w:p>
            <w:pPr>
              <w:jc w:val="right"/>
              <w:ind w:right="155"/>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1,398</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1,233</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165</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13.5</w:t>
            </w: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4,278</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3,655</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623</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17.0</w:t>
            </w: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515</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899</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b w:val="1"/>
                <w:bCs w:val="1"/>
                <w:color w:val="auto"/>
              </w:rPr>
              <w:t>(384)</w:t>
            </w: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(42.8)%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w:t>
            </w:r>
          </w:p>
        </w:tc>
        <w:tc>
          <w:tcPr>
            <w:tcW w:w="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jc w:val="right"/>
              <w:ind w:right="75"/>
              <w:spacing w:after="0"/>
              <w:rPr>
                <w:sz w:val="20"/>
                <w:szCs w:val="20"/>
                <w:color w:val="auto"/>
              </w:rPr>
            </w:pPr>
            <w:r>
              <w:rPr>
                <w:rFonts w:ascii="Arial" w:cs="Arial" w:eastAsia="Arial" w:hAnsi="Arial"/>
                <w:sz w:val="14"/>
                <w:szCs w:val="14"/>
                <w:color w:val="auto"/>
              </w:rPr>
              <w:t>Increase/</w:t>
            </w:r>
          </w:p>
        </w:tc>
        <w:tc>
          <w:tcPr>
            <w:tcW w:w="1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Constant Currency</w:t>
            </w:r>
          </w:p>
        </w:tc>
        <w:tc>
          <w:tcPr>
            <w:tcW w:w="20" w:type="dxa"/>
            <w:vAlign w:val="bottom"/>
          </w:tcPr>
          <w:p>
            <w:pPr>
              <w:spacing w:after="0"/>
              <w:rPr>
                <w:sz w:val="24"/>
                <w:szCs w:val="24"/>
                <w:color w:val="auto"/>
              </w:rPr>
            </w:pPr>
          </w:p>
        </w:tc>
      </w:tr>
      <w:tr>
        <w:trPr>
          <w:trHeight w:val="189"/>
        </w:trPr>
        <w:tc>
          <w:tcPr>
            <w:tcW w:w="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(Decrease)</w:t>
            </w: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color w:val="auto"/>
                <w:w w:val="90"/>
              </w:rPr>
              <w:t>Growth</w:t>
            </w:r>
            <w:r>
              <w:rPr>
                <w:rFonts w:ascii="Arial" w:cs="Arial" w:eastAsia="Arial" w:hAnsi="Arial"/>
                <w:sz w:val="18"/>
                <w:szCs w:val="18"/>
                <w:color w:val="auto"/>
                <w:w w:val="90"/>
                <w:vertAlign w:val="superscript"/>
              </w:rPr>
              <w:t>(a)</w:t>
            </w:r>
          </w:p>
        </w:tc>
        <w:tc>
          <w:tcPr>
            <w:tcW w:w="20" w:type="dxa"/>
            <w:vAlign w:val="bottom"/>
            <w:tcBorders>
              <w:bottom w:val="single" w:sz="8" w:color="auto"/>
            </w:tcBorders>
          </w:tcPr>
          <w:p>
            <w:pPr>
              <w:spacing w:after="0"/>
              <w:rPr>
                <w:sz w:val="16"/>
                <w:szCs w:val="16"/>
                <w:color w:val="auto"/>
              </w:rPr>
            </w:pPr>
          </w:p>
        </w:tc>
      </w:tr>
      <w:tr>
        <w:trPr>
          <w:trHeight w:val="179"/>
        </w:trPr>
        <w:tc>
          <w:tcPr>
            <w:tcW w:w="3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35"/>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tcPr>
          <w:p>
            <w:pPr>
              <w:spacing w:after="0"/>
              <w:rPr>
                <w:sz w:val="15"/>
                <w:szCs w:val="15"/>
                <w:color w:val="auto"/>
              </w:rPr>
            </w:pPr>
          </w:p>
        </w:tc>
      </w:tr>
      <w:tr>
        <w:trPr>
          <w:trHeight w:val="226"/>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300"/>
              <w:spacing w:after="0"/>
              <w:rPr>
                <w:sz w:val="20"/>
                <w:szCs w:val="20"/>
                <w:color w:val="auto"/>
              </w:rPr>
            </w:pPr>
            <w:r>
              <w:rPr>
                <w:rFonts w:ascii="Arial" w:cs="Arial" w:eastAsia="Arial" w:hAnsi="Arial"/>
                <w:sz w:val="18"/>
                <w:szCs w:val="18"/>
                <w:color w:val="auto"/>
              </w:rPr>
              <w:t>Direct-to-consumer</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11,146</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11,516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55"/>
              <w:spacing w:after="0"/>
              <w:rPr>
                <w:sz w:val="20"/>
                <w:szCs w:val="20"/>
                <w:color w:val="auto"/>
              </w:rPr>
            </w:pPr>
            <w:r>
              <w:rPr>
                <w:rFonts w:ascii="Arial" w:cs="Arial" w:eastAsia="Arial" w:hAnsi="Arial"/>
                <w:sz w:val="18"/>
                <w:szCs w:val="18"/>
                <w:color w:val="auto"/>
              </w:rPr>
              <w:t>(370)</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(3.2) %</w:t>
            </w:r>
          </w:p>
        </w:tc>
        <w:tc>
          <w:tcPr>
            <w:tcW w:w="1460" w:type="dxa"/>
            <w:vAlign w:val="bottom"/>
          </w:tcPr>
          <w:p>
            <w:pPr>
              <w:jc w:val="right"/>
              <w:spacing w:after="0"/>
              <w:rPr>
                <w:sz w:val="20"/>
                <w:szCs w:val="20"/>
                <w:color w:val="auto"/>
              </w:rPr>
            </w:pPr>
            <w:r>
              <w:rPr>
                <w:rFonts w:ascii="Arial" w:cs="Arial" w:eastAsia="Arial" w:hAnsi="Arial"/>
                <w:sz w:val="18"/>
                <w:szCs w:val="18"/>
                <w:color w:val="auto"/>
              </w:rPr>
              <w:t>(3.1) %</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300"/>
              <w:spacing w:after="0"/>
              <w:rPr>
                <w:sz w:val="20"/>
                <w:szCs w:val="20"/>
                <w:color w:val="auto"/>
              </w:rPr>
            </w:pPr>
            <w:r>
              <w:rPr>
                <w:rFonts w:ascii="Arial" w:cs="Arial" w:eastAsia="Arial" w:hAnsi="Arial"/>
                <w:sz w:val="18"/>
                <w:szCs w:val="18"/>
                <w:color w:val="auto"/>
              </w:rPr>
              <w:t>Content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947</w:t>
            </w:r>
          </w:p>
        </w:tc>
        <w:tc>
          <w:tcPr>
            <w:tcW w:w="6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1,061</w:t>
            </w:r>
          </w:p>
        </w:tc>
        <w:tc>
          <w:tcPr>
            <w:tcW w:w="480" w:type="dxa"/>
            <w:vAlign w:val="bottom"/>
          </w:tcPr>
          <w:p>
            <w:pPr>
              <w:spacing w:after="0"/>
              <w:rPr>
                <w:sz w:val="19"/>
                <w:szCs w:val="19"/>
                <w:color w:val="auto"/>
              </w:rPr>
            </w:pPr>
          </w:p>
        </w:tc>
        <w:tc>
          <w:tcPr>
            <w:tcW w:w="1440" w:type="dxa"/>
            <w:vAlign w:val="bottom"/>
          </w:tcPr>
          <w:p>
            <w:pPr>
              <w:jc w:val="right"/>
              <w:ind w:right="455"/>
              <w:spacing w:after="0"/>
              <w:rPr>
                <w:sz w:val="20"/>
                <w:szCs w:val="20"/>
                <w:color w:val="auto"/>
              </w:rPr>
            </w:pPr>
            <w:r>
              <w:rPr>
                <w:rFonts w:ascii="Arial" w:cs="Arial" w:eastAsia="Arial" w:hAnsi="Arial"/>
                <w:sz w:val="18"/>
                <w:szCs w:val="18"/>
                <w:color w:val="auto"/>
              </w:rPr>
              <w:t>(114)</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(10.7)</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r>
      <w:tr>
        <w:trPr>
          <w:trHeight w:val="230"/>
        </w:trPr>
        <w:tc>
          <w:tcPr>
            <w:tcW w:w="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Advertising</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1,296</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1,602</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(306)</w:t>
            </w: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(19.1)</w:t>
            </w:r>
          </w:p>
        </w:tc>
        <w:tc>
          <w:tcPr>
            <w:tcW w:w="14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auto"/>
            </w:tcBorders>
          </w:tcPr>
          <w:p>
            <w:pPr>
              <w:spacing w:after="0"/>
              <w:rPr>
                <w:sz w:val="20"/>
                <w:szCs w:val="20"/>
                <w:color w:val="auto"/>
              </w:rPr>
            </w:pPr>
          </w:p>
        </w:tc>
      </w:tr>
      <w:tr>
        <w:trPr>
          <w:trHeight w:val="218"/>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13,389</w:t>
            </w:r>
          </w:p>
        </w:tc>
        <w:tc>
          <w:tcPr>
            <w:tcW w:w="64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14,179</w:t>
            </w:r>
          </w:p>
        </w:tc>
        <w:tc>
          <w:tcPr>
            <w:tcW w:w="480" w:type="dxa"/>
            <w:vAlign w:val="bottom"/>
          </w:tcPr>
          <w:p>
            <w:pPr>
              <w:spacing w:after="0"/>
              <w:rPr>
                <w:sz w:val="18"/>
                <w:szCs w:val="18"/>
                <w:color w:val="auto"/>
              </w:rPr>
            </w:pPr>
          </w:p>
        </w:tc>
        <w:tc>
          <w:tcPr>
            <w:tcW w:w="1440" w:type="dxa"/>
            <w:vAlign w:val="bottom"/>
          </w:tcPr>
          <w:p>
            <w:pPr>
              <w:jc w:val="right"/>
              <w:ind w:right="455"/>
              <w:spacing w:after="0"/>
              <w:rPr>
                <w:sz w:val="20"/>
                <w:szCs w:val="20"/>
                <w:color w:val="auto"/>
              </w:rPr>
            </w:pPr>
            <w:r>
              <w:rPr>
                <w:rFonts w:ascii="Arial" w:cs="Arial" w:eastAsia="Arial" w:hAnsi="Arial"/>
                <w:sz w:val="18"/>
                <w:szCs w:val="18"/>
                <w:b w:val="1"/>
                <w:bCs w:val="1"/>
                <w:color w:val="auto"/>
              </w:rPr>
              <w:t>(790)</w:t>
            </w:r>
          </w:p>
        </w:tc>
        <w:tc>
          <w:tcPr>
            <w:tcW w:w="1100" w:type="dxa"/>
            <w:vAlign w:val="bottom"/>
          </w:tcPr>
          <w:p>
            <w:pPr>
              <w:jc w:val="right"/>
              <w:ind w:right="272"/>
              <w:spacing w:after="0"/>
              <w:rPr>
                <w:sz w:val="20"/>
                <w:szCs w:val="20"/>
                <w:color w:val="auto"/>
              </w:rPr>
            </w:pPr>
            <w:r>
              <w:rPr>
                <w:rFonts w:ascii="Arial" w:cs="Arial" w:eastAsia="Arial" w:hAnsi="Arial"/>
                <w:sz w:val="18"/>
                <w:szCs w:val="18"/>
                <w:b w:val="1"/>
                <w:bCs w:val="1"/>
                <w:color w:val="auto"/>
              </w:rPr>
              <w:t>(5.6)</w:t>
            </w:r>
          </w:p>
        </w:tc>
        <w:tc>
          <w:tcPr>
            <w:tcW w:w="1460" w:type="dxa"/>
            <w:vAlign w:val="bottom"/>
          </w:tcPr>
          <w:p>
            <w:pPr>
              <w:jc w:val="right"/>
              <w:ind w:right="95"/>
              <w:spacing w:after="0"/>
              <w:rPr>
                <w:sz w:val="20"/>
                <w:szCs w:val="20"/>
                <w:color w:val="auto"/>
              </w:rPr>
            </w:pPr>
            <w:r>
              <w:rPr>
                <w:rFonts w:ascii="Arial" w:cs="Arial" w:eastAsia="Arial" w:hAnsi="Arial"/>
                <w:sz w:val="18"/>
                <w:szCs w:val="18"/>
                <w:b w:val="1"/>
                <w:bCs w:val="1"/>
                <w:color w:val="auto"/>
              </w:rPr>
              <w:t>(5.4)</w:t>
            </w:r>
          </w:p>
        </w:tc>
        <w:tc>
          <w:tcPr>
            <w:tcW w:w="20" w:type="dxa"/>
            <w:vAlign w:val="bottom"/>
          </w:tcPr>
          <w:p>
            <w:pPr>
              <w:spacing w:after="0"/>
              <w:rPr>
                <w:sz w:val="18"/>
                <w:szCs w:val="18"/>
                <w:color w:val="auto"/>
              </w:rPr>
            </w:pPr>
          </w:p>
        </w:tc>
      </w:tr>
      <w:tr>
        <w:trPr>
          <w:trHeight w:val="234"/>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300"/>
              <w:spacing w:after="0"/>
              <w:rPr>
                <w:sz w:val="20"/>
                <w:szCs w:val="20"/>
                <w:color w:val="auto"/>
              </w:rPr>
            </w:pPr>
            <w:r>
              <w:rPr>
                <w:rFonts w:ascii="Arial" w:cs="Arial" w:eastAsia="Arial" w:hAnsi="Arial"/>
                <w:sz w:val="18"/>
                <w:szCs w:val="18"/>
                <w:color w:val="auto"/>
              </w:rPr>
              <w:t>Programming and production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5,957</w:t>
            </w:r>
          </w:p>
        </w:tc>
        <w:tc>
          <w:tcPr>
            <w:tcW w:w="6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6,543</w:t>
            </w:r>
          </w:p>
        </w:tc>
        <w:tc>
          <w:tcPr>
            <w:tcW w:w="480" w:type="dxa"/>
            <w:vAlign w:val="bottom"/>
          </w:tcPr>
          <w:p>
            <w:pPr>
              <w:spacing w:after="0"/>
              <w:rPr>
                <w:sz w:val="19"/>
                <w:szCs w:val="19"/>
                <w:color w:val="auto"/>
              </w:rPr>
            </w:pPr>
          </w:p>
        </w:tc>
        <w:tc>
          <w:tcPr>
            <w:tcW w:w="1440" w:type="dxa"/>
            <w:vAlign w:val="bottom"/>
          </w:tcPr>
          <w:p>
            <w:pPr>
              <w:jc w:val="right"/>
              <w:ind w:right="455"/>
              <w:spacing w:after="0"/>
              <w:rPr>
                <w:sz w:val="20"/>
                <w:szCs w:val="20"/>
                <w:color w:val="auto"/>
              </w:rPr>
            </w:pPr>
            <w:r>
              <w:rPr>
                <w:rFonts w:ascii="Arial" w:cs="Arial" w:eastAsia="Arial" w:hAnsi="Arial"/>
                <w:sz w:val="18"/>
                <w:szCs w:val="18"/>
                <w:color w:val="auto"/>
              </w:rPr>
              <w:t>(586)</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(9.0)</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300"/>
              <w:spacing w:after="0"/>
              <w:rPr>
                <w:sz w:val="20"/>
                <w:szCs w:val="20"/>
                <w:color w:val="auto"/>
              </w:rPr>
            </w:pPr>
            <w:r>
              <w:rPr>
                <w:rFonts w:ascii="Arial" w:cs="Arial" w:eastAsia="Arial" w:hAnsi="Arial"/>
                <w:sz w:val="18"/>
                <w:szCs w:val="18"/>
                <w:color w:val="auto"/>
              </w:rPr>
              <w:t>Direct network costs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1,485</w:t>
            </w:r>
          </w:p>
        </w:tc>
        <w:tc>
          <w:tcPr>
            <w:tcW w:w="64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1,218</w:t>
            </w:r>
          </w:p>
        </w:tc>
        <w:tc>
          <w:tcPr>
            <w:tcW w:w="480" w:type="dxa"/>
            <w:vAlign w:val="bottom"/>
          </w:tcPr>
          <w:p>
            <w:pPr>
              <w:spacing w:after="0"/>
              <w:rPr>
                <w:sz w:val="19"/>
                <w:szCs w:val="19"/>
                <w:color w:val="auto"/>
              </w:rPr>
            </w:pPr>
          </w:p>
        </w:tc>
        <w:tc>
          <w:tcPr>
            <w:tcW w:w="1440" w:type="dxa"/>
            <w:vAlign w:val="bottom"/>
          </w:tcPr>
          <w:p>
            <w:pPr>
              <w:jc w:val="right"/>
              <w:ind w:right="495"/>
              <w:spacing w:after="0"/>
              <w:rPr>
                <w:sz w:val="20"/>
                <w:szCs w:val="20"/>
                <w:color w:val="auto"/>
              </w:rPr>
            </w:pPr>
            <w:r>
              <w:rPr>
                <w:rFonts w:ascii="Arial" w:cs="Arial" w:eastAsia="Arial" w:hAnsi="Arial"/>
                <w:sz w:val="18"/>
                <w:szCs w:val="18"/>
                <w:color w:val="auto"/>
              </w:rPr>
              <w:t>267</w:t>
            </w: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21.9</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r>
      <w:tr>
        <w:trPr>
          <w:trHeight w:val="230"/>
        </w:trPr>
        <w:tc>
          <w:tcPr>
            <w:tcW w:w="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4,132</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4,084</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48</w:t>
            </w: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1.2</w:t>
            </w: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20"/>
                <w:szCs w:val="20"/>
                <w:color w:val="auto"/>
              </w:rPr>
            </w:pPr>
          </w:p>
        </w:tc>
      </w:tr>
      <w:tr>
        <w:trPr>
          <w:trHeight w:val="223"/>
        </w:trPr>
        <w:tc>
          <w:tcPr>
            <w:tcW w:w="3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11,574</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11,845</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(271)</w:t>
            </w: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(2.3)</w:t>
            </w:r>
          </w:p>
        </w:tc>
        <w:tc>
          <w:tcPr>
            <w:tcW w:w="14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r>
      <w:tr>
        <w:trPr>
          <w:trHeight w:val="230"/>
        </w:trPr>
        <w:tc>
          <w:tcPr>
            <w:tcW w:w="3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1,815</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2,334</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(519)</w:t>
            </w: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20" w:type="dxa"/>
            <w:vAlign w:val="bottom"/>
            <w:tcBorders>
              <w:bottom w:val="single" w:sz="8" w:color="auto"/>
            </w:tcBorders>
          </w:tcPr>
          <w:p>
            <w:pPr>
              <w:spacing w:after="0"/>
              <w:rPr>
                <w:sz w:val="20"/>
                <w:szCs w:val="20"/>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9" w:lineRule="exact"/>
        <w:rPr>
          <w:sz w:val="20"/>
          <w:szCs w:val="20"/>
          <w:color w:val="auto"/>
        </w:rPr>
      </w:pPr>
    </w:p>
    <w:p>
      <w:pPr>
        <w:ind w:left="260" w:hanging="252"/>
        <w:spacing w:after="0" w:line="273" w:lineRule="auto"/>
        <w:tabs>
          <w:tab w:leader="none" w:pos="257"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36 for additional information, including our definition and our use of constant currency, and for a reconciliation of Sky’s constant currency growth rates.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4"/>
                <w:szCs w:val="14"/>
                <w:color w:val="auto"/>
              </w:rPr>
              <w:t>Net Additions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2080" w:type="dxa"/>
            <w:vAlign w:val="bottom"/>
            <w:gridSpan w:val="2"/>
            <w:vMerge w:val="restart"/>
          </w:tcPr>
          <w:p>
            <w:pPr>
              <w:jc w:val="right"/>
              <w:ind w:right="539"/>
              <w:spacing w:after="0"/>
              <w:rPr>
                <w:sz w:val="20"/>
                <w:szCs w:val="20"/>
                <w:color w:val="auto"/>
              </w:rPr>
            </w:pPr>
            <w:r>
              <w:rPr>
                <w:rFonts w:ascii="Arial" w:cs="Arial" w:eastAsia="Arial" w:hAnsi="Arial"/>
                <w:sz w:val="14"/>
                <w:szCs w:val="14"/>
                <w:color w:val="auto"/>
              </w:rPr>
              <w:t>September 30,</w:t>
            </w:r>
          </w:p>
        </w:tc>
        <w:tc>
          <w:tcPr>
            <w:tcW w:w="1720" w:type="dxa"/>
            <w:vAlign w:val="bottom"/>
            <w:gridSpan w:val="2"/>
          </w:tcPr>
          <w:p>
            <w:pPr>
              <w:jc w:val="center"/>
              <w:ind w:left="288"/>
              <w:spacing w:after="0" w:line="135" w:lineRule="exact"/>
              <w:rPr>
                <w:sz w:val="20"/>
                <w:szCs w:val="20"/>
                <w:color w:val="auto"/>
              </w:rPr>
            </w:pPr>
            <w:r>
              <w:rPr>
                <w:rFonts w:ascii="Arial" w:cs="Arial" w:eastAsia="Arial" w:hAnsi="Arial"/>
                <w:sz w:val="14"/>
                <w:szCs w:val="14"/>
                <w:color w:val="auto"/>
                <w:w w:val="91"/>
              </w:rPr>
              <w:t>Three Months Ended</w:t>
            </w:r>
          </w:p>
        </w:tc>
        <w:tc>
          <w:tcPr>
            <w:tcW w:w="540" w:type="dxa"/>
            <w:vAlign w:val="bottom"/>
          </w:tcPr>
          <w:p>
            <w:pPr>
              <w:spacing w:after="0"/>
              <w:rPr>
                <w:sz w:val="11"/>
                <w:szCs w:val="11"/>
                <w:color w:val="auto"/>
              </w:rPr>
            </w:pPr>
          </w:p>
        </w:tc>
        <w:tc>
          <w:tcPr>
            <w:tcW w:w="1900" w:type="dxa"/>
            <w:vAlign w:val="bottom"/>
            <w:gridSpan w:val="2"/>
          </w:tcPr>
          <w:p>
            <w:pPr>
              <w:ind w:left="280"/>
              <w:spacing w:after="0" w:line="135"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2080" w:type="dxa"/>
            <w:vAlign w:val="bottom"/>
            <w:tcBorders>
              <w:bottom w:val="single" w:sz="8" w:color="auto"/>
            </w:tcBorders>
            <w:gridSpan w:val="2"/>
            <w:vMerge w:val="continue"/>
          </w:tcPr>
          <w:p>
            <w:pPr>
              <w:spacing w:after="0"/>
              <w:rPr>
                <w:sz w:val="15"/>
                <w:szCs w:val="15"/>
                <w:color w:val="auto"/>
              </w:rPr>
            </w:pPr>
          </w:p>
        </w:tc>
        <w:tc>
          <w:tcPr>
            <w:tcW w:w="172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color w:val="auto"/>
                <w:w w:val="91"/>
              </w:rPr>
              <w:t>September 30,</w:t>
            </w:r>
          </w:p>
        </w:tc>
        <w:tc>
          <w:tcPr>
            <w:tcW w:w="5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8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color w:val="auto"/>
              </w:rPr>
              <w:t>2020</w:t>
            </w: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23,695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23,918</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22"/>
              <w:spacing w:after="0"/>
              <w:rPr>
                <w:sz w:val="20"/>
                <w:szCs w:val="20"/>
                <w:color w:val="auto"/>
              </w:rPr>
            </w:pPr>
            <w:r>
              <w:rPr>
                <w:rFonts w:ascii="Arial" w:cs="Arial" w:eastAsia="Arial" w:hAnsi="Arial"/>
                <w:sz w:val="18"/>
                <w:szCs w:val="18"/>
                <w:color w:val="auto"/>
                <w:w w:val="93"/>
              </w:rPr>
              <w:t>(21)</w:t>
            </w: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(99)</w:t>
            </w:r>
          </w:p>
        </w:tc>
        <w:tc>
          <w:tcPr>
            <w:tcW w:w="1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(299)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Sky customer relationships represent the number of residential retail customers that subscribe to at least one of Sky’s four primary services of video, high-speed internet, voice and wireless phone service. Commercial retail customers include hotels, bars, workplaces and restaurants with an active subscription for the purpose of providing Sky services to customers. Sky reports commercial customers based on the number of commercial agreements per venue in the U.K., and generally based on a residential equivalent unit using the multiple of residential customer revenue in Italy and the number of active venues (bars and restaurants) or rooms (hotels and clinics) in Germany.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Three Months Ended</w:t>
            </w:r>
          </w:p>
        </w:tc>
        <w:tc>
          <w:tcPr>
            <w:tcW w:w="1060" w:type="dxa"/>
            <w:vAlign w:val="bottom"/>
            <w:vMerge w:val="restart"/>
          </w:tcPr>
          <w:p>
            <w:pPr>
              <w:jc w:val="center"/>
              <w:ind w:right="104"/>
              <w:spacing w:after="0"/>
              <w:rPr>
                <w:sz w:val="20"/>
                <w:szCs w:val="20"/>
                <w:color w:val="auto"/>
              </w:rPr>
            </w:pPr>
            <w:r>
              <w:rPr>
                <w:rFonts w:ascii="Arial" w:cs="Arial" w:eastAsia="Arial" w:hAnsi="Arial"/>
                <w:sz w:val="14"/>
                <w:szCs w:val="14"/>
                <w:color w:val="auto"/>
                <w:w w:val="90"/>
              </w:rPr>
              <w:t>Increase/</w:t>
            </w:r>
          </w:p>
        </w:tc>
        <w:tc>
          <w:tcPr>
            <w:tcW w:w="1200" w:type="dxa"/>
            <w:vAlign w:val="bottom"/>
          </w:tcPr>
          <w:p>
            <w:pPr>
              <w:jc w:val="center"/>
              <w:ind w:right="364"/>
              <w:spacing w:after="0"/>
              <w:rPr>
                <w:sz w:val="20"/>
                <w:szCs w:val="20"/>
                <w:color w:val="auto"/>
              </w:rPr>
            </w:pPr>
            <w:r>
              <w:rPr>
                <w:rFonts w:ascii="Arial" w:cs="Arial" w:eastAsia="Arial" w:hAnsi="Arial"/>
                <w:sz w:val="14"/>
                <w:szCs w:val="14"/>
                <w:color w:val="auto"/>
                <w:w w:val="92"/>
              </w:rPr>
              <w:t>Constant</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color w:val="auto"/>
              </w:rPr>
              <w:t>Nine Months Ended</w:t>
            </w:r>
          </w:p>
        </w:tc>
        <w:tc>
          <w:tcPr>
            <w:tcW w:w="1080" w:type="dxa"/>
            <w:vAlign w:val="bottom"/>
            <w:vMerge w:val="restart"/>
          </w:tcPr>
          <w:p>
            <w:pPr>
              <w:jc w:val="center"/>
              <w:ind w:right="124"/>
              <w:spacing w:after="0"/>
              <w:rPr>
                <w:sz w:val="20"/>
                <w:szCs w:val="20"/>
                <w:color w:val="auto"/>
              </w:rPr>
            </w:pPr>
            <w:r>
              <w:rPr>
                <w:rFonts w:ascii="Arial" w:cs="Arial" w:eastAsia="Arial" w:hAnsi="Arial"/>
                <w:sz w:val="14"/>
                <w:szCs w:val="14"/>
                <w:color w:val="auto"/>
                <w:w w:val="90"/>
              </w:rPr>
              <w:t>Increase/</w:t>
            </w:r>
          </w:p>
        </w:tc>
        <w:tc>
          <w:tcPr>
            <w:tcW w:w="880" w:type="dxa"/>
            <w:vAlign w:val="bottom"/>
          </w:tcPr>
          <w:p>
            <w:pPr>
              <w:jc w:val="center"/>
              <w:ind w:right="24"/>
              <w:spacing w:after="0"/>
              <w:rPr>
                <w:sz w:val="20"/>
                <w:szCs w:val="20"/>
                <w:color w:val="auto"/>
              </w:rPr>
            </w:pPr>
            <w:r>
              <w:rPr>
                <w:rFonts w:ascii="Arial" w:cs="Arial" w:eastAsia="Arial" w:hAnsi="Arial"/>
                <w:sz w:val="14"/>
                <w:szCs w:val="14"/>
                <w:color w:val="auto"/>
                <w:w w:val="89"/>
              </w:rPr>
              <w:t>Constant</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200" w:type="dxa"/>
            <w:vAlign w:val="bottom"/>
          </w:tcPr>
          <w:p>
            <w:pPr>
              <w:jc w:val="center"/>
              <w:ind w:right="364"/>
              <w:spacing w:after="0" w:line="135" w:lineRule="exact"/>
              <w:rPr>
                <w:sz w:val="20"/>
                <w:szCs w:val="20"/>
                <w:color w:val="auto"/>
              </w:rPr>
            </w:pPr>
            <w:r>
              <w:rPr>
                <w:rFonts w:ascii="Arial" w:cs="Arial" w:eastAsia="Arial" w:hAnsi="Arial"/>
                <w:sz w:val="14"/>
                <w:szCs w:val="14"/>
                <w:color w:val="auto"/>
                <w:w w:val="91"/>
              </w:rPr>
              <w:t>Currency</w:t>
            </w:r>
          </w:p>
        </w:tc>
        <w:tc>
          <w:tcPr>
            <w:tcW w:w="156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80" w:type="dxa"/>
            <w:vAlign w:val="bottom"/>
          </w:tcPr>
          <w:p>
            <w:pPr>
              <w:jc w:val="center"/>
              <w:ind w:right="24"/>
              <w:spacing w:after="0" w:line="135" w:lineRule="exact"/>
              <w:rPr>
                <w:sz w:val="20"/>
                <w:szCs w:val="20"/>
                <w:color w:val="auto"/>
              </w:rPr>
            </w:pPr>
            <w:r>
              <w:rPr>
                <w:rFonts w:ascii="Arial" w:cs="Arial" w:eastAsia="Arial" w:hAnsi="Arial"/>
                <w:sz w:val="14"/>
                <w:szCs w:val="14"/>
                <w:color w:val="auto"/>
                <w:w w:val="95"/>
              </w:rPr>
              <w:t>Currency</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September 30,</w:t>
            </w: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w w:val="89"/>
              </w:rPr>
              <w:t>(Decrease)</w:t>
            </w:r>
          </w:p>
        </w:tc>
        <w:tc>
          <w:tcPr>
            <w:tcW w:w="1200" w:type="dxa"/>
            <w:vAlign w:val="bottom"/>
            <w:tcBorders>
              <w:bottom w:val="single" w:sz="8" w:color="auto"/>
            </w:tcBorders>
          </w:tcPr>
          <w:p>
            <w:pPr>
              <w:jc w:val="center"/>
              <w:ind w:right="364"/>
              <w:spacing w:after="0" w:line="189" w:lineRule="exact"/>
              <w:rPr>
                <w:sz w:val="20"/>
                <w:szCs w:val="20"/>
                <w:color w:val="auto"/>
              </w:rPr>
            </w:pPr>
            <w:r>
              <w:rPr>
                <w:rFonts w:ascii="Arial" w:cs="Arial" w:eastAsia="Arial" w:hAnsi="Arial"/>
                <w:sz w:val="14"/>
                <w:szCs w:val="14"/>
                <w:color w:val="auto"/>
                <w:w w:val="93"/>
              </w:rPr>
              <w:t>Growth</w:t>
            </w:r>
            <w:r>
              <w:rPr>
                <w:rFonts w:ascii="Arial" w:cs="Arial" w:eastAsia="Arial" w:hAnsi="Arial"/>
                <w:sz w:val="18"/>
                <w:szCs w:val="18"/>
                <w:color w:val="auto"/>
                <w:w w:val="93"/>
                <w:vertAlign w:val="superscript"/>
              </w:rPr>
              <w:t>(a)</w:t>
            </w: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September 30,</w:t>
            </w: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89"/>
              </w:rPr>
              <w:t>(Decrease)</w:t>
            </w:r>
          </w:p>
        </w:tc>
        <w:tc>
          <w:tcPr>
            <w:tcW w:w="880" w:type="dxa"/>
            <w:vAlign w:val="bottom"/>
            <w:tcBorders>
              <w:bottom w:val="single" w:sz="8" w:color="auto"/>
            </w:tcBorders>
          </w:tcPr>
          <w:p>
            <w:pPr>
              <w:jc w:val="center"/>
              <w:ind w:right="24"/>
              <w:spacing w:after="0" w:line="189" w:lineRule="exact"/>
              <w:rPr>
                <w:sz w:val="20"/>
                <w:szCs w:val="20"/>
                <w:color w:val="auto"/>
              </w:rPr>
            </w:pPr>
            <w:r>
              <w:rPr>
                <w:rFonts w:ascii="Arial" w:cs="Arial" w:eastAsia="Arial" w:hAnsi="Arial"/>
                <w:sz w:val="14"/>
                <w:szCs w:val="14"/>
                <w:color w:val="auto"/>
                <w:w w:val="90"/>
              </w:rPr>
              <w:t>Growth</w:t>
            </w:r>
            <w:r>
              <w:rPr>
                <w:rFonts w:ascii="Arial" w:cs="Arial" w:eastAsia="Arial" w:hAnsi="Arial"/>
                <w:sz w:val="18"/>
                <w:szCs w:val="18"/>
                <w:color w:val="auto"/>
                <w:w w:val="90"/>
                <w:vertAlign w:val="superscript"/>
              </w:rPr>
              <w:t>(a)</w:t>
            </w:r>
          </w:p>
        </w:tc>
        <w:tc>
          <w:tcPr>
            <w:tcW w:w="0" w:type="dxa"/>
            <w:vAlign w:val="bottom"/>
          </w:tcPr>
          <w:p>
            <w:pPr>
              <w:spacing w:after="0"/>
              <w:rPr>
                <w:sz w:val="1"/>
                <w:szCs w:val="1"/>
                <w:color w:val="auto"/>
              </w:rPr>
            </w:pPr>
          </w:p>
        </w:tc>
      </w:tr>
      <w:tr>
        <w:trPr>
          <w:trHeight w:val="179"/>
        </w:trPr>
        <w:tc>
          <w:tcPr>
            <w:tcW w:w="3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color w:val="auto"/>
              </w:rPr>
              <w:t>2020</w:t>
            </w: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6"/>
              </w:rPr>
              <w:t>%</w:t>
            </w:r>
          </w:p>
        </w:tc>
        <w:tc>
          <w:tcPr>
            <w:tcW w:w="1200" w:type="dxa"/>
            <w:vAlign w:val="bottom"/>
            <w:tcBorders>
              <w:bottom w:val="single" w:sz="8" w:color="auto"/>
            </w:tcBorders>
          </w:tcPr>
          <w:p>
            <w:pPr>
              <w:jc w:val="center"/>
              <w:ind w:right="364"/>
              <w:spacing w:after="0"/>
              <w:rPr>
                <w:sz w:val="20"/>
                <w:szCs w:val="20"/>
                <w:color w:val="auto"/>
              </w:rPr>
            </w:pPr>
            <w:r>
              <w:rPr>
                <w:rFonts w:ascii="Arial" w:cs="Arial" w:eastAsia="Arial" w:hAnsi="Arial"/>
                <w:sz w:val="14"/>
                <w:szCs w:val="14"/>
                <w:color w:val="auto"/>
                <w:w w:val="96"/>
              </w:rPr>
              <w:t>%</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2020</w:t>
            </w: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w w:val="96"/>
              </w:rPr>
              <w:t>%</w:t>
            </w:r>
          </w:p>
        </w:tc>
        <w:tc>
          <w:tcPr>
            <w:tcW w:w="8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3680" w:type="dxa"/>
            <w:vAlign w:val="bottom"/>
          </w:tcPr>
          <w:p>
            <w:pPr>
              <w:ind w:left="20"/>
              <w:spacing w:after="0" w:line="172" w:lineRule="exact"/>
              <w:rPr>
                <w:sz w:val="20"/>
                <w:szCs w:val="20"/>
                <w:color w:val="auto"/>
              </w:rPr>
            </w:pPr>
            <w:r>
              <w:rPr>
                <w:rFonts w:ascii="Arial" w:cs="Arial" w:eastAsia="Arial" w:hAnsi="Arial"/>
                <w:sz w:val="18"/>
                <w:szCs w:val="18"/>
                <w:color w:val="auto"/>
                <w:w w:val="93"/>
              </w:rPr>
              <w:t>Average monthly direct-to-consumer revenue per</w:t>
            </w:r>
          </w:p>
        </w:tc>
        <w:tc>
          <w:tcPr>
            <w:tcW w:w="1020" w:type="dxa"/>
            <w:vAlign w:val="bottom"/>
            <w:vMerge w:val="restart"/>
          </w:tcPr>
          <w:p>
            <w:pPr>
              <w:jc w:val="right"/>
              <w:ind w:right="4"/>
              <w:spacing w:after="0"/>
              <w:rPr>
                <w:sz w:val="20"/>
                <w:szCs w:val="20"/>
                <w:color w:val="auto"/>
              </w:rPr>
            </w:pPr>
            <w:r>
              <w:rPr>
                <w:rFonts w:ascii="Arial" w:cs="Arial" w:eastAsia="Arial" w:hAnsi="Arial"/>
                <w:sz w:val="18"/>
                <w:szCs w:val="18"/>
                <w:color w:val="auto"/>
              </w:rPr>
              <w:t>$   55.44 $</w:t>
            </w:r>
          </w:p>
        </w:tc>
        <w:tc>
          <w:tcPr>
            <w:tcW w:w="720" w:type="dxa"/>
            <w:vAlign w:val="bottom"/>
            <w:vMerge w:val="restart"/>
          </w:tcPr>
          <w:p>
            <w:pPr>
              <w:jc w:val="right"/>
              <w:ind w:right="59"/>
              <w:spacing w:after="0"/>
              <w:rPr>
                <w:sz w:val="20"/>
                <w:szCs w:val="20"/>
                <w:color w:val="auto"/>
              </w:rPr>
            </w:pPr>
            <w:r>
              <w:rPr>
                <w:rFonts w:ascii="Arial" w:cs="Arial" w:eastAsia="Arial" w:hAnsi="Arial"/>
                <w:sz w:val="18"/>
                <w:szCs w:val="18"/>
                <w:color w:val="auto"/>
              </w:rPr>
              <w:t>52.77</w:t>
            </w:r>
          </w:p>
        </w:tc>
        <w:tc>
          <w:tcPr>
            <w:tcW w:w="1060" w:type="dxa"/>
            <w:vAlign w:val="bottom"/>
            <w:vMerge w:val="restart"/>
          </w:tcPr>
          <w:p>
            <w:pPr>
              <w:jc w:val="right"/>
              <w:ind w:right="44"/>
              <w:spacing w:after="0"/>
              <w:rPr>
                <w:sz w:val="20"/>
                <w:szCs w:val="20"/>
                <w:color w:val="auto"/>
              </w:rPr>
            </w:pPr>
            <w:r>
              <w:rPr>
                <w:rFonts w:ascii="Arial" w:cs="Arial" w:eastAsia="Arial" w:hAnsi="Arial"/>
                <w:sz w:val="18"/>
                <w:szCs w:val="18"/>
                <w:color w:val="auto"/>
              </w:rPr>
              <w:t>5.1 %</w:t>
            </w:r>
          </w:p>
        </w:tc>
        <w:tc>
          <w:tcPr>
            <w:tcW w:w="1200" w:type="dxa"/>
            <w:vAlign w:val="bottom"/>
            <w:vMerge w:val="restart"/>
          </w:tcPr>
          <w:p>
            <w:pPr>
              <w:jc w:val="right"/>
              <w:ind w:right="4"/>
              <w:spacing w:after="0"/>
              <w:rPr>
                <w:sz w:val="20"/>
                <w:szCs w:val="20"/>
                <w:color w:val="auto"/>
              </w:rPr>
            </w:pPr>
            <w:r>
              <w:rPr>
                <w:rFonts w:ascii="Arial" w:cs="Arial" w:eastAsia="Arial" w:hAnsi="Arial"/>
                <w:sz w:val="18"/>
                <w:szCs w:val="18"/>
                <w:color w:val="auto"/>
              </w:rPr>
              <w:t>0.1%  $</w:t>
            </w:r>
          </w:p>
        </w:tc>
        <w:tc>
          <w:tcPr>
            <w:tcW w:w="840" w:type="dxa"/>
            <w:vAlign w:val="bottom"/>
            <w:vMerge w:val="restart"/>
          </w:tcPr>
          <w:p>
            <w:pPr>
              <w:jc w:val="right"/>
              <w:ind w:right="4"/>
              <w:spacing w:after="0"/>
              <w:rPr>
                <w:sz w:val="20"/>
                <w:szCs w:val="20"/>
                <w:color w:val="auto"/>
              </w:rPr>
            </w:pPr>
            <w:r>
              <w:rPr>
                <w:rFonts w:ascii="Arial" w:cs="Arial" w:eastAsia="Arial" w:hAnsi="Arial"/>
                <w:sz w:val="18"/>
                <w:szCs w:val="18"/>
                <w:color w:val="auto"/>
              </w:rPr>
              <w:t>51.94 $</w:t>
            </w:r>
          </w:p>
        </w:tc>
        <w:tc>
          <w:tcPr>
            <w:tcW w:w="720" w:type="dxa"/>
            <w:vAlign w:val="bottom"/>
            <w:vMerge w:val="restart"/>
          </w:tcPr>
          <w:p>
            <w:pPr>
              <w:jc w:val="right"/>
              <w:ind w:right="59"/>
              <w:spacing w:after="0"/>
              <w:rPr>
                <w:sz w:val="20"/>
                <w:szCs w:val="20"/>
                <w:color w:val="auto"/>
              </w:rPr>
            </w:pPr>
            <w:r>
              <w:rPr>
                <w:rFonts w:ascii="Arial" w:cs="Arial" w:eastAsia="Arial" w:hAnsi="Arial"/>
                <w:sz w:val="18"/>
                <w:szCs w:val="18"/>
                <w:color w:val="auto"/>
              </w:rPr>
              <w:t>53.86</w:t>
            </w:r>
          </w:p>
        </w:tc>
        <w:tc>
          <w:tcPr>
            <w:tcW w:w="1080" w:type="dxa"/>
            <w:vAlign w:val="bottom"/>
            <w:vMerge w:val="restart"/>
          </w:tcPr>
          <w:p>
            <w:pPr>
              <w:jc w:val="right"/>
              <w:ind w:right="64"/>
              <w:spacing w:after="0"/>
              <w:rPr>
                <w:sz w:val="20"/>
                <w:szCs w:val="20"/>
                <w:color w:val="auto"/>
              </w:rPr>
            </w:pPr>
            <w:r>
              <w:rPr>
                <w:rFonts w:ascii="Arial" w:cs="Arial" w:eastAsia="Arial" w:hAnsi="Arial"/>
                <w:sz w:val="18"/>
                <w:szCs w:val="18"/>
                <w:color w:val="auto"/>
              </w:rPr>
              <w:t>(3.6)%</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customer relationship</w:t>
            </w:r>
          </w:p>
        </w:tc>
        <w:tc>
          <w:tcPr>
            <w:tcW w:w="10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2"/>
        <w:spacing w:after="0" w:line="273" w:lineRule="auto"/>
        <w:tabs>
          <w:tab w:leader="none" w:pos="257"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36 for additional information, including our definition and our use of constant currency, and for a reconciliation of Sky’s constant currency growth rates.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Average monthly direct-to-consumer revenue per customer relationship is impacted by rate adjustments and changes in the types and levels of services received by Sky’s customers. Each of Sky’s services has a different contribution to Adjusted EBITDA. We believe average monthly direct-to-consumer revenue per customer relationship is useful in understanding the trends in our business across all of our direct-to-consumer service offerings.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increased for the three months ended September 30, 2020 and decreased for the nine months ended September 30, 2020 compared to the same periods in 2019. Excluding the impact of foreign currency, revenue decreased primarily due to decreases in customer relationships, and for the nine months ended September 30, 2020, decreases in average revenue per customer relationship also contributed to the decrease.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increased for the three months ended September 30, 2020 and decreased for the nine months ended September 30, 2020 compared to the same periods in 2019. Excluding the impact of foreign currency, revenue increased for the three months ended September 30, 2020 primarily due to higher revenue from sports programming wholesaling arrangements as European soccer leagues resumed sporting events that were previously postponed due to COVID-19. Excluding the impact of foreign currency, revenue decreased for the nine months ended September 30, 2020 primarily due to a decrease in revenue from the distribution of Sky’s sports programming on third-party platforms due to postponed sporting events as a result of COVID-19.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increased for the three months ended September 30, 2020 and decreased for the nine months ended September 30, 2020 compared to the same periods in 2019. Excluding the impact of foreign currency, revenue decreased for the three months ended September 30, 2020 primarily due to overall market weakness, partially offset by additional sporting events in the current quarter that were previously postponed. Excluding the impact of foreign currency, revenue decreased for the nine months ended September 30, 2020 primarily due to overall market weakness, which has worsened due to COVID-19, and the impact of changes in legislation related to gambling advertisements in the U.K. and Italy that occurred in the third quarter of 2019.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Programming and production costs increased for the three months ended September 30, 2020 and decreased for the nine months ended September 30, 2020 compared to the same periods in 2019. Excluding the impact of foreign currency, programming and production costs increased for the three months ended September 30, 2020 primarily due to the recognition of sports programming costs due to rescheduled sporting events that were previously postponed due to COVID-19, partially offset by the impact of the delayed starts of new seasons. Excluding the impact of foreign currency, programming and production costs decreased for the nine months ended September 30, 2020 primarily due to the impact of the delayed starts of the new European soccer seasons.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network costs increased for the three and nine months ended September 30, 2020 compared to the same periods in 2019. Excluding the impact of foreign currency, direct network costs increased primarily due to increases in costs associated with Sky’s high-speed internet and wireless phone services as a result of increases in the number of customers receiving these services.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expenses increased for the three and nine months ended September 30, 2020 compared to the same periods in 2019. Excluding the impact of foreign currency, other expenses increased primarily due to higher marketing costs and a favorable settlement in the prior year periods. The increase in other expenses for the nine months ended September, 30, 2020 was partially offset by lower costs relating to advertising sales resulting from the impact of COVID-19.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center"/>
              <w:ind w:left="457"/>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jc w:val="center"/>
              <w:ind w:left="537"/>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3"/>
        </w:trPr>
        <w:tc>
          <w:tcPr>
            <w:tcW w:w="5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ind w:left="477"/>
              <w:spacing w:after="0"/>
              <w:rPr>
                <w:sz w:val="20"/>
                <w:szCs w:val="20"/>
                <w:color w:val="auto"/>
              </w:rPr>
            </w:pPr>
            <w:r>
              <w:rPr>
                <w:rFonts w:ascii="Arial" w:cs="Arial" w:eastAsia="Arial" w:hAnsi="Arial"/>
                <w:sz w:val="14"/>
                <w:szCs w:val="14"/>
                <w:color w:val="auto"/>
                <w:w w:val="91"/>
              </w:rPr>
              <w:t>September 30,</w:t>
            </w: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left="557"/>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w w:val="96"/>
              </w:rPr>
              <w:t>2019</w:t>
            </w: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57"/>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color w:val="auto"/>
              </w:rPr>
              <w:t>%</w:t>
            </w: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84</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57"/>
              <w:spacing w:after="0"/>
              <w:rPr>
                <w:sz w:val="20"/>
                <w:szCs w:val="20"/>
                <w:color w:val="auto"/>
              </w:rPr>
            </w:pPr>
            <w:r>
              <w:rPr>
                <w:rFonts w:ascii="Arial" w:cs="Arial" w:eastAsia="Arial" w:hAnsi="Arial"/>
                <w:sz w:val="18"/>
                <w:szCs w:val="18"/>
                <w:color w:val="auto"/>
              </w:rPr>
              <w:t>42</w:t>
            </w:r>
          </w:p>
        </w:tc>
        <w:tc>
          <w:tcPr>
            <w:tcW w:w="1020" w:type="dxa"/>
            <w:vAlign w:val="bottom"/>
          </w:tcPr>
          <w:p>
            <w:pPr>
              <w:jc w:val="right"/>
              <w:spacing w:after="0"/>
              <w:rPr>
                <w:sz w:val="20"/>
                <w:szCs w:val="20"/>
                <w:color w:val="auto"/>
              </w:rPr>
            </w:pPr>
            <w:r>
              <w:rPr>
                <w:rFonts w:ascii="Arial" w:cs="Arial" w:eastAsia="Arial" w:hAnsi="Arial"/>
                <w:sz w:val="18"/>
                <w:szCs w:val="18"/>
                <w:color w:val="auto"/>
              </w:rPr>
              <w:t>97.7 %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19"/>
                <w:szCs w:val="19"/>
                <w:color w:val="auto"/>
              </w:rPr>
            </w:pP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767</w:t>
            </w:r>
          </w:p>
        </w:tc>
        <w:tc>
          <w:tcPr>
            <w:tcW w:w="62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19"/>
                <w:szCs w:val="19"/>
                <w:color w:val="auto"/>
              </w:rPr>
            </w:pPr>
          </w:p>
        </w:tc>
        <w:tc>
          <w:tcPr>
            <w:tcW w:w="1580" w:type="dxa"/>
            <w:vAlign w:val="bottom"/>
          </w:tcPr>
          <w:p>
            <w:pPr>
              <w:jc w:val="right"/>
              <w:ind w:right="557"/>
              <w:spacing w:after="0"/>
              <w:rPr>
                <w:sz w:val="20"/>
                <w:szCs w:val="20"/>
                <w:color w:val="auto"/>
              </w:rPr>
            </w:pPr>
            <w:r>
              <w:rPr>
                <w:rFonts w:ascii="Arial" w:cs="Arial" w:eastAsia="Arial" w:hAnsi="Arial"/>
                <w:sz w:val="18"/>
                <w:szCs w:val="18"/>
                <w:color w:val="auto"/>
              </w:rPr>
              <w:t>455</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145.7</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Adjustment for potential legal settlement</w:t>
            </w:r>
          </w:p>
        </w:tc>
        <w:tc>
          <w:tcPr>
            <w:tcW w:w="34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(177)</w:t>
            </w:r>
          </w:p>
        </w:tc>
        <w:tc>
          <w:tcPr>
            <w:tcW w:w="62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80" w:type="dxa"/>
            <w:vAlign w:val="bottom"/>
          </w:tcPr>
          <w:p>
            <w:pPr>
              <w:jc w:val="right"/>
              <w:ind w:right="517"/>
              <w:spacing w:after="0"/>
              <w:rPr>
                <w:sz w:val="20"/>
                <w:szCs w:val="20"/>
                <w:color w:val="auto"/>
              </w:rPr>
            </w:pPr>
            <w:r>
              <w:rPr>
                <w:rFonts w:ascii="Arial" w:cs="Arial" w:eastAsia="Arial" w:hAnsi="Arial"/>
                <w:sz w:val="18"/>
                <w:szCs w:val="18"/>
                <w:color w:val="auto"/>
              </w:rPr>
              <w:t>(177)</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NM</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(10)</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w:t>
            </w: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rPr>
              <w:t>23</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NM</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(496)</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(237)</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b w:val="1"/>
                <w:bCs w:val="1"/>
                <w:color w:val="auto"/>
              </w:rPr>
              <w:t>(259)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w:t>
            </w:r>
          </w:p>
        </w:tc>
      </w:tr>
      <w:tr>
        <w:trPr>
          <w:trHeight w:val="257"/>
        </w:trPr>
        <w:tc>
          <w:tcPr>
            <w:tcW w:w="5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gridSpan w:val="2"/>
          </w:tcPr>
          <w:p>
            <w:pPr>
              <w:jc w:val="center"/>
              <w:ind w:left="477"/>
              <w:spacing w:after="0"/>
              <w:rPr>
                <w:sz w:val="20"/>
                <w:szCs w:val="20"/>
                <w:color w:val="auto"/>
              </w:rPr>
            </w:pPr>
            <w:r>
              <w:rPr>
                <w:rFonts w:ascii="Arial" w:cs="Arial" w:eastAsia="Arial" w:hAnsi="Arial"/>
                <w:sz w:val="14"/>
                <w:szCs w:val="14"/>
                <w:color w:val="auto"/>
                <w:w w:val="94"/>
              </w:rPr>
              <w:t>Nine Months Ended</w:t>
            </w: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80" w:type="dxa"/>
            <w:vAlign w:val="bottom"/>
          </w:tcPr>
          <w:p>
            <w:pPr>
              <w:jc w:val="center"/>
              <w:ind w:left="537"/>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2"/>
                <w:szCs w:val="22"/>
                <w:color w:val="auto"/>
              </w:rPr>
            </w:pPr>
          </w:p>
        </w:tc>
      </w:tr>
      <w:tr>
        <w:trPr>
          <w:trHeight w:val="183"/>
        </w:trPr>
        <w:tc>
          <w:tcPr>
            <w:tcW w:w="5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ind w:left="477"/>
              <w:spacing w:after="0"/>
              <w:rPr>
                <w:sz w:val="20"/>
                <w:szCs w:val="20"/>
                <w:color w:val="auto"/>
              </w:rPr>
            </w:pPr>
            <w:r>
              <w:rPr>
                <w:rFonts w:ascii="Arial" w:cs="Arial" w:eastAsia="Arial" w:hAnsi="Arial"/>
                <w:sz w:val="14"/>
                <w:szCs w:val="14"/>
                <w:color w:val="auto"/>
                <w:w w:val="91"/>
              </w:rPr>
              <w:t>September 30,</w:t>
            </w: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left="557"/>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7"/>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w:t>
            </w: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250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206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57"/>
              <w:spacing w:after="0"/>
              <w:rPr>
                <w:sz w:val="20"/>
                <w:szCs w:val="20"/>
                <w:color w:val="auto"/>
              </w:rPr>
            </w:pPr>
            <w:r>
              <w:rPr>
                <w:rFonts w:ascii="Arial" w:cs="Arial" w:eastAsia="Arial" w:hAnsi="Arial"/>
                <w:sz w:val="18"/>
                <w:szCs w:val="18"/>
                <w:color w:val="auto"/>
              </w:rPr>
              <w:t>44</w:t>
            </w:r>
          </w:p>
        </w:tc>
        <w:tc>
          <w:tcPr>
            <w:tcW w:w="102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1,721</w:t>
            </w:r>
          </w:p>
        </w:tc>
        <w:tc>
          <w:tcPr>
            <w:tcW w:w="62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1,011</w:t>
            </w:r>
          </w:p>
        </w:tc>
        <w:tc>
          <w:tcPr>
            <w:tcW w:w="500" w:type="dxa"/>
            <w:vAlign w:val="bottom"/>
          </w:tcPr>
          <w:p>
            <w:pPr>
              <w:spacing w:after="0"/>
              <w:rPr>
                <w:sz w:val="19"/>
                <w:szCs w:val="19"/>
                <w:color w:val="auto"/>
              </w:rPr>
            </w:pPr>
          </w:p>
        </w:tc>
        <w:tc>
          <w:tcPr>
            <w:tcW w:w="1580" w:type="dxa"/>
            <w:vAlign w:val="bottom"/>
          </w:tcPr>
          <w:p>
            <w:pPr>
              <w:jc w:val="right"/>
              <w:ind w:right="557"/>
              <w:spacing w:after="0"/>
              <w:rPr>
                <w:sz w:val="20"/>
                <w:szCs w:val="20"/>
                <w:color w:val="auto"/>
              </w:rPr>
            </w:pPr>
            <w:r>
              <w:rPr>
                <w:rFonts w:ascii="Arial" w:cs="Arial" w:eastAsia="Arial" w:hAnsi="Arial"/>
                <w:sz w:val="18"/>
                <w:szCs w:val="18"/>
                <w:color w:val="auto"/>
              </w:rPr>
              <w:t>710</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70.1</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Adjustment for potential legal settlement</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(177)</w:t>
            </w:r>
          </w:p>
        </w:tc>
        <w:tc>
          <w:tcPr>
            <w:tcW w:w="62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80" w:type="dxa"/>
            <w:vAlign w:val="bottom"/>
          </w:tcPr>
          <w:p>
            <w:pPr>
              <w:jc w:val="right"/>
              <w:ind w:right="497"/>
              <w:spacing w:after="0"/>
              <w:rPr>
                <w:sz w:val="20"/>
                <w:szCs w:val="20"/>
                <w:color w:val="auto"/>
              </w:rPr>
            </w:pPr>
            <w:r>
              <w:rPr>
                <w:rFonts w:ascii="Arial" w:cs="Arial" w:eastAsia="Arial" w:hAnsi="Arial"/>
                <w:sz w:val="18"/>
                <w:szCs w:val="18"/>
                <w:color w:val="auto"/>
              </w:rPr>
              <w:t>(177)</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NM</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(40)</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w:t>
            </w: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rPr>
              <w:t>128</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NM</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(1,254)</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(637)</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b w:val="1"/>
                <w:bCs w:val="1"/>
                <w:color w:val="auto"/>
              </w:rPr>
              <w:t>(617)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(96.8)%</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primarily relates to Comcast Spectacor, which owns the Philadelphia Flyers and the Wells Fargo Center arena in Philadelphia, Pennsylvania, and, beginning in the second quarter of 2020, revenues at Peacock.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primarily include overhead, personnel costs, the costs of other business initiatives, such as Peacock, and operating costs and expenses associated with Comcast Spectacor.</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Expenses increased for the three and nine months ended September 30, 2020 compared to the same periods in 2019 primarily due to costs associated with Peacock, certain costs incurred in response to COVID-19, including severance and restructuring charges related to our NBCUniversal segments, and a potential legal settlement, which were partially offset by a reduction in costs related to the Sky transaction. Beginning in the second quarter of 2020, Peacock costs include amortization of film and television costs and we expect to continue to incur significant costs related to additional content and marketing for the new platform.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Adjusted EBITDA excludes a potential legal settlement and Sky transaction-related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00" w:type="dxa"/>
            <w:vAlign w:val="bottom"/>
          </w:tcPr>
          <w:p>
            <w:pPr>
              <w:jc w:val="center"/>
              <w:ind w:right="968"/>
              <w:spacing w:after="0"/>
              <w:rPr>
                <w:sz w:val="20"/>
                <w:szCs w:val="20"/>
                <w:color w:val="auto"/>
              </w:rPr>
            </w:pPr>
            <w:r>
              <w:rPr>
                <w:rFonts w:ascii="Arial" w:cs="Arial" w:eastAsia="Arial" w:hAnsi="Arial"/>
                <w:sz w:val="14"/>
                <w:szCs w:val="14"/>
                <w:color w:val="auto"/>
                <w:w w:val="93"/>
              </w:rPr>
              <w:t>Three Months Ended</w:t>
            </w:r>
          </w:p>
        </w:tc>
        <w:tc>
          <w:tcPr>
            <w:tcW w:w="1000" w:type="dxa"/>
            <w:vAlign w:val="bottom"/>
          </w:tcPr>
          <w:p>
            <w:pPr>
              <w:spacing w:after="0"/>
              <w:rPr>
                <w:sz w:val="14"/>
                <w:szCs w:val="14"/>
                <w:color w:val="auto"/>
              </w:rPr>
            </w:pPr>
          </w:p>
        </w:tc>
        <w:tc>
          <w:tcPr>
            <w:tcW w:w="2000" w:type="dxa"/>
            <w:vAlign w:val="bottom"/>
          </w:tcPr>
          <w:p>
            <w:pPr>
              <w:jc w:val="center"/>
              <w:ind w:right="888"/>
              <w:spacing w:after="0"/>
              <w:rPr>
                <w:sz w:val="20"/>
                <w:szCs w:val="20"/>
                <w:color w:val="auto"/>
              </w:rPr>
            </w:pPr>
            <w:r>
              <w:rPr>
                <w:rFonts w:ascii="Arial" w:cs="Arial" w:eastAsia="Arial" w:hAnsi="Arial"/>
                <w:sz w:val="14"/>
                <w:szCs w:val="14"/>
                <w:color w:val="auto"/>
                <w:w w:val="90"/>
              </w:rPr>
              <w:t>Increase/</w:t>
            </w:r>
          </w:p>
        </w:tc>
      </w:tr>
      <w:tr>
        <w:trPr>
          <w:trHeight w:val="183"/>
        </w:trPr>
        <w:tc>
          <w:tcPr>
            <w:tcW w:w="49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center"/>
              <w:ind w:right="968"/>
              <w:spacing w:after="0"/>
              <w:rPr>
                <w:sz w:val="20"/>
                <w:szCs w:val="20"/>
                <w:color w:val="auto"/>
              </w:rPr>
            </w:pPr>
            <w:r>
              <w:rPr>
                <w:rFonts w:ascii="Arial" w:cs="Arial" w:eastAsia="Arial" w:hAnsi="Arial"/>
                <w:sz w:val="14"/>
                <w:szCs w:val="14"/>
                <w:color w:val="auto"/>
                <w:w w:val="89"/>
              </w:rPr>
              <w:t>September 30,</w:t>
            </w:r>
          </w:p>
        </w:tc>
        <w:tc>
          <w:tcPr>
            <w:tcW w:w="10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color w:val="auto"/>
                <w:w w:val="92"/>
              </w:rPr>
              <w:t>(Decrease)</w:t>
            </w:r>
          </w:p>
        </w:tc>
      </w:tr>
      <w:tr>
        <w:trPr>
          <w:trHeight w:val="182"/>
        </w:trPr>
        <w:tc>
          <w:tcPr>
            <w:tcW w:w="49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Pr>
          <w:p>
            <w:pPr>
              <w:jc w:val="right"/>
              <w:spacing w:after="0"/>
              <w:rPr>
                <w:sz w:val="20"/>
                <w:szCs w:val="20"/>
                <w:color w:val="auto"/>
              </w:rPr>
            </w:pPr>
            <w:r>
              <w:rPr>
                <w:rFonts w:ascii="Arial" w:cs="Arial" w:eastAsia="Arial" w:hAnsi="Arial"/>
                <w:sz w:val="14"/>
                <w:szCs w:val="14"/>
                <w:color w:val="auto"/>
              </w:rPr>
              <w:t>2020</w:t>
            </w:r>
          </w:p>
        </w:tc>
        <w:tc>
          <w:tcPr>
            <w:tcW w:w="2300" w:type="dxa"/>
            <w:vAlign w:val="bottom"/>
          </w:tcPr>
          <w:p>
            <w:pPr>
              <w:jc w:val="right"/>
              <w:ind w:right="648"/>
              <w:spacing w:after="0"/>
              <w:rPr>
                <w:sz w:val="20"/>
                <w:szCs w:val="20"/>
                <w:color w:val="auto"/>
              </w:rPr>
            </w:pPr>
            <w:r>
              <w:rPr>
                <w:rFonts w:ascii="Arial" w:cs="Arial" w:eastAsia="Arial" w:hAnsi="Arial"/>
                <w:sz w:val="14"/>
                <w:szCs w:val="14"/>
                <w:color w:val="auto"/>
              </w:rPr>
              <w:t>2019</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48"/>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17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(1,069)</w:t>
            </w:r>
          </w:p>
        </w:tc>
        <w:tc>
          <w:tcPr>
            <w:tcW w:w="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(648)</w:t>
            </w:r>
          </w:p>
        </w:tc>
        <w:tc>
          <w:tcPr>
            <w:tcW w:w="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rPr>
              <w:t>421</w:t>
            </w:r>
          </w:p>
        </w:tc>
        <w:tc>
          <w:tcPr>
            <w:tcW w:w="9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9"/>
              </w:rPr>
              <w:t>64.9 %</w:t>
            </w:r>
          </w:p>
        </w:tc>
        <w:tc>
          <w:tcPr>
            <w:tcW w:w="40" w:type="dxa"/>
            <w:vAlign w:val="bottom"/>
          </w:tcPr>
          <w:p>
            <w:pPr>
              <w:spacing w:after="0"/>
              <w:rPr>
                <w:sz w:val="19"/>
                <w:szCs w:val="19"/>
                <w:color w:val="auto"/>
              </w:rPr>
            </w:pPr>
          </w:p>
        </w:tc>
      </w:tr>
      <w:tr>
        <w:trPr>
          <w:trHeight w:val="230"/>
        </w:trPr>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(941)</w:t>
            </w: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(647)</w:t>
            </w: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rPr>
              <w:t>294</w:t>
            </w: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20"/>
                <w:szCs w:val="20"/>
                <w:color w:val="auto"/>
              </w:rPr>
            </w:pPr>
          </w:p>
        </w:tc>
      </w:tr>
      <w:tr>
        <w:trPr>
          <w:trHeight w:val="230"/>
        </w:trPr>
        <w:tc>
          <w:tcPr>
            <w:tcW w:w="3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(128)</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b w:val="1"/>
                <w:bCs w:val="1"/>
                <w:color w:val="auto"/>
              </w:rPr>
              <w:t>127</w:t>
            </w: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NM</w:t>
            </w:r>
          </w:p>
        </w:tc>
        <w:tc>
          <w:tcPr>
            <w:tcW w:w="4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jc w:val="right"/>
              <w:ind w:right="136"/>
              <w:spacing w:after="0"/>
              <w:rPr>
                <w:sz w:val="20"/>
                <w:szCs w:val="20"/>
                <w:color w:val="auto"/>
              </w:rPr>
            </w:pPr>
            <w:r>
              <w:rPr>
                <w:rFonts w:ascii="Arial" w:cs="Arial" w:eastAsia="Arial" w:hAnsi="Arial"/>
                <w:sz w:val="14"/>
                <w:szCs w:val="14"/>
                <w:color w:val="auto"/>
              </w:rPr>
              <w:t>Increase/</w:t>
            </w: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83"/>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(Decrease)</w:t>
            </w: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w w:val="96"/>
              </w:rPr>
              <w:t>2019</w:t>
            </w: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136"/>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r>
      <w:tr>
        <w:trPr>
          <w:trHeight w:val="226"/>
        </w:trPr>
        <w:tc>
          <w:tcPr>
            <w:tcW w:w="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(2,711)</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(1,969)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6"/>
              <w:spacing w:after="0"/>
              <w:rPr>
                <w:sz w:val="20"/>
                <w:szCs w:val="20"/>
                <w:color w:val="auto"/>
              </w:rPr>
            </w:pPr>
            <w:r>
              <w:rPr>
                <w:rFonts w:ascii="Arial" w:cs="Arial" w:eastAsia="Arial" w:hAnsi="Arial"/>
                <w:sz w:val="18"/>
                <w:szCs w:val="18"/>
                <w:color w:val="auto"/>
              </w:rPr>
              <w:t>742</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w w:val="92"/>
              </w:rPr>
              <w:t>37.6 %</w:t>
            </w:r>
          </w:p>
        </w:tc>
      </w:tr>
      <w:tr>
        <w:trPr>
          <w:trHeight w:val="230"/>
        </w:trPr>
        <w:tc>
          <w:tcPr>
            <w:tcW w:w="40" w:type="dxa"/>
            <w:vAlign w:val="bottom"/>
          </w:tcPr>
          <w:p>
            <w:pPr>
              <w:spacing w:after="0"/>
              <w:rPr>
                <w:sz w:val="20"/>
                <w:szCs w:val="20"/>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1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(2,461)</w:t>
            </w: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(1,959)</w:t>
            </w: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rPr>
              <w:t>502</w:t>
            </w: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25.5</w:t>
            </w:r>
          </w:p>
        </w:tc>
        <w:tc>
          <w:tcPr>
            <w:tcW w:w="40" w:type="dxa"/>
            <w:vAlign w:val="bottom"/>
            <w:tcBorders>
              <w:bottom w:val="single" w:sz="8" w:color="auto"/>
            </w:tcBorders>
          </w:tcPr>
          <w:p>
            <w:pPr>
              <w:spacing w:after="0"/>
              <w:rPr>
                <w:sz w:val="20"/>
                <w:szCs w:val="20"/>
                <w:color w:val="auto"/>
              </w:rPr>
            </w:pPr>
          </w:p>
        </w:tc>
      </w:tr>
      <w:tr>
        <w:trPr>
          <w:trHeight w:val="230"/>
        </w:trPr>
        <w:tc>
          <w:tcPr>
            <w:tcW w:w="40" w:type="dxa"/>
            <w:vAlign w:val="bottom"/>
          </w:tcPr>
          <w:p>
            <w:pPr>
              <w:spacing w:after="0"/>
              <w:rPr>
                <w:sz w:val="20"/>
                <w:szCs w:val="20"/>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(250)</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b w:val="1"/>
                <w:bCs w:val="1"/>
                <w:color w:val="auto"/>
              </w:rPr>
              <w:t>240</w:t>
            </w:r>
          </w:p>
        </w:tc>
        <w:tc>
          <w:tcPr>
            <w:tcW w:w="102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NM</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2020, revenue and operating costs and expenses eliminations increased as a result of the licensing of content between our NBCUniversal segments and Peacock. Refer to Note 2 for further description of transactions between our segments.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(loss), net income attributable to Comcast Corporation, or net cash provided by operating activities that we have reported in accordance with GAAP.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w w:val="89"/>
              </w:rPr>
              <w:t>2019</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2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3,217</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4"/>
              <w:spacing w:after="0"/>
              <w:rPr>
                <w:sz w:val="20"/>
                <w:szCs w:val="20"/>
                <w:color w:val="auto"/>
              </w:rPr>
            </w:pPr>
            <w:r>
              <w:rPr>
                <w:rFonts w:ascii="Arial" w:cs="Arial" w:eastAsia="Arial" w:hAnsi="Arial"/>
                <w:sz w:val="18"/>
                <w:szCs w:val="18"/>
                <w:b w:val="1"/>
                <w:bCs w:val="1"/>
                <w:color w:val="auto"/>
              </w:rPr>
              <w:t>7,154</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9,895</w:t>
            </w: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noncontrolling interests and</w:t>
            </w:r>
          </w:p>
        </w:tc>
        <w:tc>
          <w:tcPr>
            <w:tcW w:w="340" w:type="dxa"/>
            <w:vAlign w:val="bottom"/>
          </w:tcPr>
          <w:p>
            <w:pPr>
              <w:spacing w:after="0"/>
              <w:rPr>
                <w:sz w:val="15"/>
                <w:szCs w:val="15"/>
                <w:color w:val="auto"/>
              </w:rPr>
            </w:pPr>
          </w:p>
        </w:tc>
        <w:tc>
          <w:tcPr>
            <w:tcW w:w="1140" w:type="dxa"/>
            <w:vAlign w:val="bottom"/>
            <w:vMerge w:val="restart"/>
          </w:tcPr>
          <w:p>
            <w:pPr>
              <w:jc w:val="right"/>
              <w:ind w:right="54"/>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5"/>
                <w:szCs w:val="15"/>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15"/>
                <w:szCs w:val="15"/>
                <w:color w:val="auto"/>
              </w:rPr>
            </w:pPr>
          </w:p>
        </w:tc>
        <w:tc>
          <w:tcPr>
            <w:tcW w:w="1160" w:type="dxa"/>
            <w:vAlign w:val="bottom"/>
            <w:vMerge w:val="restart"/>
          </w:tcPr>
          <w:p>
            <w:pPr>
              <w:jc w:val="right"/>
              <w:ind w:right="54"/>
              <w:spacing w:after="0"/>
              <w:rPr>
                <w:sz w:val="20"/>
                <w:szCs w:val="20"/>
                <w:color w:val="auto"/>
              </w:rPr>
            </w:pPr>
            <w:r>
              <w:rPr>
                <w:rFonts w:ascii="Arial" w:cs="Arial" w:eastAsia="Arial" w:hAnsi="Arial"/>
                <w:sz w:val="18"/>
                <w:szCs w:val="18"/>
                <w:color w:val="auto"/>
              </w:rPr>
              <w:t>110</w:t>
            </w:r>
          </w:p>
        </w:tc>
        <w:tc>
          <w:tcPr>
            <w:tcW w:w="6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redeemable subsidiary preferred stock</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739</w:t>
            </w:r>
          </w:p>
        </w:tc>
        <w:tc>
          <w:tcPr>
            <w:tcW w:w="6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48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2,385</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Investment and other (income) loss, net</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86</w:t>
            </w:r>
          </w:p>
        </w:tc>
        <w:tc>
          <w:tcPr>
            <w:tcW w:w="6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48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382</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1,220</w:t>
            </w:r>
          </w:p>
        </w:tc>
        <w:tc>
          <w:tcPr>
            <w:tcW w:w="6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1,167</w:t>
            </w:r>
          </w:p>
        </w:tc>
        <w:tc>
          <w:tcPr>
            <w:tcW w:w="48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3,544</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2,122</w:t>
            </w:r>
          </w:p>
        </w:tc>
        <w:tc>
          <w:tcPr>
            <w:tcW w:w="6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2,124</w:t>
            </w:r>
          </w:p>
        </w:tc>
        <w:tc>
          <w:tcPr>
            <w:tcW w:w="48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6,328</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1,198</w:t>
            </w:r>
          </w:p>
        </w:tc>
        <w:tc>
          <w:tcPr>
            <w:tcW w:w="6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1,056</w:t>
            </w:r>
          </w:p>
        </w:tc>
        <w:tc>
          <w:tcPr>
            <w:tcW w:w="48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3,520</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Adjustment for potential legal settlement</w:t>
            </w:r>
          </w:p>
        </w:tc>
        <w:tc>
          <w:tcPr>
            <w:tcW w:w="3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177</w:t>
            </w:r>
          </w:p>
        </w:tc>
        <w:tc>
          <w:tcPr>
            <w:tcW w:w="6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177</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w:t>
            </w:r>
          </w:p>
        </w:tc>
        <w:tc>
          <w:tcPr>
            <w:tcW w:w="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40</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7,583</w:t>
            </w: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8,553</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23,640</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25,822</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Sky Constant Currency Growth Rates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2"/>
          </w:tcPr>
          <w:p>
            <w:pPr>
              <w:jc w:val="right"/>
              <w:ind w:right="13"/>
              <w:spacing w:after="0"/>
              <w:rPr>
                <w:sz w:val="20"/>
                <w:szCs w:val="20"/>
                <w:color w:val="auto"/>
              </w:rPr>
            </w:pPr>
            <w:r>
              <w:rPr>
                <w:rFonts w:ascii="Arial" w:cs="Arial" w:eastAsia="Arial" w:hAnsi="Arial"/>
                <w:sz w:val="14"/>
                <w:szCs w:val="14"/>
                <w:color w:val="auto"/>
              </w:rPr>
              <w:t>Three Months Ended</w:t>
            </w: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4"/>
              <w:spacing w:after="0"/>
              <w:rPr>
                <w:sz w:val="20"/>
                <w:szCs w:val="20"/>
                <w:color w:val="auto"/>
              </w:rPr>
            </w:pPr>
            <w:r>
              <w:rPr>
                <w:rFonts w:ascii="Arial" w:cs="Arial" w:eastAsia="Arial" w:hAnsi="Arial"/>
                <w:sz w:val="14"/>
                <w:szCs w:val="14"/>
                <w:color w:val="auto"/>
                <w:w w:val="92"/>
              </w:rPr>
              <w:t>Nine Months Ended</w:t>
            </w: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97"/>
              </w:rPr>
              <w:t>September 30,</w:t>
            </w:r>
          </w:p>
        </w:tc>
        <w:tc>
          <w:tcPr>
            <w:tcW w:w="1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September 30,</w:t>
            </w:r>
          </w:p>
        </w:tc>
        <w:tc>
          <w:tcPr>
            <w:tcW w:w="13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33"/>
              <w:spacing w:after="0"/>
              <w:rPr>
                <w:sz w:val="20"/>
                <w:szCs w:val="20"/>
                <w:color w:val="auto"/>
              </w:rPr>
            </w:pPr>
            <w:r>
              <w:rPr>
                <w:rFonts w:ascii="Arial" w:cs="Arial" w:eastAsia="Arial" w:hAnsi="Arial"/>
                <w:sz w:val="14"/>
                <w:szCs w:val="14"/>
                <w:color w:val="auto"/>
              </w:rPr>
              <w:t>Actual</w:t>
            </w:r>
          </w:p>
        </w:tc>
        <w:tc>
          <w:tcPr>
            <w:tcW w:w="1480" w:type="dxa"/>
            <w:vAlign w:val="bottom"/>
            <w:gridSpan w:val="2"/>
            <w:vMerge w:val="restart"/>
          </w:tcPr>
          <w:p>
            <w:pPr>
              <w:jc w:val="right"/>
              <w:ind w:right="173"/>
              <w:spacing w:after="0"/>
              <w:rPr>
                <w:sz w:val="20"/>
                <w:szCs w:val="20"/>
                <w:color w:val="auto"/>
              </w:rPr>
            </w:pPr>
            <w:r>
              <w:rPr>
                <w:rFonts w:ascii="Arial" w:cs="Arial" w:eastAsia="Arial" w:hAnsi="Arial"/>
                <w:sz w:val="14"/>
                <w:szCs w:val="14"/>
                <w:color w:val="auto"/>
              </w:rPr>
              <w:t>Constant Currency</w:t>
            </w:r>
          </w:p>
        </w:tc>
        <w:tc>
          <w:tcPr>
            <w:tcW w:w="1340" w:type="dxa"/>
            <w:vAlign w:val="bottom"/>
          </w:tcPr>
          <w:p>
            <w:pPr>
              <w:jc w:val="center"/>
              <w:ind w:right="54"/>
              <w:spacing w:after="0" w:line="132" w:lineRule="exact"/>
              <w:rPr>
                <w:sz w:val="20"/>
                <w:szCs w:val="20"/>
                <w:color w:val="auto"/>
              </w:rPr>
            </w:pPr>
            <w:r>
              <w:rPr>
                <w:rFonts w:ascii="Arial" w:cs="Arial" w:eastAsia="Arial" w:hAnsi="Arial"/>
                <w:sz w:val="14"/>
                <w:szCs w:val="14"/>
                <w:color w:val="auto"/>
                <w:w w:val="92"/>
              </w:rPr>
              <w:t>Constant Currency</w:t>
            </w:r>
          </w:p>
        </w:tc>
        <w:tc>
          <w:tcPr>
            <w:tcW w:w="320" w:type="dxa"/>
            <w:vAlign w:val="bottom"/>
          </w:tcPr>
          <w:p>
            <w:pPr>
              <w:spacing w:after="0"/>
              <w:rPr>
                <w:sz w:val="11"/>
                <w:szCs w:val="11"/>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color w:val="auto"/>
              </w:rPr>
              <w:t>Actual</w:t>
            </w:r>
          </w:p>
        </w:tc>
        <w:tc>
          <w:tcPr>
            <w:tcW w:w="1440" w:type="dxa"/>
            <w:vAlign w:val="bottom"/>
            <w:gridSpan w:val="2"/>
            <w:vMerge w:val="restart"/>
          </w:tcPr>
          <w:p>
            <w:pPr>
              <w:jc w:val="right"/>
              <w:ind w:right="134"/>
              <w:spacing w:after="0"/>
              <w:rPr>
                <w:sz w:val="20"/>
                <w:szCs w:val="20"/>
                <w:color w:val="auto"/>
              </w:rPr>
            </w:pPr>
            <w:r>
              <w:rPr>
                <w:rFonts w:ascii="Arial" w:cs="Arial" w:eastAsia="Arial" w:hAnsi="Arial"/>
                <w:sz w:val="14"/>
                <w:szCs w:val="14"/>
                <w:color w:val="auto"/>
              </w:rPr>
              <w:t>Constant Currency</w:t>
            </w:r>
          </w:p>
        </w:tc>
        <w:tc>
          <w:tcPr>
            <w:tcW w:w="1340" w:type="dxa"/>
            <w:vAlign w:val="bottom"/>
          </w:tcPr>
          <w:p>
            <w:pPr>
              <w:jc w:val="center"/>
              <w:spacing w:after="0" w:line="132" w:lineRule="exact"/>
              <w:rPr>
                <w:sz w:val="20"/>
                <w:szCs w:val="20"/>
                <w:color w:val="auto"/>
              </w:rPr>
            </w:pPr>
            <w:r>
              <w:rPr>
                <w:rFonts w:ascii="Arial" w:cs="Arial" w:eastAsia="Arial" w:hAnsi="Arial"/>
                <w:sz w:val="14"/>
                <w:szCs w:val="14"/>
                <w:color w:val="auto"/>
                <w:w w:val="94"/>
              </w:rPr>
              <w:t>Constant Currency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color w:val="auto"/>
                <w:w w:val="97"/>
              </w:rPr>
              <w:t>Growth</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Growth</w:t>
            </w:r>
          </w:p>
        </w:tc>
        <w:tc>
          <w:tcPr>
            <w:tcW w:w="0" w:type="dxa"/>
            <w:vAlign w:val="bottom"/>
          </w:tcPr>
          <w:p>
            <w:pPr>
              <w:spacing w:after="0"/>
              <w:rPr>
                <w:sz w:val="1"/>
                <w:szCs w:val="1"/>
                <w:color w:val="auto"/>
              </w:rPr>
            </w:pPr>
          </w:p>
        </w:tc>
      </w:tr>
      <w:tr>
        <w:trPr>
          <w:trHeight w:val="186"/>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customer data)</w:t>
            </w: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color w:val="auto"/>
              </w:rPr>
              <w:t>2020</w:t>
            </w: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134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4"/>
                <w:szCs w:val="14"/>
                <w:color w:val="auto"/>
                <w:w w:val="96"/>
              </w:rPr>
              <w:t>%</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color w:val="auto"/>
              </w:rPr>
              <w:t>2020</w:t>
            </w:r>
          </w:p>
        </w:tc>
        <w:tc>
          <w:tcPr>
            <w:tcW w:w="1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color w:val="auto"/>
              </w:rPr>
              <w:t>2019</w:t>
            </w: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20"/>
              <w:spacing w:after="0"/>
              <w:rPr>
                <w:sz w:val="20"/>
                <w:szCs w:val="20"/>
                <w:color w:val="auto"/>
              </w:rPr>
            </w:pPr>
            <w:r>
              <w:rPr>
                <w:rFonts w:ascii="Arial" w:cs="Arial" w:eastAsia="Arial" w:hAnsi="Arial"/>
                <w:sz w:val="18"/>
                <w:szCs w:val="18"/>
                <w:color w:val="auto"/>
              </w:rPr>
              <w:t>Direct-to-consumer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3,981</w:t>
            </w:r>
          </w:p>
        </w:tc>
        <w:tc>
          <w:tcPr>
            <w:tcW w:w="1340" w:type="dxa"/>
            <w:vAlign w:val="bottom"/>
          </w:tcPr>
          <w:p>
            <w:pPr>
              <w:jc w:val="right"/>
              <w:spacing w:after="0"/>
              <w:rPr>
                <w:sz w:val="20"/>
                <w:szCs w:val="20"/>
                <w:color w:val="auto"/>
              </w:rPr>
            </w:pPr>
            <w:r>
              <w:rPr>
                <w:rFonts w:ascii="Arial" w:cs="Arial" w:eastAsia="Arial" w:hAnsi="Arial"/>
                <w:sz w:val="18"/>
                <w:szCs w:val="18"/>
                <w:color w:val="auto"/>
              </w:rPr>
              <w:t>(1.0) %</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11,146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11,504</w:t>
            </w:r>
          </w:p>
        </w:tc>
        <w:tc>
          <w:tcPr>
            <w:tcW w:w="1340" w:type="dxa"/>
            <w:vAlign w:val="bottom"/>
          </w:tcPr>
          <w:p>
            <w:pPr>
              <w:jc w:val="right"/>
              <w:spacing w:after="0"/>
              <w:rPr>
                <w:sz w:val="20"/>
                <w:szCs w:val="20"/>
                <w:color w:val="auto"/>
              </w:rPr>
            </w:pPr>
            <w:r>
              <w:rPr>
                <w:rFonts w:ascii="Arial" w:cs="Arial" w:eastAsia="Arial" w:hAnsi="Arial"/>
                <w:sz w:val="18"/>
                <w:szCs w:val="18"/>
                <w:color w:val="auto"/>
              </w:rPr>
              <w:t>(3.1)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20"/>
              <w:spacing w:after="0"/>
              <w:rPr>
                <w:sz w:val="20"/>
                <w:szCs w:val="20"/>
                <w:color w:val="auto"/>
              </w:rPr>
            </w:pPr>
            <w:r>
              <w:rPr>
                <w:rFonts w:ascii="Arial" w:cs="Arial" w:eastAsia="Arial" w:hAnsi="Arial"/>
                <w:sz w:val="18"/>
                <w:szCs w:val="18"/>
                <w:color w:val="auto"/>
              </w:rPr>
              <w:t>Content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9"/>
                <w:szCs w:val="19"/>
                <w:color w:val="auto"/>
              </w:rPr>
            </w:pP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330</w:t>
            </w:r>
          </w:p>
        </w:tc>
        <w:tc>
          <w:tcPr>
            <w:tcW w:w="1340" w:type="dxa"/>
            <w:vAlign w:val="bottom"/>
          </w:tcPr>
          <w:p>
            <w:pPr>
              <w:jc w:val="right"/>
              <w:ind w:right="214"/>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1,057</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462</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468</w:t>
            </w:r>
          </w:p>
        </w:tc>
        <w:tc>
          <w:tcPr>
            <w:tcW w:w="13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1,296</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1,595</w:t>
            </w: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4,793</w:t>
            </w:r>
          </w:p>
        </w:tc>
        <w:tc>
          <w:tcPr>
            <w:tcW w:w="280" w:type="dxa"/>
            <w:vAlign w:val="bottom"/>
          </w:tcPr>
          <w:p>
            <w:pPr>
              <w:spacing w:after="0"/>
              <w:rPr>
                <w:sz w:val="18"/>
                <w:szCs w:val="18"/>
                <w:color w:val="auto"/>
              </w:rPr>
            </w:pPr>
          </w:p>
        </w:tc>
        <w:tc>
          <w:tcPr>
            <w:tcW w:w="1200" w:type="dxa"/>
            <w:vAlign w:val="bottom"/>
          </w:tcPr>
          <w:p>
            <w:pPr>
              <w:jc w:val="right"/>
              <w:ind w:right="173"/>
              <w:spacing w:after="0"/>
              <w:rPr>
                <w:sz w:val="20"/>
                <w:szCs w:val="20"/>
                <w:color w:val="auto"/>
              </w:rPr>
            </w:pPr>
            <w:r>
              <w:rPr>
                <w:rFonts w:ascii="Arial" w:cs="Arial" w:eastAsia="Arial" w:hAnsi="Arial"/>
                <w:sz w:val="18"/>
                <w:szCs w:val="18"/>
                <w:b w:val="1"/>
                <w:bCs w:val="1"/>
                <w:color w:val="auto"/>
              </w:rPr>
              <w:t>4,779</w:t>
            </w:r>
          </w:p>
        </w:tc>
        <w:tc>
          <w:tcPr>
            <w:tcW w:w="1340" w:type="dxa"/>
            <w:vAlign w:val="bottom"/>
          </w:tcPr>
          <w:p>
            <w:pPr>
              <w:jc w:val="right"/>
              <w:ind w:right="214"/>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13,389</w:t>
            </w:r>
          </w:p>
        </w:tc>
        <w:tc>
          <w:tcPr>
            <w:tcW w:w="180" w:type="dxa"/>
            <w:vAlign w:val="bottom"/>
          </w:tcPr>
          <w:p>
            <w:pPr>
              <w:spacing w:after="0"/>
              <w:rPr>
                <w:sz w:val="18"/>
                <w:szCs w:val="18"/>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14,156</w:t>
            </w:r>
          </w:p>
        </w:tc>
        <w:tc>
          <w:tcPr>
            <w:tcW w:w="1340" w:type="dxa"/>
            <w:vAlign w:val="bottom"/>
          </w:tcPr>
          <w:p>
            <w:pPr>
              <w:jc w:val="right"/>
              <w:ind w:right="114"/>
              <w:spacing w:after="0"/>
              <w:rPr>
                <w:sz w:val="20"/>
                <w:szCs w:val="20"/>
                <w:color w:val="auto"/>
              </w:rPr>
            </w:pPr>
            <w:r>
              <w:rPr>
                <w:rFonts w:ascii="Arial" w:cs="Arial" w:eastAsia="Arial" w:hAnsi="Arial"/>
                <w:sz w:val="18"/>
                <w:szCs w:val="18"/>
                <w:b w:val="1"/>
                <w:bCs w:val="1"/>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2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2,350</w:t>
            </w:r>
          </w:p>
        </w:tc>
        <w:tc>
          <w:tcPr>
            <w:tcW w:w="280" w:type="dxa"/>
            <w:vAlign w:val="bottom"/>
          </w:tcPr>
          <w:p>
            <w:pPr>
              <w:spacing w:after="0"/>
              <w:rPr>
                <w:sz w:val="19"/>
                <w:szCs w:val="19"/>
                <w:color w:val="auto"/>
              </w:rPr>
            </w:pP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2,102</w:t>
            </w:r>
          </w:p>
        </w:tc>
        <w:tc>
          <w:tcPr>
            <w:tcW w:w="1340" w:type="dxa"/>
            <w:vAlign w:val="bottom"/>
          </w:tcPr>
          <w:p>
            <w:pPr>
              <w:jc w:val="right"/>
              <w:ind w:right="214"/>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5,957</w:t>
            </w: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6,525</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20"/>
              <w:spacing w:after="0"/>
              <w:rPr>
                <w:sz w:val="20"/>
                <w:szCs w:val="20"/>
                <w:color w:val="auto"/>
              </w:rPr>
            </w:pPr>
            <w:r>
              <w:rPr>
                <w:rFonts w:ascii="Arial" w:cs="Arial" w:eastAsia="Arial" w:hAnsi="Arial"/>
                <w:sz w:val="18"/>
                <w:szCs w:val="18"/>
                <w:color w:val="auto"/>
              </w:rPr>
              <w:t>Direct network costs</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9"/>
                <w:szCs w:val="19"/>
                <w:color w:val="auto"/>
              </w:rPr>
            </w:pP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440</w:t>
            </w:r>
          </w:p>
        </w:tc>
        <w:tc>
          <w:tcPr>
            <w:tcW w:w="1340" w:type="dxa"/>
            <w:vAlign w:val="bottom"/>
          </w:tcPr>
          <w:p>
            <w:pPr>
              <w:jc w:val="right"/>
              <w:ind w:right="214"/>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1,485</w:t>
            </w:r>
          </w:p>
        </w:tc>
        <w:tc>
          <w:tcPr>
            <w:tcW w:w="1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1,217</w:t>
            </w: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1,398</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1,294</w:t>
            </w: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4,132</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4,073</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4,278</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3,836</w:t>
            </w: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11.5</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11,574</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11,815</w:t>
            </w: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943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2,341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line="169" w:lineRule="exact"/>
              <w:rPr>
                <w:sz w:val="20"/>
                <w:szCs w:val="20"/>
                <w:color w:val="auto"/>
              </w:rPr>
            </w:pPr>
            <w:r>
              <w:rPr>
                <w:rFonts w:ascii="Arial" w:cs="Arial" w:eastAsia="Arial" w:hAnsi="Arial"/>
                <w:sz w:val="18"/>
                <w:szCs w:val="18"/>
                <w:b w:val="1"/>
                <w:bCs w:val="1"/>
                <w:color w:val="auto"/>
                <w:w w:val="96"/>
              </w:rPr>
              <w:t>Average monthly direct-to-consumer</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55.44</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55.36</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0.1 %</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51.94</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53.80</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7"/>
              </w:rPr>
              <w:t>revenue per customer relationship</w:t>
            </w: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Refer to “Impacts of COVID-19” for additional discussion.</w:t>
      </w: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significant availability under our revolving credit facilities and commercial paper programs to meet our short-term liquidity requirements. As of September 30, 2020, amounts available under our revolving credit facilities, net of amounts outstanding under our commercial paper programs and outstanding letters of credit and bank guarantees, totaled $9.2 billion.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96"/>
              </w:rPr>
              <w:t>2019</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13,575</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15,878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9,848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9,776</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Noncash share-based compensation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922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361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Payments of interest</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(2,845)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(3,167)</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(2,298)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(2,490)</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132</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19,695</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19,462</w:t>
            </w:r>
          </w:p>
        </w:tc>
      </w:tr>
    </w:tbl>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variance in changes in operating assets and liabilities for the nine months ended September 30, 2020 compared to the same period in 2019 was primarily due to the impact of COVID-19 on the timing of amortization and related payments for our film and television costs, including the suspension of studio production operations, as well as collections on our accounts receivable.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payments of income taxes for the nine months ended September 30, 2020 compared to the same period in 2019 was primarily due to lower taxable income from operations in 2020, partially offset by the taxable gain associated with the AirTouch redemption which approximated the proceeds received.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investing activities for the nine months ended September 30, 2020 consisted primarily of capital expenditures, cash paid for intangible assets and the construction of Universal Beijing Resort, which were partially offset by proceeds from sales of businesses and investments. Net cash used in investing activities for the nine months ended September 30, 2019 consisted primarily of capital expenditures, purchases of investments and cash paid for intangible assets. Capital expenditures decreased for the nine months ended September 30, 2020 compared to the same period in 2019 primarily due to decreases in spending by our Cable Communications and Theme Parks segments. We anticipate further declines in spending across our segments as a result of COVID-19, even as we continue to invest in scalable infrastructure to increase network capacity in our Cable Communications segment. Proceeds from sales of businesses and investments increased for the nine months ended September 30, 2020 compared to the same period in 2019 primarily due to $1.7 billion of proceeds received from the sale of our investment in AirTouch in the second quarter of 2020. See Note 9.</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 2020, the FCC announced the results of its spectrum auction. In the auction, we were awarded the rights to $459 million of spectrum, the majority of which will be paid in the fourth quarter of 2020.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for the nine months ended September 30, 2020 consisted primarily of repayments of debt and the related early redemption payments presented in other financing activities, dividend payments and payments related to the redemption and repayment of subsidiary preferred shares in the second quarter of 2020 presented in other financing activities (see Note 9), which were partially offset by proceeds from borrowings and proceeds from the settlement of cross currency swaps related to our debt presented in other financing activities. Net cash used in financing activities for the nine months ended September 30, 2019 consisted primarily of repayments of debt and dividend payments, partially offset by proceeds from a collateralized obligation.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quarter of 2020, we issued $4.0 billion of fixed rate senior notes maturing between 2025 and 2040, $3.2 billion (using exchange rates on the date of issuance) of fixed rate Euro senior notes maturing between 2027 and 2040 and $1.8 billion (using exchange rates on the date of issuance) of fixed rate Sterling senior notes maturing between 2029 and 2036. In the second quarter of 2020, we issued $4.0 billion of fixed rate senior notes maturing between 2031 and 2051. In August 2020, we issued $4.5 billion of fixed rate senior notes maturing between 2031 and 2062.</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2020, we made debt repayments totaling $16.8 billion, including the early redemption and purchase of $14.9 billion of senior notes maturing between 2020 and 2047.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2020, we had no commercial paper outstanding and there were no amounts outstanding under our revolving credit facilities.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See Notes 6 and 7 for additional information on our financing activities.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We have paused our share repurchase program in order to accelerate the reduction of indebtedness we incurred in connection with the acquisition of Sky, and no common shares were repurchased under the authorization for the nine months ended September 30, 2020.</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$429 million for the nine months ended September 30, 2020 related to employee taxes associated with the administration of our share-based compensation plans.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our Board of Directors approved a 10% increase in our dividend to $0.92 per share on an annualized basis. In July 2020, our Board of Directors approved our third quarter dividend of $0.23 per share paid in October 2020. We expect to continue to pay quarterly dividends, although each dividend is subject to approval by our Board of Directors. On July 22, 2020, we paid dividends of $1.1 billion.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billions)</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6"/>
              </w:rPr>
              <w:t>September 30, 2020</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97"/>
              </w:rPr>
              <w:t>December 31, 2019</w:t>
            </w:r>
          </w:p>
        </w:tc>
        <w:tc>
          <w:tcPr>
            <w:tcW w:w="0" w:type="dxa"/>
            <w:vAlign w:val="bottom"/>
          </w:tcPr>
          <w:p>
            <w:pPr>
              <w:spacing w:after="0"/>
              <w:rPr>
                <w:sz w:val="1"/>
                <w:szCs w:val="1"/>
                <w:color w:val="auto"/>
              </w:rPr>
            </w:pPr>
          </w:p>
        </w:tc>
      </w:tr>
      <w:tr>
        <w:trPr>
          <w:trHeight w:val="228"/>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Debt subject to cross-guarantees</w:t>
            </w: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Comcast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line="230" w:lineRule="exact"/>
              <w:rPr>
                <w:sz w:val="20"/>
                <w:szCs w:val="20"/>
                <w:color w:val="auto"/>
              </w:rPr>
            </w:pPr>
            <w:r>
              <w:rPr>
                <w:rFonts w:ascii="Arial" w:cs="Arial" w:eastAsia="Arial" w:hAnsi="Arial"/>
                <w:sz w:val="18"/>
                <w:szCs w:val="18"/>
                <w:color w:val="auto"/>
              </w:rPr>
              <w:t>NBCUniversal</w:t>
            </w:r>
            <w:r>
              <w:rPr>
                <w:rFonts w:ascii="Arial" w:cs="Arial" w:eastAsia="Arial" w:hAnsi="Arial"/>
                <w:sz w:val="23"/>
                <w:szCs w:val="23"/>
                <w:color w:val="auto"/>
                <w:vertAlign w:val="superscript"/>
              </w:rPr>
              <w:t>(a)</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Comcast Cable</w:t>
            </w:r>
            <w:r>
              <w:rPr>
                <w:rFonts w:ascii="Arial" w:cs="Arial" w:eastAsia="Arial" w:hAnsi="Arial"/>
                <w:sz w:val="23"/>
                <w:szCs w:val="23"/>
                <w:color w:val="auto"/>
                <w:vertAlign w:val="superscript"/>
              </w:rPr>
              <w:t>(a)</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 subject to one-way guarantees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8"/>
        </w:trPr>
        <w:tc>
          <w:tcPr>
            <w:tcW w:w="76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Sky</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(a)</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4"/>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 not guaranteed</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2"/>
        </w:trPr>
        <w:tc>
          <w:tcPr>
            <w:tcW w:w="76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640" w:type="dxa"/>
            <w:vAlign w:val="bottom"/>
          </w:tcPr>
          <w:p>
            <w:pPr>
              <w:ind w:left="20"/>
              <w:spacing w:after="0" w:line="235" w:lineRule="exact"/>
              <w:rPr>
                <w:sz w:val="20"/>
                <w:szCs w:val="20"/>
                <w:color w:val="auto"/>
              </w:rPr>
            </w:pPr>
            <w:r>
              <w:rPr>
                <w:rFonts w:ascii="Arial" w:cs="Arial" w:eastAsia="Arial" w:hAnsi="Arial"/>
                <w:sz w:val="18"/>
                <w:szCs w:val="18"/>
                <w:color w:val="auto"/>
              </w:rPr>
              <w:t>Universal Beijing Resort</w:t>
            </w:r>
            <w:r>
              <w:rPr>
                <w:rFonts w:ascii="Arial" w:cs="Arial" w:eastAsia="Arial" w:hAnsi="Arial"/>
                <w:sz w:val="23"/>
                <w:szCs w:val="23"/>
                <w:color w:val="auto"/>
                <w:vertAlign w:val="superscript"/>
              </w:rPr>
              <w:t>(b)</w:t>
            </w: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w w:val="91"/>
              </w:rPr>
              <w:t>Debt issuance costs, premiums, discounts, fair value adjustments for acquisition accounting and hedged</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5"/>
        </w:trPr>
        <w:tc>
          <w:tcPr>
            <w:tcW w:w="76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positions, net</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debt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73" w:lineRule="auto"/>
        <w:tabs>
          <w:tab w:leader="none" w:pos="337" w:val="left"/>
        </w:tabs>
        <w:numPr>
          <w:ilvl w:val="0"/>
          <w:numId w:val="14"/>
        </w:numPr>
        <w:rPr>
          <w:rFonts w:ascii="Arial" w:cs="Arial" w:eastAsia="Arial" w:hAnsi="Arial"/>
          <w:sz w:val="14"/>
          <w:szCs w:val="14"/>
          <w:color w:val="auto"/>
        </w:rPr>
      </w:pPr>
      <w:r>
        <w:rPr>
          <w:rFonts w:ascii="Arial" w:cs="Arial" w:eastAsia="Arial" w:hAnsi="Arial"/>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7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2020 and December 31, 2019, the combined Guarantors have noncurrent notes payable to non-guarantor subsidiaries of $124 billion and $122 billion, respectively, and noncurrent notes receivable from non-guarantor subsidiaries of $23 billion and $21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Comcast provides full and unconditional guarantees of certain debt issued by Sky and other consolidated subsidiaries not subject to the periodic reporting requirements of the SEC.</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also provides a full and unconditional guarantee of $185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30, 2020 and December 31, 2019, Comcast and Comcast Holdings, the combined issuer and guarantor of the guaranteed subordinated debt, have noncurrent senior notes payable to non-guarantor subsidiaries of $93 billion and $92 billion, respectively, and noncurrent notes receivable from non-guarantor subsidiaries of $21 billion and $18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our judgments and related estimates associated with the valuation and impairment testing of goodwill and cable franchise rights and the accounting for film and television costs are critical in the preparation of our condensed consolidated financial statements. We performed our annual impairment testing of goodwill and cable franchise rights as of July 1, 2020 and no impairment was required. Our impairment testing consisted of qualitative assessments for our cable franchise rights and goodwill in our Cable Communications and NBCUniversal segments, and a quantitative assessment for goodwill in our Sky segment. The goodwill in our Sky segment resulted from our acquisition of Sky in the fourth quarter of 2018. Given this was a recent transaction, the fair value is in close proximity to the carrying value of the Sky reporting unit.</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2019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 related to recent accounting pronouncements.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2019 Annual Report on Form 10-K and there have been no significant changes to this information.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12 included in this Quarterly Report on Form 10-Q for a discussion of legal proceedings.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Item 1A of our 2019 Annual Report on Form 10-K and our Quarterly Report on Form 10-Q for the quarter ended March 31, 2020.</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8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48">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Comcast Corporation 2005 Deferred Compensation Plan, as amended and restated, effective October 22, 2020</w:t>
      </w:r>
    </w:p>
    <w:p>
      <w:pPr>
        <w:spacing w:after="0" w:line="50"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82">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Comcast Corporation 2002 Non-Employee Director Compensation Plan, as amended and restated, effective July 31, 2020</w:t>
      </w:r>
    </w:p>
    <w:p>
      <w:pPr>
        <w:spacing w:after="0" w:line="23"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89">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Comcast Corporation 2002 Restricted Stock Plan, as amended and restated, effective October 22, 2020</w:t>
      </w:r>
    </w:p>
    <w:p>
      <w:pPr>
        <w:spacing w:after="0" w:line="23" w:lineRule="exact"/>
        <w:rPr>
          <w:sz w:val="20"/>
          <w:szCs w:val="20"/>
          <w:color w:val="auto"/>
        </w:rPr>
      </w:pPr>
    </w:p>
    <w:p>
      <w:pPr>
        <w:ind w:left="900" w:right="20" w:hanging="874"/>
        <w:spacing w:after="0" w:line="234" w:lineRule="auto"/>
        <w:tabs>
          <w:tab w:leader="none" w:pos="900" w:val="left"/>
        </w:tabs>
        <w:numPr>
          <w:ilvl w:val="0"/>
          <w:numId w:val="15"/>
        </w:numPr>
        <w:rPr>
          <w:rFonts w:ascii="Arial" w:cs="Arial" w:eastAsia="Arial" w:hAnsi="Arial"/>
          <w:sz w:val="18"/>
          <w:szCs w:val="18"/>
          <w:u w:val="single" w:color="auto"/>
          <w:color w:val="0000FF"/>
        </w:rPr>
      </w:pPr>
      <w:r>
        <w:rPr>
          <w:rFonts w:ascii="Arial" w:cs="Arial" w:eastAsia="Arial" w:hAnsi="Arial"/>
          <w:sz w:val="18"/>
          <w:szCs w:val="18"/>
          <w:color w:val="auto"/>
        </w:rPr>
        <w:t>Subsidiary guarantors and issuers of guaranteed securities and affiliates whose securities collateralize securities of the registrant (incorporated by reference to Exhibit 22.1 to Comcast’s Quarterly Report on Form 10-Q for the quarter ended March 31, 2020)</w:t>
      </w:r>
    </w:p>
    <w:p>
      <w:pPr>
        <w:spacing w:after="0" w:line="1" w:lineRule="exact"/>
        <w:rPr>
          <w:sz w:val="20"/>
          <w:szCs w:val="20"/>
          <w:color w:val="auto"/>
        </w:rPr>
      </w:pPr>
    </w:p>
    <w:p>
      <w:pPr>
        <w:ind w:left="900" w:hanging="874"/>
        <w:spacing w:after="0"/>
        <w:tabs>
          <w:tab w:leader="none" w:pos="900" w:val="left"/>
        </w:tabs>
        <w:numPr>
          <w:ilvl w:val="0"/>
          <w:numId w:val="16"/>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22" w:lineRule="exact"/>
        <w:rPr>
          <w:rFonts w:ascii="Arial" w:cs="Arial" w:eastAsia="Arial" w:hAnsi="Arial"/>
          <w:sz w:val="18"/>
          <w:szCs w:val="18"/>
          <w:u w:val="single" w:color="auto"/>
          <w:color w:val="0000FF"/>
        </w:rPr>
      </w:pPr>
    </w:p>
    <w:p>
      <w:pPr>
        <w:ind w:left="900" w:hanging="874"/>
        <w:spacing w:after="0"/>
        <w:tabs>
          <w:tab w:leader="none" w:pos="900" w:val="left"/>
        </w:tabs>
        <w:numPr>
          <w:ilvl w:val="0"/>
          <w:numId w:val="16"/>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right="20" w:hanging="874"/>
        <w:spacing w:after="0" w:line="22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three and nine months ended September 30, 2020, filed with the Securities and Exchange Commission on October 29, 2020, formatted in Inline Extensible Business Reporting Language (iXBRL):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0"/>
          <w:szCs w:val="20"/>
          <w:color w:val="auto"/>
        </w:rPr>
      </w:pPr>
    </w:p>
    <w:p>
      <w:pPr>
        <w:ind w:left="900" w:hanging="87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Daniel C. Murdock</w:t>
      </w:r>
    </w:p>
    <w:p>
      <w:pPr>
        <w:ind w:left="6380"/>
        <w:spacing w:after="0" w:line="228" w:lineRule="auto"/>
        <w:rPr>
          <w:sz w:val="20"/>
          <w:szCs w:val="20"/>
          <w:color w:val="auto"/>
        </w:rPr>
      </w:pPr>
      <w:r>
        <w:rPr>
          <w:rFonts w:ascii="Arial" w:cs="Arial" w:eastAsia="Arial" w:hAnsi="Arial"/>
          <w:sz w:val="16"/>
          <w:szCs w:val="16"/>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Accounting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7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2005 DEFERRED COMPENSATION PLAN</w:t>
      </w:r>
    </w:p>
    <w:p>
      <w:pPr>
        <w:spacing w:after="0" w:line="223" w:lineRule="exact"/>
        <w:rPr>
          <w:sz w:val="20"/>
          <w:szCs w:val="20"/>
          <w:color w:val="auto"/>
        </w:rPr>
      </w:pPr>
    </w:p>
    <w:p>
      <w:pPr>
        <w:ind w:left="1620" w:right="2680" w:firstLine="1069"/>
        <w:spacing w:after="0" w:line="451" w:lineRule="auto"/>
        <w:rPr>
          <w:sz w:val="20"/>
          <w:szCs w:val="20"/>
          <w:color w:val="auto"/>
        </w:rPr>
      </w:pPr>
      <w:r>
        <w:rPr>
          <w:rFonts w:ascii="Arial" w:cs="Arial" w:eastAsia="Arial" w:hAnsi="Arial"/>
          <w:sz w:val="22"/>
          <w:szCs w:val="22"/>
          <w:b w:val="1"/>
          <w:bCs w:val="1"/>
          <w:color w:val="auto"/>
        </w:rPr>
        <w:t xml:space="preserve">ARTICLE 1. – BACKGROUND AND COVERAGE OF PLAN </w:t>
      </w:r>
      <w:r>
        <w:rPr>
          <w:rFonts w:ascii="Arial" w:cs="Arial" w:eastAsia="Arial" w:hAnsi="Arial"/>
          <w:sz w:val="22"/>
          <w:szCs w:val="22"/>
          <w:color w:val="auto"/>
        </w:rPr>
        <w:t xml:space="preserve">1.1. </w:t>
      </w:r>
      <w:r>
        <w:rPr>
          <w:rFonts w:ascii="Arial" w:cs="Arial" w:eastAsia="Arial" w:hAnsi="Arial"/>
          <w:sz w:val="22"/>
          <w:szCs w:val="22"/>
          <w:u w:val="single" w:color="auto"/>
          <w:color w:val="auto"/>
        </w:rPr>
        <w:t>Background and Adoption of Plan</w:t>
      </w:r>
      <w:r>
        <w:rPr>
          <w:rFonts w:ascii="Arial" w:cs="Arial" w:eastAsia="Arial" w:hAnsi="Arial"/>
          <w:sz w:val="22"/>
          <w:szCs w:val="22"/>
          <w:color w:val="auto"/>
        </w:rPr>
        <w:t>.</w:t>
      </w:r>
    </w:p>
    <w:p>
      <w:pPr>
        <w:ind w:right="80" w:firstLine="2268"/>
        <w:spacing w:after="0" w:line="259"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Amendment and Restatement of the Plan</w:t>
      </w:r>
      <w:r>
        <w:rPr>
          <w:rFonts w:ascii="Arial" w:cs="Arial" w:eastAsia="Arial" w:hAnsi="Arial"/>
          <w:sz w:val="21"/>
          <w:szCs w:val="21"/>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October 22, 2020.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83" w:lineRule="exact"/>
        <w:rPr>
          <w:sz w:val="20"/>
          <w:szCs w:val="20"/>
          <w:color w:val="auto"/>
        </w:rPr>
      </w:pPr>
    </w:p>
    <w:p>
      <w:pPr>
        <w:ind w:right="20" w:firstLine="2268"/>
        <w:spacing w:after="0" w:line="247"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Prior Plan</w:t>
      </w:r>
      <w:r>
        <w:rPr>
          <w:rFonts w:ascii="Arial" w:cs="Arial" w:eastAsia="Arial" w:hAnsi="Arial"/>
          <w:sz w:val="22"/>
          <w:szCs w:val="22"/>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93" w:lineRule="exact"/>
        <w:rPr>
          <w:sz w:val="20"/>
          <w:szCs w:val="20"/>
          <w:color w:val="auto"/>
        </w:rPr>
      </w:pPr>
    </w:p>
    <w:p>
      <w:pPr>
        <w:ind w:right="220" w:firstLine="1620"/>
        <w:spacing w:after="0" w:line="250"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Reservation of Right to Amend to Comply with Section 409A</w:t>
      </w:r>
      <w:r>
        <w:rPr>
          <w:rFonts w:ascii="Arial" w:cs="Arial" w:eastAsia="Arial" w:hAnsi="Arial"/>
          <w:sz w:val="22"/>
          <w:szCs w:val="22"/>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88" w:lineRule="exact"/>
        <w:rPr>
          <w:sz w:val="20"/>
          <w:szCs w:val="20"/>
          <w:color w:val="auto"/>
        </w:rPr>
      </w:pPr>
    </w:p>
    <w:p>
      <w:pPr>
        <w:ind w:right="200" w:firstLine="1620"/>
        <w:spacing w:after="0" w:line="24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Plan Unfunded and Limited to Outside Directors, Directors Emeriti and Select Group of Management or</w:t>
      </w:r>
      <w:r>
        <w:rPr>
          <w:rFonts w:ascii="Arial" w:cs="Arial" w:eastAsia="Arial" w:hAnsi="Arial"/>
          <w:sz w:val="22"/>
          <w:szCs w:val="22"/>
          <w:color w:val="auto"/>
        </w:rPr>
        <w:t xml:space="preserve"> </w:t>
      </w:r>
      <w:r>
        <w:rPr>
          <w:rFonts w:ascii="Arial" w:cs="Arial" w:eastAsia="Arial" w:hAnsi="Arial"/>
          <w:sz w:val="22"/>
          <w:szCs w:val="22"/>
          <w:u w:val="single" w:color="auto"/>
          <w:color w:val="auto"/>
        </w:rPr>
        <w:t>Highly Compensated Employees</w:t>
      </w:r>
      <w:r>
        <w:rPr>
          <w:rFonts w:ascii="Arial" w:cs="Arial" w:eastAsia="Arial" w:hAnsi="Arial"/>
          <w:sz w:val="22"/>
          <w:szCs w:val="22"/>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92" w:lineRule="exact"/>
        <w:rPr>
          <w:sz w:val="20"/>
          <w:szCs w:val="20"/>
          <w:color w:val="auto"/>
        </w:rPr>
      </w:pPr>
    </w:p>
    <w:p>
      <w:pPr>
        <w:ind w:right="120" w:firstLine="1620"/>
        <w:spacing w:after="0" w:line="25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Administrator.</w:t>
      </w:r>
    </w:p>
    <w:p>
      <w:pPr>
        <w:spacing w:after="0" w:line="179"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2 – DEFINITIONS</w:t>
      </w:r>
    </w:p>
    <w:p>
      <w:pPr>
        <w:spacing w:after="0" w:line="226" w:lineRule="exact"/>
        <w:rPr>
          <w:sz w:val="20"/>
          <w:szCs w:val="20"/>
          <w:color w:val="auto"/>
        </w:rPr>
      </w:pPr>
    </w:p>
    <w:p>
      <w:pPr>
        <w:ind w:right="380" w:firstLine="1620"/>
        <w:spacing w:after="0" w:line="263" w:lineRule="auto"/>
        <w:rPr>
          <w:sz w:val="20"/>
          <w:szCs w:val="20"/>
          <w:color w:val="auto"/>
        </w:rPr>
      </w:pPr>
      <w:r>
        <w:rPr>
          <w:rFonts w:ascii="Arial" w:cs="Arial" w:eastAsia="Arial" w:hAnsi="Arial"/>
          <w:sz w:val="22"/>
          <w:szCs w:val="22"/>
          <w:color w:val="auto"/>
        </w:rPr>
        <w:t>2.1. “</w:t>
      </w:r>
      <w:r>
        <w:rPr>
          <w:rFonts w:ascii="Arial" w:cs="Arial" w:eastAsia="Arial" w:hAnsi="Arial"/>
          <w:sz w:val="22"/>
          <w:szCs w:val="22"/>
          <w:u w:val="single" w:color="auto"/>
          <w:color w:val="auto"/>
        </w:rPr>
        <w:t>Account</w:t>
      </w:r>
      <w:r>
        <w:rPr>
          <w:rFonts w:ascii="Arial" w:cs="Arial" w:eastAsia="Arial" w:hAnsi="Arial"/>
          <w:sz w:val="22"/>
          <w:szCs w:val="22"/>
          <w:color w:val="auto"/>
        </w:rPr>
        <w:t>” means the bookkeeping accounts established pursuant to Section 5.1 and maintained by the Administrator in the names of the respective Participants, to which all amounts</w:t>
      </w:r>
    </w:p>
    <w:p>
      <w:pPr>
        <w:sectPr>
          <w:pgSz w:w="11900" w:h="16838" w:orient="portrait"/>
          <w:cols w:equalWidth="0" w:num="1">
            <w:col w:w="11240"/>
          </w:cols>
          <w:pgMar w:left="320" w:top="126" w:right="339" w:bottom="1440" w:gutter="0" w:footer="0" w:header="0"/>
        </w:sectPr>
      </w:pPr>
    </w:p>
    <w:bookmarkStart w:id="48" w:name="page49"/>
    <w:bookmarkEnd w:id="48"/>
    <w:p>
      <w:pPr>
        <w:ind w:right="380"/>
        <w:spacing w:after="0" w:line="263" w:lineRule="auto"/>
        <w:rPr>
          <w:sz w:val="20"/>
          <w:szCs w:val="20"/>
          <w:color w:val="auto"/>
        </w:rPr>
      </w:pPr>
      <w:r>
        <w:rPr>
          <w:rFonts w:ascii="Arial" w:cs="Arial" w:eastAsia="Arial" w:hAnsi="Arial"/>
          <w:sz w:val="22"/>
          <w:szCs w:val="22"/>
          <w:color w:val="auto"/>
        </w:rPr>
        <w:t>deferred, and earnings allocated under the Plan shall be credited, and from which all amounts distributed pursuant to the Plan shall be debited.</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Active Participant</w:t>
      </w:r>
      <w:r>
        <w:rPr>
          <w:rFonts w:ascii="Arial" w:cs="Arial" w:eastAsia="Arial" w:hAnsi="Arial"/>
          <w:sz w:val="22"/>
          <w:szCs w:val="22"/>
          <w:color w:val="auto"/>
        </w:rPr>
        <w:t>” means:</w:t>
      </w:r>
    </w:p>
    <w:p>
      <w:pPr>
        <w:spacing w:after="0" w:line="220" w:lineRule="exact"/>
        <w:rPr>
          <w:sz w:val="20"/>
          <w:szCs w:val="20"/>
          <w:color w:val="auto"/>
        </w:rPr>
      </w:pPr>
    </w:p>
    <w:p>
      <w:pPr>
        <w:ind w:left="2780" w:hanging="504"/>
        <w:spacing w:after="0"/>
        <w:tabs>
          <w:tab w:leader="none" w:pos="27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Each Participant who is in active service as an Outside Director or a Director Emeritus; and</w:t>
      </w:r>
    </w:p>
    <w:p>
      <w:pPr>
        <w:spacing w:after="0" w:line="254" w:lineRule="exact"/>
        <w:rPr>
          <w:rFonts w:ascii="Arial" w:cs="Arial" w:eastAsia="Arial" w:hAnsi="Arial"/>
          <w:sz w:val="19"/>
          <w:szCs w:val="19"/>
          <w:color w:val="auto"/>
        </w:rPr>
      </w:pPr>
    </w:p>
    <w:p>
      <w:pPr>
        <w:ind w:left="1620" w:right="20" w:firstLine="656"/>
        <w:spacing w:after="0" w:line="448" w:lineRule="auto"/>
        <w:tabs>
          <w:tab w:leader="none" w:pos="2790" w:val="left"/>
        </w:tabs>
        <w:numPr>
          <w:ilvl w:val="0"/>
          <w:numId w:val="19"/>
        </w:numPr>
        <w:rPr>
          <w:rFonts w:ascii="Arial" w:cs="Arial" w:eastAsia="Arial" w:hAnsi="Arial"/>
          <w:sz w:val="22"/>
          <w:szCs w:val="22"/>
          <w:color w:val="auto"/>
        </w:rPr>
      </w:pPr>
      <w:r>
        <w:rPr>
          <w:rFonts w:ascii="Arial" w:cs="Arial" w:eastAsia="Arial" w:hAnsi="Arial"/>
          <w:sz w:val="22"/>
          <w:szCs w:val="22"/>
          <w:color w:val="auto"/>
        </w:rPr>
        <w:t>Each Participant who is actively employed by a Participating Company as an Eligible Employee. 2.3. “</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Committee or its delegate.</w:t>
      </w:r>
    </w:p>
    <w:p>
      <w:pPr>
        <w:spacing w:after="0" w:line="1" w:lineRule="exact"/>
        <w:rPr>
          <w:sz w:val="20"/>
          <w:szCs w:val="20"/>
          <w:color w:val="auto"/>
        </w:rPr>
      </w:pPr>
    </w:p>
    <w:p>
      <w:pPr>
        <w:ind w:firstLine="1620"/>
        <w:spacing w:after="0" w:line="248"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92" w:lineRule="exact"/>
        <w:rPr>
          <w:sz w:val="20"/>
          <w:szCs w:val="20"/>
          <w:color w:val="auto"/>
        </w:rPr>
      </w:pPr>
    </w:p>
    <w:p>
      <w:pPr>
        <w:ind w:right="200" w:firstLine="1620"/>
        <w:spacing w:after="0" w:line="253"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Annual Rate of Pay</w:t>
      </w:r>
      <w:r>
        <w:rPr>
          <w:rFonts w:ascii="Arial" w:cs="Arial" w:eastAsia="Arial" w:hAnsi="Arial"/>
          <w:sz w:val="22"/>
          <w:szCs w:val="22"/>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Applicable Interest Rate</w:t>
      </w:r>
      <w:r>
        <w:rPr>
          <w:rFonts w:ascii="Arial" w:cs="Arial" w:eastAsia="Arial" w:hAnsi="Arial"/>
          <w:sz w:val="22"/>
          <w:szCs w:val="22"/>
          <w:color w:val="auto"/>
        </w:rPr>
        <w:t>.”</w:t>
      </w:r>
    </w:p>
    <w:p>
      <w:pPr>
        <w:spacing w:after="0" w:line="220" w:lineRule="exact"/>
        <w:rPr>
          <w:sz w:val="20"/>
          <w:szCs w:val="20"/>
          <w:color w:val="auto"/>
        </w:rPr>
      </w:pPr>
    </w:p>
    <w:p>
      <w:pPr>
        <w:ind w:left="2780" w:hanging="504"/>
        <w:spacing w:after="0"/>
        <w:tabs>
          <w:tab w:leader="none" w:pos="278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Active Participants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60" w:firstLine="2924"/>
        <w:spacing w:after="0" w:line="250" w:lineRule="auto"/>
        <w:tabs>
          <w:tab w:leader="none" w:pos="339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Protected Account Balances</w:t>
      </w:r>
      <w:r>
        <w:rPr>
          <w:rFonts w:ascii="Arial" w:cs="Arial" w:eastAsia="Arial" w:hAnsi="Arial"/>
          <w:sz w:val="22"/>
          <w:szCs w:val="22"/>
          <w:color w:val="auto"/>
        </w:rPr>
        <w:t>. Except as otherwise provided in Section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87" w:lineRule="exact"/>
        <w:rPr>
          <w:rFonts w:ascii="Arial" w:cs="Arial" w:eastAsia="Arial" w:hAnsi="Arial"/>
          <w:sz w:val="22"/>
          <w:szCs w:val="22"/>
          <w:color w:val="auto"/>
        </w:rPr>
      </w:pPr>
    </w:p>
    <w:p>
      <w:pPr>
        <w:ind w:right="180" w:firstLine="2924"/>
        <w:spacing w:after="0" w:line="248" w:lineRule="auto"/>
        <w:tabs>
          <w:tab w:leader="none" w:pos="345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Crediting Rate</w:t>
      </w:r>
      <w:r>
        <w:rPr>
          <w:rFonts w:ascii="Arial" w:cs="Arial" w:eastAsia="Arial" w:hAnsi="Arial"/>
          <w:sz w:val="22"/>
          <w:szCs w:val="22"/>
          <w:color w:val="auto"/>
        </w:rPr>
        <w:t>. Except as otherwise provided in Section 2.6(b), for amounts (other than Protected Account Balances) credited with respect to Initial Elections or pursuant to Section 3.8, and for amounts credited pursuant to Subsequent Elections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91" w:lineRule="exact"/>
        <w:rPr>
          <w:rFonts w:ascii="Arial" w:cs="Arial" w:eastAsia="Arial" w:hAnsi="Arial"/>
          <w:sz w:val="22"/>
          <w:szCs w:val="22"/>
          <w:color w:val="auto"/>
        </w:rPr>
      </w:pPr>
    </w:p>
    <w:p>
      <w:pPr>
        <w:ind w:right="60" w:firstLine="2276"/>
        <w:spacing w:after="0" w:line="297" w:lineRule="auto"/>
        <w:tabs>
          <w:tab w:leader="none" w:pos="279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Termination or Transition of Service</w:t>
      </w:r>
      <w:r>
        <w:rPr>
          <w:rFonts w:ascii="Arial" w:cs="Arial" w:eastAsia="Arial" w:hAnsi="Arial"/>
          <w:sz w:val="19"/>
          <w:szCs w:val="19"/>
          <w:color w:val="auto"/>
        </w:rPr>
        <w:t>. Effective for the period beginning as soon as administratively practicable following (i) a significant reduction in a Participant’s compensation and services to the Company, as determined by the Administrator in its sole discretion, and (ii) a Participant’s employment termination date, in each case, to the date the Participant’s Account is distributed in full, the Administrator, in its sole discretion, may designate the term “Applicable Interest Rate” for such Participant’s Account to mean the lesser of (x) the rate in effect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8" w:right="379" w:bottom="1440" w:gutter="0" w:footer="0" w:header="0"/>
        </w:sectPr>
      </w:pPr>
    </w:p>
    <w:bookmarkStart w:id="49" w:name="page50"/>
    <w:bookmarkEnd w:id="49"/>
    <w:p>
      <w:pPr>
        <w:ind w:right="420"/>
        <w:spacing w:after="0" w:line="297" w:lineRule="auto"/>
        <w:rPr>
          <w:sz w:val="20"/>
          <w:szCs w:val="20"/>
          <w:color w:val="auto"/>
        </w:rPr>
      </w:pPr>
      <w:r>
        <w:rPr>
          <w:rFonts w:ascii="Arial" w:cs="Arial" w:eastAsia="Arial" w:hAnsi="Arial"/>
          <w:sz w:val="19"/>
          <w:szCs w:val="19"/>
          <w:color w:val="auto"/>
        </w:rPr>
        <w:t>2.6(a) or (y)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147" w:lineRule="exact"/>
        <w:rPr>
          <w:sz w:val="20"/>
          <w:szCs w:val="20"/>
          <w:color w:val="auto"/>
        </w:rPr>
      </w:pPr>
    </w:p>
    <w:p>
      <w:pPr>
        <w:ind w:right="160" w:firstLine="1620"/>
        <w:spacing w:after="0" w:line="260" w:lineRule="auto"/>
        <w:rPr>
          <w:sz w:val="20"/>
          <w:szCs w:val="20"/>
          <w:color w:val="auto"/>
        </w:rPr>
      </w:pPr>
      <w:r>
        <w:rPr>
          <w:rFonts w:ascii="Arial" w:cs="Arial" w:eastAsia="Arial" w:hAnsi="Arial"/>
          <w:sz w:val="21"/>
          <w:szCs w:val="21"/>
          <w:color w:val="auto"/>
        </w:rPr>
        <w:t>2.7. “</w:t>
      </w:r>
      <w:r>
        <w:rPr>
          <w:rFonts w:ascii="Arial" w:cs="Arial" w:eastAsia="Arial" w:hAnsi="Arial"/>
          <w:sz w:val="21"/>
          <w:szCs w:val="21"/>
          <w:u w:val="single" w:color="auto"/>
          <w:color w:val="auto"/>
        </w:rPr>
        <w:t>Beneficiary</w:t>
      </w:r>
      <w:r>
        <w:rPr>
          <w:rFonts w:ascii="Arial" w:cs="Arial" w:eastAsia="Arial" w:hAnsi="Arial"/>
          <w:sz w:val="21"/>
          <w:szCs w:val="21"/>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2.8. “</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20" w:lineRule="exact"/>
        <w:rPr>
          <w:sz w:val="20"/>
          <w:szCs w:val="20"/>
          <w:color w:val="auto"/>
        </w:rPr>
      </w:pPr>
    </w:p>
    <w:p>
      <w:pPr>
        <w:ind w:right="500" w:firstLine="1620"/>
        <w:spacing w:after="0" w:line="253"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2.11. “</w:t>
      </w:r>
      <w:r>
        <w:rPr>
          <w:rFonts w:ascii="Arial" w:cs="Arial" w:eastAsia="Arial" w:hAnsi="Arial"/>
          <w:sz w:val="22"/>
          <w:szCs w:val="22"/>
          <w:u w:val="single" w:color="auto"/>
          <w:color w:val="auto"/>
        </w:rPr>
        <w:t>Comcast Spectacor</w:t>
      </w:r>
      <w:r>
        <w:rPr>
          <w:rFonts w:ascii="Arial" w:cs="Arial" w:eastAsia="Arial" w:hAnsi="Arial"/>
          <w:sz w:val="22"/>
          <w:szCs w:val="22"/>
          <w:color w:val="auto"/>
        </w:rPr>
        <w:t>” means Comcast Spectacor, L.P.</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2.12.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of Directors of the Company.</w:t>
      </w:r>
    </w:p>
    <w:p>
      <w:pPr>
        <w:spacing w:after="0" w:line="220" w:lineRule="exact"/>
        <w:rPr>
          <w:sz w:val="20"/>
          <w:szCs w:val="20"/>
          <w:color w:val="auto"/>
        </w:rPr>
      </w:pPr>
    </w:p>
    <w:p>
      <w:pPr>
        <w:ind w:firstLine="1620"/>
        <w:spacing w:after="0" w:line="263"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175" w:lineRule="exact"/>
        <w:rPr>
          <w:sz w:val="20"/>
          <w:szCs w:val="20"/>
          <w:color w:val="auto"/>
        </w:rPr>
      </w:pPr>
    </w:p>
    <w:p>
      <w:pPr>
        <w:ind w:firstLine="1620"/>
        <w:spacing w:after="0" w:line="288"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Company Stock</w:t>
      </w:r>
      <w:r>
        <w:rPr>
          <w:rFonts w:ascii="Arial" w:cs="Arial" w:eastAsia="Arial" w:hAnsi="Arial"/>
          <w:sz w:val="19"/>
          <w:szCs w:val="19"/>
          <w:color w:val="auto"/>
        </w:rPr>
        <w:t>” means with respect to amounts credited to the Company Stock Fund pursuant to (i) deferral elections by Outside Directors or Directors Emeriti made pursuant to Section 3.1(a), or (ii) deemed transfers pursuant to Article 5, Comcast Corporation Class A Common Stock, par value $0.01, and such other securities issued by the Company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The number of hypothetical shares of Company Stock credited to a Participant’s Account shall be rounded down to the next lower share, and the value of fractional shares that otherwise have been credited to the Company Stock Fund shall be credited to the Income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8" w:right="359" w:bottom="1440" w:gutter="0" w:footer="0" w:header="0"/>
        </w:sectPr>
      </w:pPr>
    </w:p>
    <w:bookmarkStart w:id="50" w:name="page51"/>
    <w:bookmarkEnd w:id="50"/>
    <w:p>
      <w:pPr>
        <w:ind w:right="60"/>
        <w:spacing w:after="0" w:line="253" w:lineRule="auto"/>
        <w:rPr>
          <w:sz w:val="20"/>
          <w:szCs w:val="20"/>
          <w:color w:val="auto"/>
        </w:rPr>
      </w:pPr>
      <w:r>
        <w:rPr>
          <w:rFonts w:ascii="Arial" w:cs="Arial" w:eastAsia="Arial" w:hAnsi="Arial"/>
          <w:sz w:val="22"/>
          <w:szCs w:val="22"/>
          <w:color w:val="auto"/>
        </w:rPr>
        <w:t>Any reference to the term “Company Stock” in the Plan shall be a reference to the appropriate number and class of shares of stock as adjusted pursuant to this Section 2.14. The Committee’s adjustment shall be effective and binding for all purposes of the Plan.</w:t>
      </w:r>
    </w:p>
    <w:p>
      <w:pPr>
        <w:spacing w:after="0" w:line="185" w:lineRule="exact"/>
        <w:rPr>
          <w:sz w:val="20"/>
          <w:szCs w:val="20"/>
          <w:color w:val="auto"/>
        </w:rPr>
      </w:pPr>
    </w:p>
    <w:p>
      <w:pPr>
        <w:ind w:right="20" w:firstLine="1620"/>
        <w:spacing w:after="0" w:line="288" w:lineRule="auto"/>
        <w:rPr>
          <w:sz w:val="20"/>
          <w:szCs w:val="20"/>
          <w:color w:val="auto"/>
        </w:rPr>
      </w:pPr>
      <w:r>
        <w:rPr>
          <w:rFonts w:ascii="Arial" w:cs="Arial" w:eastAsia="Arial" w:hAnsi="Arial"/>
          <w:sz w:val="19"/>
          <w:szCs w:val="19"/>
          <w:color w:val="auto"/>
        </w:rPr>
        <w:t>2.15. “</w:t>
      </w:r>
      <w:r>
        <w:rPr>
          <w:rFonts w:ascii="Arial" w:cs="Arial" w:eastAsia="Arial" w:hAnsi="Arial"/>
          <w:sz w:val="19"/>
          <w:szCs w:val="19"/>
          <w:u w:val="single" w:color="auto"/>
          <w:color w:val="auto"/>
        </w:rPr>
        <w:t>Company Stock Fund</w:t>
      </w:r>
      <w:r>
        <w:rPr>
          <w:rFonts w:ascii="Arial" w:cs="Arial" w:eastAsia="Arial" w:hAnsi="Arial"/>
          <w:sz w:val="19"/>
          <w:szCs w:val="19"/>
          <w:color w:val="auto"/>
        </w:rPr>
        <w:t>” means a hypothetical investment fund pursuant to which income, gains and losses are credited to a Participant’s Account as if the Account, to the extent deemed invested in the Company Stock Fund, were invested in hypothetical shares of Company Stock, and, except as otherwise provided in Section 2.14 with respect to fractional shares, all dividends and other distributions paid with respect to Company Stock shall be credited to an Other Investment Fund, provided that with respect to Company Stock credited to the Accounts of Outside Directors, (a) dividends and other distribution paid on or before July 31, 2020 shall be credited to the Income Fund, and (b) dividends and other distributions paid after July 31, 2020 shall be credited to the Company Stock Fund as a hypothetical purchase of Company Stock at Fair Market Value on the applicable dividend or distribution payment date.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2.16. “</w:t>
      </w:r>
      <w:r>
        <w:rPr>
          <w:rFonts w:ascii="Arial" w:cs="Arial" w:eastAsia="Arial" w:hAnsi="Arial"/>
          <w:sz w:val="22"/>
          <w:szCs w:val="22"/>
          <w:u w:val="single" w:color="auto"/>
          <w:color w:val="auto"/>
        </w:rPr>
        <w:t>Compensation</w:t>
      </w:r>
      <w:r>
        <w:rPr>
          <w:rFonts w:ascii="Arial" w:cs="Arial" w:eastAsia="Arial" w:hAnsi="Arial"/>
          <w:sz w:val="22"/>
          <w:szCs w:val="22"/>
          <w:color w:val="auto"/>
        </w:rPr>
        <w:t>” means:</w:t>
      </w:r>
    </w:p>
    <w:p>
      <w:pPr>
        <w:spacing w:after="0" w:line="220" w:lineRule="exact"/>
        <w:rPr>
          <w:sz w:val="20"/>
          <w:szCs w:val="20"/>
          <w:color w:val="auto"/>
        </w:rPr>
      </w:pPr>
    </w:p>
    <w:p>
      <w:pPr>
        <w:jc w:val="both"/>
        <w:ind w:right="20" w:firstLine="2276"/>
        <w:spacing w:after="0" w:line="250" w:lineRule="auto"/>
        <w:tabs>
          <w:tab w:leader="none" w:pos="2778"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87" w:lineRule="exact"/>
        <w:rPr>
          <w:rFonts w:ascii="Arial" w:cs="Arial" w:eastAsia="Arial" w:hAnsi="Arial"/>
          <w:sz w:val="22"/>
          <w:szCs w:val="22"/>
          <w:color w:val="auto"/>
        </w:rPr>
      </w:pPr>
    </w:p>
    <w:p>
      <w:pPr>
        <w:ind w:right="140" w:firstLine="2276"/>
        <w:spacing w:after="0" w:line="248" w:lineRule="auto"/>
        <w:tabs>
          <w:tab w:leader="none" w:pos="279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an Eligible Employee, the total cash remuneration for services payable by a Participating Company, excluding (i) Severance Pay, (ii) sales commissions or other similar payments or awards other than cash bonus arrangements described in Section 2.16(c), (iii) bonuses earned under any program designated by the Company’s Programming Division as a “long-term incentive plan” and (iv) cash bonuses earned under any long-term incentive plan for employees of NBCUniversal.</w:t>
      </w:r>
    </w:p>
    <w:p>
      <w:pPr>
        <w:spacing w:after="0" w:line="191" w:lineRule="exact"/>
        <w:rPr>
          <w:rFonts w:ascii="Arial" w:cs="Arial" w:eastAsia="Arial" w:hAnsi="Arial"/>
          <w:sz w:val="22"/>
          <w:szCs w:val="22"/>
          <w:color w:val="auto"/>
        </w:rPr>
      </w:pPr>
    </w:p>
    <w:p>
      <w:pPr>
        <w:ind w:firstLine="2276"/>
        <w:spacing w:after="0" w:line="261" w:lineRule="auto"/>
        <w:tabs>
          <w:tab w:leader="none" w:pos="2778" w:val="left"/>
        </w:tabs>
        <w:numPr>
          <w:ilvl w:val="0"/>
          <w:numId w:val="21"/>
        </w:numPr>
        <w:rPr>
          <w:rFonts w:ascii="Arial" w:cs="Arial" w:eastAsia="Arial" w:hAnsi="Arial"/>
          <w:sz w:val="21"/>
          <w:szCs w:val="21"/>
          <w:color w:val="auto"/>
        </w:rPr>
      </w:pPr>
      <w:r>
        <w:rPr>
          <w:rFonts w:ascii="Arial" w:cs="Arial" w:eastAsia="Arial" w:hAnsi="Arial"/>
          <w:sz w:val="21"/>
          <w:szCs w:val="21"/>
          <w:color w:val="auto"/>
        </w:rPr>
        <w:t>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2.17. “</w:t>
      </w:r>
      <w:r>
        <w:rPr>
          <w:rFonts w:ascii="Arial" w:cs="Arial" w:eastAsia="Arial" w:hAnsi="Arial"/>
          <w:sz w:val="22"/>
          <w:szCs w:val="22"/>
          <w:u w:val="single" w:color="auto"/>
          <w:color w:val="auto"/>
        </w:rPr>
        <w:t>Contribution Limit</w:t>
      </w:r>
      <w:r>
        <w:rPr>
          <w:rFonts w:ascii="Arial" w:cs="Arial" w:eastAsia="Arial" w:hAnsi="Arial"/>
          <w:sz w:val="22"/>
          <w:szCs w:val="22"/>
          <w:color w:val="auto"/>
        </w:rPr>
        <w:t>” means</w:t>
      </w:r>
    </w:p>
    <w:p>
      <w:pPr>
        <w:spacing w:after="0" w:line="220" w:lineRule="exact"/>
        <w:rPr>
          <w:sz w:val="20"/>
          <w:szCs w:val="20"/>
          <w:color w:val="auto"/>
        </w:rPr>
      </w:pPr>
    </w:p>
    <w:p>
      <w:pPr>
        <w:ind w:left="2780" w:hanging="504"/>
        <w:spacing w:after="0"/>
        <w:tabs>
          <w:tab w:leader="none" w:pos="27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For Plan Years beginning on and after January 1, 2022, the product of (i) five (5) times (ii) Total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51" w:name="page52"/>
    <w:bookmarkEnd w:id="51"/>
    <w:p>
      <w:pPr>
        <w:ind w:left="2800" w:hanging="524"/>
        <w:spacing w:after="0"/>
        <w:tabs>
          <w:tab w:leader="none" w:pos="28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Plan Years beginning before December 31, 2021, the product of (i) seven (7) times (ii) Total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Compensation.</w:t>
      </w:r>
    </w:p>
    <w:p>
      <w:pPr>
        <w:spacing w:after="0" w:line="202" w:lineRule="exact"/>
        <w:rPr>
          <w:sz w:val="20"/>
          <w:szCs w:val="20"/>
          <w:color w:val="auto"/>
        </w:rPr>
      </w:pPr>
    </w:p>
    <w:p>
      <w:pPr>
        <w:ind w:firstLine="1620"/>
        <w:spacing w:after="0" w:line="297"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Death Tax Clearance Date</w:t>
      </w:r>
      <w:r>
        <w:rPr>
          <w:rFonts w:ascii="Arial" w:cs="Arial" w:eastAsia="Arial" w:hAnsi="Arial"/>
          <w:sz w:val="19"/>
          <w:szCs w:val="19"/>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47" w:lineRule="exact"/>
        <w:rPr>
          <w:sz w:val="20"/>
          <w:szCs w:val="20"/>
          <w:color w:val="auto"/>
        </w:rPr>
      </w:pPr>
    </w:p>
    <w:p>
      <w:pPr>
        <w:jc w:val="both"/>
        <w:ind w:right="80" w:firstLine="1620"/>
        <w:spacing w:after="0" w:line="253" w:lineRule="auto"/>
        <w:rPr>
          <w:sz w:val="20"/>
          <w:szCs w:val="20"/>
          <w:color w:val="auto"/>
        </w:rPr>
      </w:pPr>
      <w:r>
        <w:rPr>
          <w:rFonts w:ascii="Arial" w:cs="Arial" w:eastAsia="Arial" w:hAnsi="Arial"/>
          <w:sz w:val="22"/>
          <w:szCs w:val="22"/>
          <w:color w:val="auto"/>
        </w:rPr>
        <w:t>2.19. “</w:t>
      </w:r>
      <w:r>
        <w:rPr>
          <w:rFonts w:ascii="Arial" w:cs="Arial" w:eastAsia="Arial" w:hAnsi="Arial"/>
          <w:sz w:val="22"/>
          <w:szCs w:val="22"/>
          <w:u w:val="single" w:color="auto"/>
          <w:color w:val="auto"/>
        </w:rPr>
        <w:t>Death Taxes</w:t>
      </w:r>
      <w:r>
        <w:rPr>
          <w:rFonts w:ascii="Arial" w:cs="Arial" w:eastAsia="Arial" w:hAnsi="Arial"/>
          <w:sz w:val="22"/>
          <w:szCs w:val="22"/>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85" w:lineRule="exact"/>
        <w:rPr>
          <w:sz w:val="20"/>
          <w:szCs w:val="20"/>
          <w:color w:val="auto"/>
        </w:rPr>
      </w:pPr>
    </w:p>
    <w:p>
      <w:pPr>
        <w:jc w:val="both"/>
        <w:ind w:right="120" w:firstLine="1620"/>
        <w:spacing w:after="0" w:line="253"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Deceased Participant</w:t>
      </w:r>
      <w:r>
        <w:rPr>
          <w:rFonts w:ascii="Arial" w:cs="Arial" w:eastAsia="Arial" w:hAnsi="Arial"/>
          <w:sz w:val="22"/>
          <w:szCs w:val="22"/>
          <w:color w:val="auto"/>
        </w:rPr>
        <w:t>” means a Participant whose employment, or, in the case of a Participant who was an Outside Director or Director Emeritus, a Participant whose service as an Outside Director or Director Emeritus, is terminated by death.</w:t>
      </w:r>
    </w:p>
    <w:p>
      <w:pPr>
        <w:spacing w:after="0" w:line="185" w:lineRule="exact"/>
        <w:rPr>
          <w:sz w:val="20"/>
          <w:szCs w:val="20"/>
          <w:color w:val="auto"/>
        </w:rPr>
      </w:pPr>
    </w:p>
    <w:p>
      <w:pPr>
        <w:ind w:right="520" w:firstLine="1620"/>
        <w:spacing w:after="0" w:line="263"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220" w:lineRule="exact"/>
        <w:rPr>
          <w:sz w:val="20"/>
          <w:szCs w:val="20"/>
          <w:color w:val="auto"/>
        </w:rPr>
      </w:pPr>
    </w:p>
    <w:p>
      <w:pPr>
        <w:jc w:val="both"/>
        <w:ind w:right="160" w:firstLine="2276"/>
        <w:spacing w:after="0" w:line="253" w:lineRule="auto"/>
        <w:tabs>
          <w:tab w:leader="none" w:pos="2778"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85" w:lineRule="exact"/>
        <w:rPr>
          <w:rFonts w:ascii="Arial" w:cs="Arial" w:eastAsia="Arial" w:hAnsi="Arial"/>
          <w:sz w:val="22"/>
          <w:szCs w:val="22"/>
          <w:color w:val="auto"/>
        </w:rPr>
      </w:pPr>
    </w:p>
    <w:p>
      <w:pPr>
        <w:ind w:right="20" w:firstLine="2276"/>
        <w:spacing w:after="0" w:line="250" w:lineRule="auto"/>
        <w:tabs>
          <w:tab w:leader="none" w:pos="279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2.23. “</w:t>
      </w:r>
      <w:r>
        <w:rPr>
          <w:rFonts w:ascii="Arial" w:cs="Arial" w:eastAsia="Arial" w:hAnsi="Arial"/>
          <w:sz w:val="22"/>
          <w:szCs w:val="22"/>
          <w:u w:val="single" w:color="auto"/>
          <w:color w:val="auto"/>
        </w:rPr>
        <w:t>Disabled Participant</w:t>
      </w:r>
      <w:r>
        <w:rPr>
          <w:rFonts w:ascii="Arial" w:cs="Arial" w:eastAsia="Arial" w:hAnsi="Arial"/>
          <w:sz w:val="22"/>
          <w:szCs w:val="22"/>
          <w:color w:val="auto"/>
        </w:rPr>
        <w:t>” means:</w:t>
      </w:r>
    </w:p>
    <w:p>
      <w:pPr>
        <w:spacing w:after="0" w:line="220" w:lineRule="exact"/>
        <w:rPr>
          <w:sz w:val="20"/>
          <w:szCs w:val="20"/>
          <w:color w:val="auto"/>
        </w:rPr>
      </w:pPr>
    </w:p>
    <w:p>
      <w:pPr>
        <w:ind w:right="40" w:firstLine="2276"/>
        <w:spacing w:after="0" w:line="343" w:lineRule="auto"/>
        <w:tabs>
          <w:tab w:leader="none" w:pos="2766"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04" w:lineRule="exact"/>
        <w:rPr>
          <w:rFonts w:ascii="Arial" w:cs="Arial" w:eastAsia="Arial" w:hAnsi="Arial"/>
          <w:sz w:val="19"/>
          <w:szCs w:val="19"/>
          <w:color w:val="auto"/>
        </w:rPr>
      </w:pPr>
    </w:p>
    <w:p>
      <w:pPr>
        <w:ind w:left="2800" w:hanging="524"/>
        <w:spacing w:after="0"/>
        <w:tabs>
          <w:tab w:leader="none" w:pos="28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duly-appointed legal guardian of an individual described in Section 2.23(a) acting on behalf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such individual.</w:t>
      </w:r>
    </w:p>
    <w:p>
      <w:pPr>
        <w:spacing w:after="0" w:line="202" w:lineRule="exact"/>
        <w:rPr>
          <w:sz w:val="20"/>
          <w:szCs w:val="20"/>
          <w:color w:val="auto"/>
        </w:rPr>
      </w:pPr>
    </w:p>
    <w:p>
      <w:pPr>
        <w:ind w:right="480" w:firstLine="1620"/>
        <w:spacing w:after="0" w:line="263" w:lineRule="auto"/>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Domestic Relations Order</w:t>
      </w:r>
      <w:r>
        <w:rPr>
          <w:rFonts w:ascii="Arial" w:cs="Arial" w:eastAsia="Arial" w:hAnsi="Arial"/>
          <w:sz w:val="22"/>
          <w:szCs w:val="22"/>
          <w:color w:val="auto"/>
        </w:rPr>
        <w:t>” means any judgment, decree or order (including approval of a property settlement agreement)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8" w:right="359" w:bottom="1440" w:gutter="0" w:footer="0" w:header="0"/>
        </w:sectPr>
      </w:pPr>
    </w:p>
    <w:bookmarkStart w:id="52" w:name="page53"/>
    <w:bookmarkEnd w:id="52"/>
    <w:p>
      <w:pPr>
        <w:ind w:firstLine="2276"/>
        <w:spacing w:after="0" w:line="263" w:lineRule="auto"/>
        <w:tabs>
          <w:tab w:leader="none" w:pos="2778"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Relates to the provision of child support, alimony payments or marital property rights to a spouse or former spouse of a Participant; and</w:t>
      </w:r>
    </w:p>
    <w:p>
      <w:pPr>
        <w:spacing w:after="0" w:line="174" w:lineRule="exact"/>
        <w:rPr>
          <w:rFonts w:ascii="Arial" w:cs="Arial" w:eastAsia="Arial" w:hAnsi="Arial"/>
          <w:sz w:val="22"/>
          <w:szCs w:val="22"/>
          <w:color w:val="auto"/>
        </w:rPr>
      </w:pPr>
    </w:p>
    <w:p>
      <w:pPr>
        <w:ind w:left="2800" w:hanging="524"/>
        <w:spacing w:after="0"/>
        <w:tabs>
          <w:tab w:leader="none" w:pos="28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Is made pursuant to a State domestic relations law (including a community property law).</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2.25. “</w:t>
      </w:r>
      <w:r>
        <w:rPr>
          <w:rFonts w:ascii="Arial" w:cs="Arial" w:eastAsia="Arial" w:hAnsi="Arial"/>
          <w:sz w:val="19"/>
          <w:szCs w:val="19"/>
          <w:u w:val="single" w:color="auto"/>
          <w:color w:val="auto"/>
        </w:rPr>
        <w:t>Eligible Comcast Employee</w:t>
      </w:r>
      <w:r>
        <w:rPr>
          <w:rFonts w:ascii="Arial" w:cs="Arial" w:eastAsia="Arial" w:hAnsi="Arial"/>
          <w:sz w:val="19"/>
          <w:szCs w:val="19"/>
          <w:color w:val="auto"/>
        </w:rPr>
        <w:t>” means an employee of a Participating Company described in Section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2.25(a) through 2.25(e) below, provided that except as otherwise designated by the Administrator, in the case of an employee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Company or a subsidiary of the Company (other than NBCUniversal), such individual’s Compensation is administered under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Company’s common payroll system, and in the case of an employee of NBCUniversal, such individual’s Compensation is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administered under NBCUniversal’s common payroll system:</w:t>
      </w:r>
    </w:p>
    <w:p>
      <w:pPr>
        <w:spacing w:after="0" w:line="202" w:lineRule="exact"/>
        <w:rPr>
          <w:sz w:val="20"/>
          <w:szCs w:val="20"/>
          <w:color w:val="auto"/>
        </w:rPr>
      </w:pPr>
    </w:p>
    <w:p>
      <w:pPr>
        <w:ind w:right="780" w:firstLine="2276"/>
        <w:spacing w:after="0" w:line="253" w:lineRule="auto"/>
        <w:tabs>
          <w:tab w:leader="none" w:pos="2778" w:val="left"/>
        </w:tabs>
        <w:numPr>
          <w:ilvl w:val="0"/>
          <w:numId w:val="27"/>
        </w:numPr>
        <w:rPr>
          <w:rFonts w:ascii="Arial" w:cs="Arial" w:eastAsia="Arial" w:hAnsi="Arial"/>
          <w:sz w:val="22"/>
          <w:szCs w:val="22"/>
          <w:color w:val="auto"/>
        </w:rPr>
      </w:pPr>
      <w:r>
        <w:rPr>
          <w:rFonts w:ascii="Arial" w:cs="Arial" w:eastAsia="Arial" w:hAnsi="Arial"/>
          <w:sz w:val="22"/>
          <w:szCs w:val="22"/>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185" w:lineRule="exact"/>
        <w:rPr>
          <w:rFonts w:ascii="Arial" w:cs="Arial" w:eastAsia="Arial" w:hAnsi="Arial"/>
          <w:sz w:val="22"/>
          <w:szCs w:val="22"/>
          <w:color w:val="auto"/>
        </w:rPr>
      </w:pPr>
    </w:p>
    <w:p>
      <w:pPr>
        <w:jc w:val="both"/>
        <w:ind w:right="60" w:firstLine="2276"/>
        <w:spacing w:after="0" w:line="250" w:lineRule="auto"/>
        <w:tabs>
          <w:tab w:leader="none" w:pos="2790" w:val="left"/>
        </w:tabs>
        <w:numPr>
          <w:ilvl w:val="0"/>
          <w:numId w:val="27"/>
        </w:numPr>
        <w:rPr>
          <w:rFonts w:ascii="Arial" w:cs="Arial" w:eastAsia="Arial" w:hAnsi="Arial"/>
          <w:sz w:val="22"/>
          <w:szCs w:val="22"/>
          <w:color w:val="auto"/>
        </w:rPr>
      </w:pPr>
      <w:r>
        <w:rPr>
          <w:rFonts w:ascii="Arial" w:cs="Arial" w:eastAsia="Arial" w:hAnsi="Arial"/>
          <w:sz w:val="22"/>
          <w:szCs w:val="22"/>
          <w:color w:val="auto"/>
        </w:rPr>
        <w:t>For the 2013 Plan Year, (i) each employee of a Participating Company other than NBCUniversal and (ii) each employee of NBCUniversal described in Section 2.25(a), provided that in each case, such employee has an Annual Rate of Pay of $200,000 or more as of both (iii) the date on which an Initial Election is filed with the Administrator for the 2013 Plan Year and (iv) January 1, 2013.</w:t>
      </w:r>
    </w:p>
    <w:p>
      <w:pPr>
        <w:spacing w:after="0" w:line="187" w:lineRule="exact"/>
        <w:rPr>
          <w:rFonts w:ascii="Arial" w:cs="Arial" w:eastAsia="Arial" w:hAnsi="Arial"/>
          <w:sz w:val="22"/>
          <w:szCs w:val="22"/>
          <w:color w:val="auto"/>
        </w:rPr>
      </w:pPr>
    </w:p>
    <w:p>
      <w:pPr>
        <w:ind w:right="20" w:firstLine="2276"/>
        <w:spacing w:after="0" w:line="297" w:lineRule="auto"/>
        <w:tabs>
          <w:tab w:leader="none" w:pos="2778" w:val="left"/>
        </w:tabs>
        <w:numPr>
          <w:ilvl w:val="0"/>
          <w:numId w:val="27"/>
        </w:numPr>
        <w:rPr>
          <w:rFonts w:ascii="Arial" w:cs="Arial" w:eastAsia="Arial" w:hAnsi="Arial"/>
          <w:sz w:val="19"/>
          <w:szCs w:val="19"/>
          <w:color w:val="auto"/>
        </w:rPr>
      </w:pPr>
      <w:r>
        <w:rPr>
          <w:rFonts w:ascii="Arial" w:cs="Arial" w:eastAsia="Arial" w:hAnsi="Arial"/>
          <w:sz w:val="19"/>
          <w:szCs w:val="19"/>
          <w:color w:val="auto"/>
        </w:rPr>
        <w:t>For the period extending from January 1, 2014 through December 31, 2018, (i) each employee of a Participating Company other than NBCUniversal and (ii) each employee of NBCUniversal described in Section 2.25(a) whose Compensation was administered under NBCUniversal’s common payroll system as of December 31, 2013, provided that in each case, such employee has an Annual Rate of Pay of $250,000 or more as of both the date on which an Initial Election is filed with the Administrator and the first day of the calendar year in which such Initial Election is filed.</w:t>
      </w:r>
    </w:p>
    <w:p>
      <w:pPr>
        <w:spacing w:after="0" w:line="146" w:lineRule="exact"/>
        <w:rPr>
          <w:rFonts w:ascii="Arial" w:cs="Arial" w:eastAsia="Arial" w:hAnsi="Arial"/>
          <w:sz w:val="19"/>
          <w:szCs w:val="19"/>
          <w:color w:val="auto"/>
        </w:rPr>
      </w:pPr>
    </w:p>
    <w:p>
      <w:pPr>
        <w:ind w:right="240" w:firstLine="2276"/>
        <w:spacing w:after="0" w:line="253" w:lineRule="auto"/>
        <w:tabs>
          <w:tab w:leader="none" w:pos="279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Effective on and after January 1, 2019, each employee of a Participating Company other than NBCUniversal, provided that such employee has an Annual Rate of Pay of $350,000 or more as of the date on which an Initial Election is filed with the Administrator.</w:t>
      </w:r>
    </w:p>
    <w:p>
      <w:pPr>
        <w:spacing w:after="0" w:line="185" w:lineRule="exact"/>
        <w:rPr>
          <w:rFonts w:ascii="Arial" w:cs="Arial" w:eastAsia="Arial" w:hAnsi="Arial"/>
          <w:sz w:val="22"/>
          <w:szCs w:val="22"/>
          <w:color w:val="auto"/>
        </w:rPr>
      </w:pPr>
    </w:p>
    <w:p>
      <w:pPr>
        <w:ind w:left="2780" w:hanging="504"/>
        <w:spacing w:after="0"/>
        <w:tabs>
          <w:tab w:leader="none" w:pos="27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Each Grandfathered Employee who is an employee of a Participating Company other than</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NBCUniversal.</w:t>
      </w:r>
    </w:p>
    <w:p>
      <w:pPr>
        <w:spacing w:after="0" w:line="201" w:lineRule="exact"/>
        <w:rPr>
          <w:rFonts w:ascii="Arial" w:cs="Arial" w:eastAsia="Arial" w:hAnsi="Arial"/>
          <w:sz w:val="21"/>
          <w:szCs w:val="21"/>
          <w:color w:val="auto"/>
        </w:rPr>
      </w:pPr>
    </w:p>
    <w:p>
      <w:pPr>
        <w:ind w:left="2760" w:hanging="484"/>
        <w:spacing w:after="0"/>
        <w:tabs>
          <w:tab w:leader="none" w:pos="27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Each New Key Employee who is an employee of a Participating Company other than</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NBCUniversal.</w:t>
      </w:r>
    </w:p>
    <w:p>
      <w:pPr>
        <w:spacing w:after="0" w:line="201" w:lineRule="exact"/>
        <w:rPr>
          <w:rFonts w:ascii="Arial" w:cs="Arial" w:eastAsia="Arial" w:hAnsi="Arial"/>
          <w:sz w:val="22"/>
          <w:szCs w:val="22"/>
          <w:color w:val="auto"/>
        </w:rPr>
      </w:pPr>
    </w:p>
    <w:p>
      <w:pPr>
        <w:ind w:left="2800" w:hanging="524"/>
        <w:spacing w:after="0"/>
        <w:tabs>
          <w:tab w:leader="none" w:pos="28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Each Eligible Comcast Spectacor Employee.</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Eligible Comcast Spectacor Employee</w:t>
      </w:r>
      <w:r>
        <w:rPr>
          <w:rFonts w:ascii="Arial" w:cs="Arial" w:eastAsia="Arial" w:hAnsi="Arial"/>
          <w:sz w:val="22"/>
          <w:szCs w:val="22"/>
          <w:color w:val="auto"/>
        </w:rPr>
        <w:t>” means:</w:t>
      </w:r>
    </w:p>
    <w:p>
      <w:pPr>
        <w:spacing w:after="0" w:line="220" w:lineRule="exact"/>
        <w:rPr>
          <w:sz w:val="20"/>
          <w:szCs w:val="20"/>
          <w:color w:val="auto"/>
        </w:rPr>
      </w:pPr>
    </w:p>
    <w:p>
      <w:pPr>
        <w:ind w:right="600" w:firstLine="2276"/>
        <w:spacing w:after="0" w:line="263" w:lineRule="auto"/>
        <w:tabs>
          <w:tab w:leader="none" w:pos="2778" w:val="left"/>
        </w:tabs>
        <w:numPr>
          <w:ilvl w:val="0"/>
          <w:numId w:val="28"/>
        </w:numPr>
        <w:rPr>
          <w:rFonts w:ascii="Arial" w:cs="Arial" w:eastAsia="Arial" w:hAnsi="Arial"/>
          <w:sz w:val="22"/>
          <w:szCs w:val="22"/>
          <w:color w:val="auto"/>
        </w:rPr>
      </w:pPr>
      <w:r>
        <w:rPr>
          <w:rFonts w:ascii="Arial" w:cs="Arial" w:eastAsia="Arial" w:hAnsi="Arial"/>
          <w:sz w:val="22"/>
          <w:szCs w:val="22"/>
          <w:color w:val="auto"/>
        </w:rPr>
        <w:t>Each Eligible Comcast Employee who is providing services to Comcast Spectacor under a secondment arrangement between the Company and Comcast Spectacor.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00"/>
          </w:cols>
          <w:pgMar w:left="320" w:top="1428" w:right="379" w:bottom="1440" w:gutter="0" w:footer="0" w:header="0"/>
        </w:sectPr>
      </w:pPr>
    </w:p>
    <w:bookmarkStart w:id="53" w:name="page54"/>
    <w:bookmarkEnd w:id="53"/>
    <w:p>
      <w:pPr>
        <w:ind w:firstLine="2276"/>
        <w:spacing w:after="0" w:line="250" w:lineRule="auto"/>
        <w:tabs>
          <w:tab w:leader="none" w:pos="279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employee of Comcast Spectacor, provided that such employee (i) has been designated as an Eligible Comcast Spectacor Employee by the Administrator or its delegate and (ii) has an Annual Rate of Pay of $350,000 or more as of both (x) the date on which an Initial Election is filed with the Administrator and (y) the first day of the calendar year in which such Initial Election is filed.</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2.27. “</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w:t>
      </w:r>
    </w:p>
    <w:p>
      <w:pPr>
        <w:spacing w:after="0" w:line="220" w:lineRule="exact"/>
        <w:rPr>
          <w:sz w:val="20"/>
          <w:szCs w:val="20"/>
          <w:color w:val="auto"/>
        </w:rPr>
      </w:pPr>
    </w:p>
    <w:p>
      <w:pPr>
        <w:ind w:left="2780" w:hanging="504"/>
        <w:spacing w:after="0"/>
        <w:tabs>
          <w:tab w:leader="none" w:pos="27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Eligible Comcast Employee;</w:t>
      </w:r>
    </w:p>
    <w:p>
      <w:pPr>
        <w:spacing w:after="0" w:line="219" w:lineRule="exact"/>
        <w:rPr>
          <w:rFonts w:ascii="Arial" w:cs="Arial" w:eastAsia="Arial" w:hAnsi="Arial"/>
          <w:sz w:val="22"/>
          <w:szCs w:val="22"/>
          <w:color w:val="auto"/>
        </w:rPr>
      </w:pPr>
    </w:p>
    <w:p>
      <w:pPr>
        <w:ind w:left="2740" w:hanging="464"/>
        <w:spacing w:after="0"/>
        <w:tabs>
          <w:tab w:leader="none" w:pos="27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Eligible NBCU Employee; and</w:t>
      </w:r>
    </w:p>
    <w:p>
      <w:pPr>
        <w:spacing w:after="0" w:line="219" w:lineRule="exact"/>
        <w:rPr>
          <w:rFonts w:ascii="Arial" w:cs="Arial" w:eastAsia="Arial" w:hAnsi="Arial"/>
          <w:sz w:val="22"/>
          <w:szCs w:val="22"/>
          <w:color w:val="auto"/>
        </w:rPr>
      </w:pPr>
    </w:p>
    <w:p>
      <w:pPr>
        <w:ind w:right="220" w:firstLine="2276"/>
        <w:spacing w:after="0" w:line="263" w:lineRule="auto"/>
        <w:tabs>
          <w:tab w:leader="none" w:pos="2724"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Administrator, in its discretion, as an Eligible Employee.</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Eligible NBCU Employee</w:t>
      </w:r>
      <w:r>
        <w:rPr>
          <w:rFonts w:ascii="Arial" w:cs="Arial" w:eastAsia="Arial" w:hAnsi="Arial"/>
          <w:sz w:val="22"/>
          <w:szCs w:val="22"/>
          <w:color w:val="auto"/>
        </w:rPr>
        <w:t>” means:</w:t>
      </w:r>
    </w:p>
    <w:p>
      <w:pPr>
        <w:spacing w:after="0" w:line="220" w:lineRule="exact"/>
        <w:rPr>
          <w:sz w:val="20"/>
          <w:szCs w:val="20"/>
          <w:color w:val="auto"/>
        </w:rPr>
      </w:pPr>
    </w:p>
    <w:p>
      <w:pPr>
        <w:ind w:right="440" w:firstLine="2276"/>
        <w:spacing w:after="0" w:line="250" w:lineRule="auto"/>
        <w:tabs>
          <w:tab w:leader="none" w:pos="2778" w:val="left"/>
        </w:tabs>
        <w:numPr>
          <w:ilvl w:val="0"/>
          <w:numId w:val="31"/>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2013 through December 31, 2018, an employee of NBCUniversal described in Section 2.28(a)(i) through 2.28(a)(v) below, provided that, in each case, except as otherwise designated by the Administrator, such individual’s Compensation is administered under NBCUniversal’s common payroll system.</w:t>
      </w:r>
    </w:p>
    <w:p>
      <w:pPr>
        <w:spacing w:after="0" w:line="187" w:lineRule="exact"/>
        <w:rPr>
          <w:rFonts w:ascii="Arial" w:cs="Arial" w:eastAsia="Arial" w:hAnsi="Arial"/>
          <w:sz w:val="22"/>
          <w:szCs w:val="22"/>
          <w:color w:val="auto"/>
        </w:rPr>
      </w:pPr>
    </w:p>
    <w:p>
      <w:pPr>
        <w:ind w:right="480" w:firstLine="2924"/>
        <w:spacing w:after="0" w:line="312" w:lineRule="auto"/>
        <w:tabs>
          <w:tab w:leader="none" w:pos="339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Each employee of NBCUniversal who has been designated as a member of NBCUniversal’s Executive Committee, Management Committee or Operating Committee by the Chief Executive Officer of NBCUniversal and approved by the Administrator, other than an employee who is described in Section 2.25.</w:t>
      </w:r>
    </w:p>
    <w:p>
      <w:pPr>
        <w:spacing w:after="0" w:line="133" w:lineRule="exact"/>
        <w:rPr>
          <w:rFonts w:ascii="Arial" w:cs="Arial" w:eastAsia="Arial" w:hAnsi="Arial"/>
          <w:sz w:val="19"/>
          <w:szCs w:val="19"/>
          <w:color w:val="auto"/>
        </w:rPr>
      </w:pPr>
    </w:p>
    <w:p>
      <w:pPr>
        <w:ind w:left="3460" w:hanging="536"/>
        <w:spacing w:after="0"/>
        <w:tabs>
          <w:tab w:leader="none" w:pos="346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Each employee of NBCUniversal, other than an employee who is described in Section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2.25, who, for the 2013 Plan Year:</w:t>
      </w:r>
    </w:p>
    <w:p>
      <w:pPr>
        <w:spacing w:after="0" w:line="201" w:lineRule="exact"/>
        <w:rPr>
          <w:rFonts w:ascii="Arial" w:cs="Arial" w:eastAsia="Arial" w:hAnsi="Arial"/>
          <w:sz w:val="19"/>
          <w:szCs w:val="19"/>
          <w:color w:val="auto"/>
        </w:rPr>
      </w:pPr>
    </w:p>
    <w:p>
      <w:pPr>
        <w:ind w:left="4740" w:hanging="520"/>
        <w:spacing w:after="0"/>
        <w:tabs>
          <w:tab w:leader="none" w:pos="4740" w:val="left"/>
        </w:tabs>
        <w:numPr>
          <w:ilvl w:val="2"/>
          <w:numId w:val="31"/>
        </w:numPr>
        <w:rPr>
          <w:rFonts w:ascii="Arial" w:cs="Arial" w:eastAsia="Arial" w:hAnsi="Arial"/>
          <w:sz w:val="19"/>
          <w:szCs w:val="19"/>
          <w:color w:val="auto"/>
        </w:rPr>
      </w:pPr>
      <w:r>
        <w:rPr>
          <w:rFonts w:ascii="Arial" w:cs="Arial" w:eastAsia="Arial" w:hAnsi="Arial"/>
          <w:sz w:val="19"/>
          <w:szCs w:val="19"/>
          <w:color w:val="auto"/>
        </w:rPr>
        <w:t>Is not a member of NBCUniversal’s Executive Committee, Management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Committee or Operating Committee;</w:t>
      </w:r>
    </w:p>
    <w:p>
      <w:pPr>
        <w:spacing w:after="0" w:line="201" w:lineRule="exact"/>
        <w:rPr>
          <w:rFonts w:ascii="Arial" w:cs="Arial" w:eastAsia="Arial" w:hAnsi="Arial"/>
          <w:sz w:val="19"/>
          <w:szCs w:val="19"/>
          <w:color w:val="auto"/>
        </w:rPr>
      </w:pPr>
    </w:p>
    <w:p>
      <w:pPr>
        <w:ind w:left="4720" w:hanging="500"/>
        <w:spacing w:after="0"/>
        <w:tabs>
          <w:tab w:leader="none" w:pos="4720" w:val="left"/>
        </w:tabs>
        <w:numPr>
          <w:ilvl w:val="2"/>
          <w:numId w:val="31"/>
        </w:numPr>
        <w:rPr>
          <w:rFonts w:ascii="Arial" w:cs="Arial" w:eastAsia="Arial" w:hAnsi="Arial"/>
          <w:sz w:val="19"/>
          <w:szCs w:val="19"/>
          <w:color w:val="auto"/>
        </w:rPr>
      </w:pPr>
      <w:r>
        <w:rPr>
          <w:rFonts w:ascii="Arial" w:cs="Arial" w:eastAsia="Arial" w:hAnsi="Arial"/>
          <w:sz w:val="19"/>
          <w:szCs w:val="19"/>
          <w:color w:val="auto"/>
        </w:rPr>
        <w:t>Transferred employment directly from the Company to NBCUniversal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2011 or 2012;</w:t>
      </w:r>
    </w:p>
    <w:p>
      <w:pPr>
        <w:spacing w:after="0" w:line="201" w:lineRule="exact"/>
        <w:rPr>
          <w:rFonts w:ascii="Arial" w:cs="Arial" w:eastAsia="Arial" w:hAnsi="Arial"/>
          <w:sz w:val="19"/>
          <w:szCs w:val="19"/>
          <w:color w:val="auto"/>
        </w:rPr>
      </w:pPr>
    </w:p>
    <w:p>
      <w:pPr>
        <w:ind w:left="4720" w:hanging="500"/>
        <w:spacing w:after="0"/>
        <w:tabs>
          <w:tab w:leader="none" w:pos="4720" w:val="left"/>
        </w:tabs>
        <w:numPr>
          <w:ilvl w:val="2"/>
          <w:numId w:val="31"/>
        </w:numPr>
        <w:rPr>
          <w:rFonts w:ascii="Arial" w:cs="Arial" w:eastAsia="Arial" w:hAnsi="Arial"/>
          <w:sz w:val="22"/>
          <w:szCs w:val="22"/>
          <w:color w:val="auto"/>
        </w:rPr>
      </w:pPr>
      <w:r>
        <w:rPr>
          <w:rFonts w:ascii="Arial" w:cs="Arial" w:eastAsia="Arial" w:hAnsi="Arial"/>
          <w:sz w:val="22"/>
          <w:szCs w:val="22"/>
          <w:color w:val="auto"/>
        </w:rPr>
        <w:t>Was an Eligible Employee under the rules of the Plan as in effect</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immediately before transferring employment from the Company to NBCUniversal;</w:t>
      </w:r>
    </w:p>
    <w:p>
      <w:pPr>
        <w:spacing w:after="0" w:line="201" w:lineRule="exact"/>
        <w:rPr>
          <w:rFonts w:ascii="Arial" w:cs="Arial" w:eastAsia="Arial" w:hAnsi="Arial"/>
          <w:sz w:val="22"/>
          <w:szCs w:val="22"/>
          <w:color w:val="auto"/>
        </w:rPr>
      </w:pPr>
    </w:p>
    <w:p>
      <w:pPr>
        <w:ind w:left="4740" w:hanging="520"/>
        <w:spacing w:after="0"/>
        <w:tabs>
          <w:tab w:leader="none" w:pos="4740" w:val="left"/>
        </w:tabs>
        <w:numPr>
          <w:ilvl w:val="2"/>
          <w:numId w:val="31"/>
        </w:numPr>
        <w:rPr>
          <w:rFonts w:ascii="Arial" w:cs="Arial" w:eastAsia="Arial" w:hAnsi="Arial"/>
          <w:sz w:val="19"/>
          <w:szCs w:val="19"/>
          <w:color w:val="auto"/>
        </w:rPr>
      </w:pPr>
      <w:r>
        <w:rPr>
          <w:rFonts w:ascii="Arial" w:cs="Arial" w:eastAsia="Arial" w:hAnsi="Arial"/>
          <w:sz w:val="19"/>
          <w:szCs w:val="19"/>
          <w:color w:val="auto"/>
        </w:rPr>
        <w:t>Elected to waive the opportunity to continue to be an Eligible Employee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 the transfer of employment directly from the Company to NBCUniversal;</w:t>
      </w:r>
    </w:p>
    <w:p>
      <w:pPr>
        <w:spacing w:after="0" w:line="201" w:lineRule="exact"/>
        <w:rPr>
          <w:rFonts w:ascii="Arial" w:cs="Arial" w:eastAsia="Arial" w:hAnsi="Arial"/>
          <w:sz w:val="19"/>
          <w:szCs w:val="19"/>
          <w:color w:val="auto"/>
        </w:rPr>
      </w:pPr>
    </w:p>
    <w:p>
      <w:pPr>
        <w:ind w:left="4720" w:hanging="500"/>
        <w:spacing w:after="0"/>
        <w:tabs>
          <w:tab w:leader="none" w:pos="4720" w:val="left"/>
        </w:tabs>
        <w:numPr>
          <w:ilvl w:val="2"/>
          <w:numId w:val="31"/>
        </w:numPr>
        <w:rPr>
          <w:rFonts w:ascii="Arial" w:cs="Arial" w:eastAsia="Arial" w:hAnsi="Arial"/>
          <w:sz w:val="19"/>
          <w:szCs w:val="19"/>
          <w:color w:val="auto"/>
        </w:rPr>
      </w:pPr>
      <w:r>
        <w:rPr>
          <w:rFonts w:ascii="Arial" w:cs="Arial" w:eastAsia="Arial" w:hAnsi="Arial"/>
          <w:sz w:val="19"/>
          <w:szCs w:val="19"/>
          <w:color w:val="auto"/>
        </w:rPr>
        <w:t>Has an Annual Rate of Pay of $200,000 or more as of both (iii) the date 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28" w:right="379" w:bottom="1440" w:gutter="0" w:footer="0" w:header="0"/>
        </w:sectPr>
      </w:pPr>
    </w:p>
    <w:bookmarkStart w:id="54" w:name="page55"/>
    <w:bookmarkEnd w:id="54"/>
    <w:p>
      <w:pPr>
        <w:ind w:left="4700" w:hanging="480"/>
        <w:spacing w:after="0"/>
        <w:tabs>
          <w:tab w:leader="none" w:pos="4700" w:val="left"/>
        </w:tabs>
        <w:numPr>
          <w:ilvl w:val="1"/>
          <w:numId w:val="32"/>
        </w:numPr>
        <w:rPr>
          <w:rFonts w:ascii="Arial" w:cs="Arial" w:eastAsia="Arial" w:hAnsi="Arial"/>
          <w:sz w:val="21"/>
          <w:szCs w:val="21"/>
          <w:color w:val="auto"/>
        </w:rPr>
      </w:pPr>
      <w:r>
        <w:rPr>
          <w:rFonts w:ascii="Arial" w:cs="Arial" w:eastAsia="Arial" w:hAnsi="Arial"/>
          <w:sz w:val="21"/>
          <w:szCs w:val="21"/>
          <w:color w:val="auto"/>
        </w:rPr>
        <w:t>Files an Initial Election with the Administrator for the 2013 Plan Year.</w:t>
      </w:r>
    </w:p>
    <w:p>
      <w:pPr>
        <w:spacing w:after="0" w:line="231" w:lineRule="exact"/>
        <w:rPr>
          <w:rFonts w:ascii="Arial" w:cs="Arial" w:eastAsia="Arial" w:hAnsi="Arial"/>
          <w:sz w:val="21"/>
          <w:szCs w:val="21"/>
          <w:color w:val="auto"/>
        </w:rPr>
      </w:pPr>
    </w:p>
    <w:p>
      <w:pPr>
        <w:ind w:left="3520" w:hanging="596"/>
        <w:spacing w:after="0"/>
        <w:tabs>
          <w:tab w:leader="none" w:pos="35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Each employee of NBCUniversal, other than an employee who is described in Section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2.25, who, for the 2013 Plan Year:</w:t>
      </w:r>
    </w:p>
    <w:p>
      <w:pPr>
        <w:spacing w:after="0" w:line="201" w:lineRule="exact"/>
        <w:rPr>
          <w:rFonts w:ascii="Arial" w:cs="Arial" w:eastAsia="Arial" w:hAnsi="Arial"/>
          <w:sz w:val="19"/>
          <w:szCs w:val="19"/>
          <w:color w:val="auto"/>
        </w:rPr>
      </w:pPr>
    </w:p>
    <w:p>
      <w:pPr>
        <w:ind w:left="4740" w:hanging="520"/>
        <w:spacing w:after="0"/>
        <w:tabs>
          <w:tab w:leader="none" w:pos="47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Is not a member of NBCUniversal’s Executive Committee, Management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Committee or Operating Committee;</w:t>
      </w:r>
    </w:p>
    <w:p>
      <w:pPr>
        <w:spacing w:after="0" w:line="201" w:lineRule="exact"/>
        <w:rPr>
          <w:rFonts w:ascii="Arial" w:cs="Arial" w:eastAsia="Arial" w:hAnsi="Arial"/>
          <w:sz w:val="19"/>
          <w:szCs w:val="19"/>
          <w:color w:val="auto"/>
        </w:rPr>
      </w:pPr>
    </w:p>
    <w:p>
      <w:pPr>
        <w:ind w:left="4720" w:hanging="500"/>
        <w:spacing w:after="0"/>
        <w:tabs>
          <w:tab w:leader="none" w:pos="4720" w:val="left"/>
        </w:tabs>
        <w:numPr>
          <w:ilvl w:val="1"/>
          <w:numId w:val="33"/>
        </w:numPr>
        <w:rPr>
          <w:rFonts w:ascii="Arial" w:cs="Arial" w:eastAsia="Arial" w:hAnsi="Arial"/>
          <w:sz w:val="19"/>
          <w:szCs w:val="19"/>
          <w:color w:val="auto"/>
        </w:rPr>
      </w:pPr>
      <w:r>
        <w:rPr>
          <w:rFonts w:ascii="Arial" w:cs="Arial" w:eastAsia="Arial" w:hAnsi="Arial"/>
          <w:sz w:val="19"/>
          <w:szCs w:val="19"/>
          <w:color w:val="auto"/>
        </w:rPr>
        <w:t>Has been a participant in the NBCUniversal Supplementary Pension Plan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the period extending from January 29, 2011 through December 31, 2012;</w:t>
      </w:r>
    </w:p>
    <w:p>
      <w:pPr>
        <w:spacing w:after="0" w:line="201" w:lineRule="exact"/>
        <w:rPr>
          <w:rFonts w:ascii="Arial" w:cs="Arial" w:eastAsia="Arial" w:hAnsi="Arial"/>
          <w:sz w:val="19"/>
          <w:szCs w:val="19"/>
          <w:color w:val="auto"/>
        </w:rPr>
      </w:pPr>
    </w:p>
    <w:p>
      <w:pPr>
        <w:ind w:left="4720" w:hanging="500"/>
        <w:spacing w:after="0"/>
        <w:tabs>
          <w:tab w:leader="none" w:pos="4720" w:val="left"/>
        </w:tabs>
        <w:numPr>
          <w:ilvl w:val="1"/>
          <w:numId w:val="33"/>
        </w:numPr>
        <w:rPr>
          <w:rFonts w:ascii="Arial" w:cs="Arial" w:eastAsia="Arial" w:hAnsi="Arial"/>
          <w:sz w:val="19"/>
          <w:szCs w:val="19"/>
          <w:color w:val="auto"/>
        </w:rPr>
      </w:pPr>
      <w:r>
        <w:rPr>
          <w:rFonts w:ascii="Arial" w:cs="Arial" w:eastAsia="Arial" w:hAnsi="Arial"/>
          <w:sz w:val="19"/>
          <w:szCs w:val="19"/>
          <w:color w:val="auto"/>
        </w:rPr>
        <w:t>Has an Annual Rate of Pay is $200,000 or more as of both (iii) the date 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201" w:lineRule="exact"/>
        <w:rPr>
          <w:rFonts w:ascii="Arial" w:cs="Arial" w:eastAsia="Arial" w:hAnsi="Arial"/>
          <w:sz w:val="19"/>
          <w:szCs w:val="19"/>
          <w:color w:val="auto"/>
        </w:rPr>
      </w:pPr>
    </w:p>
    <w:p>
      <w:pPr>
        <w:ind w:left="4740" w:hanging="520"/>
        <w:spacing w:after="0"/>
        <w:tabs>
          <w:tab w:leader="none" w:pos="4740" w:val="left"/>
        </w:tabs>
        <w:numPr>
          <w:ilvl w:val="1"/>
          <w:numId w:val="33"/>
        </w:numPr>
        <w:rPr>
          <w:rFonts w:ascii="Arial" w:cs="Arial" w:eastAsia="Arial" w:hAnsi="Arial"/>
          <w:sz w:val="21"/>
          <w:szCs w:val="21"/>
          <w:color w:val="auto"/>
        </w:rPr>
      </w:pPr>
      <w:r>
        <w:rPr>
          <w:rFonts w:ascii="Arial" w:cs="Arial" w:eastAsia="Arial" w:hAnsi="Arial"/>
          <w:sz w:val="21"/>
          <w:szCs w:val="21"/>
          <w:color w:val="auto"/>
        </w:rPr>
        <w:t>Files an Initial Election with the Administrator for the 2013 Plan Year.</w:t>
      </w:r>
    </w:p>
    <w:p>
      <w:pPr>
        <w:spacing w:after="0" w:line="231" w:lineRule="exact"/>
        <w:rPr>
          <w:rFonts w:ascii="Arial" w:cs="Arial" w:eastAsia="Arial" w:hAnsi="Arial"/>
          <w:sz w:val="21"/>
          <w:szCs w:val="21"/>
          <w:color w:val="auto"/>
        </w:rPr>
      </w:pPr>
    </w:p>
    <w:p>
      <w:pPr>
        <w:ind w:left="3460" w:hanging="536"/>
        <w:spacing w:after="0"/>
        <w:tabs>
          <w:tab w:leader="none" w:pos="34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pacing w:after="0" w:line="219" w:lineRule="exact"/>
        <w:rPr>
          <w:rFonts w:ascii="Arial" w:cs="Arial" w:eastAsia="Arial" w:hAnsi="Arial"/>
          <w:sz w:val="22"/>
          <w:szCs w:val="22"/>
          <w:color w:val="auto"/>
        </w:rPr>
      </w:pPr>
    </w:p>
    <w:p>
      <w:pPr>
        <w:ind w:left="3400" w:hanging="476"/>
        <w:spacing w:after="0"/>
        <w:tabs>
          <w:tab w:leader="none" w:pos="34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220" w:lineRule="exact"/>
        <w:rPr>
          <w:sz w:val="20"/>
          <w:szCs w:val="20"/>
          <w:color w:val="auto"/>
        </w:rPr>
      </w:pPr>
    </w:p>
    <w:p>
      <w:pPr>
        <w:jc w:val="both"/>
        <w:ind w:right="540" w:firstLine="2276"/>
        <w:spacing w:after="0" w:line="271" w:lineRule="auto"/>
        <w:tabs>
          <w:tab w:leader="none" w:pos="2790" w:val="left"/>
        </w:tabs>
        <w:numPr>
          <w:ilvl w:val="0"/>
          <w:numId w:val="34"/>
        </w:numPr>
        <w:rPr>
          <w:rFonts w:ascii="Arial" w:cs="Arial" w:eastAsia="Arial" w:hAnsi="Arial"/>
          <w:sz w:val="21"/>
          <w:szCs w:val="21"/>
          <w:color w:val="auto"/>
        </w:rPr>
      </w:pPr>
      <w:r>
        <w:rPr>
          <w:rFonts w:ascii="Arial" w:cs="Arial" w:eastAsia="Arial" w:hAnsi="Arial"/>
          <w:sz w:val="21"/>
          <w:szCs w:val="21"/>
          <w:color w:val="auto"/>
        </w:rPr>
        <w:t>Effective on and after January 1, 2019, an employee of NBCUniversal described in Section 2.28(b)(i) through 2.28(b)(iii) below, provided that, in each case, except as otherwise designated by the Administrator, such individual’s Compensation is administered under NBCUniversal’s common payroll system.</w:t>
      </w:r>
    </w:p>
    <w:p>
      <w:pPr>
        <w:spacing w:after="0" w:line="167" w:lineRule="exact"/>
        <w:rPr>
          <w:rFonts w:ascii="Arial" w:cs="Arial" w:eastAsia="Arial" w:hAnsi="Arial"/>
          <w:sz w:val="21"/>
          <w:szCs w:val="21"/>
          <w:color w:val="auto"/>
        </w:rPr>
      </w:pPr>
    </w:p>
    <w:p>
      <w:pPr>
        <w:ind w:right="780" w:firstLine="2924"/>
        <w:spacing w:after="0" w:line="271" w:lineRule="auto"/>
        <w:tabs>
          <w:tab w:leader="none" w:pos="3336" w:val="left"/>
        </w:tabs>
        <w:numPr>
          <w:ilvl w:val="1"/>
          <w:numId w:val="34"/>
        </w:numPr>
        <w:rPr>
          <w:rFonts w:ascii="Arial" w:cs="Arial" w:eastAsia="Arial" w:hAnsi="Arial"/>
          <w:sz w:val="21"/>
          <w:szCs w:val="21"/>
          <w:color w:val="auto"/>
        </w:rPr>
      </w:pPr>
      <w:r>
        <w:rPr>
          <w:rFonts w:ascii="Arial" w:cs="Arial" w:eastAsia="Arial" w:hAnsi="Arial"/>
          <w:sz w:val="21"/>
          <w:szCs w:val="21"/>
          <w:color w:val="auto"/>
        </w:rPr>
        <w:t>Each employee of NBCUniversal who has been designated as a member of NBCUniversal’s Executive Committee or Management Committee by the Chief Executive Officer of NBCUniversal and approved by the Administrator, other than an employee who is described in Section 2.25.</w:t>
      </w:r>
    </w:p>
    <w:p>
      <w:pPr>
        <w:spacing w:after="0" w:line="167" w:lineRule="exact"/>
        <w:rPr>
          <w:rFonts w:ascii="Arial" w:cs="Arial" w:eastAsia="Arial" w:hAnsi="Arial"/>
          <w:sz w:val="21"/>
          <w:szCs w:val="21"/>
          <w:color w:val="auto"/>
        </w:rPr>
      </w:pPr>
    </w:p>
    <w:p>
      <w:pPr>
        <w:ind w:left="3400" w:hanging="476"/>
        <w:spacing w:after="0"/>
        <w:tabs>
          <w:tab w:leader="none" w:pos="34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pacing w:after="0" w:line="219" w:lineRule="exact"/>
        <w:rPr>
          <w:rFonts w:ascii="Arial" w:cs="Arial" w:eastAsia="Arial" w:hAnsi="Arial"/>
          <w:sz w:val="22"/>
          <w:szCs w:val="22"/>
          <w:color w:val="auto"/>
        </w:rPr>
      </w:pPr>
    </w:p>
    <w:p>
      <w:pPr>
        <w:ind w:left="3460" w:hanging="536"/>
        <w:spacing w:after="0"/>
        <w:tabs>
          <w:tab w:leader="none" w:pos="34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2.29. “</w:t>
      </w:r>
      <w:r>
        <w:rPr>
          <w:rFonts w:ascii="Arial" w:cs="Arial" w:eastAsia="Arial" w:hAnsi="Arial"/>
          <w:sz w:val="22"/>
          <w:szCs w:val="22"/>
          <w:u w:val="single" w:color="auto"/>
          <w:color w:val="auto"/>
        </w:rPr>
        <w:t>Fair Market Value</w:t>
      </w:r>
      <w:r>
        <w:rPr>
          <w:rFonts w:ascii="Arial" w:cs="Arial" w:eastAsia="Arial" w:hAnsi="Arial"/>
          <w:sz w:val="22"/>
          <w:szCs w:val="22"/>
          <w:color w:val="auto"/>
        </w:rPr>
        <w:t>”</w:t>
      </w:r>
    </w:p>
    <w:p>
      <w:pPr>
        <w:spacing w:after="0" w:line="220" w:lineRule="exact"/>
        <w:rPr>
          <w:sz w:val="20"/>
          <w:szCs w:val="20"/>
          <w:color w:val="auto"/>
        </w:rPr>
      </w:pPr>
    </w:p>
    <w:p>
      <w:pPr>
        <w:ind w:firstLine="2276"/>
        <w:spacing w:after="0" w:line="263" w:lineRule="auto"/>
        <w:tabs>
          <w:tab w:leader="none" w:pos="2778"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shares of any Other Investment Fund are listed on a stock exchange, Fair Market Value shall be determined based on the last reported sale price of a share on the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t>exchange on which shares are listed on the date of determination, or if such date is not a trading day, the next trading date.</w:t>
      </w:r>
    </w:p>
    <w:p>
      <w:pPr>
        <w:spacing w:after="0" w:line="254" w:lineRule="exact"/>
        <w:rPr>
          <w:sz w:val="20"/>
          <w:szCs w:val="20"/>
          <w:color w:val="auto"/>
        </w:rPr>
      </w:pPr>
    </w:p>
    <w:p>
      <w:pPr>
        <w:ind w:right="40" w:firstLine="2276"/>
        <w:spacing w:after="0" w:line="271" w:lineRule="auto"/>
        <w:tabs>
          <w:tab w:leader="none" w:pos="2790" w:val="left"/>
        </w:tabs>
        <w:numPr>
          <w:ilvl w:val="0"/>
          <w:numId w:val="36"/>
        </w:numPr>
        <w:rPr>
          <w:rFonts w:ascii="Arial" w:cs="Arial" w:eastAsia="Arial" w:hAnsi="Arial"/>
          <w:sz w:val="21"/>
          <w:szCs w:val="21"/>
          <w:color w:val="auto"/>
        </w:rPr>
      </w:pPr>
      <w:r>
        <w:rPr>
          <w:rFonts w:ascii="Arial" w:cs="Arial" w:eastAsia="Arial" w:hAnsi="Arial"/>
          <w:sz w:val="21"/>
          <w:szCs w:val="21"/>
          <w:color w:val="auto"/>
        </w:rPr>
        <w:t>If shares of any Other Investment Fund are not so listed, but trades of shares are reported on a quotation system, Fair Market Value shall be determined based on the last quoted sale price of a share on the quotation system on the date of determination, or if such date is not a trading day, the next trading date.</w:t>
      </w:r>
    </w:p>
    <w:p>
      <w:pPr>
        <w:spacing w:after="0" w:line="167" w:lineRule="exact"/>
        <w:rPr>
          <w:rFonts w:ascii="Arial" w:cs="Arial" w:eastAsia="Arial" w:hAnsi="Arial"/>
          <w:sz w:val="21"/>
          <w:szCs w:val="21"/>
          <w:color w:val="auto"/>
        </w:rPr>
      </w:pPr>
    </w:p>
    <w:p>
      <w:pPr>
        <w:ind w:right="400" w:firstLine="2276"/>
        <w:spacing w:after="0" w:line="263" w:lineRule="auto"/>
        <w:tabs>
          <w:tab w:leader="none" w:pos="2778" w:val="left"/>
        </w:tabs>
        <w:numPr>
          <w:ilvl w:val="0"/>
          <w:numId w:val="36"/>
        </w:numPr>
        <w:rPr>
          <w:rFonts w:ascii="Arial" w:cs="Arial" w:eastAsia="Arial" w:hAnsi="Arial"/>
          <w:sz w:val="22"/>
          <w:szCs w:val="22"/>
          <w:color w:val="auto"/>
        </w:rPr>
      </w:pPr>
      <w:r>
        <w:rPr>
          <w:rFonts w:ascii="Arial" w:cs="Arial" w:eastAsia="Arial" w:hAnsi="Arial"/>
          <w:sz w:val="22"/>
          <w:szCs w:val="22"/>
          <w:color w:val="auto"/>
        </w:rPr>
        <w:t>If shares of any Other Investment Fund are not so listed nor trades of shares so reported, Fair Market Value shall be determined by the Committee in good faith.</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2.30. “</w:t>
      </w:r>
      <w:r>
        <w:rPr>
          <w:rFonts w:ascii="Arial" w:cs="Arial" w:eastAsia="Arial" w:hAnsi="Arial"/>
          <w:sz w:val="22"/>
          <w:szCs w:val="22"/>
          <w:u w:val="single" w:color="auto"/>
          <w:color w:val="auto"/>
        </w:rPr>
        <w:t>Grandfathered Employee</w:t>
      </w:r>
      <w:r>
        <w:rPr>
          <w:rFonts w:ascii="Arial" w:cs="Arial" w:eastAsia="Arial" w:hAnsi="Arial"/>
          <w:sz w:val="22"/>
          <w:szCs w:val="22"/>
          <w:color w:val="auto"/>
        </w:rPr>
        <w:t>” means:</w:t>
      </w:r>
    </w:p>
    <w:p>
      <w:pPr>
        <w:spacing w:after="0" w:line="220" w:lineRule="exact"/>
        <w:rPr>
          <w:sz w:val="20"/>
          <w:szCs w:val="20"/>
          <w:color w:val="auto"/>
        </w:rPr>
      </w:pPr>
    </w:p>
    <w:p>
      <w:pPr>
        <w:ind w:left="2780" w:hanging="504"/>
        <w:spacing w:after="0"/>
        <w:tabs>
          <w:tab w:leader="none" w:pos="27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Effective before January 1, 2014:</w:t>
      </w:r>
    </w:p>
    <w:p>
      <w:pPr>
        <w:spacing w:after="0" w:line="219" w:lineRule="exact"/>
        <w:rPr>
          <w:rFonts w:ascii="Arial" w:cs="Arial" w:eastAsia="Arial" w:hAnsi="Arial"/>
          <w:sz w:val="22"/>
          <w:szCs w:val="22"/>
          <w:color w:val="auto"/>
        </w:rPr>
      </w:pPr>
    </w:p>
    <w:p>
      <w:pPr>
        <w:ind w:right="300" w:firstLine="2924"/>
        <w:spacing w:after="0" w:line="253" w:lineRule="auto"/>
        <w:tabs>
          <w:tab w:leader="none" w:pos="3336" w:val="left"/>
        </w:tabs>
        <w:numPr>
          <w:ilvl w:val="1"/>
          <w:numId w:val="37"/>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185" w:lineRule="exact"/>
        <w:rPr>
          <w:rFonts w:ascii="Arial" w:cs="Arial" w:eastAsia="Arial" w:hAnsi="Arial"/>
          <w:sz w:val="22"/>
          <w:szCs w:val="22"/>
          <w:color w:val="auto"/>
        </w:rPr>
      </w:pPr>
    </w:p>
    <w:p>
      <w:pPr>
        <w:jc w:val="both"/>
        <w:ind w:right="20" w:firstLine="2924"/>
        <w:spacing w:after="0" w:line="250" w:lineRule="auto"/>
        <w:tabs>
          <w:tab w:leader="none" w:pos="3396" w:val="left"/>
        </w:tabs>
        <w:numPr>
          <w:ilvl w:val="1"/>
          <w:numId w:val="37"/>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was, at any time before January 1, 1995, eligible to participate in the Prior Plan and whose Annual Rate of Pay was $90,000 or more as of both (A) the date on which an Initial Election is filed with the Administrator and (B) the first day of each calendar year beginning after December 31, 1994.</w:t>
      </w:r>
    </w:p>
    <w:p>
      <w:pPr>
        <w:spacing w:after="0" w:line="187" w:lineRule="exact"/>
        <w:rPr>
          <w:rFonts w:ascii="Arial" w:cs="Arial" w:eastAsia="Arial" w:hAnsi="Arial"/>
          <w:sz w:val="22"/>
          <w:szCs w:val="22"/>
          <w:color w:val="auto"/>
        </w:rPr>
      </w:pPr>
    </w:p>
    <w:p>
      <w:pPr>
        <w:ind w:firstLine="2924"/>
        <w:spacing w:after="0" w:line="250" w:lineRule="auto"/>
        <w:tabs>
          <w:tab w:leader="none" w:pos="3456" w:val="left"/>
        </w:tabs>
        <w:numPr>
          <w:ilvl w:val="1"/>
          <w:numId w:val="37"/>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187" w:lineRule="exact"/>
        <w:rPr>
          <w:rFonts w:ascii="Arial" w:cs="Arial" w:eastAsia="Arial" w:hAnsi="Arial"/>
          <w:sz w:val="22"/>
          <w:szCs w:val="22"/>
          <w:color w:val="auto"/>
        </w:rPr>
      </w:pPr>
    </w:p>
    <w:p>
      <w:pPr>
        <w:ind w:right="180" w:firstLine="2924"/>
        <w:spacing w:after="0" w:line="248" w:lineRule="auto"/>
        <w:tabs>
          <w:tab w:leader="none" w:pos="3444" w:val="left"/>
        </w:tabs>
        <w:numPr>
          <w:ilvl w:val="1"/>
          <w:numId w:val="37"/>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91" w:lineRule="exact"/>
        <w:rPr>
          <w:rFonts w:ascii="Arial" w:cs="Arial" w:eastAsia="Arial" w:hAnsi="Arial"/>
          <w:sz w:val="22"/>
          <w:szCs w:val="22"/>
          <w:color w:val="auto"/>
        </w:rPr>
      </w:pPr>
    </w:p>
    <w:p>
      <w:pPr>
        <w:ind w:left="2800" w:hanging="524"/>
        <w:spacing w:after="0"/>
        <w:tabs>
          <w:tab w:leader="none" w:pos="28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w:t>
      </w:r>
    </w:p>
    <w:p>
      <w:pPr>
        <w:spacing w:after="0" w:line="219" w:lineRule="exact"/>
        <w:rPr>
          <w:rFonts w:ascii="Arial" w:cs="Arial" w:eastAsia="Arial" w:hAnsi="Arial"/>
          <w:sz w:val="22"/>
          <w:szCs w:val="22"/>
          <w:color w:val="auto"/>
        </w:rPr>
      </w:pPr>
    </w:p>
    <w:p>
      <w:pPr>
        <w:ind w:left="3340" w:hanging="416"/>
        <w:spacing w:after="0"/>
        <w:tabs>
          <w:tab w:leader="none" w:pos="3340" w:val="left"/>
        </w:tabs>
        <w:numPr>
          <w:ilvl w:val="1"/>
          <w:numId w:val="37"/>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is described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2.30(a)(i)-(iv).</w:t>
      </w:r>
    </w:p>
    <w:p>
      <w:pPr>
        <w:spacing w:after="0" w:line="201" w:lineRule="exact"/>
        <w:rPr>
          <w:rFonts w:ascii="Arial" w:cs="Arial" w:eastAsia="Arial" w:hAnsi="Arial"/>
          <w:sz w:val="19"/>
          <w:szCs w:val="19"/>
          <w:color w:val="auto"/>
        </w:rPr>
      </w:pPr>
    </w:p>
    <w:p>
      <w:pPr>
        <w:ind w:right="20" w:firstLine="2924"/>
        <w:spacing w:after="0" w:line="263" w:lineRule="auto"/>
        <w:tabs>
          <w:tab w:leader="none" w:pos="3396" w:val="left"/>
        </w:tabs>
        <w:numPr>
          <w:ilvl w:val="1"/>
          <w:numId w:val="37"/>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is a Participant and who has an Annual Rate of Pay of $200,000 or more as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56" w:name="page57"/>
    <w:bookmarkEnd w:id="56"/>
    <w:p>
      <w:pPr>
        <w:ind w:right="220"/>
        <w:spacing w:after="0" w:line="263" w:lineRule="auto"/>
        <w:rPr>
          <w:sz w:val="20"/>
          <w:szCs w:val="20"/>
          <w:color w:val="auto"/>
        </w:rPr>
      </w:pPr>
      <w:r>
        <w:rPr>
          <w:rFonts w:ascii="Arial" w:cs="Arial" w:eastAsia="Arial" w:hAnsi="Arial"/>
          <w:sz w:val="22"/>
          <w:szCs w:val="22"/>
          <w:color w:val="auto"/>
        </w:rPr>
        <w:t>of (A) December 31, 2013; (B) the date on which an Initial Election is filed with the Administrator and (C) the first day of each calendar year beginning after December 31, 2013.</w:t>
      </w:r>
    </w:p>
    <w:p>
      <w:pPr>
        <w:spacing w:after="0" w:line="175" w:lineRule="exact"/>
        <w:rPr>
          <w:sz w:val="20"/>
          <w:szCs w:val="20"/>
          <w:color w:val="auto"/>
        </w:rPr>
      </w:pPr>
    </w:p>
    <w:p>
      <w:pPr>
        <w:jc w:val="both"/>
        <w:ind w:right="80" w:firstLine="2924"/>
        <w:spacing w:after="0" w:line="312" w:lineRule="auto"/>
        <w:tabs>
          <w:tab w:leader="none" w:pos="3456" w:val="left"/>
        </w:tabs>
        <w:numPr>
          <w:ilvl w:val="1"/>
          <w:numId w:val="38"/>
        </w:numPr>
        <w:rPr>
          <w:rFonts w:ascii="Arial" w:cs="Arial" w:eastAsia="Arial" w:hAnsi="Arial"/>
          <w:sz w:val="19"/>
          <w:szCs w:val="19"/>
          <w:color w:val="auto"/>
        </w:rPr>
      </w:pPr>
      <w:r>
        <w:rPr>
          <w:rFonts w:ascii="Arial" w:cs="Arial" w:eastAsia="Arial" w:hAnsi="Arial"/>
          <w:sz w:val="19"/>
          <w:szCs w:val="19"/>
          <w:color w:val="auto"/>
        </w:rPr>
        <w:t>Each employee of NBCUniversal described in Section 2.28(a)(ii) or 2.28(a)(iii)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33" w:lineRule="exact"/>
        <w:rPr>
          <w:rFonts w:ascii="Arial" w:cs="Arial" w:eastAsia="Arial" w:hAnsi="Arial"/>
          <w:sz w:val="19"/>
          <w:szCs w:val="19"/>
          <w:color w:val="auto"/>
        </w:rPr>
      </w:pPr>
    </w:p>
    <w:p>
      <w:pPr>
        <w:ind w:right="160" w:firstLine="2276"/>
        <w:spacing w:after="0" w:line="253" w:lineRule="auto"/>
        <w:tabs>
          <w:tab w:leader="none" w:pos="2778" w:val="left"/>
        </w:tabs>
        <w:numPr>
          <w:ilvl w:val="0"/>
          <w:numId w:val="39"/>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2019 through December 31, 2020, each employee of a Participating Company who either has a balance credited to his Account as of December 31, 2018, or has filed an Initial Election to defer bonus earned for the 2018 Plan Year and who:</w:t>
      </w:r>
    </w:p>
    <w:p>
      <w:pPr>
        <w:spacing w:after="0" w:line="185" w:lineRule="exact"/>
        <w:rPr>
          <w:rFonts w:ascii="Arial" w:cs="Arial" w:eastAsia="Arial" w:hAnsi="Arial"/>
          <w:sz w:val="22"/>
          <w:szCs w:val="22"/>
          <w:color w:val="auto"/>
        </w:rPr>
      </w:pPr>
    </w:p>
    <w:p>
      <w:pPr>
        <w:ind w:firstLine="2924"/>
        <w:spacing w:after="0" w:line="250" w:lineRule="auto"/>
        <w:tabs>
          <w:tab w:leader="none" w:pos="3336" w:val="left"/>
        </w:tabs>
        <w:numPr>
          <w:ilvl w:val="1"/>
          <w:numId w:val="39"/>
        </w:numPr>
        <w:rPr>
          <w:rFonts w:ascii="Arial" w:cs="Arial" w:eastAsia="Arial" w:hAnsi="Arial"/>
          <w:sz w:val="22"/>
          <w:szCs w:val="22"/>
          <w:color w:val="auto"/>
        </w:rPr>
      </w:pPr>
      <w:r>
        <w:rPr>
          <w:rFonts w:ascii="Arial" w:cs="Arial" w:eastAsia="Arial" w:hAnsi="Arial"/>
          <w:sz w:val="22"/>
          <w:szCs w:val="22"/>
          <w:color w:val="auto"/>
        </w:rPr>
        <w:t>is an employee of NBCUniversal described in Section 2.25(a) whose Compensation was administered under NBCUniversal’s common payroll system as of December 31, 2013, has an Annual Rate of Pay of $250,000 or more as of both the date on which an Initial Election is filed with the Administrator and the first day of the calendar year in which such Initial Election is filed;</w:t>
      </w:r>
    </w:p>
    <w:p>
      <w:pPr>
        <w:spacing w:after="0" w:line="188" w:lineRule="exact"/>
        <w:rPr>
          <w:sz w:val="20"/>
          <w:szCs w:val="20"/>
          <w:color w:val="auto"/>
        </w:rPr>
      </w:pPr>
    </w:p>
    <w:p>
      <w:pPr>
        <w:ind w:left="3400" w:hanging="476"/>
        <w:spacing w:after="0"/>
        <w:tabs>
          <w:tab w:leader="none" w:pos="34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is described in Section 2.28(a)(i), and who is a member of NBCUniversal’s Operating</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Committee (but not NBCUniversal’s Executive Committee or Management Committee); or</w:t>
      </w:r>
    </w:p>
    <w:p>
      <w:pPr>
        <w:spacing w:after="0" w:line="201" w:lineRule="exact"/>
        <w:rPr>
          <w:rFonts w:ascii="Arial" w:cs="Arial" w:eastAsia="Arial" w:hAnsi="Arial"/>
          <w:sz w:val="19"/>
          <w:szCs w:val="19"/>
          <w:color w:val="auto"/>
        </w:rPr>
      </w:pPr>
    </w:p>
    <w:p>
      <w:pPr>
        <w:ind w:left="3460" w:hanging="536"/>
        <w:spacing w:after="0"/>
        <w:tabs>
          <w:tab w:leader="none" w:pos="34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is described in Section 2.30(b).</w:t>
      </w:r>
    </w:p>
    <w:p>
      <w:pPr>
        <w:spacing w:after="0" w:line="220" w:lineRule="exact"/>
        <w:rPr>
          <w:sz w:val="20"/>
          <w:szCs w:val="20"/>
          <w:color w:val="auto"/>
        </w:rPr>
      </w:pPr>
    </w:p>
    <w:p>
      <w:pPr>
        <w:ind w:right="180" w:firstLine="1620"/>
        <w:spacing w:after="0" w:line="292" w:lineRule="auto"/>
        <w:rPr>
          <w:sz w:val="20"/>
          <w:szCs w:val="20"/>
          <w:color w:val="auto"/>
        </w:rPr>
      </w:pPr>
      <w:r>
        <w:rPr>
          <w:rFonts w:ascii="Arial" w:cs="Arial" w:eastAsia="Arial" w:hAnsi="Arial"/>
          <w:sz w:val="19"/>
          <w:szCs w:val="19"/>
          <w:color w:val="auto"/>
        </w:rPr>
        <w:t>2.31. “</w:t>
      </w:r>
      <w:r>
        <w:rPr>
          <w:rFonts w:ascii="Arial" w:cs="Arial" w:eastAsia="Arial" w:hAnsi="Arial"/>
          <w:sz w:val="19"/>
          <w:szCs w:val="19"/>
          <w:u w:val="single" w:color="auto"/>
          <w:color w:val="auto"/>
        </w:rPr>
        <w:t>Hardship</w:t>
      </w:r>
      <w:r>
        <w:rPr>
          <w:rFonts w:ascii="Arial" w:cs="Arial" w:eastAsia="Arial" w:hAnsi="Arial"/>
          <w:sz w:val="19"/>
          <w:szCs w:val="19"/>
          <w:color w:val="auto"/>
        </w:rPr>
        <w:t>” means an “unforeseeable emergency,” as defined in Section 409A. The Committee shall determine whether the circumstances of the Participant constitute an unforeseeable emergency and thus a Hardship within the meaning of this Section 2.31.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2.31 for all Participants in similar circumstances.</w:t>
      </w:r>
    </w:p>
    <w:p>
      <w:pPr>
        <w:spacing w:after="0" w:line="15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2.32. “</w:t>
      </w:r>
      <w:r>
        <w:rPr>
          <w:rFonts w:ascii="Arial" w:cs="Arial" w:eastAsia="Arial" w:hAnsi="Arial"/>
          <w:sz w:val="22"/>
          <w:szCs w:val="22"/>
          <w:u w:val="single" w:color="auto"/>
          <w:color w:val="auto"/>
        </w:rPr>
        <w:t>High Balance Participant</w:t>
      </w:r>
      <w:r>
        <w:rPr>
          <w:rFonts w:ascii="Arial" w:cs="Arial" w:eastAsia="Arial" w:hAnsi="Arial"/>
          <w:sz w:val="22"/>
          <w:szCs w:val="22"/>
          <w:color w:val="auto"/>
        </w:rPr>
        <w:t>” means:</w:t>
      </w:r>
    </w:p>
    <w:p>
      <w:pPr>
        <w:spacing w:after="0" w:line="220" w:lineRule="exact"/>
        <w:rPr>
          <w:sz w:val="20"/>
          <w:szCs w:val="20"/>
          <w:color w:val="auto"/>
        </w:rPr>
      </w:pPr>
    </w:p>
    <w:p>
      <w:pPr>
        <w:ind w:right="280" w:firstLine="2276"/>
        <w:spacing w:after="0" w:line="263" w:lineRule="auto"/>
        <w:tabs>
          <w:tab w:leader="none" w:pos="2724"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Participant the value of whose Account that is deemed invested in the Income Fund is greater than or equal to the Income Fund Limit, as determined by the Administrator; and</w:t>
      </w:r>
    </w:p>
    <w:p>
      <w:pPr>
        <w:spacing w:after="0" w:line="174" w:lineRule="exact"/>
        <w:rPr>
          <w:rFonts w:ascii="Arial" w:cs="Arial" w:eastAsia="Arial" w:hAnsi="Arial"/>
          <w:sz w:val="22"/>
          <w:szCs w:val="22"/>
          <w:color w:val="auto"/>
        </w:rPr>
      </w:pPr>
    </w:p>
    <w:p>
      <w:pPr>
        <w:ind w:left="2800" w:hanging="524"/>
        <w:spacing w:after="0"/>
        <w:tabs>
          <w:tab w:leader="none" w:pos="28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effective July 31, 2020, a Participant who is an Outside Director.</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2.33. “</w:t>
      </w:r>
      <w:r>
        <w:rPr>
          <w:rFonts w:ascii="Arial" w:cs="Arial" w:eastAsia="Arial" w:hAnsi="Arial"/>
          <w:sz w:val="22"/>
          <w:szCs w:val="22"/>
          <w:u w:val="single" w:color="auto"/>
          <w:color w:val="auto"/>
        </w:rPr>
        <w:t>High-Water Mark</w:t>
      </w:r>
      <w:r>
        <w:rPr>
          <w:rFonts w:ascii="Arial" w:cs="Arial" w:eastAsia="Arial" w:hAnsi="Arial"/>
          <w:sz w:val="22"/>
          <w:szCs w:val="22"/>
          <w:color w:val="auto"/>
        </w:rPr>
        <w:t>” means:</w:t>
      </w:r>
    </w:p>
    <w:p>
      <w:pPr>
        <w:spacing w:after="0" w:line="220" w:lineRule="exact"/>
        <w:rPr>
          <w:sz w:val="20"/>
          <w:szCs w:val="20"/>
          <w:color w:val="auto"/>
        </w:rPr>
      </w:pPr>
    </w:p>
    <w:p>
      <w:pPr>
        <w:ind w:right="1040" w:firstLine="2276"/>
        <w:spacing w:after="0" w:line="263" w:lineRule="auto"/>
        <w:tabs>
          <w:tab w:leader="none" w:pos="2774" w:val="left"/>
        </w:tabs>
        <w:numPr>
          <w:ilvl w:val="0"/>
          <w:numId w:val="42"/>
        </w:numPr>
        <w:rPr>
          <w:rFonts w:ascii="Arial" w:cs="Arial" w:eastAsia="Arial" w:hAnsi="Arial"/>
          <w:sz w:val="22"/>
          <w:szCs w:val="22"/>
          <w:color w:val="auto"/>
        </w:rPr>
      </w:pPr>
      <w:r>
        <w:rPr>
          <w:rFonts w:ascii="Arial" w:cs="Arial" w:eastAsia="Arial" w:hAnsi="Arial"/>
          <w:sz w:val="22"/>
          <w:szCs w:val="22"/>
          <w:color w:val="auto"/>
        </w:rPr>
        <w:t>With respect to amounts credited to the Income Fund pursuant to an Eligible Comcast Employee’s Initial Elections on account of Compensation earned in 2014, the highest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57" w:name="page58"/>
    <w:bookmarkEnd w:id="57"/>
    <w:p>
      <w:pPr>
        <w:spacing w:after="0" w:line="263" w:lineRule="auto"/>
        <w:rPr>
          <w:sz w:val="20"/>
          <w:szCs w:val="20"/>
          <w:color w:val="auto"/>
        </w:rPr>
      </w:pPr>
      <w:r>
        <w:rPr>
          <w:rFonts w:ascii="Arial" w:cs="Arial" w:eastAsia="Arial" w:hAnsi="Arial"/>
          <w:sz w:val="22"/>
          <w:szCs w:val="22"/>
          <w:color w:val="auto"/>
        </w:rPr>
        <w:t>of the sum of the amounts described in (i), (ii) and (iii) below as of the last day of any calendar quarter beginning after December 31, 2008 and before October 1, 2013:</w:t>
      </w:r>
    </w:p>
    <w:p>
      <w:pPr>
        <w:spacing w:after="0" w:line="175" w:lineRule="exact"/>
        <w:rPr>
          <w:sz w:val="20"/>
          <w:szCs w:val="20"/>
          <w:color w:val="auto"/>
        </w:rPr>
      </w:pPr>
    </w:p>
    <w:p>
      <w:pPr>
        <w:ind w:left="2920"/>
        <w:spacing w:after="0"/>
        <w:tabs>
          <w:tab w:leader="none" w:pos="33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An Eligible Comcast Employee’s Account to the extent such Account is credited to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Income Fund; plus</w:t>
      </w:r>
    </w:p>
    <w:p>
      <w:pPr>
        <w:spacing w:after="0" w:line="202" w:lineRule="exact"/>
        <w:rPr>
          <w:sz w:val="20"/>
          <w:szCs w:val="20"/>
          <w:color w:val="auto"/>
        </w:rPr>
      </w:pPr>
    </w:p>
    <w:p>
      <w:pPr>
        <w:ind w:left="3400" w:hanging="476"/>
        <w:spacing w:after="0"/>
        <w:tabs>
          <w:tab w:leader="none" w:pos="34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Such Eligible Comcast Employee’s Account in the Prior Plan to the extent such Account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 credited to the Income Fund; plus</w:t>
      </w:r>
    </w:p>
    <w:p>
      <w:pPr>
        <w:spacing w:after="0" w:line="201" w:lineRule="exact"/>
        <w:rPr>
          <w:rFonts w:ascii="Arial" w:cs="Arial" w:eastAsia="Arial" w:hAnsi="Arial"/>
          <w:sz w:val="19"/>
          <w:szCs w:val="19"/>
          <w:color w:val="auto"/>
        </w:rPr>
      </w:pPr>
    </w:p>
    <w:p>
      <w:pPr>
        <w:ind w:right="300" w:firstLine="2924"/>
        <w:spacing w:after="0" w:line="263" w:lineRule="auto"/>
        <w:tabs>
          <w:tab w:leader="none" w:pos="3456" w:val="left"/>
        </w:tabs>
        <w:numPr>
          <w:ilvl w:val="1"/>
          <w:numId w:val="43"/>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174" w:lineRule="exact"/>
        <w:rPr>
          <w:rFonts w:ascii="Arial" w:cs="Arial" w:eastAsia="Arial" w:hAnsi="Arial"/>
          <w:sz w:val="22"/>
          <w:szCs w:val="22"/>
          <w:color w:val="auto"/>
        </w:rPr>
      </w:pPr>
    </w:p>
    <w:p>
      <w:pPr>
        <w:ind w:right="100" w:firstLine="2276"/>
        <w:spacing w:after="0" w:line="265" w:lineRule="auto"/>
        <w:tabs>
          <w:tab w:leader="none" w:pos="2786" w:val="left"/>
        </w:tabs>
        <w:numPr>
          <w:ilvl w:val="0"/>
          <w:numId w:val="44"/>
        </w:numPr>
        <w:rPr>
          <w:rFonts w:ascii="Arial" w:cs="Arial" w:eastAsia="Arial" w:hAnsi="Arial"/>
          <w:sz w:val="21"/>
          <w:szCs w:val="21"/>
          <w:color w:val="auto"/>
        </w:rPr>
      </w:pPr>
      <w:r>
        <w:rPr>
          <w:rFonts w:ascii="Arial" w:cs="Arial" w:eastAsia="Arial" w:hAnsi="Arial"/>
          <w:sz w:val="21"/>
          <w:szCs w:val="21"/>
          <w:color w:val="auto"/>
        </w:rPr>
        <w:t>With respect to amounts credited to the Income Fund pursuant to an Eligible Comcast Employee’s Initial Elections on account of Compensation earned after 2014, the sum of (x) plus (y) where (x) equals the highest of the sum of the amounts described in Section 2.33(a)(i), (ii) and (iii) as of the last day of any calendar quarter beginning after December 31, 2008 and before January 1, 2014, and (y) equals the sum of:</w:t>
      </w:r>
    </w:p>
    <w:p>
      <w:pPr>
        <w:spacing w:after="0" w:line="175" w:lineRule="exact"/>
        <w:rPr>
          <w:rFonts w:ascii="Arial" w:cs="Arial" w:eastAsia="Arial" w:hAnsi="Arial"/>
          <w:sz w:val="21"/>
          <w:szCs w:val="21"/>
          <w:color w:val="auto"/>
        </w:rPr>
      </w:pPr>
    </w:p>
    <w:p>
      <w:pPr>
        <w:ind w:right="100" w:firstLine="2924"/>
        <w:spacing w:after="0" w:line="271" w:lineRule="auto"/>
        <w:tabs>
          <w:tab w:leader="none" w:pos="3332"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amount credited to the Income Fund with respect to an Eligible Comcast Employee’s Account pursuant to Section 3.8 after December 31, 2013 and on or before September 30, 2014 that is contractually committed pursuant to an employment agreement entered into on or before December 31, 2013; plus</w:t>
      </w:r>
    </w:p>
    <w:p>
      <w:pPr>
        <w:spacing w:after="0" w:line="167" w:lineRule="exact"/>
        <w:rPr>
          <w:rFonts w:ascii="Arial" w:cs="Arial" w:eastAsia="Arial" w:hAnsi="Arial"/>
          <w:sz w:val="21"/>
          <w:szCs w:val="21"/>
          <w:color w:val="auto"/>
        </w:rPr>
      </w:pPr>
    </w:p>
    <w:p>
      <w:pPr>
        <w:ind w:right="360" w:firstLine="2924"/>
        <w:spacing w:after="0" w:line="253" w:lineRule="auto"/>
        <w:tabs>
          <w:tab w:leader="none" w:pos="3392"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deferred portion of an Eligible Comcast Employee’s cash bonus award earned for 2013 to the extent credited to the Income Fund and payable, but for the Eligible Comcast Employee’s Initial Election, after December 31, 2013 and on or before September 30, 2014; plus</w:t>
      </w:r>
    </w:p>
    <w:p>
      <w:pPr>
        <w:spacing w:after="0" w:line="185" w:lineRule="exact"/>
        <w:rPr>
          <w:rFonts w:ascii="Arial" w:cs="Arial" w:eastAsia="Arial" w:hAnsi="Arial"/>
          <w:sz w:val="22"/>
          <w:szCs w:val="22"/>
          <w:color w:val="auto"/>
        </w:rPr>
      </w:pPr>
    </w:p>
    <w:p>
      <w:pPr>
        <w:ind w:right="260" w:firstLine="2924"/>
        <w:spacing w:after="0" w:line="250" w:lineRule="auto"/>
        <w:tabs>
          <w:tab w:leader="none" w:pos="3452"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amount credited to the Eligible Comcast Employee’s “Income Fund” under the Restricted Stock Plan pursuant to a “Diversification Election” made by an Eligible Comcast Employee before January 1, 2014 with respect to restricted stock units that vest under the Restricted Stock Plan after December 31, 2013 and on or before September 30, 2014.</w:t>
      </w:r>
    </w:p>
    <w:p>
      <w:pPr>
        <w:spacing w:after="0" w:line="188" w:lineRule="exact"/>
        <w:rPr>
          <w:sz w:val="20"/>
          <w:szCs w:val="20"/>
          <w:color w:val="auto"/>
        </w:rPr>
      </w:pPr>
    </w:p>
    <w:p>
      <w:pPr>
        <w:ind w:right="180" w:firstLine="1620"/>
        <w:spacing w:after="0" w:line="271" w:lineRule="auto"/>
        <w:rPr>
          <w:sz w:val="20"/>
          <w:szCs w:val="20"/>
          <w:color w:val="auto"/>
        </w:rPr>
      </w:pPr>
      <w:r>
        <w:rPr>
          <w:rFonts w:ascii="Arial" w:cs="Arial" w:eastAsia="Arial" w:hAnsi="Arial"/>
          <w:sz w:val="21"/>
          <w:szCs w:val="21"/>
          <w:color w:val="auto"/>
        </w:rPr>
        <w:t>2.34. “</w:t>
      </w:r>
      <w:r>
        <w:rPr>
          <w:rFonts w:ascii="Arial" w:cs="Arial" w:eastAsia="Arial" w:hAnsi="Arial"/>
          <w:sz w:val="21"/>
          <w:szCs w:val="21"/>
          <w:u w:val="single" w:color="auto"/>
          <w:color w:val="auto"/>
        </w:rPr>
        <w:t>Inactive Participant</w:t>
      </w:r>
      <w:r>
        <w:rPr>
          <w:rFonts w:ascii="Arial" w:cs="Arial" w:eastAsia="Arial" w:hAnsi="Arial"/>
          <w:sz w:val="21"/>
          <w:szCs w:val="21"/>
          <w:color w:val="auto"/>
        </w:rPr>
        <w:t>” means each Participant (other than an Outside Director or Section 16 Officer described in Section 3.5(a), Retired Participant, Deceased Participant or Disabled Participant) who is not in active service as an Outside Director or Director Emeritus and is not actively employed by a Participating Company.</w:t>
      </w:r>
    </w:p>
    <w:p>
      <w:pPr>
        <w:spacing w:after="0" w:line="167" w:lineRule="exact"/>
        <w:rPr>
          <w:sz w:val="20"/>
          <w:szCs w:val="20"/>
          <w:color w:val="auto"/>
        </w:rPr>
      </w:pPr>
    </w:p>
    <w:p>
      <w:pPr>
        <w:ind w:right="240" w:firstLine="1620"/>
        <w:spacing w:after="0" w:line="294" w:lineRule="auto"/>
        <w:rPr>
          <w:sz w:val="20"/>
          <w:szCs w:val="20"/>
          <w:color w:val="auto"/>
        </w:rPr>
      </w:pPr>
      <w:r>
        <w:rPr>
          <w:rFonts w:ascii="Arial" w:cs="Arial" w:eastAsia="Arial" w:hAnsi="Arial"/>
          <w:sz w:val="19"/>
          <w:szCs w:val="19"/>
          <w:color w:val="auto"/>
        </w:rPr>
        <w:t>2.35. “</w:t>
      </w:r>
      <w:r>
        <w:rPr>
          <w:rFonts w:ascii="Arial" w:cs="Arial" w:eastAsia="Arial" w:hAnsi="Arial"/>
          <w:sz w:val="19"/>
          <w:szCs w:val="19"/>
          <w:u w:val="single" w:color="auto"/>
          <w:color w:val="auto"/>
        </w:rPr>
        <w:t>Income Fund</w:t>
      </w:r>
      <w:r>
        <w:rPr>
          <w:rFonts w:ascii="Arial" w:cs="Arial" w:eastAsia="Arial" w:hAnsi="Arial"/>
          <w:sz w:val="19"/>
          <w:szCs w:val="19"/>
          <w:color w:val="auto"/>
        </w:rPr>
        <w:t>” means a hypothetical investment fund pursuant to which income, gains and losses are credited to a Participant’s Account as if the Account, to the extent deemed invested in the Income Fund, were credited with interest at the Applicable Interest Rate. The “</w:t>
      </w:r>
      <w:r>
        <w:rPr>
          <w:rFonts w:ascii="Arial" w:cs="Arial" w:eastAsia="Arial" w:hAnsi="Arial"/>
          <w:sz w:val="19"/>
          <w:szCs w:val="19"/>
          <w:u w:val="single" w:color="auto"/>
          <w:color w:val="auto"/>
        </w:rPr>
        <w:t>9% Fund</w:t>
      </w:r>
      <w:r>
        <w:rPr>
          <w:rFonts w:ascii="Arial" w:cs="Arial" w:eastAsia="Arial" w:hAnsi="Arial"/>
          <w:sz w:val="19"/>
          <w:szCs w:val="19"/>
          <w:color w:val="auto"/>
        </w:rPr>
        <w:t>” means that portion of the Income Fund with respect to which the Applicable Interest Rate is 9%. The “</w:t>
      </w:r>
      <w:r>
        <w:rPr>
          <w:rFonts w:ascii="Arial" w:cs="Arial" w:eastAsia="Arial" w:hAnsi="Arial"/>
          <w:sz w:val="19"/>
          <w:szCs w:val="19"/>
          <w:u w:val="single" w:color="auto"/>
          <w:color w:val="auto"/>
        </w:rPr>
        <w:t>12% Fund</w:t>
      </w:r>
      <w:r>
        <w:rPr>
          <w:rFonts w:ascii="Arial" w:cs="Arial" w:eastAsia="Arial" w:hAnsi="Arial"/>
          <w:sz w:val="19"/>
          <w:szCs w:val="19"/>
          <w:color w:val="auto"/>
        </w:rPr>
        <w:t>” means that portion of the Income Fund with respect to which the Applicable Interest Rate is 12%. The “</w:t>
      </w:r>
      <w:r>
        <w:rPr>
          <w:rFonts w:ascii="Arial" w:cs="Arial" w:eastAsia="Arial" w:hAnsi="Arial"/>
          <w:sz w:val="19"/>
          <w:szCs w:val="19"/>
          <w:u w:val="single" w:color="auto"/>
          <w:color w:val="auto"/>
        </w:rPr>
        <w:t>Prime Plus One Fund</w:t>
      </w:r>
      <w:r>
        <w:rPr>
          <w:rFonts w:ascii="Arial" w:cs="Arial" w:eastAsia="Arial" w:hAnsi="Arial"/>
          <w:sz w:val="19"/>
          <w:szCs w:val="19"/>
          <w:color w:val="auto"/>
        </w:rPr>
        <w:t>” means that portion of the Income Fund with respect to which the Applicable Interest Rate is described in Section 2.6(b). For purposes of this Section 2.35, the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80"/>
          </w:cols>
          <w:pgMar w:left="320" w:top="1428" w:right="39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Fund shall include amounts credited to the Income Fund under the Prior Plan and the Restricted Stock Plan.</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2.36. “</w:t>
      </w:r>
      <w:r>
        <w:rPr>
          <w:rFonts w:ascii="Arial" w:cs="Arial" w:eastAsia="Arial" w:hAnsi="Arial"/>
          <w:sz w:val="22"/>
          <w:szCs w:val="22"/>
          <w:u w:val="single" w:color="auto"/>
          <w:color w:val="auto"/>
        </w:rPr>
        <w:t>Income Fund Limit</w:t>
      </w:r>
      <w:r>
        <w:rPr>
          <w:rFonts w:ascii="Arial" w:cs="Arial" w:eastAsia="Arial" w:hAnsi="Arial"/>
          <w:sz w:val="22"/>
          <w:szCs w:val="22"/>
          <w:color w:val="auto"/>
        </w:rPr>
        <w:t>” means:</w:t>
      </w:r>
    </w:p>
    <w:p>
      <w:pPr>
        <w:spacing w:after="0" w:line="220" w:lineRule="exact"/>
        <w:rPr>
          <w:sz w:val="20"/>
          <w:szCs w:val="20"/>
          <w:color w:val="auto"/>
        </w:rPr>
      </w:pPr>
    </w:p>
    <w:p>
      <w:pPr>
        <w:ind w:firstLine="2276"/>
        <w:spacing w:after="0" w:line="302" w:lineRule="auto"/>
        <w:tabs>
          <w:tab w:leader="none" w:pos="2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With respect to Participants other than Outside Directors, $100 million, provided that if the amount credited to a Participant’s Income Fund is greater than $100 million as of December 31, 2019, the Income Fund Limit applicable to such Participant for any applicable Plan Year shall be equal to the amount credited to a Participant’s Income Fund as of the December 31 immediately preceding such applicable Plan Year until such balance is equal to or less than $100 million.</w:t>
      </w:r>
    </w:p>
    <w:p>
      <w:pPr>
        <w:spacing w:after="0" w:line="142" w:lineRule="exact"/>
        <w:rPr>
          <w:rFonts w:ascii="Arial" w:cs="Arial" w:eastAsia="Arial" w:hAnsi="Arial"/>
          <w:sz w:val="19"/>
          <w:szCs w:val="19"/>
          <w:color w:val="auto"/>
        </w:rPr>
      </w:pPr>
    </w:p>
    <w:p>
      <w:pPr>
        <w:ind w:left="2800" w:hanging="524"/>
        <w:spacing w:after="0"/>
        <w:tabs>
          <w:tab w:leader="none" w:pos="28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Effective as of July 31, 2020, with respect to Participants who are Outside Directors, $0 (zero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dollars).</w:t>
      </w:r>
    </w:p>
    <w:p>
      <w:pPr>
        <w:spacing w:after="0" w:line="202"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The Administrator may waive or modify downward the Income Fund Limit applicable to one or more High Balance Participants in its discretion. For purposes of this Section 2.36, the Income Fund shall include amounts credited to the Income Fund under the Prior Plan and the Restricted Stock Plan.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2.37. “</w:t>
      </w:r>
      <w:r>
        <w:rPr>
          <w:rFonts w:ascii="Arial" w:cs="Arial" w:eastAsia="Arial" w:hAnsi="Arial"/>
          <w:sz w:val="22"/>
          <w:szCs w:val="22"/>
          <w:u w:val="single" w:color="auto"/>
          <w:color w:val="auto"/>
        </w:rPr>
        <w:t>Initial Election</w:t>
      </w:r>
      <w:r>
        <w:rPr>
          <w:rFonts w:ascii="Arial" w:cs="Arial" w:eastAsia="Arial" w:hAnsi="Arial"/>
          <w:sz w:val="22"/>
          <w:szCs w:val="22"/>
          <w:color w:val="auto"/>
        </w:rPr>
        <w:t>.”</w:t>
      </w:r>
    </w:p>
    <w:p>
      <w:pPr>
        <w:spacing w:after="0" w:line="220" w:lineRule="exact"/>
        <w:rPr>
          <w:sz w:val="20"/>
          <w:szCs w:val="20"/>
          <w:color w:val="auto"/>
        </w:rPr>
      </w:pPr>
    </w:p>
    <w:p>
      <w:pPr>
        <w:ind w:right="20" w:firstLine="2276"/>
        <w:spacing w:after="0" w:line="271" w:lineRule="auto"/>
        <w:tabs>
          <w:tab w:leader="none" w:pos="2778"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Outside Directors and Directors Emeriti</w:t>
      </w:r>
      <w:r>
        <w:rPr>
          <w:rFonts w:ascii="Arial" w:cs="Arial" w:eastAsia="Arial" w:hAnsi="Arial"/>
          <w:sz w:val="21"/>
          <w:szCs w:val="21"/>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67" w:lineRule="exact"/>
        <w:rPr>
          <w:rFonts w:ascii="Arial" w:cs="Arial" w:eastAsia="Arial" w:hAnsi="Arial"/>
          <w:sz w:val="21"/>
          <w:szCs w:val="21"/>
          <w:color w:val="auto"/>
        </w:rPr>
      </w:pPr>
    </w:p>
    <w:p>
      <w:pPr>
        <w:ind w:right="20" w:firstLine="2924"/>
        <w:spacing w:after="0" w:line="253" w:lineRule="auto"/>
        <w:tabs>
          <w:tab w:leader="none" w:pos="3336" w:val="left"/>
        </w:tabs>
        <w:numPr>
          <w:ilvl w:val="1"/>
          <w:numId w:val="46"/>
        </w:numPr>
        <w:rPr>
          <w:rFonts w:ascii="Arial" w:cs="Arial" w:eastAsia="Arial" w:hAnsi="Arial"/>
          <w:sz w:val="22"/>
          <w:szCs w:val="22"/>
          <w:color w:val="auto"/>
        </w:rPr>
      </w:pPr>
      <w:r>
        <w:rPr>
          <w:rFonts w:ascii="Arial" w:cs="Arial" w:eastAsia="Arial" w:hAnsi="Arial"/>
          <w:sz w:val="22"/>
          <w:szCs w:val="22"/>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85" w:lineRule="exact"/>
        <w:rPr>
          <w:rFonts w:ascii="Arial" w:cs="Arial" w:eastAsia="Arial" w:hAnsi="Arial"/>
          <w:sz w:val="22"/>
          <w:szCs w:val="22"/>
          <w:color w:val="auto"/>
        </w:rPr>
      </w:pPr>
    </w:p>
    <w:p>
      <w:pPr>
        <w:ind w:left="3400" w:hanging="476"/>
        <w:spacing w:after="0"/>
        <w:tabs>
          <w:tab w:leader="none" w:pos="3400" w:val="left"/>
        </w:tabs>
        <w:numPr>
          <w:ilvl w:val="1"/>
          <w:numId w:val="46"/>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Initial Election relates.</w:t>
      </w:r>
    </w:p>
    <w:p>
      <w:pPr>
        <w:spacing w:after="0" w:line="201" w:lineRule="exact"/>
        <w:rPr>
          <w:rFonts w:ascii="Arial" w:cs="Arial" w:eastAsia="Arial" w:hAnsi="Arial"/>
          <w:sz w:val="19"/>
          <w:szCs w:val="19"/>
          <w:color w:val="auto"/>
        </w:rPr>
      </w:pPr>
    </w:p>
    <w:p>
      <w:pPr>
        <w:ind w:right="40" w:firstLine="2276"/>
        <w:spacing w:after="0" w:line="343" w:lineRule="auto"/>
        <w:tabs>
          <w:tab w:leader="none" w:pos="279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Eligible Employees</w:t>
      </w:r>
      <w:r>
        <w:rPr>
          <w:rFonts w:ascii="Arial" w:cs="Arial" w:eastAsia="Arial" w:hAnsi="Arial"/>
          <w:sz w:val="19"/>
          <w:szCs w:val="19"/>
          <w:color w:val="auto"/>
        </w:rPr>
        <w:t>. The term “Initial Election” means one or more written elections provided by the Administrator and filed with the Administrator in accordance with Article 3 pursuant to which an Eligible Employee may:</w:t>
      </w:r>
    </w:p>
    <w:p>
      <w:pPr>
        <w:spacing w:after="0" w:line="104" w:lineRule="exact"/>
        <w:rPr>
          <w:rFonts w:ascii="Arial" w:cs="Arial" w:eastAsia="Arial" w:hAnsi="Arial"/>
          <w:sz w:val="19"/>
          <w:szCs w:val="19"/>
          <w:color w:val="auto"/>
        </w:rPr>
      </w:pPr>
    </w:p>
    <w:p>
      <w:pPr>
        <w:ind w:right="380" w:firstLine="2924"/>
        <w:spacing w:after="0" w:line="343" w:lineRule="auto"/>
        <w:tabs>
          <w:tab w:leader="none" w:pos="3336" w:val="left"/>
        </w:tabs>
        <w:numPr>
          <w:ilvl w:val="1"/>
          <w:numId w:val="46"/>
        </w:numPr>
        <w:rPr>
          <w:rFonts w:ascii="Arial" w:cs="Arial" w:eastAsia="Arial" w:hAnsi="Arial"/>
          <w:sz w:val="19"/>
          <w:szCs w:val="19"/>
          <w:color w:val="auto"/>
        </w:rPr>
      </w:pPr>
      <w:r>
        <w:rPr>
          <w:rFonts w:ascii="Arial" w:cs="Arial" w:eastAsia="Arial" w:hAnsi="Arial"/>
          <w:sz w:val="19"/>
          <w:szCs w:val="19"/>
          <w:color w:val="auto"/>
        </w:rPr>
        <w:t>Subject to the limitations described in Section 2.37(b)(iii), elect to defer Compensation payable for the performance of services as an Eligible Employee following the time that such election is filed; and</w:t>
      </w:r>
    </w:p>
    <w:p>
      <w:pPr>
        <w:spacing w:after="0" w:line="104" w:lineRule="exact"/>
        <w:rPr>
          <w:rFonts w:ascii="Arial" w:cs="Arial" w:eastAsia="Arial" w:hAnsi="Arial"/>
          <w:sz w:val="19"/>
          <w:szCs w:val="19"/>
          <w:color w:val="auto"/>
        </w:rPr>
      </w:pPr>
    </w:p>
    <w:p>
      <w:pPr>
        <w:ind w:left="3400" w:hanging="476"/>
        <w:spacing w:after="0"/>
        <w:tabs>
          <w:tab w:leader="none" w:pos="3400" w:val="left"/>
        </w:tabs>
        <w:numPr>
          <w:ilvl w:val="1"/>
          <w:numId w:val="46"/>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Initial Election relates.</w:t>
      </w:r>
    </w:p>
    <w:p>
      <w:pPr>
        <w:spacing w:after="0" w:line="201" w:lineRule="exact"/>
        <w:rPr>
          <w:rFonts w:ascii="Arial" w:cs="Arial" w:eastAsia="Arial" w:hAnsi="Arial"/>
          <w:sz w:val="19"/>
          <w:szCs w:val="19"/>
          <w:color w:val="auto"/>
        </w:rPr>
      </w:pPr>
    </w:p>
    <w:p>
      <w:pPr>
        <w:ind w:left="3460" w:hanging="536"/>
        <w:spacing w:after="0"/>
        <w:tabs>
          <w:tab w:leader="none" w:pos="34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following rules shall apply to Initial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59" w:name="page60"/>
    <w:bookmarkEnd w:id="59"/>
    <w:p>
      <w:pPr>
        <w:ind w:left="4220"/>
        <w:spacing w:after="0"/>
        <w:tabs>
          <w:tab w:leader="none" w:pos="47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Subject to the limits on deferrals of Compensation described in Section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2.37(b)(iii)(B) and Section 2.37(b)(iii)(C):</w:t>
      </w:r>
    </w:p>
    <w:p>
      <w:pPr>
        <w:spacing w:after="0" w:line="202" w:lineRule="exact"/>
        <w:rPr>
          <w:sz w:val="20"/>
          <w:szCs w:val="20"/>
          <w:color w:val="auto"/>
        </w:rPr>
      </w:pPr>
    </w:p>
    <w:p>
      <w:pPr>
        <w:jc w:val="both"/>
        <w:ind w:right="140" w:firstLine="4868"/>
        <w:spacing w:after="0" w:line="253" w:lineRule="auto"/>
        <w:tabs>
          <w:tab w:leader="none" w:pos="532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85" w:lineRule="exact"/>
        <w:rPr>
          <w:rFonts w:ascii="Arial" w:cs="Arial" w:eastAsia="Arial" w:hAnsi="Arial"/>
          <w:sz w:val="22"/>
          <w:szCs w:val="22"/>
          <w:color w:val="auto"/>
        </w:rPr>
      </w:pPr>
    </w:p>
    <w:p>
      <w:pPr>
        <w:ind w:left="5340" w:hanging="472"/>
        <w:spacing w:after="0"/>
        <w:tabs>
          <w:tab w:leader="none" w:pos="5340"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maximum amount of a Signing Bonus available for deferral</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pursuant to an Initial Election shall not exceed 50%.</w:t>
      </w:r>
    </w:p>
    <w:p>
      <w:pPr>
        <w:spacing w:after="0" w:line="201" w:lineRule="exact"/>
        <w:rPr>
          <w:rFonts w:ascii="Arial" w:cs="Arial" w:eastAsia="Arial" w:hAnsi="Arial"/>
          <w:sz w:val="21"/>
          <w:szCs w:val="21"/>
          <w:color w:val="auto"/>
        </w:rPr>
      </w:pPr>
    </w:p>
    <w:p>
      <w:pPr>
        <w:ind w:left="4720" w:hanging="500"/>
        <w:spacing w:after="0"/>
        <w:tabs>
          <w:tab w:leader="none" w:pos="47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maximum amount subject to Initial Elections for any Plan Year shall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 exceed 35% of Total Compensation.</w:t>
      </w:r>
    </w:p>
    <w:p>
      <w:pPr>
        <w:spacing w:after="0" w:line="201" w:lineRule="exact"/>
        <w:rPr>
          <w:rFonts w:ascii="Arial" w:cs="Arial" w:eastAsia="Arial" w:hAnsi="Arial"/>
          <w:sz w:val="19"/>
          <w:szCs w:val="19"/>
          <w:color w:val="auto"/>
        </w:rPr>
      </w:pPr>
    </w:p>
    <w:p>
      <w:pPr>
        <w:jc w:val="both"/>
        <w:ind w:firstLine="4220"/>
        <w:spacing w:after="0" w:line="280" w:lineRule="auto"/>
        <w:tabs>
          <w:tab w:leader="none" w:pos="4716" w:val="left"/>
        </w:tabs>
        <w:numPr>
          <w:ilvl w:val="0"/>
          <w:numId w:val="48"/>
        </w:numPr>
        <w:rPr>
          <w:rFonts w:ascii="Arial" w:cs="Arial" w:eastAsia="Arial" w:hAnsi="Arial"/>
          <w:sz w:val="20"/>
          <w:szCs w:val="20"/>
          <w:color w:val="auto"/>
        </w:rPr>
      </w:pPr>
      <w:r>
        <w:rPr>
          <w:rFonts w:ascii="Arial" w:cs="Arial" w:eastAsia="Arial" w:hAnsi="Arial"/>
          <w:sz w:val="20"/>
          <w:szCs w:val="20"/>
          <w:color w:val="auto"/>
        </w:rPr>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Restricted Stock Plan to the extent such Account is credited to the “Income Fund” thereunder, exceeds the Contribution Limit with respect to such Plan Year, determined as of September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immediately preceding such Plan Year.</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2.38. [RESERVED]</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2.39. “</w:t>
      </w:r>
      <w:r>
        <w:rPr>
          <w:rFonts w:ascii="Arial" w:cs="Arial" w:eastAsia="Arial" w:hAnsi="Arial"/>
          <w:sz w:val="22"/>
          <w:szCs w:val="22"/>
          <w:u w:val="single" w:color="auto"/>
          <w:color w:val="auto"/>
        </w:rPr>
        <w:t>NBCUniversal</w:t>
      </w:r>
      <w:r>
        <w:rPr>
          <w:rFonts w:ascii="Arial" w:cs="Arial" w:eastAsia="Arial" w:hAnsi="Arial"/>
          <w:sz w:val="22"/>
          <w:szCs w:val="22"/>
          <w:color w:val="auto"/>
        </w:rPr>
        <w:t>” means NBCUniversal, LLC and its subsidiaries.</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2.40. “</w:t>
      </w:r>
      <w:r>
        <w:rPr>
          <w:rFonts w:ascii="Arial" w:cs="Arial" w:eastAsia="Arial" w:hAnsi="Arial"/>
          <w:sz w:val="22"/>
          <w:szCs w:val="22"/>
          <w:u w:val="single" w:color="auto"/>
          <w:color w:val="auto"/>
        </w:rPr>
        <w:t>New Key Employee</w:t>
      </w:r>
      <w:r>
        <w:rPr>
          <w:rFonts w:ascii="Arial" w:cs="Arial" w:eastAsia="Arial" w:hAnsi="Arial"/>
          <w:sz w:val="22"/>
          <w:szCs w:val="22"/>
          <w:color w:val="auto"/>
        </w:rPr>
        <w:t>” means:</w:t>
      </w:r>
    </w:p>
    <w:p>
      <w:pPr>
        <w:spacing w:after="0" w:line="220" w:lineRule="exact"/>
        <w:rPr>
          <w:sz w:val="20"/>
          <w:szCs w:val="20"/>
          <w:color w:val="auto"/>
        </w:rPr>
      </w:pPr>
    </w:p>
    <w:p>
      <w:pPr>
        <w:ind w:left="2780" w:hanging="504"/>
        <w:spacing w:after="0"/>
        <w:tabs>
          <w:tab w:leader="none" w:pos="278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Employees of Comcast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60" w:firstLine="2924"/>
        <w:spacing w:after="0" w:line="253" w:lineRule="auto"/>
        <w:tabs>
          <w:tab w:leader="none" w:pos="3336" w:val="left"/>
        </w:tabs>
        <w:numPr>
          <w:ilvl w:val="1"/>
          <w:numId w:val="49"/>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 and except as provided in Section 2.37(d), each employee of a Participating Company other than NBCUniversal and Comcast Spectacor:</w:t>
      </w:r>
    </w:p>
    <w:p>
      <w:pPr>
        <w:spacing w:after="0" w:line="185" w:lineRule="exact"/>
        <w:rPr>
          <w:rFonts w:ascii="Arial" w:cs="Arial" w:eastAsia="Arial" w:hAnsi="Arial"/>
          <w:sz w:val="22"/>
          <w:szCs w:val="22"/>
          <w:color w:val="auto"/>
        </w:rPr>
      </w:pPr>
    </w:p>
    <w:p>
      <w:pPr>
        <w:ind w:left="4740" w:hanging="520"/>
        <w:spacing w:after="0"/>
        <w:tabs>
          <w:tab w:leader="none" w:pos="4740" w:val="left"/>
        </w:tabs>
        <w:numPr>
          <w:ilvl w:val="2"/>
          <w:numId w:val="49"/>
        </w:numPr>
        <w:rPr>
          <w:rFonts w:ascii="Arial" w:cs="Arial" w:eastAsia="Arial" w:hAnsi="Arial"/>
          <w:sz w:val="19"/>
          <w:szCs w:val="19"/>
          <w:color w:val="auto"/>
        </w:rPr>
      </w:pPr>
      <w:r>
        <w:rPr>
          <w:rFonts w:ascii="Arial" w:cs="Arial" w:eastAsia="Arial" w:hAnsi="Arial"/>
          <w:sz w:val="19"/>
          <w:szCs w:val="19"/>
          <w:color w:val="auto"/>
        </w:rPr>
        <w:t>who (x) becomes an employee of a Participating Company and (y) has 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Rate of Pay of $250,000 or more as of his employment commencement date, or</w:t>
      </w:r>
    </w:p>
    <w:p>
      <w:pPr>
        <w:spacing w:after="0" w:line="201" w:lineRule="exact"/>
        <w:rPr>
          <w:rFonts w:ascii="Arial" w:cs="Arial" w:eastAsia="Arial" w:hAnsi="Arial"/>
          <w:sz w:val="19"/>
          <w:szCs w:val="19"/>
          <w:color w:val="auto"/>
        </w:rPr>
      </w:pPr>
    </w:p>
    <w:p>
      <w:pPr>
        <w:ind w:left="4720" w:hanging="500"/>
        <w:spacing w:after="0"/>
        <w:tabs>
          <w:tab w:leader="none" w:pos="4720" w:val="left"/>
        </w:tabs>
        <w:numPr>
          <w:ilvl w:val="2"/>
          <w:numId w:val="49"/>
        </w:numPr>
        <w:rPr>
          <w:rFonts w:ascii="Arial" w:cs="Arial" w:eastAsia="Arial" w:hAnsi="Arial"/>
          <w:sz w:val="19"/>
          <w:szCs w:val="19"/>
          <w:color w:val="auto"/>
        </w:rPr>
      </w:pPr>
      <w:r>
        <w:rPr>
          <w:rFonts w:ascii="Arial" w:cs="Arial" w:eastAsia="Arial" w:hAnsi="Arial"/>
          <w:sz w:val="19"/>
          <w:szCs w:val="19"/>
          <w:color w:val="auto"/>
        </w:rPr>
        <w:t>who (x) has an Annual Rate of Pay that is increased to $250,000 or more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(y) immediately preceding such increase, was not an Eligible Employee.</w:t>
      </w:r>
    </w:p>
    <w:p>
      <w:pPr>
        <w:spacing w:after="0" w:line="201" w:lineRule="exact"/>
        <w:rPr>
          <w:rFonts w:ascii="Arial" w:cs="Arial" w:eastAsia="Arial" w:hAnsi="Arial"/>
          <w:sz w:val="19"/>
          <w:szCs w:val="19"/>
          <w:color w:val="auto"/>
        </w:rPr>
      </w:pPr>
    </w:p>
    <w:p>
      <w:pPr>
        <w:ind w:left="3400" w:hanging="476"/>
        <w:spacing w:after="0"/>
        <w:tabs>
          <w:tab w:leader="none" w:pos="34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Effective on and after January 1, 2019, and except as provided in Section 2.40(d), each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employee of a Participating Company other than NBCUniversal and Comcast Spectacor: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60" w:name="page61"/>
    <w:bookmarkEnd w:id="60"/>
    <w:p>
      <w:pPr>
        <w:ind w:left="4740" w:hanging="520"/>
        <w:spacing w:after="0"/>
        <w:tabs>
          <w:tab w:leader="none" w:pos="4740" w:val="left"/>
        </w:tabs>
        <w:numPr>
          <w:ilvl w:val="2"/>
          <w:numId w:val="50"/>
        </w:numPr>
        <w:rPr>
          <w:rFonts w:ascii="Arial" w:cs="Arial" w:eastAsia="Arial" w:hAnsi="Arial"/>
          <w:sz w:val="19"/>
          <w:szCs w:val="19"/>
          <w:color w:val="auto"/>
        </w:rPr>
      </w:pPr>
      <w:r>
        <w:rPr>
          <w:rFonts w:ascii="Arial" w:cs="Arial" w:eastAsia="Arial" w:hAnsi="Arial"/>
          <w:sz w:val="19"/>
          <w:szCs w:val="19"/>
          <w:color w:val="auto"/>
        </w:rPr>
        <w:t>who (x) becomes an employee of a Participating Company and (y) has 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Rate of Pay of $350,000 or more as of his employment commencement date, or</w:t>
      </w:r>
    </w:p>
    <w:p>
      <w:pPr>
        <w:spacing w:after="0" w:line="201" w:lineRule="exact"/>
        <w:rPr>
          <w:rFonts w:ascii="Arial" w:cs="Arial" w:eastAsia="Arial" w:hAnsi="Arial"/>
          <w:sz w:val="19"/>
          <w:szCs w:val="19"/>
          <w:color w:val="auto"/>
        </w:rPr>
      </w:pPr>
    </w:p>
    <w:p>
      <w:pPr>
        <w:ind w:left="4720" w:hanging="500"/>
        <w:spacing w:after="0"/>
        <w:tabs>
          <w:tab w:leader="none" w:pos="4720" w:val="left"/>
        </w:tabs>
        <w:numPr>
          <w:ilvl w:val="2"/>
          <w:numId w:val="50"/>
        </w:numPr>
        <w:rPr>
          <w:rFonts w:ascii="Arial" w:cs="Arial" w:eastAsia="Arial" w:hAnsi="Arial"/>
          <w:sz w:val="19"/>
          <w:szCs w:val="19"/>
          <w:color w:val="auto"/>
        </w:rPr>
      </w:pPr>
      <w:r>
        <w:rPr>
          <w:rFonts w:ascii="Arial" w:cs="Arial" w:eastAsia="Arial" w:hAnsi="Arial"/>
          <w:sz w:val="19"/>
          <w:szCs w:val="19"/>
          <w:color w:val="auto"/>
        </w:rPr>
        <w:t>who (x) has an Annual Rate of Pay that is increased to $350,000 or more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(y) immediately preceding such increase, was not an Eligible Employee.</w:t>
      </w:r>
    </w:p>
    <w:p>
      <w:pPr>
        <w:spacing w:after="0" w:line="201" w:lineRule="exact"/>
        <w:rPr>
          <w:rFonts w:ascii="Arial" w:cs="Arial" w:eastAsia="Arial" w:hAnsi="Arial"/>
          <w:sz w:val="19"/>
          <w:szCs w:val="19"/>
          <w:color w:val="auto"/>
        </w:rPr>
      </w:pPr>
    </w:p>
    <w:p>
      <w:pPr>
        <w:ind w:left="2740" w:hanging="464"/>
        <w:spacing w:after="0"/>
        <w:tabs>
          <w:tab w:leader="none" w:pos="27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Employees of NBCUniversal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40" w:firstLine="2924"/>
        <w:spacing w:after="0" w:line="302" w:lineRule="auto"/>
        <w:tabs>
          <w:tab w:leader="none" w:pos="3336" w:val="left"/>
        </w:tabs>
        <w:numPr>
          <w:ilvl w:val="1"/>
          <w:numId w:val="51"/>
        </w:numPr>
        <w:rPr>
          <w:rFonts w:ascii="Arial" w:cs="Arial" w:eastAsia="Arial" w:hAnsi="Arial"/>
          <w:sz w:val="19"/>
          <w:szCs w:val="19"/>
          <w:color w:val="auto"/>
        </w:rPr>
      </w:pPr>
      <w:r>
        <w:rPr>
          <w:rFonts w:ascii="Arial" w:cs="Arial" w:eastAsia="Arial" w:hAnsi="Arial"/>
          <w:sz w:val="19"/>
          <w:szCs w:val="19"/>
          <w:color w:val="auto"/>
        </w:rPr>
        <w:t>Effective for the period extending from January 1, 2013 through December 31, 2018, and except as provided in Section 2.39(d), each employee of NBCUniversal who (x) first becomes a member of the NBCUniversal Executive Committee, Management Committee or Operating Committee, and approved by the Administrator during a Plan Year and (y) immediately preceding the effective date of such membership, was not an Eligible Employee.</w:t>
      </w:r>
    </w:p>
    <w:p>
      <w:pPr>
        <w:spacing w:after="0" w:line="142" w:lineRule="exact"/>
        <w:rPr>
          <w:rFonts w:ascii="Arial" w:cs="Arial" w:eastAsia="Arial" w:hAnsi="Arial"/>
          <w:sz w:val="19"/>
          <w:szCs w:val="19"/>
          <w:color w:val="auto"/>
        </w:rPr>
      </w:pPr>
    </w:p>
    <w:p>
      <w:pPr>
        <w:ind w:right="80" w:firstLine="2924"/>
        <w:spacing w:after="0" w:line="250" w:lineRule="auto"/>
        <w:tabs>
          <w:tab w:leader="none" w:pos="3396" w:val="left"/>
        </w:tabs>
        <w:numPr>
          <w:ilvl w:val="1"/>
          <w:numId w:val="51"/>
        </w:numPr>
        <w:rPr>
          <w:rFonts w:ascii="Arial" w:cs="Arial" w:eastAsia="Arial" w:hAnsi="Arial"/>
          <w:sz w:val="22"/>
          <w:szCs w:val="22"/>
          <w:color w:val="auto"/>
        </w:rPr>
      </w:pPr>
      <w:r>
        <w:rPr>
          <w:rFonts w:ascii="Arial" w:cs="Arial" w:eastAsia="Arial" w:hAnsi="Arial"/>
          <w:sz w:val="22"/>
          <w:szCs w:val="22"/>
          <w:color w:val="auto"/>
        </w:rPr>
        <w:t>Effective on and after January 1, 2019, and except as provided in Section 2.39(d),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spacing w:after="0" w:line="187" w:lineRule="exact"/>
        <w:rPr>
          <w:rFonts w:ascii="Arial" w:cs="Arial" w:eastAsia="Arial" w:hAnsi="Arial"/>
          <w:sz w:val="22"/>
          <w:szCs w:val="22"/>
          <w:color w:val="auto"/>
        </w:rPr>
      </w:pPr>
    </w:p>
    <w:p>
      <w:pPr>
        <w:ind w:left="2780" w:hanging="504"/>
        <w:spacing w:after="0"/>
        <w:tabs>
          <w:tab w:leader="none" w:pos="27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Effective on and after May 20, 2014, and except as provided in Section 2.40(d), each employee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Comcast Spectacor:</w:t>
      </w:r>
    </w:p>
    <w:p>
      <w:pPr>
        <w:spacing w:after="0" w:line="201" w:lineRule="exact"/>
        <w:rPr>
          <w:rFonts w:ascii="Arial" w:cs="Arial" w:eastAsia="Arial" w:hAnsi="Arial"/>
          <w:sz w:val="19"/>
          <w:szCs w:val="19"/>
          <w:color w:val="auto"/>
        </w:rPr>
      </w:pPr>
    </w:p>
    <w:p>
      <w:pPr>
        <w:ind w:left="3340" w:hanging="416"/>
        <w:spacing w:after="0"/>
        <w:tabs>
          <w:tab w:leader="none" w:pos="33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who (x) becomes an employee of Comcast Spectacor, (y) has an Annual Rate of Pay of</w:t>
      </w:r>
    </w:p>
    <w:p>
      <w:pPr>
        <w:spacing w:after="0" w:line="56"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$350,000 or more as of his employment commencement date and (z) is designated as an Eligible Comcast Spectacor Employee by the Administrator or its delegate, or</w:t>
      </w:r>
    </w:p>
    <w:p>
      <w:pPr>
        <w:spacing w:after="0" w:line="192" w:lineRule="exact"/>
        <w:rPr>
          <w:sz w:val="20"/>
          <w:szCs w:val="20"/>
          <w:color w:val="auto"/>
        </w:rPr>
      </w:pPr>
    </w:p>
    <w:p>
      <w:pPr>
        <w:ind w:firstLine="2924"/>
        <w:spacing w:after="0" w:line="253" w:lineRule="auto"/>
        <w:tabs>
          <w:tab w:leader="none" w:pos="3396" w:val="left"/>
        </w:tabs>
        <w:numPr>
          <w:ilvl w:val="2"/>
          <w:numId w:val="52"/>
        </w:numPr>
        <w:rPr>
          <w:rFonts w:ascii="Arial" w:cs="Arial" w:eastAsia="Arial" w:hAnsi="Arial"/>
          <w:sz w:val="22"/>
          <w:szCs w:val="22"/>
          <w:color w:val="auto"/>
        </w:rPr>
      </w:pPr>
      <w:r>
        <w:rPr>
          <w:rFonts w:ascii="Arial" w:cs="Arial" w:eastAsia="Arial" w:hAnsi="Arial"/>
          <w:sz w:val="22"/>
          <w:szCs w:val="22"/>
          <w:color w:val="auto"/>
        </w:rPr>
        <w:t>who (x) is designated as an Eligible Comcast Spectacor Employee by the Administrator or its delegate, (y) has an Annual Rate of Pay that is increased to $350,000 or more and (z) immediately preceding such increase, was not an Eligible Employee.</w:t>
      </w:r>
    </w:p>
    <w:p>
      <w:pPr>
        <w:spacing w:after="0" w:line="185" w:lineRule="exact"/>
        <w:rPr>
          <w:rFonts w:ascii="Arial" w:cs="Arial" w:eastAsia="Arial" w:hAnsi="Arial"/>
          <w:sz w:val="22"/>
          <w:szCs w:val="22"/>
          <w:color w:val="auto"/>
        </w:rPr>
      </w:pPr>
    </w:p>
    <w:p>
      <w:pPr>
        <w:ind w:right="400" w:firstLine="2276"/>
        <w:spacing w:after="0" w:line="263" w:lineRule="auto"/>
        <w:tabs>
          <w:tab w:leader="none" w:pos="2790" w:val="left"/>
        </w:tabs>
        <w:numPr>
          <w:ilvl w:val="1"/>
          <w:numId w:val="53"/>
        </w:numPr>
        <w:rPr>
          <w:rFonts w:ascii="Arial" w:cs="Arial" w:eastAsia="Arial" w:hAnsi="Arial"/>
          <w:sz w:val="22"/>
          <w:szCs w:val="22"/>
          <w:color w:val="auto"/>
        </w:rPr>
      </w:pPr>
      <w:r>
        <w:rPr>
          <w:rFonts w:ascii="Arial" w:cs="Arial" w:eastAsia="Arial" w:hAnsi="Arial"/>
          <w:sz w:val="22"/>
          <w:szCs w:val="22"/>
          <w:color w:val="auto"/>
        </w:rPr>
        <w:t>Notwithstanding Section 2.40(a), (b), or (c) to the contrary, no employee shall be treated as a New Key Employee with respect to any Plan Year under this Section 2.40 if:</w:t>
      </w:r>
    </w:p>
    <w:p>
      <w:pPr>
        <w:spacing w:after="0" w:line="174" w:lineRule="exact"/>
        <w:rPr>
          <w:rFonts w:ascii="Arial" w:cs="Arial" w:eastAsia="Arial" w:hAnsi="Arial"/>
          <w:sz w:val="22"/>
          <w:szCs w:val="22"/>
          <w:color w:val="auto"/>
        </w:rPr>
      </w:pPr>
    </w:p>
    <w:p>
      <w:pPr>
        <w:jc w:val="both"/>
        <w:ind w:right="20" w:firstLine="2924"/>
        <w:spacing w:after="0" w:line="291" w:lineRule="auto"/>
        <w:tabs>
          <w:tab w:leader="none" w:pos="3336" w:val="left"/>
        </w:tabs>
        <w:numPr>
          <w:ilvl w:val="2"/>
          <w:numId w:val="53"/>
        </w:numPr>
        <w:rPr>
          <w:rFonts w:ascii="Arial" w:cs="Arial" w:eastAsia="Arial" w:hAnsi="Arial"/>
          <w:sz w:val="19"/>
          <w:szCs w:val="19"/>
          <w:color w:val="auto"/>
        </w:rPr>
      </w:pPr>
      <w:r>
        <w:rPr>
          <w:rFonts w:ascii="Arial" w:cs="Arial" w:eastAsia="Arial" w:hAnsi="Arial"/>
          <w:sz w:val="19"/>
          <w:szCs w:val="19"/>
          <w:color w:val="auto"/>
        </w:rPr>
        <w:t>Such employee was eligible to participate in another plan sponsored by the Company or an Affiliate of the Company which is considered to be of a similar type as defined in Treasury Regulation Section 1.409A-1(c)(2)(i)</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or (B) with respect to such Plan Year; or</w:t>
      </w:r>
    </w:p>
    <w:p>
      <w:pPr>
        <w:spacing w:after="0" w:line="201" w:lineRule="exact"/>
        <w:rPr>
          <w:rFonts w:ascii="Arial" w:cs="Arial" w:eastAsia="Arial" w:hAnsi="Arial"/>
          <w:sz w:val="22"/>
          <w:szCs w:val="22"/>
          <w:color w:val="auto"/>
        </w:rPr>
      </w:pPr>
    </w:p>
    <w:p>
      <w:pPr>
        <w:jc w:val="both"/>
        <w:ind w:right="100" w:firstLine="2924"/>
        <w:spacing w:after="0" w:line="271" w:lineRule="auto"/>
        <w:tabs>
          <w:tab w:leader="none" w:pos="3396" w:val="left"/>
        </w:tabs>
        <w:numPr>
          <w:ilvl w:val="2"/>
          <w:numId w:val="54"/>
        </w:numPr>
        <w:rPr>
          <w:rFonts w:ascii="Arial" w:cs="Arial" w:eastAsia="Arial" w:hAnsi="Arial"/>
          <w:sz w:val="21"/>
          <w:szCs w:val="21"/>
          <w:color w:val="auto"/>
        </w:rPr>
      </w:pPr>
      <w:r>
        <w:rPr>
          <w:rFonts w:ascii="Arial" w:cs="Arial" w:eastAsia="Arial" w:hAnsi="Arial"/>
          <w:sz w:val="21"/>
          <w:szCs w:val="21"/>
          <w:color w:val="auto"/>
        </w:rPr>
        <w:t>Such employee has been eligible to participate in the Plan or any other plan referenced in Section 2.40(d)(i) (other than with respect to the accrual of earnings) at any time during the 24-month period ending on the date such employee would, but for this Section 2.40(d), otherwise become a New Key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8" w:right="359" w:bottom="1440" w:gutter="0" w:footer="0" w:header="0"/>
        </w:sectPr>
      </w:pPr>
    </w:p>
    <w:bookmarkStart w:id="61" w:name="page62"/>
    <w:bookmarkEnd w:id="61"/>
    <w:p>
      <w:pPr>
        <w:ind w:left="1620"/>
        <w:spacing w:after="0"/>
        <w:rPr>
          <w:sz w:val="20"/>
          <w:szCs w:val="20"/>
          <w:color w:val="auto"/>
        </w:rPr>
      </w:pPr>
      <w:r>
        <w:rPr>
          <w:rFonts w:ascii="Arial" w:cs="Arial" w:eastAsia="Arial" w:hAnsi="Arial"/>
          <w:sz w:val="22"/>
          <w:szCs w:val="22"/>
          <w:color w:val="auto"/>
        </w:rPr>
        <w:t>2.41. “</w:t>
      </w:r>
      <w:r>
        <w:rPr>
          <w:rFonts w:ascii="Arial" w:cs="Arial" w:eastAsia="Arial" w:hAnsi="Arial"/>
          <w:sz w:val="22"/>
          <w:szCs w:val="22"/>
          <w:u w:val="single" w:color="auto"/>
          <w:color w:val="auto"/>
        </w:rPr>
        <w:t>Normal Retirement</w:t>
      </w:r>
      <w:r>
        <w:rPr>
          <w:rFonts w:ascii="Arial" w:cs="Arial" w:eastAsia="Arial" w:hAnsi="Arial"/>
          <w:sz w:val="22"/>
          <w:szCs w:val="22"/>
          <w:color w:val="auto"/>
        </w:rPr>
        <w:t>” means:</w:t>
      </w:r>
    </w:p>
    <w:p>
      <w:pPr>
        <w:spacing w:after="0" w:line="220" w:lineRule="exact"/>
        <w:rPr>
          <w:sz w:val="20"/>
          <w:szCs w:val="20"/>
          <w:color w:val="auto"/>
        </w:rPr>
      </w:pPr>
    </w:p>
    <w:p>
      <w:pPr>
        <w:ind w:right="240" w:firstLine="2276"/>
        <w:spacing w:after="0" w:line="253" w:lineRule="auto"/>
        <w:tabs>
          <w:tab w:leader="none" w:pos="2724"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5" w:lineRule="exact"/>
        <w:rPr>
          <w:rFonts w:ascii="Arial" w:cs="Arial" w:eastAsia="Arial" w:hAnsi="Arial"/>
          <w:sz w:val="22"/>
          <w:szCs w:val="22"/>
          <w:color w:val="auto"/>
        </w:rPr>
      </w:pPr>
    </w:p>
    <w:p>
      <w:pPr>
        <w:ind w:right="460" w:firstLine="2276"/>
        <w:spacing w:after="0" w:line="263" w:lineRule="auto"/>
        <w:tabs>
          <w:tab w:leader="none" w:pos="2736"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For a Participant who is an Outside Director or Director Emeritus immediately preceding his termination of service, the Participant’s normal retirement from the Board.</w:t>
      </w:r>
    </w:p>
    <w:p>
      <w:pPr>
        <w:spacing w:after="0" w:line="175" w:lineRule="exact"/>
        <w:rPr>
          <w:sz w:val="20"/>
          <w:szCs w:val="20"/>
          <w:color w:val="auto"/>
        </w:rPr>
      </w:pPr>
    </w:p>
    <w:p>
      <w:pPr>
        <w:ind w:right="60" w:firstLine="1620"/>
        <w:spacing w:after="0" w:line="247" w:lineRule="auto"/>
        <w:rPr>
          <w:sz w:val="20"/>
          <w:szCs w:val="20"/>
          <w:color w:val="auto"/>
        </w:rPr>
      </w:pPr>
      <w:r>
        <w:rPr>
          <w:rFonts w:ascii="Arial" w:cs="Arial" w:eastAsia="Arial" w:hAnsi="Arial"/>
          <w:sz w:val="22"/>
          <w:szCs w:val="22"/>
          <w:color w:val="auto"/>
        </w:rPr>
        <w:t>2.42. “</w:t>
      </w:r>
      <w:r>
        <w:rPr>
          <w:rFonts w:ascii="Arial" w:cs="Arial" w:eastAsia="Arial" w:hAnsi="Arial"/>
          <w:sz w:val="22"/>
          <w:szCs w:val="22"/>
          <w:u w:val="single" w:color="auto"/>
          <w:color w:val="auto"/>
        </w:rPr>
        <w:t>Other Investment Fund</w:t>
      </w:r>
      <w:r>
        <w:rPr>
          <w:rFonts w:ascii="Arial" w:cs="Arial" w:eastAsia="Arial" w:hAnsi="Arial"/>
          <w:sz w:val="22"/>
          <w:szCs w:val="22"/>
          <w:color w:val="auto"/>
        </w:rPr>
        <w:t>” means the Company Stock Fund and such other hypothetical investment funds designated by the Administrator, pursuant to which income, gains, and losses are credited to a Participant’s Account as if the Account, to the extent deemed invested in such Other Investment Fund, were credited with income, gains, and losses as if actually invested in such Other Investment Fund. Unless otherwise specified by the Administrator, the Participant shall designate the Other Investment Funds in which the Participant’s Account shall be invested in accordance with rules established by the Administrator.</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2.43. “</w:t>
      </w:r>
      <w:r>
        <w:rPr>
          <w:rFonts w:ascii="Arial" w:cs="Arial" w:eastAsia="Arial" w:hAnsi="Arial"/>
          <w:sz w:val="19"/>
          <w:szCs w:val="19"/>
          <w:u w:val="single" w:color="auto"/>
          <w:color w:val="auto"/>
        </w:rPr>
        <w:t>Outside Director</w:t>
      </w:r>
      <w:r>
        <w:rPr>
          <w:rFonts w:ascii="Arial" w:cs="Arial" w:eastAsia="Arial" w:hAnsi="Arial"/>
          <w:sz w:val="19"/>
          <w:szCs w:val="19"/>
          <w:color w:val="auto"/>
        </w:rPr>
        <w:t>” means a member of the Board who is not an Eligible Employee of a Participating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2" w:lineRule="exact"/>
        <w:rPr>
          <w:sz w:val="20"/>
          <w:szCs w:val="20"/>
          <w:color w:val="auto"/>
        </w:rPr>
      </w:pPr>
    </w:p>
    <w:p>
      <w:pPr>
        <w:ind w:right="360" w:firstLine="1620"/>
        <w:spacing w:after="0" w:line="312" w:lineRule="auto"/>
        <w:rPr>
          <w:sz w:val="20"/>
          <w:szCs w:val="20"/>
          <w:color w:val="auto"/>
        </w:rPr>
      </w:pPr>
      <w:r>
        <w:rPr>
          <w:rFonts w:ascii="Arial" w:cs="Arial" w:eastAsia="Arial" w:hAnsi="Arial"/>
          <w:sz w:val="19"/>
          <w:szCs w:val="19"/>
          <w:color w:val="auto"/>
        </w:rPr>
        <w:t>2.44. “</w:t>
      </w:r>
      <w:r>
        <w:rPr>
          <w:rFonts w:ascii="Arial" w:cs="Arial" w:eastAsia="Arial" w:hAnsi="Arial"/>
          <w:sz w:val="19"/>
          <w:szCs w:val="19"/>
          <w:u w:val="single" w:color="auto"/>
          <w:color w:val="auto"/>
        </w:rPr>
        <w:t>Participant</w:t>
      </w:r>
      <w:r>
        <w:rPr>
          <w:rFonts w:ascii="Arial" w:cs="Arial" w:eastAsia="Arial" w:hAnsi="Arial"/>
          <w:sz w:val="19"/>
          <w:szCs w:val="19"/>
          <w:color w:val="auto"/>
        </w:rPr>
        <w:t>” means each individual who has made an Initial Election, or for whom an Account is established pursuant to Section 5.1, and who has an undistributed amount credited to an Account under the Plan, including an Active Participant, a Deceased Participant, a Retired Participant, a Disabled Participant, and an Inactive Participant.</w:t>
      </w:r>
    </w:p>
    <w:p>
      <w:pPr>
        <w:spacing w:after="0" w:line="133" w:lineRule="exact"/>
        <w:rPr>
          <w:sz w:val="20"/>
          <w:szCs w:val="20"/>
          <w:color w:val="auto"/>
        </w:rPr>
      </w:pPr>
    </w:p>
    <w:p>
      <w:pPr>
        <w:ind w:right="40" w:firstLine="1620"/>
        <w:spacing w:after="0" w:line="248" w:lineRule="auto"/>
        <w:rPr>
          <w:sz w:val="20"/>
          <w:szCs w:val="20"/>
          <w:color w:val="auto"/>
        </w:rPr>
      </w:pPr>
      <w:r>
        <w:rPr>
          <w:rFonts w:ascii="Arial" w:cs="Arial" w:eastAsia="Arial" w:hAnsi="Arial"/>
          <w:sz w:val="22"/>
          <w:szCs w:val="22"/>
          <w:color w:val="auto"/>
        </w:rPr>
        <w:t>2.45. “</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Affiliate of the Company in which the Company owns, directly or indirectly, 50 percent or more of the voting interests or value, other than such an affiliate designated by the Administrator as an excluded Affiliate. Notwithstanding the foregoing, the Administrator may delegate its authority to designate an eligible Affiliate as an excluded Affiliate under this Section 2.45 to an officer of the Company or committee of two or more officers of the Company.</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2.46. “</w:t>
      </w:r>
      <w:r>
        <w:rPr>
          <w:rFonts w:ascii="Arial" w:cs="Arial" w:eastAsia="Arial" w:hAnsi="Arial"/>
          <w:sz w:val="19"/>
          <w:szCs w:val="19"/>
          <w:u w:val="single" w:color="auto"/>
          <w:color w:val="auto"/>
        </w:rPr>
        <w:t>Performance-Based Compensation</w:t>
      </w:r>
      <w:r>
        <w:rPr>
          <w:rFonts w:ascii="Arial" w:cs="Arial" w:eastAsia="Arial" w:hAnsi="Arial"/>
          <w:sz w:val="19"/>
          <w:szCs w:val="19"/>
          <w:color w:val="auto"/>
        </w:rPr>
        <w:t>” means “Performance-Based Compensation” within the meaning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409A.</w:t>
      </w:r>
    </w:p>
    <w:p>
      <w:pPr>
        <w:spacing w:after="0" w:line="202" w:lineRule="exact"/>
        <w:rPr>
          <w:sz w:val="20"/>
          <w:szCs w:val="20"/>
          <w:color w:val="auto"/>
        </w:rPr>
      </w:pPr>
    </w:p>
    <w:p>
      <w:pPr>
        <w:ind w:firstLine="1620"/>
        <w:spacing w:after="0" w:line="250" w:lineRule="auto"/>
        <w:rPr>
          <w:sz w:val="20"/>
          <w:szCs w:val="20"/>
          <w:color w:val="auto"/>
        </w:rPr>
      </w:pPr>
      <w:r>
        <w:rPr>
          <w:rFonts w:ascii="Arial" w:cs="Arial" w:eastAsia="Arial" w:hAnsi="Arial"/>
          <w:sz w:val="22"/>
          <w:szCs w:val="22"/>
          <w:color w:val="auto"/>
        </w:rPr>
        <w:t>2.47. “</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Participant may earn Performance-Based Compensation. Effective for Comcast Spectacor’s fiscal years beginning on and after July 1, 2014, the Performance Period for annual incentive bonuses earned by Eligible Comcast Spectacor Employees shall be Comcast Spectacor’s fiscal year ending June 30.</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2.48. “</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pacing w:after="0" w:line="202" w:lineRule="exact"/>
        <w:rPr>
          <w:sz w:val="20"/>
          <w:szCs w:val="20"/>
          <w:color w:val="auto"/>
        </w:rPr>
      </w:pPr>
    </w:p>
    <w:p>
      <w:pPr>
        <w:ind w:right="340" w:firstLine="1620"/>
        <w:spacing w:after="0" w:line="263" w:lineRule="auto"/>
        <w:rPr>
          <w:sz w:val="20"/>
          <w:szCs w:val="20"/>
          <w:color w:val="auto"/>
        </w:rPr>
      </w:pPr>
      <w:r>
        <w:rPr>
          <w:rFonts w:ascii="Arial" w:cs="Arial" w:eastAsia="Arial" w:hAnsi="Arial"/>
          <w:sz w:val="22"/>
          <w:szCs w:val="22"/>
          <w:color w:val="auto"/>
        </w:rPr>
        <w:t>2.49. “</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2005 Deferred Compensation Plan, as set forth herein, and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28" w:right="359" w:bottom="1440" w:gutter="0" w:footer="0" w:header="0"/>
        </w:sectPr>
      </w:pPr>
    </w:p>
    <w:bookmarkStart w:id="62" w:name="page63"/>
    <w:bookmarkEnd w:id="62"/>
    <w:p>
      <w:pPr>
        <w:ind w:left="1620"/>
        <w:spacing w:after="0"/>
        <w:rPr>
          <w:sz w:val="20"/>
          <w:szCs w:val="20"/>
          <w:color w:val="auto"/>
        </w:rPr>
      </w:pPr>
      <w:r>
        <w:rPr>
          <w:rFonts w:ascii="Arial" w:cs="Arial" w:eastAsia="Arial" w:hAnsi="Arial"/>
          <w:sz w:val="22"/>
          <w:szCs w:val="22"/>
          <w:color w:val="auto"/>
        </w:rPr>
        <w:t>2.50. “</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20" w:lineRule="exact"/>
        <w:rPr>
          <w:sz w:val="20"/>
          <w:szCs w:val="20"/>
          <w:color w:val="auto"/>
        </w:rPr>
      </w:pPr>
    </w:p>
    <w:p>
      <w:pPr>
        <w:ind w:right="120" w:firstLine="1620"/>
        <w:spacing w:after="0" w:line="302" w:lineRule="auto"/>
        <w:rPr>
          <w:sz w:val="20"/>
          <w:szCs w:val="20"/>
          <w:color w:val="auto"/>
        </w:rPr>
      </w:pPr>
      <w:r>
        <w:rPr>
          <w:rFonts w:ascii="Arial" w:cs="Arial" w:eastAsia="Arial" w:hAnsi="Arial"/>
          <w:sz w:val="19"/>
          <w:szCs w:val="19"/>
          <w:color w:val="auto"/>
        </w:rPr>
        <w:t>2.51. “</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on the last business day preceding the first day of such calendar year, and as adjusted as of the last business day preceding the first day of each calendar year beginning thereafter.</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2.52. “</w:t>
      </w:r>
      <w:r>
        <w:rPr>
          <w:rFonts w:ascii="Arial" w:cs="Arial" w:eastAsia="Arial" w:hAnsi="Arial"/>
          <w:sz w:val="22"/>
          <w:szCs w:val="22"/>
          <w:u w:val="single" w:color="auto"/>
          <w:color w:val="auto"/>
        </w:rPr>
        <w:t>Prior Plan</w:t>
      </w:r>
      <w:r>
        <w:rPr>
          <w:rFonts w:ascii="Arial" w:cs="Arial" w:eastAsia="Arial" w:hAnsi="Arial"/>
          <w:sz w:val="22"/>
          <w:szCs w:val="22"/>
          <w:color w:val="auto"/>
        </w:rPr>
        <w:t>” means the Comcast Corporation 2002 Deferred Compensation Plan.</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2.53. “</w:t>
      </w:r>
      <w:r>
        <w:rPr>
          <w:rFonts w:ascii="Arial" w:cs="Arial" w:eastAsia="Arial" w:hAnsi="Arial"/>
          <w:sz w:val="22"/>
          <w:szCs w:val="22"/>
          <w:u w:val="single" w:color="auto"/>
          <w:color w:val="auto"/>
        </w:rPr>
        <w:t>Protected Account Balance</w:t>
      </w:r>
      <w:r>
        <w:rPr>
          <w:rFonts w:ascii="Arial" w:cs="Arial" w:eastAsia="Arial" w:hAnsi="Arial"/>
          <w:sz w:val="22"/>
          <w:szCs w:val="22"/>
          <w:color w:val="auto"/>
        </w:rPr>
        <w:t>” means:</w:t>
      </w:r>
    </w:p>
    <w:p>
      <w:pPr>
        <w:spacing w:after="0" w:line="220" w:lineRule="exact"/>
        <w:rPr>
          <w:sz w:val="20"/>
          <w:szCs w:val="20"/>
          <w:color w:val="auto"/>
        </w:rPr>
      </w:pPr>
    </w:p>
    <w:p>
      <w:pPr>
        <w:ind w:left="2780" w:hanging="504"/>
        <w:spacing w:after="0"/>
        <w:tabs>
          <w:tab w:leader="none" w:pos="27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amount credited to the Account of an Eligible Comcast Employee, an Outside Director or a</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Director Emeritus pursuant to:</w:t>
      </w:r>
    </w:p>
    <w:p>
      <w:pPr>
        <w:spacing w:after="0" w:line="201" w:lineRule="exact"/>
        <w:rPr>
          <w:rFonts w:ascii="Arial" w:cs="Arial" w:eastAsia="Arial" w:hAnsi="Arial"/>
          <w:sz w:val="19"/>
          <w:szCs w:val="19"/>
          <w:color w:val="auto"/>
        </w:rPr>
      </w:pPr>
    </w:p>
    <w:p>
      <w:pPr>
        <w:ind w:left="3340" w:hanging="416"/>
        <w:spacing w:after="0"/>
        <w:tabs>
          <w:tab w:leader="none" w:pos="33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Initial Elections with respect to Compensation earned before January 1, 2014;</w:t>
      </w:r>
    </w:p>
    <w:p>
      <w:pPr>
        <w:spacing w:after="0" w:line="219" w:lineRule="exact"/>
        <w:rPr>
          <w:rFonts w:ascii="Arial" w:cs="Arial" w:eastAsia="Arial" w:hAnsi="Arial"/>
          <w:sz w:val="22"/>
          <w:szCs w:val="22"/>
          <w:color w:val="auto"/>
        </w:rPr>
      </w:pPr>
    </w:p>
    <w:p>
      <w:pPr>
        <w:ind w:firstLine="2924"/>
        <w:spacing w:after="0" w:line="253" w:lineRule="auto"/>
        <w:tabs>
          <w:tab w:leader="none" w:pos="3396" w:val="left"/>
        </w:tabs>
        <w:numPr>
          <w:ilvl w:val="1"/>
          <w:numId w:val="56"/>
        </w:numPr>
        <w:rPr>
          <w:rFonts w:ascii="Arial" w:cs="Arial" w:eastAsia="Arial" w:hAnsi="Arial"/>
          <w:sz w:val="22"/>
          <w:szCs w:val="22"/>
          <w:color w:val="auto"/>
        </w:rPr>
      </w:pPr>
      <w:r>
        <w:rPr>
          <w:rFonts w:ascii="Arial" w:cs="Arial" w:eastAsia="Arial" w:hAnsi="Arial"/>
          <w:sz w:val="22"/>
          <w:szCs w:val="22"/>
          <w:color w:val="auto"/>
        </w:rPr>
        <w:t>Company Credits described in Section 3.8 that were credited before January 1, 2014 or were made pursuant to an employment agreement entered into on or before December 31, 2013, including amounts attributable to Subsequent Elections filed with respect to such amounts before January 1, 2021; and</w:t>
      </w:r>
    </w:p>
    <w:p>
      <w:pPr>
        <w:spacing w:after="0" w:line="185" w:lineRule="exact"/>
        <w:rPr>
          <w:rFonts w:ascii="Arial" w:cs="Arial" w:eastAsia="Arial" w:hAnsi="Arial"/>
          <w:sz w:val="22"/>
          <w:szCs w:val="22"/>
          <w:color w:val="auto"/>
        </w:rPr>
      </w:pPr>
    </w:p>
    <w:p>
      <w:pPr>
        <w:ind w:left="3460" w:hanging="536"/>
        <w:spacing w:after="0"/>
        <w:tabs>
          <w:tab w:leader="none" w:pos="3460" w:val="left"/>
        </w:tabs>
        <w:numPr>
          <w:ilvl w:val="1"/>
          <w:numId w:val="56"/>
        </w:numPr>
        <w:rPr>
          <w:rFonts w:ascii="Arial" w:cs="Arial" w:eastAsia="Arial" w:hAnsi="Arial"/>
          <w:sz w:val="19"/>
          <w:szCs w:val="19"/>
          <w:color w:val="auto"/>
        </w:rPr>
      </w:pPr>
      <w:r>
        <w:rPr>
          <w:rFonts w:ascii="Arial" w:cs="Arial" w:eastAsia="Arial" w:hAnsi="Arial"/>
          <w:sz w:val="19"/>
          <w:szCs w:val="19"/>
          <w:color w:val="auto"/>
        </w:rPr>
        <w:t>Subsequent Elections filed before January 1, 2021 with respect to the portion of such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Participant’s Accounts attributable to amounts credited pursuant to this Section 2.53(a);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including interest credits attributable to such amounts.</w:t>
      </w:r>
    </w:p>
    <w:p>
      <w:pPr>
        <w:spacing w:after="0" w:line="220" w:lineRule="exact"/>
        <w:rPr>
          <w:sz w:val="20"/>
          <w:szCs w:val="20"/>
          <w:color w:val="auto"/>
        </w:rPr>
      </w:pPr>
    </w:p>
    <w:p>
      <w:pPr>
        <w:ind w:firstLine="2276"/>
        <w:spacing w:after="0" w:line="343" w:lineRule="auto"/>
        <w:tabs>
          <w:tab w:leader="none" w:pos="278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amount credited pursuant to Initial Elections with respect to Compensation earned in 2014 or 2015, if, as of the September 30th immediately preceding the Plan Year to which the Initial Election applied, the sum of:</w:t>
      </w:r>
    </w:p>
    <w:p>
      <w:pPr>
        <w:spacing w:after="0" w:line="104" w:lineRule="exact"/>
        <w:rPr>
          <w:rFonts w:ascii="Arial" w:cs="Arial" w:eastAsia="Arial" w:hAnsi="Arial"/>
          <w:sz w:val="19"/>
          <w:szCs w:val="19"/>
          <w:color w:val="auto"/>
        </w:rPr>
      </w:pPr>
    </w:p>
    <w:p>
      <w:pPr>
        <w:ind w:left="3340" w:hanging="416"/>
        <w:spacing w:after="0"/>
        <w:tabs>
          <w:tab w:leader="none" w:pos="334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 Eligible Comcast Employee’s Account; plus</w:t>
      </w:r>
    </w:p>
    <w:p>
      <w:pPr>
        <w:spacing w:after="0" w:line="219" w:lineRule="exact"/>
        <w:rPr>
          <w:rFonts w:ascii="Arial" w:cs="Arial" w:eastAsia="Arial" w:hAnsi="Arial"/>
          <w:sz w:val="22"/>
          <w:szCs w:val="22"/>
          <w:color w:val="auto"/>
        </w:rPr>
      </w:pPr>
    </w:p>
    <w:p>
      <w:pPr>
        <w:ind w:left="3400" w:hanging="476"/>
        <w:spacing w:after="0"/>
        <w:tabs>
          <w:tab w:leader="none" w:pos="34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Such Eligible Comcast Employee’s Account in the Prior Plan; plus</w:t>
      </w:r>
    </w:p>
    <w:p>
      <w:pPr>
        <w:spacing w:after="0" w:line="219" w:lineRule="exact"/>
        <w:rPr>
          <w:rFonts w:ascii="Arial" w:cs="Arial" w:eastAsia="Arial" w:hAnsi="Arial"/>
          <w:sz w:val="22"/>
          <w:szCs w:val="22"/>
          <w:color w:val="auto"/>
        </w:rPr>
      </w:pPr>
    </w:p>
    <w:p>
      <w:pPr>
        <w:ind w:right="340" w:firstLine="2924"/>
        <w:spacing w:after="0" w:line="263" w:lineRule="auto"/>
        <w:tabs>
          <w:tab w:leader="none" w:pos="3456" w:val="left"/>
        </w:tabs>
        <w:numPr>
          <w:ilvl w:val="1"/>
          <w:numId w:val="57"/>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was credited to the Income Fund;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is less than the High-Water Mark.</w:t>
      </w:r>
    </w:p>
    <w:p>
      <w:pPr>
        <w:spacing w:after="0" w:line="220" w:lineRule="exact"/>
        <w:rPr>
          <w:sz w:val="20"/>
          <w:szCs w:val="20"/>
          <w:color w:val="auto"/>
        </w:rPr>
      </w:pPr>
    </w:p>
    <w:p>
      <w:pPr>
        <w:ind w:right="300" w:firstLine="2276"/>
        <w:spacing w:after="0" w:line="263" w:lineRule="auto"/>
        <w:tabs>
          <w:tab w:leader="none" w:pos="277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amount credited pursuant to Initial Elections with respect to Compensation earned on and after January 1, 2016 and before January 1, 2021, and the amount credited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428" w:right="359" w:bottom="1440" w:gutter="0" w:footer="0" w:header="0"/>
        </w:sectPr>
      </w:pPr>
    </w:p>
    <w:bookmarkStart w:id="63" w:name="page64"/>
    <w:bookmarkEnd w:id="63"/>
    <w:p>
      <w:pPr>
        <w:ind w:right="260"/>
        <w:spacing w:after="0" w:line="228" w:lineRule="auto"/>
        <w:rPr>
          <w:sz w:val="20"/>
          <w:szCs w:val="20"/>
          <w:color w:val="auto"/>
        </w:rPr>
      </w:pPr>
      <w:r>
        <w:rPr>
          <w:rFonts w:ascii="Arial" w:cs="Arial" w:eastAsia="Arial" w:hAnsi="Arial"/>
          <w:sz w:val="22"/>
          <w:szCs w:val="22"/>
          <w:color w:val="auto"/>
        </w:rPr>
        <w:t>to an Eligible Comcast Employee’s Account attributable to Company Credits described in Section 3.8 after May 20, 2015 and before January 1, 2021 (other than Company Credits described in Section 2.53(b)), if, as of the September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immediately preceding the Plan Year in which such amounts are creditable, the sum of:</w:t>
      </w:r>
    </w:p>
    <w:p>
      <w:pPr>
        <w:spacing w:after="0" w:line="199" w:lineRule="exact"/>
        <w:rPr>
          <w:sz w:val="20"/>
          <w:szCs w:val="20"/>
          <w:color w:val="auto"/>
        </w:rPr>
      </w:pPr>
    </w:p>
    <w:p>
      <w:pPr>
        <w:ind w:left="2920"/>
        <w:spacing w:after="0"/>
        <w:tabs>
          <w:tab w:leader="none" w:pos="33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An Eligible Comcast Employee’s Account to the extent such Account is credited to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Income Fund; plus</w:t>
      </w:r>
    </w:p>
    <w:p>
      <w:pPr>
        <w:spacing w:after="0" w:line="202" w:lineRule="exact"/>
        <w:rPr>
          <w:sz w:val="20"/>
          <w:szCs w:val="20"/>
          <w:color w:val="auto"/>
        </w:rPr>
      </w:pPr>
    </w:p>
    <w:p>
      <w:pPr>
        <w:ind w:left="3400" w:hanging="476"/>
        <w:spacing w:after="0"/>
        <w:tabs>
          <w:tab w:leader="none" w:pos="34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Such Eligible Comcast Employee’s Account in the Prior Plan to the extent such Account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 credited to the Income Fund; plus</w:t>
      </w:r>
    </w:p>
    <w:p>
      <w:pPr>
        <w:spacing w:after="0" w:line="201" w:lineRule="exact"/>
        <w:rPr>
          <w:rFonts w:ascii="Arial" w:cs="Arial" w:eastAsia="Arial" w:hAnsi="Arial"/>
          <w:sz w:val="19"/>
          <w:szCs w:val="19"/>
          <w:color w:val="auto"/>
        </w:rPr>
      </w:pPr>
    </w:p>
    <w:p>
      <w:pPr>
        <w:ind w:right="260" w:firstLine="2924"/>
        <w:spacing w:after="0" w:line="263" w:lineRule="auto"/>
        <w:tabs>
          <w:tab w:leader="none" w:pos="3456" w:val="left"/>
        </w:tabs>
        <w:numPr>
          <w:ilvl w:val="0"/>
          <w:numId w:val="59"/>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is less than the High-Water Mark.</w:t>
      </w:r>
    </w:p>
    <w:p>
      <w:pPr>
        <w:spacing w:after="0" w:line="220" w:lineRule="exact"/>
        <w:rPr>
          <w:sz w:val="20"/>
          <w:szCs w:val="20"/>
          <w:color w:val="auto"/>
        </w:rPr>
      </w:pPr>
    </w:p>
    <w:p>
      <w:pPr>
        <w:jc w:val="both"/>
        <w:ind w:firstLine="2276"/>
        <w:spacing w:after="0" w:line="343" w:lineRule="auto"/>
        <w:tabs>
          <w:tab w:leader="none" w:pos="2786"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amount credited pursuant to Subsequent Elections filed after December 31, 2013 and before January 1, 2021 that are attributable to any portion of an Eligible Comcast Employee’s Account described in Section 2.53(a)-(d).</w:t>
      </w:r>
    </w:p>
    <w:p>
      <w:pPr>
        <w:spacing w:after="0" w:line="104"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Notwithstanding Sections 2.53(a)-(d), except as otherwise provided by the Administrator, the Protected Account Balance of an Eligible Comcast Employee who is re-employed by a Participating Company following an employment termination date that occurs after December 31, 2013 shall be zero.</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2.54. “</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any successor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2.55. “</w:t>
      </w:r>
      <w:r>
        <w:rPr>
          <w:rFonts w:ascii="Arial" w:cs="Arial" w:eastAsia="Arial" w:hAnsi="Arial"/>
          <w:sz w:val="19"/>
          <w:szCs w:val="19"/>
          <w:u w:val="single" w:color="auto"/>
          <w:color w:val="auto"/>
        </w:rPr>
        <w:t>Retired Participant</w:t>
      </w:r>
      <w:r>
        <w:rPr>
          <w:rFonts w:ascii="Arial" w:cs="Arial" w:eastAsia="Arial" w:hAnsi="Arial"/>
          <w:sz w:val="19"/>
          <w:szCs w:val="19"/>
          <w:color w:val="auto"/>
        </w:rPr>
        <w:t>” means a Participant who has terminated service pursuant to a Normal Retirement.</w:t>
      </w:r>
    </w:p>
    <w:p>
      <w:pPr>
        <w:spacing w:after="0" w:line="254" w:lineRule="exact"/>
        <w:rPr>
          <w:sz w:val="20"/>
          <w:szCs w:val="20"/>
          <w:color w:val="auto"/>
        </w:rPr>
      </w:pPr>
    </w:p>
    <w:p>
      <w:pPr>
        <w:ind w:right="40" w:firstLine="1620"/>
        <w:spacing w:after="0" w:line="263" w:lineRule="auto"/>
        <w:rPr>
          <w:sz w:val="20"/>
          <w:szCs w:val="20"/>
          <w:color w:val="auto"/>
        </w:rPr>
      </w:pPr>
      <w:r>
        <w:rPr>
          <w:rFonts w:ascii="Arial" w:cs="Arial" w:eastAsia="Arial" w:hAnsi="Arial"/>
          <w:sz w:val="22"/>
          <w:szCs w:val="22"/>
          <w:color w:val="auto"/>
        </w:rPr>
        <w:t>2.56. “</w:t>
      </w:r>
      <w:r>
        <w:rPr>
          <w:rFonts w:ascii="Arial" w:cs="Arial" w:eastAsia="Arial" w:hAnsi="Arial"/>
          <w:sz w:val="22"/>
          <w:szCs w:val="22"/>
          <w:u w:val="single" w:color="auto"/>
          <w:color w:val="auto"/>
        </w:rPr>
        <w:t>Section 16 Officer</w:t>
      </w:r>
      <w:r>
        <w:rPr>
          <w:rFonts w:ascii="Arial" w:cs="Arial" w:eastAsia="Arial" w:hAnsi="Arial"/>
          <w:sz w:val="22"/>
          <w:szCs w:val="22"/>
          <w:color w:val="auto"/>
        </w:rPr>
        <w:t>” means an “officer” of the Company, as defined pursuant to Rule 16a-1(f) under the Securities Exchange Act of 1934, as amended.</w:t>
      </w:r>
    </w:p>
    <w:p>
      <w:pPr>
        <w:spacing w:after="0" w:line="175" w:lineRule="exact"/>
        <w:rPr>
          <w:sz w:val="20"/>
          <w:szCs w:val="20"/>
          <w:color w:val="auto"/>
        </w:rPr>
      </w:pPr>
    </w:p>
    <w:p>
      <w:pPr>
        <w:ind w:right="20" w:firstLine="1620"/>
        <w:spacing w:after="0" w:line="271" w:lineRule="auto"/>
        <w:rPr>
          <w:sz w:val="20"/>
          <w:szCs w:val="20"/>
          <w:color w:val="auto"/>
        </w:rPr>
      </w:pPr>
      <w:r>
        <w:rPr>
          <w:rFonts w:ascii="Arial" w:cs="Arial" w:eastAsia="Arial" w:hAnsi="Arial"/>
          <w:sz w:val="21"/>
          <w:szCs w:val="21"/>
          <w:color w:val="auto"/>
        </w:rPr>
        <w:t>2.57. “</w:t>
      </w:r>
      <w:r>
        <w:rPr>
          <w:rFonts w:ascii="Arial" w:cs="Arial" w:eastAsia="Arial" w:hAnsi="Arial"/>
          <w:sz w:val="21"/>
          <w:szCs w:val="21"/>
          <w:u w:val="single" w:color="auto"/>
          <w:color w:val="auto"/>
        </w:rPr>
        <w:t>Severance Pay</w:t>
      </w:r>
      <w:r>
        <w:rPr>
          <w:rFonts w:ascii="Arial" w:cs="Arial" w:eastAsia="Arial" w:hAnsi="Arial"/>
          <w:sz w:val="21"/>
          <w:szCs w:val="21"/>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67" w:lineRule="exact"/>
        <w:rPr>
          <w:sz w:val="20"/>
          <w:szCs w:val="20"/>
          <w:color w:val="auto"/>
        </w:rPr>
      </w:pPr>
    </w:p>
    <w:p>
      <w:pPr>
        <w:ind w:right="20" w:firstLine="1620"/>
        <w:spacing w:after="0" w:line="271" w:lineRule="auto"/>
        <w:rPr>
          <w:sz w:val="20"/>
          <w:szCs w:val="20"/>
          <w:color w:val="auto"/>
        </w:rPr>
      </w:pPr>
      <w:r>
        <w:rPr>
          <w:rFonts w:ascii="Arial" w:cs="Arial" w:eastAsia="Arial" w:hAnsi="Arial"/>
          <w:sz w:val="21"/>
          <w:szCs w:val="21"/>
          <w:color w:val="auto"/>
        </w:rPr>
        <w:t>2.58. “</w:t>
      </w:r>
      <w:r>
        <w:rPr>
          <w:rFonts w:ascii="Arial" w:cs="Arial" w:eastAsia="Arial" w:hAnsi="Arial"/>
          <w:sz w:val="21"/>
          <w:szCs w:val="21"/>
          <w:u w:val="single" w:color="auto"/>
          <w:color w:val="auto"/>
        </w:rPr>
        <w:t>Signing Bonus</w:t>
      </w:r>
      <w:r>
        <w:rPr>
          <w:rFonts w:ascii="Arial" w:cs="Arial" w:eastAsia="Arial" w:hAnsi="Arial"/>
          <w:sz w:val="21"/>
          <w:szCs w:val="21"/>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67" w:lineRule="exact"/>
        <w:rPr>
          <w:sz w:val="20"/>
          <w:szCs w:val="20"/>
          <w:color w:val="auto"/>
        </w:rPr>
      </w:pPr>
    </w:p>
    <w:p>
      <w:pPr>
        <w:ind w:right="260" w:firstLine="1620"/>
        <w:spacing w:after="0" w:line="263" w:lineRule="auto"/>
        <w:rPr>
          <w:sz w:val="20"/>
          <w:szCs w:val="20"/>
          <w:color w:val="auto"/>
        </w:rPr>
      </w:pPr>
      <w:r>
        <w:rPr>
          <w:rFonts w:ascii="Arial" w:cs="Arial" w:eastAsia="Arial" w:hAnsi="Arial"/>
          <w:sz w:val="22"/>
          <w:szCs w:val="22"/>
          <w:color w:val="auto"/>
        </w:rPr>
        <w:t>2.59. “</w:t>
      </w:r>
      <w:r>
        <w:rPr>
          <w:rFonts w:ascii="Arial" w:cs="Arial" w:eastAsia="Arial" w:hAnsi="Arial"/>
          <w:sz w:val="22"/>
          <w:szCs w:val="22"/>
          <w:u w:val="single" w:color="auto"/>
          <w:color w:val="auto"/>
        </w:rPr>
        <w:t>Subsequent Election</w:t>
      </w:r>
      <w:r>
        <w:rPr>
          <w:rFonts w:ascii="Arial" w:cs="Arial" w:eastAsia="Arial" w:hAnsi="Arial"/>
          <w:sz w:val="22"/>
          <w:szCs w:val="22"/>
          <w:color w:val="auto"/>
        </w:rPr>
        <w:t>” means one or more written elections on a form provided by the Administrator, filed with the Administrator in accordance with Article 3, pursuant to which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140"/>
          </w:cols>
          <w:pgMar w:left="320" w:top="1428" w:right="439" w:bottom="1440" w:gutter="0" w:footer="0" w:header="0"/>
        </w:sectPr>
      </w:pPr>
    </w:p>
    <w:bookmarkStart w:id="64" w:name="page65"/>
    <w:bookmarkEnd w:id="64"/>
    <w:p>
      <w:pPr>
        <w:ind w:right="20"/>
        <w:spacing w:after="0" w:line="263" w:lineRule="auto"/>
        <w:rPr>
          <w:sz w:val="20"/>
          <w:szCs w:val="20"/>
          <w:color w:val="auto"/>
        </w:rPr>
      </w:pPr>
      <w:r>
        <w:rPr>
          <w:rFonts w:ascii="Arial" w:cs="Arial" w:eastAsia="Arial" w:hAnsi="Arial"/>
          <w:sz w:val="22"/>
          <w:szCs w:val="22"/>
          <w:color w:val="auto"/>
        </w:rPr>
        <w:t>Participant or Beneficiary may elect to defer the time of payment of amounts previously deferred in accordance with the terms of a previously filed Initial Election or Subsequent Election.</w:t>
      </w:r>
    </w:p>
    <w:p>
      <w:pPr>
        <w:spacing w:after="0" w:line="175" w:lineRule="exact"/>
        <w:rPr>
          <w:sz w:val="20"/>
          <w:szCs w:val="20"/>
          <w:color w:val="auto"/>
        </w:rPr>
      </w:pPr>
    </w:p>
    <w:p>
      <w:pPr>
        <w:ind w:right="340" w:firstLine="1620"/>
        <w:spacing w:after="0" w:line="263" w:lineRule="auto"/>
        <w:rPr>
          <w:sz w:val="20"/>
          <w:szCs w:val="20"/>
          <w:color w:val="auto"/>
        </w:rPr>
      </w:pPr>
      <w:r>
        <w:rPr>
          <w:rFonts w:ascii="Arial" w:cs="Arial" w:eastAsia="Arial" w:hAnsi="Arial"/>
          <w:sz w:val="22"/>
          <w:szCs w:val="22"/>
          <w:color w:val="auto"/>
        </w:rPr>
        <w:t>2.60. “</w:t>
      </w:r>
      <w:r>
        <w:rPr>
          <w:rFonts w:ascii="Arial" w:cs="Arial" w:eastAsia="Arial" w:hAnsi="Arial"/>
          <w:sz w:val="22"/>
          <w:szCs w:val="22"/>
          <w:u w:val="single" w:color="auto"/>
          <w:color w:val="auto"/>
        </w:rPr>
        <w:t>Surviving Spouse</w:t>
      </w:r>
      <w:r>
        <w:rPr>
          <w:rFonts w:ascii="Arial" w:cs="Arial" w:eastAsia="Arial" w:hAnsi="Arial"/>
          <w:sz w:val="22"/>
          <w:szCs w:val="22"/>
          <w:color w:val="auto"/>
        </w:rPr>
        <w:t>” means the widow or widower, as the case may be, of a Deceased Participant or a Deceased Beneficiary (as applicable).</w:t>
      </w:r>
    </w:p>
    <w:p>
      <w:pPr>
        <w:spacing w:after="0" w:line="175" w:lineRule="exact"/>
        <w:rPr>
          <w:sz w:val="20"/>
          <w:szCs w:val="20"/>
          <w:color w:val="auto"/>
        </w:rPr>
      </w:pPr>
    </w:p>
    <w:p>
      <w:pPr>
        <w:ind w:right="260" w:firstLine="1620"/>
        <w:spacing w:after="0" w:line="263" w:lineRule="auto"/>
        <w:rPr>
          <w:sz w:val="20"/>
          <w:szCs w:val="20"/>
          <w:color w:val="auto"/>
        </w:rPr>
      </w:pPr>
      <w:r>
        <w:rPr>
          <w:rFonts w:ascii="Arial" w:cs="Arial" w:eastAsia="Arial" w:hAnsi="Arial"/>
          <w:sz w:val="22"/>
          <w:szCs w:val="22"/>
          <w:color w:val="auto"/>
        </w:rPr>
        <w:t>2.61.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2.62. “</w:t>
      </w:r>
      <w:r>
        <w:rPr>
          <w:rFonts w:ascii="Arial" w:cs="Arial" w:eastAsia="Arial" w:hAnsi="Arial"/>
          <w:sz w:val="22"/>
          <w:szCs w:val="22"/>
          <w:u w:val="single" w:color="auto"/>
          <w:color w:val="auto"/>
        </w:rPr>
        <w:t>Total Compensation</w:t>
      </w:r>
      <w:r>
        <w:rPr>
          <w:rFonts w:ascii="Arial" w:cs="Arial" w:eastAsia="Arial" w:hAnsi="Arial"/>
          <w:sz w:val="22"/>
          <w:szCs w:val="22"/>
          <w:color w:val="auto"/>
        </w:rPr>
        <w:t>” means:</w:t>
      </w:r>
    </w:p>
    <w:p>
      <w:pPr>
        <w:spacing w:after="0" w:line="220" w:lineRule="exact"/>
        <w:rPr>
          <w:sz w:val="20"/>
          <w:szCs w:val="20"/>
          <w:color w:val="auto"/>
        </w:rPr>
      </w:pPr>
    </w:p>
    <w:p>
      <w:pPr>
        <w:ind w:right="320" w:firstLine="2276"/>
        <w:spacing w:after="0" w:line="302" w:lineRule="auto"/>
        <w:tabs>
          <w:tab w:leader="none" w:pos="2778"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sum of an Eligible Employee’s Annual Rate of Pay, plus Company Credits described in Section 3.8, plus any target bonus amount under a cash bonus award that is includible as “Compensation” under Section 2.16, plus the grant date value of any annual long-term incentive award granted in the immediately preceding Plan Year, all as determined by the Administrator in its sole discretion, as of the September 30th immediately preceding the Plan Year.</w:t>
      </w:r>
    </w:p>
    <w:p>
      <w:pPr>
        <w:spacing w:after="0" w:line="142" w:lineRule="exact"/>
        <w:rPr>
          <w:rFonts w:ascii="Arial" w:cs="Arial" w:eastAsia="Arial" w:hAnsi="Arial"/>
          <w:sz w:val="19"/>
          <w:szCs w:val="19"/>
          <w:color w:val="auto"/>
        </w:rPr>
      </w:pPr>
    </w:p>
    <w:p>
      <w:pPr>
        <w:ind w:firstLine="2276"/>
        <w:spacing w:after="0" w:line="250" w:lineRule="auto"/>
        <w:tabs>
          <w:tab w:leader="none" w:pos="2790" w:val="left"/>
        </w:tabs>
        <w:numPr>
          <w:ilvl w:val="0"/>
          <w:numId w:val="61"/>
        </w:numPr>
        <w:rPr>
          <w:rFonts w:ascii="Arial" w:cs="Arial" w:eastAsia="Arial" w:hAnsi="Arial"/>
          <w:sz w:val="22"/>
          <w:szCs w:val="22"/>
          <w:color w:val="auto"/>
        </w:rPr>
      </w:pPr>
      <w:r>
        <w:rPr>
          <w:rFonts w:ascii="Arial" w:cs="Arial" w:eastAsia="Arial" w:hAnsi="Arial"/>
          <w:sz w:val="22"/>
          <w:szCs w:val="22"/>
          <w:color w:val="auto"/>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182"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ARTICLE 3 – INITIAL AND SUBSEQUENT ELECTIONS</w:t>
      </w:r>
    </w:p>
    <w:p>
      <w:pPr>
        <w:spacing w:after="0" w:line="22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Elections</w:t>
      </w:r>
      <w:r>
        <w:rPr>
          <w:rFonts w:ascii="Arial" w:cs="Arial" w:eastAsia="Arial" w:hAnsi="Arial"/>
          <w:sz w:val="22"/>
          <w:szCs w:val="22"/>
          <w:color w:val="auto"/>
        </w:rPr>
        <w:t>.</w:t>
      </w:r>
    </w:p>
    <w:p>
      <w:pPr>
        <w:spacing w:after="0" w:line="220" w:lineRule="exact"/>
        <w:rPr>
          <w:sz w:val="20"/>
          <w:szCs w:val="20"/>
          <w:color w:val="auto"/>
        </w:rPr>
      </w:pPr>
    </w:p>
    <w:p>
      <w:pPr>
        <w:ind w:right="60" w:firstLine="2276"/>
        <w:spacing w:after="0" w:line="286" w:lineRule="auto"/>
        <w:tabs>
          <w:tab w:leader="none" w:pos="2778"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Initial Elections</w:t>
      </w:r>
      <w:r>
        <w:rPr>
          <w:rFonts w:ascii="Arial" w:cs="Arial" w:eastAsia="Arial" w:hAnsi="Arial"/>
          <w:sz w:val="19"/>
          <w:szCs w:val="19"/>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 3.1(a) and may file an Initial Election before the date on which such individual becomes a New Key Employee. The Compensation of such Outside Director, Director Emeritus or Eligible Employee for a calendar year or other Performance Period shall be reduced in an amount equal to the portion of the Compensation deferred by such Outside Director, Director Emeritus or Eligible Employee for such period of time pursuant to such Outside Director’s, Director Emeritus’s or Eligible Employee’s Initial Election. Such reduction shall be effected on a pro rata basis from each periodic installment payment of such Outside Director’s, Director Emeritus’s or Eligible Employee’s Compensation for such period of time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80"/>
          </w:cols>
          <w:pgMar w:left="320" w:top="1428" w:right="399" w:bottom="1440" w:gutter="0" w:footer="0" w:header="0"/>
        </w:sectPr>
      </w:pPr>
    </w:p>
    <w:bookmarkStart w:id="65" w:name="page66"/>
    <w:bookmarkEnd w:id="65"/>
    <w:p>
      <w:pPr>
        <w:ind w:firstLine="2276"/>
        <w:spacing w:after="0" w:line="250" w:lineRule="auto"/>
        <w:tabs>
          <w:tab w:leader="none" w:pos="279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Filing of Initial Election: General</w:t>
      </w:r>
      <w:r>
        <w:rPr>
          <w:rFonts w:ascii="Arial" w:cs="Arial" w:eastAsia="Arial" w:hAnsi="Arial"/>
          <w:sz w:val="22"/>
          <w:szCs w:val="22"/>
          <w:color w:val="auto"/>
        </w:rPr>
        <w:t>. An Initial Election shall be filed on the form provided by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Administrator for this purpose. Except as provided in Section 3.3:</w:t>
      </w:r>
    </w:p>
    <w:p>
      <w:pPr>
        <w:spacing w:after="0" w:line="202" w:lineRule="exact"/>
        <w:rPr>
          <w:sz w:val="20"/>
          <w:szCs w:val="20"/>
          <w:color w:val="auto"/>
        </w:rPr>
      </w:pPr>
    </w:p>
    <w:p>
      <w:pPr>
        <w:ind w:right="60" w:firstLine="2276"/>
        <w:spacing w:after="0" w:line="253" w:lineRule="auto"/>
        <w:tabs>
          <w:tab w:leader="none" w:pos="2778"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Compensation other than Signing Bonuses or Performance-Based Compensation unless it is filed with the Administrator on or before December 31 of the calendar year preceding the calendar year to which the Initial Election applies.</w:t>
      </w:r>
    </w:p>
    <w:p>
      <w:pPr>
        <w:spacing w:after="0" w:line="185" w:lineRule="exact"/>
        <w:rPr>
          <w:rFonts w:ascii="Arial" w:cs="Arial" w:eastAsia="Arial" w:hAnsi="Arial"/>
          <w:sz w:val="22"/>
          <w:szCs w:val="22"/>
          <w:color w:val="auto"/>
        </w:rPr>
      </w:pPr>
    </w:p>
    <w:p>
      <w:pPr>
        <w:ind w:right="440" w:firstLine="2276"/>
        <w:spacing w:after="0" w:line="253" w:lineRule="auto"/>
        <w:tabs>
          <w:tab w:leader="none" w:pos="2790"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85" w:lineRule="exact"/>
        <w:rPr>
          <w:rFonts w:ascii="Arial" w:cs="Arial" w:eastAsia="Arial" w:hAnsi="Arial"/>
          <w:sz w:val="22"/>
          <w:szCs w:val="22"/>
          <w:color w:val="auto"/>
        </w:rPr>
      </w:pPr>
    </w:p>
    <w:p>
      <w:pPr>
        <w:ind w:right="80" w:firstLine="2276"/>
        <w:spacing w:after="0" w:line="235" w:lineRule="auto"/>
        <w:tabs>
          <w:tab w:leader="none" w:pos="2778"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a Signing Bonus for an Eligible Employee other than a New Key Employee unless (i)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Election is filed with the Administrator on or before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date of grant of such Signing Bonus and at least one year before such specified date.</w:t>
      </w:r>
    </w:p>
    <w:p>
      <w:pPr>
        <w:spacing w:after="0" w:line="20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Filing of Initial Election by New Key Employees and New Outside Directors</w:t>
      </w:r>
      <w:r>
        <w:rPr>
          <w:rFonts w:ascii="Arial" w:cs="Arial" w:eastAsia="Arial" w:hAnsi="Arial"/>
          <w:sz w:val="22"/>
          <w:szCs w:val="22"/>
          <w:color w:val="auto"/>
        </w:rPr>
        <w:t>.</w:t>
      </w:r>
    </w:p>
    <w:p>
      <w:pPr>
        <w:spacing w:after="0" w:line="220" w:lineRule="exact"/>
        <w:rPr>
          <w:sz w:val="20"/>
          <w:szCs w:val="20"/>
          <w:color w:val="auto"/>
        </w:rPr>
      </w:pPr>
    </w:p>
    <w:p>
      <w:pPr>
        <w:ind w:left="2780" w:hanging="504"/>
        <w:spacing w:after="0"/>
        <w:tabs>
          <w:tab w:leader="none" w:pos="278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New Key Employees</w:t>
      </w:r>
      <w:r>
        <w:rPr>
          <w:rFonts w:ascii="Arial" w:cs="Arial" w:eastAsia="Arial" w:hAnsi="Arial"/>
          <w:sz w:val="19"/>
          <w:szCs w:val="19"/>
          <w:color w:val="auto"/>
        </w:rPr>
        <w:t>. Notwithstanding Section 3.1 and Section 3.2, a New Key Employee may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file an Initial Election:</w:t>
      </w:r>
    </w:p>
    <w:p>
      <w:pPr>
        <w:spacing w:after="0" w:line="202" w:lineRule="exact"/>
        <w:rPr>
          <w:sz w:val="20"/>
          <w:szCs w:val="20"/>
          <w:color w:val="auto"/>
        </w:rPr>
      </w:pPr>
    </w:p>
    <w:p>
      <w:pPr>
        <w:ind w:right="180" w:firstLine="2924"/>
        <w:spacing w:after="0" w:line="250" w:lineRule="auto"/>
        <w:tabs>
          <w:tab w:leader="none" w:pos="3332"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defer Compensation payable for services to be performed after the date of such Initial Election. An Initial Election to defer Compensation payable for services to be performed after the date of such Initial Election must be filed with the Administrator within 30 days of the date such New Key Employee first becomes eligible to participate in the Plan.</w:t>
      </w:r>
    </w:p>
    <w:p>
      <w:pPr>
        <w:spacing w:after="0" w:line="187" w:lineRule="exact"/>
        <w:rPr>
          <w:rFonts w:ascii="Arial" w:cs="Arial" w:eastAsia="Arial" w:hAnsi="Arial"/>
          <w:sz w:val="22"/>
          <w:szCs w:val="22"/>
          <w:color w:val="auto"/>
        </w:rPr>
      </w:pPr>
    </w:p>
    <w:p>
      <w:pPr>
        <w:ind w:right="360" w:firstLine="2924"/>
        <w:spacing w:after="0" w:line="253" w:lineRule="auto"/>
        <w:tabs>
          <w:tab w:leader="none" w:pos="3392"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defer Compensation payable as a Signing Bonus. An Initial Election to defer Compensation payable as a Signing Bonus must be filed with the Administrator before such New Key Employee commences service as an Eligible Employee.</w:t>
      </w:r>
    </w:p>
    <w:p>
      <w:pPr>
        <w:spacing w:after="0" w:line="185" w:lineRule="exact"/>
        <w:rPr>
          <w:sz w:val="20"/>
          <w:szCs w:val="20"/>
          <w:color w:val="auto"/>
        </w:rPr>
      </w:pPr>
    </w:p>
    <w:p>
      <w:pPr>
        <w:ind w:right="140" w:firstLine="26"/>
        <w:spacing w:after="0" w:line="251" w:lineRule="auto"/>
        <w:rPr>
          <w:sz w:val="20"/>
          <w:szCs w:val="20"/>
          <w:color w:val="auto"/>
        </w:rPr>
      </w:pPr>
      <w:r>
        <w:rPr>
          <w:rFonts w:ascii="Arial" w:cs="Arial" w:eastAsia="Arial" w:hAnsi="Arial"/>
          <w:sz w:val="22"/>
          <w:szCs w:val="22"/>
          <w:color w:val="auto"/>
        </w:rPr>
        <w:t>An Initial Election by such New Key Employee for succeeding calendar years or applicable Performance Periods shall be made in accordance with Section 3.1 and Section 3.2.</w:t>
      </w:r>
    </w:p>
    <w:p>
      <w:pPr>
        <w:spacing w:after="0" w:line="2" w:lineRule="exact"/>
        <w:rPr>
          <w:sz w:val="20"/>
          <w:szCs w:val="20"/>
          <w:color w:val="auto"/>
        </w:rPr>
      </w:pPr>
    </w:p>
    <w:p>
      <w:pPr>
        <w:ind w:right="120" w:firstLine="2276"/>
        <w:spacing w:after="0" w:line="244" w:lineRule="auto"/>
        <w:tabs>
          <w:tab w:leader="none" w:pos="279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New Outside Directors</w:t>
      </w:r>
      <w:r>
        <w:rPr>
          <w:rFonts w:ascii="Arial" w:cs="Arial" w:eastAsia="Arial" w:hAnsi="Arial"/>
          <w:sz w:val="22"/>
          <w:szCs w:val="22"/>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20" w:top="1428" w:right="379" w:bottom="1440" w:gutter="0" w:footer="0" w:header="0"/>
        </w:sectPr>
      </w:pPr>
    </w:p>
    <w:bookmarkStart w:id="66" w:name="page67"/>
    <w:bookmarkEnd w:id="66"/>
    <w:p>
      <w:pPr>
        <w:spacing w:after="0" w:line="302" w:lineRule="auto"/>
        <w:rPr>
          <w:sz w:val="20"/>
          <w:szCs w:val="20"/>
          <w:color w:val="auto"/>
        </w:rPr>
      </w:pPr>
      <w:r>
        <w:rPr>
          <w:rFonts w:ascii="Arial" w:cs="Arial" w:eastAsia="Arial" w:hAnsi="Arial"/>
          <w:sz w:val="19"/>
          <w:szCs w:val="19"/>
          <w:color w:val="auto"/>
        </w:rPr>
        <w:t>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Years to which Initial Election May Apply</w:t>
      </w:r>
      <w:r>
        <w:rPr>
          <w:rFonts w:ascii="Arial" w:cs="Arial" w:eastAsia="Arial" w:hAnsi="Arial"/>
          <w:sz w:val="22"/>
          <w:szCs w:val="22"/>
          <w:color w:val="auto"/>
        </w:rPr>
        <w:t>.</w:t>
      </w:r>
    </w:p>
    <w:p>
      <w:pPr>
        <w:spacing w:after="0" w:line="220" w:lineRule="exact"/>
        <w:rPr>
          <w:sz w:val="20"/>
          <w:szCs w:val="20"/>
          <w:color w:val="auto"/>
        </w:rPr>
      </w:pPr>
    </w:p>
    <w:p>
      <w:pPr>
        <w:ind w:right="80" w:firstLine="2276"/>
        <w:spacing w:after="0" w:line="294" w:lineRule="auto"/>
        <w:tabs>
          <w:tab w:leader="none" w:pos="2778"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Separate Initial Elections for Each Calendar Year or Applicable Performance Period</w:t>
      </w:r>
      <w:r>
        <w:rPr>
          <w:rFonts w:ascii="Arial" w:cs="Arial" w:eastAsia="Arial" w:hAnsi="Arial"/>
          <w:sz w:val="19"/>
          <w:szCs w:val="19"/>
          <w:color w:val="auto"/>
        </w:rPr>
        <w:t>. A separate Initial Election may be filed for each calendar year or other applicable Performance Period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or other applicable Performance Period shall not affect such Outside Director’s or Eligible Employee’s right to make an Initial Election for any other calendar year or other applicable Performance Period.</w:t>
      </w:r>
    </w:p>
    <w:p>
      <w:pPr>
        <w:spacing w:after="0" w:line="149" w:lineRule="exact"/>
        <w:rPr>
          <w:rFonts w:ascii="Arial" w:cs="Arial" w:eastAsia="Arial" w:hAnsi="Arial"/>
          <w:sz w:val="19"/>
          <w:szCs w:val="19"/>
          <w:color w:val="auto"/>
        </w:rPr>
      </w:pPr>
    </w:p>
    <w:p>
      <w:pPr>
        <w:ind w:right="280" w:firstLine="2276"/>
        <w:spacing w:after="0" w:line="297" w:lineRule="auto"/>
        <w:tabs>
          <w:tab w:leader="none" w:pos="279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Initial Election of Distribution Date</w:t>
      </w:r>
      <w:r>
        <w:rPr>
          <w:rFonts w:ascii="Arial" w:cs="Arial" w:eastAsia="Arial" w:hAnsi="Arial"/>
          <w:sz w:val="19"/>
          <w:szCs w:val="19"/>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w:t>
      </w:r>
    </w:p>
    <w:p>
      <w:pPr>
        <w:spacing w:after="0" w:line="146" w:lineRule="exact"/>
        <w:rPr>
          <w:rFonts w:ascii="Arial" w:cs="Arial" w:eastAsia="Arial" w:hAnsi="Arial"/>
          <w:sz w:val="19"/>
          <w:szCs w:val="19"/>
          <w:color w:val="auto"/>
        </w:rPr>
      </w:pPr>
    </w:p>
    <w:p>
      <w:pPr>
        <w:ind w:right="120" w:firstLine="2924"/>
        <w:spacing w:after="0" w:line="253" w:lineRule="auto"/>
        <w:tabs>
          <w:tab w:leader="none" w:pos="3336" w:val="left"/>
        </w:tabs>
        <w:numPr>
          <w:ilvl w:val="1"/>
          <w:numId w:val="68"/>
        </w:numPr>
        <w:rPr>
          <w:rFonts w:ascii="Arial" w:cs="Arial" w:eastAsia="Arial" w:hAnsi="Arial"/>
          <w:sz w:val="22"/>
          <w:szCs w:val="22"/>
          <w:color w:val="auto"/>
        </w:rPr>
      </w:pPr>
      <w:r>
        <w:rPr>
          <w:rFonts w:ascii="Arial" w:cs="Arial" w:eastAsia="Arial" w:hAnsi="Arial"/>
          <w:sz w:val="22"/>
          <w:szCs w:val="22"/>
          <w:color w:val="auto"/>
        </w:rPr>
        <w:t>for Initial Elections applicable to Compensation earned before January 1, 2021, January 2nd of the tenth calendar year beginning after the date the compensation subject to the Initial Election would be paid but for the Initial Election; and</w:t>
      </w:r>
    </w:p>
    <w:p>
      <w:pPr>
        <w:spacing w:after="0" w:line="185" w:lineRule="exact"/>
        <w:rPr>
          <w:rFonts w:ascii="Arial" w:cs="Arial" w:eastAsia="Arial" w:hAnsi="Arial"/>
          <w:sz w:val="22"/>
          <w:szCs w:val="22"/>
          <w:color w:val="auto"/>
        </w:rPr>
      </w:pPr>
    </w:p>
    <w:p>
      <w:pPr>
        <w:ind w:firstLine="2924"/>
        <w:spacing w:after="0" w:line="253" w:lineRule="auto"/>
        <w:tabs>
          <w:tab w:leader="none" w:pos="3396" w:val="left"/>
        </w:tabs>
        <w:numPr>
          <w:ilvl w:val="1"/>
          <w:numId w:val="68"/>
        </w:numPr>
        <w:rPr>
          <w:rFonts w:ascii="Arial" w:cs="Arial" w:eastAsia="Arial" w:hAnsi="Arial"/>
          <w:sz w:val="22"/>
          <w:szCs w:val="22"/>
          <w:color w:val="auto"/>
        </w:rPr>
      </w:pPr>
      <w:r>
        <w:rPr>
          <w:rFonts w:ascii="Arial" w:cs="Arial" w:eastAsia="Arial" w:hAnsi="Arial"/>
          <w:sz w:val="22"/>
          <w:szCs w:val="22"/>
          <w:color w:val="auto"/>
        </w:rPr>
        <w:t>for Initial Elections applicable to Compensation earned after December 31, 2020, January 2nd of the seventh calendar year beginning after the date the compensation subject to the Initial Election would be paid but for the Initial Election.</w:t>
      </w:r>
    </w:p>
    <w:p>
      <w:pPr>
        <w:spacing w:after="0" w:line="185"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Further, each Outside Director, Director Emeritus or Eligible Employee may select with each Initial Election the manner of distribution in accordance with Article 4.</w:t>
      </w:r>
    </w:p>
    <w:p>
      <w:pPr>
        <w:spacing w:after="0" w:line="175" w:lineRule="exact"/>
        <w:rPr>
          <w:sz w:val="20"/>
          <w:szCs w:val="20"/>
          <w:color w:val="auto"/>
        </w:rPr>
      </w:pPr>
    </w:p>
    <w:p>
      <w:pPr>
        <w:ind w:right="140" w:firstLine="1620"/>
        <w:spacing w:after="0" w:line="26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Subsequent Elections</w:t>
      </w:r>
      <w:r>
        <w:rPr>
          <w:rFonts w:ascii="Arial" w:cs="Arial" w:eastAsia="Arial" w:hAnsi="Arial"/>
          <w:sz w:val="22"/>
          <w:szCs w:val="22"/>
          <w:color w:val="auto"/>
        </w:rPr>
        <w:t>. No Subsequent Election shall be effective until 12 months after the date on which such Subsequent Election is filed.</w:t>
      </w:r>
    </w:p>
    <w:p>
      <w:pPr>
        <w:spacing w:after="0" w:line="175" w:lineRule="exact"/>
        <w:rPr>
          <w:sz w:val="20"/>
          <w:szCs w:val="20"/>
          <w:color w:val="auto"/>
        </w:rPr>
      </w:pPr>
    </w:p>
    <w:p>
      <w:pPr>
        <w:ind w:right="40" w:firstLine="2276"/>
        <w:spacing w:after="0" w:line="302" w:lineRule="auto"/>
        <w:tabs>
          <w:tab w:leader="none" w:pos="2778"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Active Participants, Outside Directors, and Section 16 Officers</w:t>
      </w:r>
      <w:r>
        <w:rPr>
          <w:rFonts w:ascii="Arial" w:cs="Arial" w:eastAsia="Arial" w:hAnsi="Arial"/>
          <w:sz w:val="19"/>
          <w:szCs w:val="19"/>
          <w:color w:val="auto"/>
        </w:rPr>
        <w:t>. Each Active Participant, and each Participant designated by the Administrator who has served as an Outside Director or Section 16 Officer at any time on or after January 1, 2019 (whether or not such individual is an Active Participant), who has filed an Initial Election, or who has filed a Subsequent Election, may elect to defer the time of payment of any part or all of such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160"/>
          </w:cols>
          <w:pgMar w:left="320" w:top="1428" w:right="419" w:bottom="1440" w:gutter="0" w:footer="0" w:header="0"/>
        </w:sectPr>
      </w:pPr>
    </w:p>
    <w:bookmarkStart w:id="67" w:name="page68"/>
    <w:bookmarkEnd w:id="67"/>
    <w:p>
      <w:pPr>
        <w:ind w:left="3340" w:hanging="416"/>
        <w:spacing w:after="0"/>
        <w:tabs>
          <w:tab w:leader="none" w:pos="3340" w:val="left"/>
        </w:tabs>
        <w:numPr>
          <w:ilvl w:val="0"/>
          <w:numId w:val="70"/>
        </w:numPr>
        <w:rPr>
          <w:rFonts w:ascii="Arial" w:cs="Arial" w:eastAsia="Arial" w:hAnsi="Arial"/>
          <w:sz w:val="21"/>
          <w:szCs w:val="21"/>
          <w:color w:val="auto"/>
        </w:rPr>
      </w:pPr>
      <w:r>
        <w:rPr>
          <w:rFonts w:ascii="Arial" w:cs="Arial" w:eastAsia="Arial" w:hAnsi="Arial"/>
          <w:sz w:val="21"/>
          <w:szCs w:val="21"/>
          <w:color w:val="auto"/>
        </w:rPr>
        <w:t>With respect to Subsequent Elections filed on or before December 31, 2020, for a</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minimum of five (5) and a maximum of ten (10) additional years from the previously-elected payment date;</w:t>
      </w:r>
    </w:p>
    <w:p>
      <w:pPr>
        <w:spacing w:after="0" w:line="201" w:lineRule="exact"/>
        <w:rPr>
          <w:rFonts w:ascii="Arial" w:cs="Arial" w:eastAsia="Arial" w:hAnsi="Arial"/>
          <w:sz w:val="21"/>
          <w:szCs w:val="21"/>
          <w:color w:val="auto"/>
        </w:rPr>
      </w:pPr>
    </w:p>
    <w:p>
      <w:pPr>
        <w:ind w:left="3400" w:hanging="476"/>
        <w:spacing w:after="0"/>
        <w:tabs>
          <w:tab w:leader="none" w:pos="34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five (5) and a maximum of seven (7) additional years from the previously-elected payment date;</w:t>
      </w:r>
    </w:p>
    <w:p>
      <w:pPr>
        <w:spacing w:after="0" w:line="20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by filing a Subsequent Election with the Administrator at least 12 months before the lump-sum distribution or initial installment payment would otherwise be made. The number of Subsequent Elections under this Section 3.5(a) shall not be limited. The Administrator may designate the specific Other Investment Fund or Funds to which the Account of any individual who has terminated service to the Company shall be deemed invested.</w:t>
      </w:r>
    </w:p>
    <w:p>
      <w:pPr>
        <w:spacing w:after="0" w:line="188" w:lineRule="exact"/>
        <w:rPr>
          <w:sz w:val="20"/>
          <w:szCs w:val="20"/>
          <w:color w:val="auto"/>
        </w:rPr>
      </w:pPr>
    </w:p>
    <w:p>
      <w:pPr>
        <w:jc w:val="both"/>
        <w:ind w:right="60" w:firstLine="2276"/>
        <w:spacing w:after="0" w:line="253" w:lineRule="auto"/>
        <w:tabs>
          <w:tab w:leader="none" w:pos="279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Inactive Participants</w:t>
      </w:r>
      <w:r>
        <w:rPr>
          <w:rFonts w:ascii="Arial" w:cs="Arial" w:eastAsia="Arial" w:hAnsi="Arial"/>
          <w:sz w:val="22"/>
          <w:szCs w:val="22"/>
          <w:color w:val="auto"/>
        </w:rPr>
        <w:t>. Except as otherwise provided in Section 3.5(a), the Committee may, in its sole and absolute discretion, permit an Inactive Participant to make a Subsequent Election defer the time of payment of any part or all of such Inactive Participant’s Account—</w:t>
      </w:r>
    </w:p>
    <w:p>
      <w:pPr>
        <w:spacing w:after="0" w:line="185" w:lineRule="exact"/>
        <w:rPr>
          <w:rFonts w:ascii="Arial" w:cs="Arial" w:eastAsia="Arial" w:hAnsi="Arial"/>
          <w:sz w:val="22"/>
          <w:szCs w:val="22"/>
          <w:color w:val="auto"/>
        </w:rPr>
      </w:pPr>
    </w:p>
    <w:p>
      <w:pPr>
        <w:ind w:right="740" w:firstLine="2924"/>
        <w:spacing w:after="0" w:line="343" w:lineRule="auto"/>
        <w:tabs>
          <w:tab w:leader="none" w:pos="3332" w:val="left"/>
        </w:tabs>
        <w:numPr>
          <w:ilvl w:val="1"/>
          <w:numId w:val="71"/>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 for a minimum of five (5) years and a maximum of ten (10) additional years from the previously-elected payment date; and</w:t>
      </w:r>
    </w:p>
    <w:p>
      <w:pPr>
        <w:spacing w:after="0" w:line="104" w:lineRule="exact"/>
        <w:rPr>
          <w:rFonts w:ascii="Arial" w:cs="Arial" w:eastAsia="Arial" w:hAnsi="Arial"/>
          <w:sz w:val="19"/>
          <w:szCs w:val="19"/>
          <w:color w:val="auto"/>
        </w:rPr>
      </w:pPr>
    </w:p>
    <w:p>
      <w:pPr>
        <w:ind w:left="3400" w:hanging="476"/>
        <w:spacing w:after="0"/>
        <w:tabs>
          <w:tab w:leader="none" w:pos="3400" w:val="left"/>
        </w:tabs>
        <w:numPr>
          <w:ilvl w:val="1"/>
          <w:numId w:val="71"/>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five (5) years and a maximum of seven (7) additional years from the previously-elected payment date,</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85" w:lineRule="exact"/>
        <w:rPr>
          <w:sz w:val="20"/>
          <w:szCs w:val="20"/>
          <w:color w:val="auto"/>
        </w:rPr>
      </w:pPr>
    </w:p>
    <w:p>
      <w:pPr>
        <w:ind w:right="100" w:firstLine="2276"/>
        <w:spacing w:after="0" w:line="302" w:lineRule="auto"/>
        <w:tabs>
          <w:tab w:leader="none" w:pos="2778"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Surviving Spouses – Subsequent Election</w:t>
      </w:r>
      <w:r>
        <w:rPr>
          <w:rFonts w:ascii="Arial" w:cs="Arial" w:eastAsia="Arial" w:hAnsi="Arial"/>
          <w:sz w:val="19"/>
          <w:szCs w:val="19"/>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w:t>
      </w:r>
    </w:p>
    <w:p>
      <w:pPr>
        <w:spacing w:after="0" w:line="142" w:lineRule="exact"/>
        <w:rPr>
          <w:rFonts w:ascii="Arial" w:cs="Arial" w:eastAsia="Arial" w:hAnsi="Arial"/>
          <w:sz w:val="19"/>
          <w:szCs w:val="19"/>
          <w:color w:val="auto"/>
        </w:rPr>
      </w:pPr>
    </w:p>
    <w:p>
      <w:pPr>
        <w:ind w:left="3340" w:hanging="416"/>
        <w:spacing w:after="0"/>
        <w:tabs>
          <w:tab w:leader="none" w:pos="3340" w:val="left"/>
        </w:tabs>
        <w:numPr>
          <w:ilvl w:val="1"/>
          <w:numId w:val="72"/>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 shall be no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less than five (5) years nor more than ten (10) years from the previously-elected payment date;</w:t>
      </w:r>
    </w:p>
    <w:p>
      <w:pPr>
        <w:spacing w:after="0" w:line="201" w:lineRule="exact"/>
        <w:rPr>
          <w:rFonts w:ascii="Arial" w:cs="Arial" w:eastAsia="Arial" w:hAnsi="Arial"/>
          <w:sz w:val="19"/>
          <w:szCs w:val="19"/>
          <w:color w:val="auto"/>
        </w:rPr>
      </w:pPr>
    </w:p>
    <w:p>
      <w:pPr>
        <w:ind w:left="3400" w:hanging="476"/>
        <w:spacing w:after="0"/>
        <w:tabs>
          <w:tab w:leader="none" w:pos="3400" w:val="left"/>
        </w:tabs>
        <w:numPr>
          <w:ilvl w:val="1"/>
          <w:numId w:val="72"/>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shall be no less than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five (5) years nor more than seven (7) years from the previously-elected payment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120"/>
          </w:cols>
          <w:pgMar w:left="320" w:top="1428" w:right="459" w:bottom="1440" w:gutter="0" w:footer="0" w:header="0"/>
        </w:sectPr>
      </w:pPr>
    </w:p>
    <w:bookmarkStart w:id="68" w:name="page69"/>
    <w:bookmarkEnd w:id="68"/>
    <w:p>
      <w:pPr>
        <w:ind w:left="3460" w:hanging="536"/>
        <w:spacing w:after="0"/>
        <w:tabs>
          <w:tab w:leader="none" w:pos="34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With respect to Subsequent Elections filed on or before December 31, 2020, such</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Surviving Spouse may elect to defer payment until such Surviving Spouse’s death.</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85" w:lineRule="exact"/>
        <w:rPr>
          <w:sz w:val="20"/>
          <w:szCs w:val="20"/>
          <w:color w:val="auto"/>
        </w:rPr>
      </w:pPr>
    </w:p>
    <w:p>
      <w:pPr>
        <w:ind w:right="140" w:firstLine="2276"/>
        <w:spacing w:after="0" w:line="248" w:lineRule="auto"/>
        <w:tabs>
          <w:tab w:leader="none" w:pos="279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Beneficiary of a Deceased Participant Other Than a Surviving Spouse – Subsequent Election</w:t>
      </w:r>
      <w:r>
        <w:rPr>
          <w:rFonts w:ascii="Arial" w:cs="Arial" w:eastAsia="Arial" w:hAnsi="Arial"/>
          <w:sz w:val="22"/>
          <w:szCs w:val="22"/>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w:t>
      </w:r>
    </w:p>
    <w:p>
      <w:pPr>
        <w:spacing w:after="0" w:line="191" w:lineRule="exact"/>
        <w:rPr>
          <w:rFonts w:ascii="Arial" w:cs="Arial" w:eastAsia="Arial" w:hAnsi="Arial"/>
          <w:sz w:val="22"/>
          <w:szCs w:val="22"/>
          <w:color w:val="auto"/>
        </w:rPr>
      </w:pPr>
    </w:p>
    <w:p>
      <w:pPr>
        <w:ind w:left="3340" w:hanging="416"/>
        <w:spacing w:after="0"/>
        <w:tabs>
          <w:tab w:leader="none" w:pos="3340" w:val="left"/>
        </w:tabs>
        <w:numPr>
          <w:ilvl w:val="1"/>
          <w:numId w:val="74"/>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 shall be no less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than five (5) years nor more than ten (10) years from the previously-elected payment date; and</w:t>
      </w:r>
    </w:p>
    <w:p>
      <w:pPr>
        <w:spacing w:after="0" w:line="201" w:lineRule="exact"/>
        <w:rPr>
          <w:rFonts w:ascii="Arial" w:cs="Arial" w:eastAsia="Arial" w:hAnsi="Arial"/>
          <w:sz w:val="19"/>
          <w:szCs w:val="19"/>
          <w:color w:val="auto"/>
        </w:rPr>
      </w:pPr>
    </w:p>
    <w:p>
      <w:pPr>
        <w:ind w:right="180" w:firstLine="2924"/>
        <w:spacing w:after="0" w:line="263" w:lineRule="auto"/>
        <w:tabs>
          <w:tab w:leader="none" w:pos="3392" w:val="left"/>
        </w:tabs>
        <w:numPr>
          <w:ilvl w:val="1"/>
          <w:numId w:val="74"/>
        </w:numPr>
        <w:rPr>
          <w:rFonts w:ascii="Arial" w:cs="Arial" w:eastAsia="Arial" w:hAnsi="Arial"/>
          <w:sz w:val="22"/>
          <w:szCs w:val="22"/>
          <w:color w:val="auto"/>
        </w:rPr>
      </w:pPr>
      <w:r>
        <w:rPr>
          <w:rFonts w:ascii="Arial" w:cs="Arial" w:eastAsia="Arial" w:hAnsi="Arial"/>
          <w:sz w:val="22"/>
          <w:szCs w:val="22"/>
          <w:color w:val="auto"/>
        </w:rPr>
        <w:t>With respect to Subsequent Elections filed after December 31, 2020 shall be no less than five (5) years nor more than seven (7) years from the previously-elected payment date.</w:t>
      </w:r>
    </w:p>
    <w:p>
      <w:pPr>
        <w:spacing w:after="0" w:line="175"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185" w:lineRule="exact"/>
        <w:rPr>
          <w:sz w:val="20"/>
          <w:szCs w:val="20"/>
          <w:color w:val="auto"/>
        </w:rPr>
      </w:pPr>
    </w:p>
    <w:p>
      <w:pPr>
        <w:ind w:right="220" w:firstLine="2276"/>
        <w:spacing w:after="0" w:line="250" w:lineRule="auto"/>
        <w:tabs>
          <w:tab w:leader="none" w:pos="277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Retired Participants and Disabled Participants</w:t>
      </w:r>
      <w:r>
        <w:rPr>
          <w:rFonts w:ascii="Arial" w:cs="Arial" w:eastAsia="Arial" w:hAnsi="Arial"/>
          <w:sz w:val="22"/>
          <w:szCs w:val="22"/>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w:t>
      </w:r>
    </w:p>
    <w:p>
      <w:pPr>
        <w:spacing w:after="0" w:line="187" w:lineRule="exact"/>
        <w:rPr>
          <w:rFonts w:ascii="Arial" w:cs="Arial" w:eastAsia="Arial" w:hAnsi="Arial"/>
          <w:sz w:val="22"/>
          <w:szCs w:val="22"/>
          <w:color w:val="auto"/>
        </w:rPr>
      </w:pPr>
    </w:p>
    <w:p>
      <w:pPr>
        <w:ind w:right="860" w:firstLine="2924"/>
        <w:spacing w:after="0" w:line="343" w:lineRule="auto"/>
        <w:tabs>
          <w:tab w:leader="none" w:pos="3332" w:val="left"/>
        </w:tabs>
        <w:numPr>
          <w:ilvl w:val="1"/>
          <w:numId w:val="75"/>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 for a minimum of five (5) years and a maximum of ten (10) additional years from the previously-elected payment date; and</w:t>
      </w:r>
    </w:p>
    <w:p>
      <w:pPr>
        <w:spacing w:after="0" w:line="104" w:lineRule="exact"/>
        <w:rPr>
          <w:rFonts w:ascii="Arial" w:cs="Arial" w:eastAsia="Arial" w:hAnsi="Arial"/>
          <w:sz w:val="19"/>
          <w:szCs w:val="19"/>
          <w:color w:val="auto"/>
        </w:rPr>
      </w:pPr>
    </w:p>
    <w:p>
      <w:pPr>
        <w:ind w:left="3400" w:hanging="476"/>
        <w:spacing w:after="0"/>
        <w:tabs>
          <w:tab w:leader="none" w:pos="34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five (5) years and a maximum of seven (7) additional years from the previously-elected payment date</w:t>
      </w:r>
    </w:p>
    <w:p>
      <w:pPr>
        <w:spacing w:after="0" w:line="202"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by filing a Subsequent Election with the Administrator on or before the close of business on the date that is at least twelve (12) months before the date on which the lump-sum distribution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69" w:name="page70"/>
    <w:bookmarkEnd w:id="69"/>
    <w:p>
      <w:pPr>
        <w:ind w:right="420"/>
        <w:spacing w:after="0" w:line="263" w:lineRule="auto"/>
        <w:rPr>
          <w:sz w:val="20"/>
          <w:szCs w:val="20"/>
          <w:color w:val="auto"/>
        </w:rPr>
      </w:pPr>
      <w:r>
        <w:rPr>
          <w:rFonts w:ascii="Arial" w:cs="Arial" w:eastAsia="Arial" w:hAnsi="Arial"/>
          <w:sz w:val="22"/>
          <w:szCs w:val="22"/>
          <w:color w:val="auto"/>
        </w:rPr>
        <w:t>initial installment payment would otherwise be made. The number of Subsequent Elections under this Section 3.5(f) shall be determined by the Committee in its sole and absolute discretion.</w:t>
      </w:r>
    </w:p>
    <w:p>
      <w:pPr>
        <w:spacing w:after="0" w:line="175" w:lineRule="exact"/>
        <w:rPr>
          <w:sz w:val="20"/>
          <w:szCs w:val="20"/>
          <w:color w:val="auto"/>
        </w:rPr>
      </w:pPr>
    </w:p>
    <w:p>
      <w:pPr>
        <w:ind w:right="100" w:firstLine="2276"/>
        <w:spacing w:after="0" w:line="250" w:lineRule="auto"/>
        <w:tabs>
          <w:tab w:leader="none" w:pos="270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Most Recently Filed Initial Election or Subsequent Election Controlling</w:t>
      </w:r>
      <w:r>
        <w:rPr>
          <w:rFonts w:ascii="Arial" w:cs="Arial" w:eastAsia="Arial" w:hAnsi="Arial"/>
          <w:sz w:val="22"/>
          <w:szCs w:val="22"/>
          <w:color w:val="auto"/>
        </w:rPr>
        <w:t>. Except as otherwise specifically provided by the Plan, no distribution of the amounts deferred by a Participant shall be made before the earlier of the Participant’s death or the payment date designated by the Participant or Beneficiary on the most recently filed Initial Election or Subsequent Election with respect to each deferred amount.</w:t>
      </w:r>
    </w:p>
    <w:p>
      <w:pPr>
        <w:spacing w:after="0" w:line="188" w:lineRule="exact"/>
        <w:rPr>
          <w:sz w:val="20"/>
          <w:szCs w:val="20"/>
          <w:color w:val="auto"/>
        </w:rPr>
      </w:pPr>
    </w:p>
    <w:p>
      <w:pPr>
        <w:ind w:firstLine="1620"/>
        <w:spacing w:after="0" w:line="263"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Discretion to Provide for Distribution in Full Upon or Following a Change of Control</w:t>
      </w:r>
      <w:r>
        <w:rPr>
          <w:rFonts w:ascii="Arial" w:cs="Arial" w:eastAsia="Arial" w:hAnsi="Arial"/>
          <w:sz w:val="21"/>
          <w:szCs w:val="21"/>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Withholding and Payment of Death Taxes</w:t>
      </w:r>
      <w:r>
        <w:rPr>
          <w:rFonts w:ascii="Arial" w:cs="Arial" w:eastAsia="Arial" w:hAnsi="Arial"/>
          <w:sz w:val="22"/>
          <w:szCs w:val="22"/>
          <w:color w:val="auto"/>
        </w:rPr>
        <w:t>.</w:t>
      </w:r>
    </w:p>
    <w:p>
      <w:pPr>
        <w:spacing w:after="0" w:line="220" w:lineRule="exact"/>
        <w:rPr>
          <w:sz w:val="20"/>
          <w:szCs w:val="20"/>
          <w:color w:val="auto"/>
        </w:rPr>
      </w:pPr>
    </w:p>
    <w:p>
      <w:pPr>
        <w:ind w:firstLine="2276"/>
        <w:spacing w:after="0" w:line="263" w:lineRule="auto"/>
        <w:tabs>
          <w:tab w:leader="none" w:pos="2778" w:val="left"/>
        </w:tabs>
        <w:numPr>
          <w:ilvl w:val="0"/>
          <w:numId w:val="77"/>
        </w:numPr>
        <w:rPr>
          <w:rFonts w:ascii="Arial" w:cs="Arial" w:eastAsia="Arial" w:hAnsi="Arial"/>
          <w:sz w:val="21"/>
          <w:szCs w:val="21"/>
          <w:color w:val="auto"/>
        </w:rPr>
      </w:pPr>
      <w:r>
        <w:rPr>
          <w:rFonts w:ascii="Arial" w:cs="Arial" w:eastAsia="Arial" w:hAnsi="Arial"/>
          <w:sz w:val="21"/>
          <w:szCs w:val="21"/>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75" w:lineRule="exact"/>
        <w:rPr>
          <w:rFonts w:ascii="Arial" w:cs="Arial" w:eastAsia="Arial" w:hAnsi="Arial"/>
          <w:sz w:val="21"/>
          <w:szCs w:val="21"/>
          <w:color w:val="auto"/>
        </w:rPr>
      </w:pPr>
    </w:p>
    <w:p>
      <w:pPr>
        <w:ind w:right="260" w:firstLine="2276"/>
        <w:spacing w:after="0" w:line="263" w:lineRule="auto"/>
        <w:tabs>
          <w:tab w:leader="none" w:pos="2736" w:val="left"/>
        </w:tabs>
        <w:numPr>
          <w:ilvl w:val="0"/>
          <w:numId w:val="77"/>
        </w:numPr>
        <w:rPr>
          <w:rFonts w:ascii="Arial" w:cs="Arial" w:eastAsia="Arial" w:hAnsi="Arial"/>
          <w:sz w:val="22"/>
          <w:szCs w:val="22"/>
          <w:color w:val="auto"/>
        </w:rPr>
      </w:pPr>
      <w:r>
        <w:rPr>
          <w:rFonts w:ascii="Arial" w:cs="Arial" w:eastAsia="Arial" w:hAnsi="Arial"/>
          <w:sz w:val="22"/>
          <w:szCs w:val="22"/>
          <w:color w:val="auto"/>
        </w:rPr>
        <w:t>Unless the Decedent affirmatively has elected, pursuant to Section 3.7(a), that the terms of this Section 3.7(b) not apply, but only to the extent permitted under Section 409A:</w:t>
      </w:r>
    </w:p>
    <w:p>
      <w:pPr>
        <w:spacing w:after="0" w:line="174" w:lineRule="exact"/>
        <w:rPr>
          <w:rFonts w:ascii="Arial" w:cs="Arial" w:eastAsia="Arial" w:hAnsi="Arial"/>
          <w:sz w:val="22"/>
          <w:szCs w:val="22"/>
          <w:color w:val="auto"/>
        </w:rPr>
      </w:pPr>
    </w:p>
    <w:p>
      <w:pPr>
        <w:ind w:right="80" w:firstLine="2924"/>
        <w:spacing w:after="0" w:line="253" w:lineRule="auto"/>
        <w:tabs>
          <w:tab w:leader="none" w:pos="3332"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5" w:lineRule="exact"/>
        <w:rPr>
          <w:rFonts w:ascii="Arial" w:cs="Arial" w:eastAsia="Arial" w:hAnsi="Arial"/>
          <w:sz w:val="22"/>
          <w:szCs w:val="22"/>
          <w:color w:val="auto"/>
        </w:rPr>
      </w:pPr>
    </w:p>
    <w:p>
      <w:pPr>
        <w:ind w:right="320" w:firstLine="2924"/>
        <w:spacing w:after="0" w:line="343" w:lineRule="auto"/>
        <w:tabs>
          <w:tab w:leader="none" w:pos="3392"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Administrator shall defer payment of the Decedent’s Account until the later of the Death Tax Clearance Date and the payment date designated in the Decedent’s Initial Election or Subsequent Election;</w:t>
      </w:r>
    </w:p>
    <w:p>
      <w:pPr>
        <w:spacing w:after="0" w:line="104" w:lineRule="exact"/>
        <w:rPr>
          <w:rFonts w:ascii="Arial" w:cs="Arial" w:eastAsia="Arial" w:hAnsi="Arial"/>
          <w:sz w:val="19"/>
          <w:szCs w:val="19"/>
          <w:color w:val="auto"/>
        </w:rPr>
      </w:pPr>
    </w:p>
    <w:p>
      <w:pPr>
        <w:ind w:right="20" w:firstLine="2924"/>
        <w:spacing w:after="0" w:line="297" w:lineRule="auto"/>
        <w:tabs>
          <w:tab w:leader="none" w:pos="3452"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80"/>
          </w:cols>
          <w:pgMar w:left="320" w:top="1428" w:right="399" w:bottom="1440" w:gutter="0" w:footer="0" w:header="0"/>
        </w:sectPr>
      </w:pPr>
    </w:p>
    <w:bookmarkStart w:id="70" w:name="page71"/>
    <w:bookmarkEnd w:id="70"/>
    <w:p>
      <w:pPr>
        <w:ind w:firstLine="2924"/>
        <w:spacing w:after="0" w:line="292" w:lineRule="auto"/>
        <w:tabs>
          <w:tab w:leader="none" w:pos="3444" w:val="left"/>
        </w:tabs>
        <w:numPr>
          <w:ilvl w:val="0"/>
          <w:numId w:val="78"/>
        </w:numPr>
        <w:rPr>
          <w:rFonts w:ascii="Arial" w:cs="Arial" w:eastAsia="Arial" w:hAnsi="Arial"/>
          <w:sz w:val="19"/>
          <w:szCs w:val="19"/>
          <w:color w:val="auto"/>
        </w:rPr>
      </w:pPr>
      <w:r>
        <w:rPr>
          <w:rFonts w:ascii="Arial" w:cs="Arial" w:eastAsia="Arial" w:hAnsi="Arial"/>
          <w:sz w:val="19"/>
          <w:szCs w:val="19"/>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50" w:lineRule="exact"/>
        <w:rPr>
          <w:rFonts w:ascii="Arial" w:cs="Arial" w:eastAsia="Arial" w:hAnsi="Arial"/>
          <w:sz w:val="19"/>
          <w:szCs w:val="19"/>
          <w:color w:val="auto"/>
        </w:rPr>
      </w:pPr>
    </w:p>
    <w:p>
      <w:pPr>
        <w:ind w:right="380" w:firstLine="2924"/>
        <w:spacing w:after="0" w:line="253" w:lineRule="auto"/>
        <w:tabs>
          <w:tab w:leader="none" w:pos="3372" w:val="left"/>
        </w:tabs>
        <w:numPr>
          <w:ilvl w:val="0"/>
          <w:numId w:val="78"/>
        </w:numPr>
        <w:rPr>
          <w:rFonts w:ascii="Arial" w:cs="Arial" w:eastAsia="Arial" w:hAnsi="Arial"/>
          <w:sz w:val="22"/>
          <w:szCs w:val="22"/>
          <w:color w:val="auto"/>
        </w:rPr>
      </w:pPr>
      <w:r>
        <w:rPr>
          <w:rFonts w:ascii="Arial" w:cs="Arial" w:eastAsia="Arial" w:hAnsi="Arial"/>
          <w:sz w:val="22"/>
          <w:szCs w:val="22"/>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85" w:lineRule="exact"/>
        <w:rPr>
          <w:rFonts w:ascii="Arial" w:cs="Arial" w:eastAsia="Arial" w:hAnsi="Arial"/>
          <w:sz w:val="22"/>
          <w:szCs w:val="22"/>
          <w:color w:val="auto"/>
        </w:rPr>
      </w:pPr>
    </w:p>
    <w:p>
      <w:pPr>
        <w:ind w:right="160" w:firstLine="2924"/>
        <w:spacing w:after="0" w:line="253" w:lineRule="auto"/>
        <w:tabs>
          <w:tab w:leader="none" w:pos="34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85" w:lineRule="exact"/>
        <w:rPr>
          <w:sz w:val="20"/>
          <w:szCs w:val="20"/>
          <w:color w:val="auto"/>
        </w:rPr>
      </w:pPr>
    </w:p>
    <w:p>
      <w:pPr>
        <w:ind w:firstLine="1620"/>
        <w:spacing w:after="0" w:line="265"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Company Credits</w:t>
      </w:r>
      <w:r>
        <w:rPr>
          <w:rFonts w:ascii="Arial" w:cs="Arial" w:eastAsia="Arial" w:hAnsi="Arial"/>
          <w:sz w:val="20"/>
          <w:szCs w:val="20"/>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of the third calendar year beginning after the later of Plan Year with respect to which the Company Credits were authorized or the Plan Year in which such Company Credits are free of a substantial risk of forfeiture, unless the Participant timely designates a later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w:t>
      </w:r>
    </w:p>
    <w:p>
      <w:pPr>
        <w:spacing w:after="0" w:line="220" w:lineRule="exact"/>
        <w:rPr>
          <w:sz w:val="20"/>
          <w:szCs w:val="20"/>
          <w:color w:val="auto"/>
        </w:rPr>
      </w:pPr>
    </w:p>
    <w:p>
      <w:pPr>
        <w:jc w:val="both"/>
        <w:ind w:right="20" w:firstLine="2276"/>
        <w:spacing w:after="0" w:line="312" w:lineRule="auto"/>
        <w:tabs>
          <w:tab w:leader="none" w:pos="277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Required Suspension of Payment of Benefits</w:t>
      </w:r>
      <w:r>
        <w:rPr>
          <w:rFonts w:ascii="Arial" w:cs="Arial" w:eastAsia="Arial" w:hAnsi="Arial"/>
          <w:sz w:val="19"/>
          <w:szCs w:val="19"/>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71" w:name="page72"/>
    <w:bookmarkEnd w:id="71"/>
    <w:p>
      <w:pPr>
        <w:ind w:right="100"/>
        <w:spacing w:after="0" w:line="263" w:lineRule="auto"/>
        <w:rPr>
          <w:sz w:val="20"/>
          <w:szCs w:val="20"/>
          <w:color w:val="auto"/>
        </w:rPr>
      </w:pPr>
      <w:r>
        <w:rPr>
          <w:rFonts w:ascii="Arial" w:cs="Arial" w:eastAsia="Arial" w:hAnsi="Arial"/>
          <w:sz w:val="22"/>
          <w:szCs w:val="22"/>
          <w:color w:val="auto"/>
        </w:rPr>
        <w:t>this Plan, any such payments that are otherwise due within six months following the Participant’s separation from service will be deferred and paid to the Participant in a lump sum immediately following that six-month period.</w:t>
      </w:r>
    </w:p>
    <w:p>
      <w:pPr>
        <w:spacing w:after="0" w:line="175" w:lineRule="exact"/>
        <w:rPr>
          <w:sz w:val="20"/>
          <w:szCs w:val="20"/>
          <w:color w:val="auto"/>
        </w:rPr>
      </w:pPr>
    </w:p>
    <w:p>
      <w:pPr>
        <w:ind w:right="60" w:firstLine="2276"/>
        <w:spacing w:after="0" w:line="247" w:lineRule="auto"/>
        <w:tabs>
          <w:tab w:leader="none" w:pos="279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For purposes of the Plan, a transfer of an employee between two employers, each of which is the Company or an Affiliate, shall not be deemed a termination of employment. A Participant who is an Outside Director shall be treated as having terminated employment on the Participant’s termination of service as an Outside Director, provided that if such a Participant is designated as a Director Emeritus upon termination of service as an Outside Director, such Participant shall not be treated as having terminated employment until the Participant’s termination of service as a Director Emeritus.</w:t>
      </w:r>
    </w:p>
    <w:p>
      <w:pPr>
        <w:spacing w:after="0" w:line="187" w:lineRule="exact"/>
        <w:rPr>
          <w:sz w:val="20"/>
          <w:szCs w:val="20"/>
          <w:color w:val="auto"/>
        </w:rPr>
      </w:pPr>
    </w:p>
    <w:p>
      <w:pPr>
        <w:ind w:left="1620" w:right="3280" w:firstLine="1993"/>
        <w:spacing w:after="0" w:line="451" w:lineRule="auto"/>
        <w:rPr>
          <w:sz w:val="20"/>
          <w:szCs w:val="20"/>
          <w:color w:val="auto"/>
        </w:rPr>
      </w:pPr>
      <w:r>
        <w:rPr>
          <w:rFonts w:ascii="Arial" w:cs="Arial" w:eastAsia="Arial" w:hAnsi="Arial"/>
          <w:sz w:val="22"/>
          <w:szCs w:val="22"/>
          <w:b w:val="1"/>
          <w:bCs w:val="1"/>
          <w:color w:val="auto"/>
        </w:rPr>
        <w:t xml:space="preserve">ARTICLE 4 – MANNER OF DISTRIBUTION </w:t>
      </w:r>
      <w:r>
        <w:rPr>
          <w:rFonts w:ascii="Arial" w:cs="Arial" w:eastAsia="Arial" w:hAnsi="Arial"/>
          <w:sz w:val="22"/>
          <w:szCs w:val="22"/>
          <w:color w:val="auto"/>
        </w:rPr>
        <w:t xml:space="preserve">4.1. </w:t>
      </w:r>
      <w:r>
        <w:rPr>
          <w:rFonts w:ascii="Arial" w:cs="Arial" w:eastAsia="Arial" w:hAnsi="Arial"/>
          <w:sz w:val="22"/>
          <w:szCs w:val="22"/>
          <w:u w:val="single" w:color="auto"/>
          <w:color w:val="auto"/>
        </w:rPr>
        <w:t>Manner of Distribution</w:t>
      </w:r>
      <w:r>
        <w:rPr>
          <w:rFonts w:ascii="Arial" w:cs="Arial" w:eastAsia="Arial" w:hAnsi="Arial"/>
          <w:sz w:val="22"/>
          <w:szCs w:val="22"/>
          <w:color w:val="auto"/>
        </w:rPr>
        <w:t>.</w:t>
      </w:r>
    </w:p>
    <w:p>
      <w:pPr>
        <w:ind w:left="2780" w:hanging="504"/>
        <w:spacing w:after="0"/>
        <w:tabs>
          <w:tab w:leader="none" w:pos="27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Amounts credited to an Account shall be distributed, pursuant to an Initial Election or Subsequent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Election in either</w:t>
      </w:r>
    </w:p>
    <w:p>
      <w:pPr>
        <w:spacing w:after="0" w:line="202" w:lineRule="exact"/>
        <w:rPr>
          <w:sz w:val="20"/>
          <w:szCs w:val="20"/>
          <w:color w:val="auto"/>
        </w:rPr>
      </w:pPr>
    </w:p>
    <w:p>
      <w:pPr>
        <w:ind w:left="3340" w:hanging="416"/>
        <w:spacing w:after="0"/>
        <w:tabs>
          <w:tab w:leader="none" w:pos="33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lump sum payment; or</w:t>
      </w:r>
    </w:p>
    <w:p>
      <w:pPr>
        <w:spacing w:after="0" w:line="219" w:lineRule="exact"/>
        <w:rPr>
          <w:rFonts w:ascii="Arial" w:cs="Arial" w:eastAsia="Arial" w:hAnsi="Arial"/>
          <w:sz w:val="22"/>
          <w:szCs w:val="22"/>
          <w:color w:val="auto"/>
        </w:rPr>
      </w:pPr>
    </w:p>
    <w:p>
      <w:pPr>
        <w:ind w:firstLine="2924"/>
        <w:spacing w:after="0" w:line="343" w:lineRule="auto"/>
        <w:tabs>
          <w:tab w:leader="none" w:pos="3392" w:val="left"/>
        </w:tabs>
        <w:numPr>
          <w:ilvl w:val="0"/>
          <w:numId w:val="82"/>
        </w:numPr>
        <w:rPr>
          <w:rFonts w:ascii="Arial" w:cs="Arial" w:eastAsia="Arial" w:hAnsi="Arial"/>
          <w:sz w:val="19"/>
          <w:szCs w:val="19"/>
          <w:color w:val="auto"/>
        </w:rPr>
      </w:pPr>
      <w:r>
        <w:rPr>
          <w:rFonts w:ascii="Arial" w:cs="Arial" w:eastAsia="Arial" w:hAnsi="Arial"/>
          <w:sz w:val="19"/>
          <w:szCs w:val="19"/>
          <w:color w:val="auto"/>
        </w:rPr>
        <w:t>With respect to Initial Elections and Subsequent Elections filed on or before December 31, 2020, substantially equal monthly or annual installments over a five- (5), ten- (10) or fifteen- (15) year period; or</w:t>
      </w:r>
    </w:p>
    <w:p>
      <w:pPr>
        <w:spacing w:after="0" w:line="104" w:lineRule="exact"/>
        <w:rPr>
          <w:rFonts w:ascii="Arial" w:cs="Arial" w:eastAsia="Arial" w:hAnsi="Arial"/>
          <w:sz w:val="19"/>
          <w:szCs w:val="19"/>
          <w:color w:val="auto"/>
        </w:rPr>
      </w:pPr>
    </w:p>
    <w:p>
      <w:pPr>
        <w:ind w:left="3460" w:hanging="536"/>
        <w:spacing w:after="0"/>
        <w:tabs>
          <w:tab w:leader="none" w:pos="3460" w:val="left"/>
        </w:tabs>
        <w:numPr>
          <w:ilvl w:val="0"/>
          <w:numId w:val="82"/>
        </w:numPr>
        <w:rPr>
          <w:rFonts w:ascii="Arial" w:cs="Arial" w:eastAsia="Arial" w:hAnsi="Arial"/>
          <w:sz w:val="19"/>
          <w:szCs w:val="19"/>
          <w:color w:val="auto"/>
        </w:rPr>
      </w:pPr>
      <w:r>
        <w:rPr>
          <w:rFonts w:ascii="Arial" w:cs="Arial" w:eastAsia="Arial" w:hAnsi="Arial"/>
          <w:sz w:val="19"/>
          <w:szCs w:val="19"/>
          <w:color w:val="auto"/>
        </w:rPr>
        <w:t>With respect to Initial Elections and Subsequent Elections filed after December 31, 2020,</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substantially equal monthly or annual installments over a five- (5) or ten- (10) year period.</w:t>
      </w:r>
    </w:p>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Installment distributions payable in the form of shares of Company Stock shall be rounded to the next lower whole share. Except for amounts described in Section 5.2(c), all distributions shall be made in cash.</w:t>
      </w:r>
    </w:p>
    <w:p>
      <w:pPr>
        <w:spacing w:after="0" w:line="175" w:lineRule="exact"/>
        <w:rPr>
          <w:sz w:val="20"/>
          <w:szCs w:val="20"/>
          <w:color w:val="auto"/>
        </w:rPr>
      </w:pPr>
    </w:p>
    <w:p>
      <w:pPr>
        <w:ind w:right="620" w:firstLine="2276"/>
        <w:spacing w:after="0" w:line="263" w:lineRule="auto"/>
        <w:tabs>
          <w:tab w:leader="none" w:pos="279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To the extent permitted by Section 409A, notwithstanding any Initial Election, Subsequent Election or any other provision of the Plan to the contrary:</w:t>
      </w:r>
    </w:p>
    <w:p>
      <w:pPr>
        <w:spacing w:after="0" w:line="174" w:lineRule="exact"/>
        <w:rPr>
          <w:rFonts w:ascii="Arial" w:cs="Arial" w:eastAsia="Arial" w:hAnsi="Arial"/>
          <w:sz w:val="22"/>
          <w:szCs w:val="22"/>
          <w:color w:val="auto"/>
        </w:rPr>
      </w:pPr>
    </w:p>
    <w:p>
      <w:pPr>
        <w:ind w:right="160" w:firstLine="2924"/>
        <w:spacing w:after="0" w:line="271" w:lineRule="auto"/>
        <w:tabs>
          <w:tab w:leader="none" w:pos="3336" w:val="left"/>
        </w:tabs>
        <w:numPr>
          <w:ilvl w:val="1"/>
          <w:numId w:val="83"/>
        </w:numPr>
        <w:rPr>
          <w:rFonts w:ascii="Arial" w:cs="Arial" w:eastAsia="Arial" w:hAnsi="Arial"/>
          <w:sz w:val="21"/>
          <w:szCs w:val="21"/>
          <w:color w:val="auto"/>
        </w:rPr>
      </w:pPr>
      <w:r>
        <w:rPr>
          <w:rFonts w:ascii="Arial" w:cs="Arial" w:eastAsia="Arial" w:hAnsi="Arial"/>
          <w:sz w:val="21"/>
          <w:szCs w:val="21"/>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67" w:lineRule="exact"/>
        <w:rPr>
          <w:rFonts w:ascii="Arial" w:cs="Arial" w:eastAsia="Arial" w:hAnsi="Arial"/>
          <w:sz w:val="21"/>
          <w:szCs w:val="21"/>
          <w:color w:val="auto"/>
        </w:rPr>
      </w:pPr>
    </w:p>
    <w:p>
      <w:pPr>
        <w:ind w:right="140" w:firstLine="2924"/>
        <w:spacing w:after="0" w:line="263" w:lineRule="auto"/>
        <w:tabs>
          <w:tab w:leader="none" w:pos="3396" w:val="left"/>
        </w:tabs>
        <w:numPr>
          <w:ilvl w:val="1"/>
          <w:numId w:val="83"/>
        </w:numPr>
        <w:rPr>
          <w:rFonts w:ascii="Arial" w:cs="Arial" w:eastAsia="Arial" w:hAnsi="Arial"/>
          <w:sz w:val="21"/>
          <w:szCs w:val="21"/>
          <w:color w:val="auto"/>
        </w:rPr>
      </w:pPr>
      <w:r>
        <w:rPr>
          <w:rFonts w:ascii="Arial" w:cs="Arial" w:eastAsia="Arial" w:hAnsi="Arial"/>
          <w:sz w:val="21"/>
          <w:szCs w:val="21"/>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72" w:name="page73"/>
    <w:bookmarkEnd w:id="72"/>
    <w:p>
      <w:pPr>
        <w:ind w:right="140" w:firstLine="1620"/>
        <w:spacing w:after="0" w:line="29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Determination of Account Balances for Purposes of Distribution</w:t>
      </w:r>
      <w:r>
        <w:rPr>
          <w:rFonts w:ascii="Arial" w:cs="Arial" w:eastAsia="Arial" w:hAnsi="Arial"/>
          <w:sz w:val="19"/>
          <w:szCs w:val="19"/>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Other Investment Fund and Income Fund, as applicable, through the date immediately preceding the date on which the distribution request is transmitted from the recordkeeper.</w:t>
      </w:r>
    </w:p>
    <w:p>
      <w:pPr>
        <w:spacing w:after="0" w:line="151" w:lineRule="exact"/>
        <w:rPr>
          <w:sz w:val="20"/>
          <w:szCs w:val="20"/>
          <w:color w:val="auto"/>
        </w:rPr>
      </w:pPr>
    </w:p>
    <w:p>
      <w:pPr>
        <w:ind w:firstLine="1620"/>
        <w:spacing w:after="0" w:line="31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Plan-to-Plan Transfers; Change in Time and Form of Election Pursuant to Special Section 409A Transition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Rules</w:t>
      </w:r>
      <w:r>
        <w:rPr>
          <w:rFonts w:ascii="Arial" w:cs="Arial" w:eastAsia="Arial" w:hAnsi="Arial"/>
          <w:sz w:val="19"/>
          <w:szCs w:val="19"/>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33" w:lineRule="exact"/>
        <w:rPr>
          <w:sz w:val="20"/>
          <w:szCs w:val="20"/>
          <w:color w:val="auto"/>
        </w:rPr>
      </w:pPr>
    </w:p>
    <w:p>
      <w:pPr>
        <w:ind w:right="20" w:firstLine="2276"/>
        <w:spacing w:after="0" w:line="247" w:lineRule="auto"/>
        <w:tabs>
          <w:tab w:leader="none" w:pos="2778"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92" w:lineRule="exact"/>
        <w:rPr>
          <w:rFonts w:ascii="Arial" w:cs="Arial" w:eastAsia="Arial" w:hAnsi="Arial"/>
          <w:sz w:val="22"/>
          <w:szCs w:val="22"/>
          <w:color w:val="auto"/>
        </w:rPr>
      </w:pPr>
    </w:p>
    <w:p>
      <w:pPr>
        <w:ind w:right="300" w:firstLine="2276"/>
        <w:spacing w:after="0" w:line="246" w:lineRule="auto"/>
        <w:tabs>
          <w:tab w:leader="none" w:pos="279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90"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5 – BOOK ACCOUNTS</w:t>
      </w:r>
    </w:p>
    <w:p>
      <w:pPr>
        <w:spacing w:after="0" w:line="226" w:lineRule="exact"/>
        <w:rPr>
          <w:sz w:val="20"/>
          <w:szCs w:val="20"/>
          <w:color w:val="auto"/>
        </w:rPr>
      </w:pPr>
    </w:p>
    <w:p>
      <w:pPr>
        <w:ind w:right="80" w:firstLine="1620"/>
        <w:spacing w:after="0" w:line="25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Deferred Compensation Account</w:t>
      </w:r>
      <w:r>
        <w:rPr>
          <w:rFonts w:ascii="Arial" w:cs="Arial" w:eastAsia="Arial" w:hAnsi="Arial"/>
          <w:sz w:val="22"/>
          <w:szCs w:val="22"/>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Crediting of Income, Gains, and Losses on Accounts</w:t>
      </w:r>
      <w:r>
        <w:rPr>
          <w:rFonts w:ascii="Arial" w:cs="Arial" w:eastAsia="Arial" w:hAnsi="Arial"/>
          <w:sz w:val="22"/>
          <w:szCs w:val="22"/>
          <w:color w:val="auto"/>
        </w:rPr>
        <w:t>.</w:t>
      </w:r>
    </w:p>
    <w:p>
      <w:pPr>
        <w:spacing w:after="0" w:line="220" w:lineRule="exact"/>
        <w:rPr>
          <w:sz w:val="20"/>
          <w:szCs w:val="20"/>
          <w:color w:val="auto"/>
        </w:rPr>
      </w:pPr>
    </w:p>
    <w:p>
      <w:pPr>
        <w:ind w:left="2780" w:hanging="504"/>
        <w:spacing w:after="0"/>
        <w:tabs>
          <w:tab w:leader="none" w:pos="278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for amounts credited to the Accounts of Participants who are: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0" w:lineRule="exact"/>
        <w:rPr>
          <w:rFonts w:ascii="Arial" w:cs="Arial" w:eastAsia="Arial" w:hAnsi="Arial"/>
          <w:sz w:val="22"/>
          <w:szCs w:val="22"/>
          <w:color w:val="auto"/>
        </w:rPr>
      </w:pPr>
    </w:p>
    <w:p>
      <w:pPr>
        <w:ind w:left="5440"/>
        <w:spacing w:after="0"/>
        <w:rPr>
          <w:rFonts w:ascii="Arial" w:cs="Arial" w:eastAsia="Arial" w:hAnsi="Arial"/>
          <w:sz w:val="22"/>
          <w:szCs w:val="22"/>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73" w:name="page74"/>
    <w:bookmarkEnd w:id="73"/>
    <w:p>
      <w:pPr>
        <w:ind w:left="3340" w:hanging="416"/>
        <w:spacing w:after="0"/>
        <w:tabs>
          <w:tab w:leader="none" w:pos="33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Outside Directors who have elected to defer the receipt of Compensation payable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form of Company Stock,</w:t>
      </w:r>
    </w:p>
    <w:p>
      <w:pPr>
        <w:spacing w:after="0" w:line="202" w:lineRule="exact"/>
        <w:rPr>
          <w:sz w:val="20"/>
          <w:szCs w:val="20"/>
          <w:color w:val="auto"/>
        </w:rPr>
      </w:pPr>
    </w:p>
    <w:p>
      <w:pPr>
        <w:ind w:left="3400" w:hanging="476"/>
        <w:spacing w:after="0"/>
        <w:tabs>
          <w:tab w:leader="none" w:pos="34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Outside Directors whose Account has been credited to an Other Investment Fund pursuant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 Section 5.2(b)(1)(B)(3);</w:t>
      </w:r>
    </w:p>
    <w:p>
      <w:pPr>
        <w:spacing w:after="0" w:line="202" w:lineRule="exact"/>
        <w:rPr>
          <w:sz w:val="20"/>
          <w:szCs w:val="20"/>
          <w:color w:val="auto"/>
        </w:rPr>
      </w:pPr>
    </w:p>
    <w:p>
      <w:pPr>
        <w:ind w:left="3460" w:hanging="536"/>
        <w:spacing w:after="0"/>
        <w:tabs>
          <w:tab w:leader="none" w:pos="34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Participants subject to the Income Fund Limit;</w:t>
      </w:r>
    </w:p>
    <w:p>
      <w:pPr>
        <w:spacing w:after="0" w:line="219" w:lineRule="exact"/>
        <w:rPr>
          <w:rFonts w:ascii="Arial" w:cs="Arial" w:eastAsia="Arial" w:hAnsi="Arial"/>
          <w:sz w:val="22"/>
          <w:szCs w:val="22"/>
          <w:color w:val="auto"/>
        </w:rPr>
      </w:pPr>
    </w:p>
    <w:p>
      <w:pPr>
        <w:ind w:right="400" w:firstLine="2924"/>
        <w:spacing w:after="0" w:line="253" w:lineRule="auto"/>
        <w:tabs>
          <w:tab w:leader="none" w:pos="3444" w:val="left"/>
        </w:tabs>
        <w:numPr>
          <w:ilvl w:val="0"/>
          <w:numId w:val="88"/>
        </w:numPr>
        <w:rPr>
          <w:rFonts w:ascii="Arial" w:cs="Arial" w:eastAsia="Arial" w:hAnsi="Arial"/>
          <w:sz w:val="22"/>
          <w:szCs w:val="22"/>
          <w:color w:val="auto"/>
        </w:rPr>
      </w:pPr>
      <w:r>
        <w:rPr>
          <w:rFonts w:ascii="Arial" w:cs="Arial" w:eastAsia="Arial" w:hAnsi="Arial"/>
          <w:sz w:val="22"/>
          <w:szCs w:val="22"/>
          <w:color w:val="auto"/>
        </w:rPr>
        <w:t>Section 16 Officers who, pursuant to rules established by the Administrator or its delegate, have elected to transfer amounts credited to their Accounts that are deemed to be invested in the Income Fund to an Other Investment Fund; and</w:t>
      </w:r>
    </w:p>
    <w:p>
      <w:pPr>
        <w:spacing w:after="0" w:line="185" w:lineRule="exact"/>
        <w:rPr>
          <w:rFonts w:ascii="Arial" w:cs="Arial" w:eastAsia="Arial" w:hAnsi="Arial"/>
          <w:sz w:val="22"/>
          <w:szCs w:val="22"/>
          <w:color w:val="auto"/>
        </w:rPr>
      </w:pPr>
    </w:p>
    <w:p>
      <w:pPr>
        <w:ind w:right="100" w:firstLine="2924"/>
        <w:spacing w:after="0" w:line="263" w:lineRule="auto"/>
        <w:tabs>
          <w:tab w:leader="none" w:pos="3384" w:val="left"/>
        </w:tabs>
        <w:numPr>
          <w:ilvl w:val="0"/>
          <w:numId w:val="88"/>
        </w:numPr>
        <w:rPr>
          <w:rFonts w:ascii="Arial" w:cs="Arial" w:eastAsia="Arial" w:hAnsi="Arial"/>
          <w:sz w:val="22"/>
          <w:szCs w:val="22"/>
          <w:color w:val="auto"/>
        </w:rPr>
      </w:pPr>
      <w:r>
        <w:rPr>
          <w:rFonts w:ascii="Arial" w:cs="Arial" w:eastAsia="Arial" w:hAnsi="Arial"/>
          <w:sz w:val="22"/>
          <w:szCs w:val="22"/>
          <w:color w:val="auto"/>
        </w:rPr>
        <w:t>Outside Directors and Section 16 Officers, with respect to amounts subject to Subsequent Elections permitted to be made after their termination of service;</w:t>
      </w:r>
    </w:p>
    <w:p>
      <w:pPr>
        <w:spacing w:after="0" w:line="175"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all amounts credited to Participants’ Accounts shall be credited with income, gains and losses as if they were invested in the Income Fund.</w:t>
      </w:r>
    </w:p>
    <w:p>
      <w:pPr>
        <w:spacing w:after="0" w:line="175" w:lineRule="exact"/>
        <w:rPr>
          <w:sz w:val="20"/>
          <w:szCs w:val="20"/>
          <w:color w:val="auto"/>
        </w:rPr>
      </w:pPr>
    </w:p>
    <w:p>
      <w:pPr>
        <w:ind w:left="2800" w:hanging="524"/>
        <w:spacing w:after="0"/>
        <w:tabs>
          <w:tab w:leader="none" w:pos="280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Crediting of Income, Gains, and Losses on Accounts Subject to Investment Restrictions</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left="3340" w:hanging="416"/>
        <w:spacing w:after="0"/>
        <w:tabs>
          <w:tab w:leader="none" w:pos="3340"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4740" w:hanging="520"/>
        <w:spacing w:after="0"/>
        <w:tabs>
          <w:tab w:leader="none" w:pos="4740" w:val="left"/>
        </w:tabs>
        <w:numPr>
          <w:ilvl w:val="2"/>
          <w:numId w:val="89"/>
        </w:numPr>
        <w:rPr>
          <w:rFonts w:ascii="Arial" w:cs="Arial" w:eastAsia="Arial" w:hAnsi="Arial"/>
          <w:sz w:val="21"/>
          <w:szCs w:val="21"/>
          <w:color w:val="auto"/>
        </w:rPr>
      </w:pPr>
      <w:r>
        <w:rPr>
          <w:rFonts w:ascii="Arial" w:cs="Arial" w:eastAsia="Arial" w:hAnsi="Arial"/>
          <w:sz w:val="21"/>
          <w:szCs w:val="21"/>
          <w:u w:val="single" w:color="auto"/>
          <w:color w:val="auto"/>
        </w:rPr>
        <w:t>Post-Termination Elections</w:t>
      </w:r>
      <w:r>
        <w:rPr>
          <w:rFonts w:ascii="Arial" w:cs="Arial" w:eastAsia="Arial" w:hAnsi="Arial"/>
          <w:sz w:val="21"/>
          <w:szCs w:val="21"/>
          <w:color w:val="auto"/>
        </w:rPr>
        <w:t>. The Accounts of Outside Directors and</w:t>
      </w:r>
    </w:p>
    <w:p>
      <w:pPr>
        <w:spacing w:after="0" w:line="32" w:lineRule="exact"/>
        <w:rPr>
          <w:rFonts w:ascii="Arial" w:cs="Arial" w:eastAsia="Arial" w:hAnsi="Arial"/>
          <w:sz w:val="21"/>
          <w:szCs w:val="21"/>
          <w:color w:val="auto"/>
        </w:rPr>
      </w:pPr>
    </w:p>
    <w:p>
      <w:pPr>
        <w:ind w:right="380"/>
        <w:spacing w:after="0" w:line="246" w:lineRule="auto"/>
        <w:rPr>
          <w:rFonts w:ascii="Arial" w:cs="Arial" w:eastAsia="Arial" w:hAnsi="Arial"/>
          <w:sz w:val="21"/>
          <w:szCs w:val="21"/>
          <w:color w:val="auto"/>
        </w:rPr>
      </w:pPr>
      <w:r>
        <w:rPr>
          <w:rFonts w:ascii="Arial" w:cs="Arial" w:eastAsia="Arial" w:hAnsi="Arial"/>
          <w:sz w:val="22"/>
          <w:szCs w:val="22"/>
          <w:color w:val="auto"/>
        </w:rPr>
        <w:t>Section 16 Officers whose Subsequent Elections are made after their termination of service in accordance with Section 3.5(a) shall be credited to an Other Investment Fund.</w:t>
      </w:r>
    </w:p>
    <w:p>
      <w:pPr>
        <w:spacing w:after="0" w:line="192" w:lineRule="exact"/>
        <w:rPr>
          <w:rFonts w:ascii="Arial" w:cs="Arial" w:eastAsia="Arial" w:hAnsi="Arial"/>
          <w:sz w:val="21"/>
          <w:szCs w:val="21"/>
          <w:color w:val="auto"/>
        </w:rPr>
      </w:pPr>
    </w:p>
    <w:p>
      <w:pPr>
        <w:ind w:left="4720" w:hanging="500"/>
        <w:spacing w:after="0"/>
        <w:tabs>
          <w:tab w:leader="none" w:pos="4720"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Participants Whose Income Fund Exceeds the Income Fund Limit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5340" w:hanging="472"/>
        <w:spacing w:after="0"/>
        <w:tabs>
          <w:tab w:leader="none" w:pos="5340" w:val="left"/>
        </w:tabs>
        <w:numPr>
          <w:ilvl w:val="3"/>
          <w:numId w:val="89"/>
        </w:numPr>
        <w:rPr>
          <w:rFonts w:ascii="Arial" w:cs="Arial" w:eastAsia="Arial" w:hAnsi="Arial"/>
          <w:sz w:val="19"/>
          <w:szCs w:val="19"/>
          <w:color w:val="auto"/>
        </w:rPr>
      </w:pPr>
      <w:r>
        <w:rPr>
          <w:rFonts w:ascii="Arial" w:cs="Arial" w:eastAsia="Arial" w:hAnsi="Arial"/>
          <w:sz w:val="19"/>
          <w:szCs w:val="19"/>
          <w:u w:val="single" w:color="auto"/>
          <w:color w:val="auto"/>
        </w:rPr>
        <w:t>Subsequent Election</w:t>
      </w:r>
      <w:r>
        <w:rPr>
          <w:rFonts w:ascii="Arial" w:cs="Arial" w:eastAsia="Arial" w:hAnsi="Arial"/>
          <w:sz w:val="19"/>
          <w:szCs w:val="19"/>
          <w:color w:val="auto"/>
        </w:rPr>
        <w:t>. Amounts subject to a Subsequent Election</w:t>
      </w:r>
    </w:p>
    <w:p>
      <w:pPr>
        <w:spacing w:after="0" w:line="55" w:lineRule="exact"/>
        <w:rPr>
          <w:rFonts w:ascii="Arial" w:cs="Arial" w:eastAsia="Arial" w:hAnsi="Arial"/>
          <w:sz w:val="19"/>
          <w:szCs w:val="19"/>
          <w:color w:val="auto"/>
        </w:rPr>
      </w:pPr>
    </w:p>
    <w:p>
      <w:pPr>
        <w:ind w:right="800"/>
        <w:spacing w:after="0" w:line="246" w:lineRule="auto"/>
        <w:rPr>
          <w:rFonts w:ascii="Arial" w:cs="Arial" w:eastAsia="Arial" w:hAnsi="Arial"/>
          <w:sz w:val="19"/>
          <w:szCs w:val="19"/>
          <w:color w:val="auto"/>
        </w:rPr>
      </w:pPr>
      <w:r>
        <w:rPr>
          <w:rFonts w:ascii="Arial" w:cs="Arial" w:eastAsia="Arial" w:hAnsi="Arial"/>
          <w:sz w:val="22"/>
          <w:szCs w:val="22"/>
          <w:color w:val="auto"/>
        </w:rPr>
        <w:t>that takes effect while a Participant’s Income Fund exceeds the Income Fund Limit shall be deemed invested in an Other Investment Fund.</w:t>
      </w:r>
    </w:p>
    <w:p>
      <w:pPr>
        <w:spacing w:after="0" w:line="192" w:lineRule="exact"/>
        <w:rPr>
          <w:rFonts w:ascii="Arial" w:cs="Arial" w:eastAsia="Arial" w:hAnsi="Arial"/>
          <w:sz w:val="19"/>
          <w:szCs w:val="19"/>
          <w:color w:val="auto"/>
        </w:rPr>
      </w:pPr>
    </w:p>
    <w:p>
      <w:pPr>
        <w:ind w:left="5340" w:hanging="472"/>
        <w:spacing w:after="0"/>
        <w:tabs>
          <w:tab w:leader="none" w:pos="5340" w:val="left"/>
        </w:tabs>
        <w:numPr>
          <w:ilvl w:val="3"/>
          <w:numId w:val="89"/>
        </w:numPr>
        <w:rPr>
          <w:rFonts w:ascii="Arial" w:cs="Arial" w:eastAsia="Arial" w:hAnsi="Arial"/>
          <w:sz w:val="19"/>
          <w:szCs w:val="19"/>
          <w:color w:val="auto"/>
        </w:rPr>
      </w:pPr>
      <w:r>
        <w:rPr>
          <w:rFonts w:ascii="Arial" w:cs="Arial" w:eastAsia="Arial" w:hAnsi="Arial"/>
          <w:sz w:val="19"/>
          <w:szCs w:val="19"/>
          <w:u w:val="single" w:color="auto"/>
          <w:color w:val="auto"/>
        </w:rPr>
        <w:t>Year-End Adjustments</w:t>
      </w:r>
      <w:r>
        <w:rPr>
          <w:rFonts w:ascii="Arial" w:cs="Arial" w:eastAsia="Arial" w:hAnsi="Arial"/>
          <w:sz w:val="19"/>
          <w:szCs w:val="19"/>
          <w:color w:val="auto"/>
        </w:rPr>
        <w:t>. Except with respect to Participants who are</w:t>
      </w:r>
    </w:p>
    <w:p>
      <w:pPr>
        <w:spacing w:after="0" w:line="55" w:lineRule="exact"/>
        <w:rPr>
          <w:rFonts w:ascii="Arial" w:cs="Arial" w:eastAsia="Arial" w:hAnsi="Arial"/>
          <w:sz w:val="19"/>
          <w:szCs w:val="19"/>
          <w:color w:val="auto"/>
        </w:rPr>
      </w:pPr>
    </w:p>
    <w:p>
      <w:pPr>
        <w:jc w:val="both"/>
        <w:ind w:right="140"/>
        <w:spacing w:after="0" w:line="245" w:lineRule="auto"/>
        <w:rPr>
          <w:rFonts w:ascii="Arial" w:cs="Arial" w:eastAsia="Arial" w:hAnsi="Arial"/>
          <w:sz w:val="19"/>
          <w:szCs w:val="19"/>
          <w:color w:val="auto"/>
        </w:rPr>
      </w:pPr>
      <w:r>
        <w:rPr>
          <w:rFonts w:ascii="Arial" w:cs="Arial" w:eastAsia="Arial" w:hAnsi="Arial"/>
          <w:sz w:val="22"/>
          <w:szCs w:val="22"/>
          <w:color w:val="auto"/>
        </w:rPr>
        <w:t xml:space="preserve">subject to Section 5.2(b)(i)(B)(3), if a Participant’s Income Fund exceeds the Income Fund Limit as of the last day of each Plan Year, the excess of (x) the amount credited to the Participant’s Income Fund </w:t>
      </w:r>
      <w:r>
        <w:rPr>
          <w:rFonts w:ascii="Arial" w:cs="Arial" w:eastAsia="Arial" w:hAnsi="Arial"/>
          <w:sz w:val="22"/>
          <w:szCs w:val="22"/>
          <w:i w:val="1"/>
          <w:iCs w:val="1"/>
          <w:color w:val="auto"/>
        </w:rPr>
        <w:t>over</w:t>
      </w:r>
      <w:r>
        <w:rPr>
          <w:rFonts w:ascii="Arial" w:cs="Arial" w:eastAsia="Arial" w:hAnsi="Arial"/>
          <w:sz w:val="22"/>
          <w:szCs w:val="22"/>
          <w:color w:val="auto"/>
        </w:rPr>
        <w:t xml:space="preserve"> (y) the Income Fund Limit shall be transferred to an Other Investment Fund.</w:t>
      </w:r>
    </w:p>
    <w:p>
      <w:pPr>
        <w:spacing w:after="0" w:line="192" w:lineRule="exact"/>
        <w:rPr>
          <w:rFonts w:ascii="Arial" w:cs="Arial" w:eastAsia="Arial" w:hAnsi="Arial"/>
          <w:sz w:val="19"/>
          <w:szCs w:val="19"/>
          <w:color w:val="auto"/>
        </w:rPr>
      </w:pPr>
    </w:p>
    <w:p>
      <w:pPr>
        <w:ind w:right="240" w:firstLine="4868"/>
        <w:spacing w:after="0" w:line="263" w:lineRule="auto"/>
        <w:tabs>
          <w:tab w:leader="none" w:pos="5328" w:val="left"/>
        </w:tabs>
        <w:numPr>
          <w:ilvl w:val="3"/>
          <w:numId w:val="89"/>
        </w:numPr>
        <w:rPr>
          <w:rFonts w:ascii="Arial" w:cs="Arial" w:eastAsia="Arial" w:hAnsi="Arial"/>
          <w:sz w:val="21"/>
          <w:szCs w:val="21"/>
          <w:color w:val="auto"/>
        </w:rPr>
      </w:pPr>
      <w:r>
        <w:rPr>
          <w:rFonts w:ascii="Arial" w:cs="Arial" w:eastAsia="Arial" w:hAnsi="Arial"/>
          <w:sz w:val="21"/>
          <w:szCs w:val="21"/>
          <w:u w:val="single" w:color="auto"/>
          <w:color w:val="auto"/>
        </w:rPr>
        <w:t>Outside Directors</w:t>
      </w:r>
      <w:r>
        <w:rPr>
          <w:rFonts w:ascii="Arial" w:cs="Arial" w:eastAsia="Arial" w:hAnsi="Arial"/>
          <w:sz w:val="21"/>
          <w:szCs w:val="21"/>
          <w:color w:val="auto"/>
        </w:rPr>
        <w:t>. If an Outside Director’s Income Fund exceeds the Income Fund Limit as of July 31, 2020 and such Outside Director has consented to waive the application of Section 10.2 to such Outside Director’s Account, the amount credited to the Outside Director’s Income Fund shall be transferred to an Other Investment Fund as of August 1, 2020, and all amounts credited to the Outside Director’s Account on and after August 1, 2020 shall be deemed invested in an Other Investment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20" w:top="1428" w:right="359" w:bottom="1440" w:gutter="0" w:footer="0" w:header="0"/>
        </w:sectPr>
      </w:pPr>
    </w:p>
    <w:bookmarkStart w:id="74" w:name="page75"/>
    <w:bookmarkEnd w:id="74"/>
    <w:p>
      <w:pPr>
        <w:ind w:left="4720" w:hanging="500"/>
        <w:spacing w:after="0"/>
        <w:tabs>
          <w:tab w:leader="none" w:pos="4720" w:val="left"/>
        </w:tabs>
        <w:numPr>
          <w:ilvl w:val="2"/>
          <w:numId w:val="90"/>
        </w:numPr>
        <w:rPr>
          <w:rFonts w:ascii="Arial" w:cs="Arial" w:eastAsia="Arial" w:hAnsi="Arial"/>
          <w:sz w:val="19"/>
          <w:szCs w:val="19"/>
          <w:color w:val="auto"/>
        </w:rPr>
      </w:pPr>
      <w:r>
        <w:rPr>
          <w:rFonts w:ascii="Arial" w:cs="Arial" w:eastAsia="Arial" w:hAnsi="Arial"/>
          <w:sz w:val="19"/>
          <w:szCs w:val="19"/>
          <w:u w:val="single" w:color="auto"/>
          <w:color w:val="auto"/>
        </w:rPr>
        <w:t>Section 16 Officers</w:t>
      </w:r>
      <w:r>
        <w:rPr>
          <w:rFonts w:ascii="Arial" w:cs="Arial" w:eastAsia="Arial" w:hAnsi="Arial"/>
          <w:sz w:val="19"/>
          <w:szCs w:val="19"/>
          <w:color w:val="auto"/>
        </w:rPr>
        <w:t>. Pursuant to rules established by the Administrator or</w:t>
      </w:r>
    </w:p>
    <w:p>
      <w:pPr>
        <w:spacing w:after="0" w:line="55" w:lineRule="exact"/>
        <w:rPr>
          <w:rFonts w:ascii="Arial" w:cs="Arial" w:eastAsia="Arial" w:hAnsi="Arial"/>
          <w:sz w:val="19"/>
          <w:szCs w:val="19"/>
          <w:color w:val="auto"/>
        </w:rPr>
      </w:pPr>
    </w:p>
    <w:p>
      <w:pPr>
        <w:jc w:val="both"/>
        <w:ind w:right="40"/>
        <w:spacing w:after="0" w:line="259" w:lineRule="auto"/>
        <w:rPr>
          <w:rFonts w:ascii="Arial" w:cs="Arial" w:eastAsia="Arial" w:hAnsi="Arial"/>
          <w:sz w:val="19"/>
          <w:szCs w:val="19"/>
          <w:color w:val="auto"/>
        </w:rPr>
      </w:pPr>
      <w:r>
        <w:rPr>
          <w:rFonts w:ascii="Arial" w:cs="Arial" w:eastAsia="Arial" w:hAnsi="Arial"/>
          <w:sz w:val="21"/>
          <w:szCs w:val="21"/>
          <w:color w:val="auto"/>
        </w:rPr>
        <w:t>its delegate, a Section 16 Officer may elect to (x) transfer amounts credited to their Account that are deemed to be invested in the Income Fund to an Other Investment Fund, or (y) transfer amounts credited to their Account that are deemed to be invested in an Other Investment Fund to the Income Fund to the extent that immediately after such transfer, the amount credited to such Section 16 Officer’s Income Fund does not exceed the Income Fund Limit.</w:t>
      </w:r>
    </w:p>
    <w:p>
      <w:pPr>
        <w:spacing w:after="0" w:line="181" w:lineRule="exact"/>
        <w:rPr>
          <w:rFonts w:ascii="Arial" w:cs="Arial" w:eastAsia="Arial" w:hAnsi="Arial"/>
          <w:sz w:val="19"/>
          <w:szCs w:val="19"/>
          <w:color w:val="auto"/>
        </w:rPr>
      </w:pPr>
    </w:p>
    <w:p>
      <w:pPr>
        <w:ind w:right="40" w:firstLine="2924"/>
        <w:spacing w:after="0" w:line="258" w:lineRule="auto"/>
        <w:tabs>
          <w:tab w:leader="none" w:pos="3396"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Protocol for Deemed Transfers between Income Fund and an Other Investment Fund</w:t>
      </w:r>
      <w:r>
        <w:rPr>
          <w:rFonts w:ascii="Arial" w:cs="Arial" w:eastAsia="Arial" w:hAnsi="Arial"/>
          <w:sz w:val="21"/>
          <w:szCs w:val="21"/>
          <w:color w:val="auto"/>
        </w:rPr>
        <w:t>. As provided in Article III, the timing of distributions of amounts credited to a Participant’s Account is established pursuant to Initial Elections and Subsequent Elections, and a Participant may elect various distribution dates for amounts subject to Initial Elections and Subsequent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 and provided further than no amounts shall be deemed transferred to or from the Income Fund under the Prior Plan.</w:t>
      </w:r>
    </w:p>
    <w:p>
      <w:pPr>
        <w:spacing w:after="0" w:line="181" w:lineRule="exact"/>
        <w:rPr>
          <w:rFonts w:ascii="Arial" w:cs="Arial" w:eastAsia="Arial" w:hAnsi="Arial"/>
          <w:sz w:val="21"/>
          <w:szCs w:val="21"/>
          <w:color w:val="auto"/>
        </w:rPr>
      </w:pPr>
    </w:p>
    <w:p>
      <w:pPr>
        <w:ind w:firstLine="2276"/>
        <w:spacing w:after="0" w:line="246" w:lineRule="auto"/>
        <w:tabs>
          <w:tab w:leader="none" w:pos="277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Stock Fund Credits</w:t>
      </w:r>
      <w:r>
        <w:rPr>
          <w:rFonts w:ascii="Arial" w:cs="Arial" w:eastAsia="Arial" w:hAnsi="Arial"/>
          <w:sz w:val="22"/>
          <w:szCs w:val="22"/>
          <w:color w:val="auto"/>
        </w:rPr>
        <w:t>. Amounts credited to the Accounts of Outside Directors and High Balance Participants in the form of Company Stock shall be credited with income, gains, and losses as if they were invested in the Company Stock Fund. Except as otherwise provided with respect to Section 16 Officers pursuant to Section 5.2(b)(i)(C)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Outside Directors and (ii) Participants under circumstances described in Section 5.2(a)(v) shall be distributed in the form of Company Stock, rounded to the nearest lower whole share.</w:t>
      </w:r>
    </w:p>
    <w:p>
      <w:pPr>
        <w:spacing w:after="0" w:line="193" w:lineRule="exact"/>
        <w:rPr>
          <w:rFonts w:ascii="Arial" w:cs="Arial" w:eastAsia="Arial" w:hAnsi="Arial"/>
          <w:sz w:val="22"/>
          <w:szCs w:val="22"/>
          <w:color w:val="auto"/>
        </w:rPr>
      </w:pPr>
    </w:p>
    <w:p>
      <w:pPr>
        <w:ind w:right="40" w:firstLine="2276"/>
        <w:spacing w:after="0" w:line="258" w:lineRule="auto"/>
        <w:tabs>
          <w:tab w:leader="none" w:pos="2790"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Timing of Credits</w:t>
      </w:r>
      <w:r>
        <w:rPr>
          <w:rFonts w:ascii="Arial" w:cs="Arial" w:eastAsia="Arial" w:hAnsi="Arial"/>
          <w:sz w:val="21"/>
          <w:szCs w:val="21"/>
          <w:color w:val="auto"/>
        </w:rPr>
        <w:t>. Except as otherwise provided in this Section 5.2,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(5)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20"/>
          </w:cols>
          <w:pgMar w:left="320" w:top="1428" w:right="359" w:bottom="1440" w:gutter="0" w:footer="0" w:header="0"/>
        </w:sectPr>
      </w:pPr>
    </w:p>
    <w:bookmarkStart w:id="75" w:name="page76"/>
    <w:bookmarkEnd w:id="75"/>
    <w:p>
      <w:pPr>
        <w:ind w:right="320" w:firstLine="1620"/>
        <w:spacing w:after="0" w:line="34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Status of Deferred Amounts</w:t>
      </w:r>
      <w:r>
        <w:rPr>
          <w:rFonts w:ascii="Arial" w:cs="Arial" w:eastAsia="Arial" w:hAnsi="Arial"/>
          <w:sz w:val="19"/>
          <w:szCs w:val="19"/>
          <w:color w:val="auto"/>
        </w:rPr>
        <w:t>. Regardless of whether or not the Company is a Participant’s employer, all Compensation deferred under this Plan shall continue for all purposes to be a part of the general funds of the Company.</w:t>
      </w:r>
    </w:p>
    <w:p>
      <w:pPr>
        <w:spacing w:after="0" w:line="104" w:lineRule="exact"/>
        <w:rPr>
          <w:sz w:val="20"/>
          <w:szCs w:val="20"/>
          <w:color w:val="auto"/>
        </w:rPr>
      </w:pPr>
    </w:p>
    <w:p>
      <w:pPr>
        <w:ind w:right="80" w:firstLine="1620"/>
        <w:spacing w:after="0" w:line="261"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Participants’ Status as General Creditors</w:t>
      </w:r>
      <w:r>
        <w:rPr>
          <w:rFonts w:ascii="Arial" w:cs="Arial" w:eastAsia="Arial" w:hAnsi="Arial"/>
          <w:sz w:val="21"/>
          <w:szCs w:val="21"/>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73"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ARTICLE 6 – NO ALIENATION OF BENEFITS; PAYEE DESIGNATION</w:t>
      </w:r>
    </w:p>
    <w:p>
      <w:pPr>
        <w:spacing w:after="0" w:line="226" w:lineRule="exact"/>
        <w:rPr>
          <w:sz w:val="20"/>
          <w:szCs w:val="20"/>
          <w:color w:val="auto"/>
        </w:rPr>
      </w:pPr>
    </w:p>
    <w:p>
      <w:pPr>
        <w:ind w:right="240" w:firstLine="1620"/>
        <w:spacing w:after="0" w:line="263"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Non-Alienation</w:t>
      </w:r>
      <w:r>
        <w:rPr>
          <w:rFonts w:ascii="Arial" w:cs="Arial" w:eastAsia="Arial" w:hAnsi="Arial"/>
          <w:sz w:val="21"/>
          <w:szCs w:val="21"/>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75" w:lineRule="exact"/>
        <w:rPr>
          <w:sz w:val="20"/>
          <w:szCs w:val="20"/>
          <w:color w:val="auto"/>
        </w:rPr>
      </w:pPr>
    </w:p>
    <w:p>
      <w:pPr>
        <w:ind w:firstLine="1620"/>
        <w:spacing w:after="0" w:line="260"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Domestic Relations Orders</w:t>
      </w:r>
      <w:r>
        <w:rPr>
          <w:rFonts w:ascii="Arial" w:cs="Arial" w:eastAsia="Arial" w:hAnsi="Arial"/>
          <w:sz w:val="21"/>
          <w:szCs w:val="21"/>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80" w:lineRule="exact"/>
        <w:rPr>
          <w:sz w:val="20"/>
          <w:szCs w:val="20"/>
          <w:color w:val="auto"/>
        </w:rPr>
      </w:pPr>
    </w:p>
    <w:p>
      <w:pPr>
        <w:ind w:right="20" w:firstLine="1620"/>
        <w:spacing w:after="0" w:line="29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Payee Designation</w:t>
      </w:r>
      <w:r>
        <w:rPr>
          <w:rFonts w:ascii="Arial" w:cs="Arial" w:eastAsia="Arial" w:hAnsi="Arial"/>
          <w:sz w:val="19"/>
          <w:szCs w:val="19"/>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45"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7 – DEATH OF PARTICIPANT</w:t>
      </w:r>
    </w:p>
    <w:p>
      <w:pPr>
        <w:spacing w:after="0" w:line="226" w:lineRule="exact"/>
        <w:rPr>
          <w:sz w:val="20"/>
          <w:szCs w:val="20"/>
          <w:color w:val="auto"/>
        </w:rPr>
      </w:pPr>
    </w:p>
    <w:p>
      <w:pPr>
        <w:ind w:right="120" w:firstLine="1620"/>
        <w:spacing w:after="0" w:line="25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Death of Participant</w:t>
      </w:r>
      <w:r>
        <w:rPr>
          <w:rFonts w:ascii="Arial" w:cs="Arial" w:eastAsia="Arial" w:hAnsi="Arial"/>
          <w:sz w:val="22"/>
          <w:szCs w:val="22"/>
          <w:color w:val="auto"/>
        </w:rPr>
        <w:t>. Except as otherwise provided in Section 3.5, a Deceased Participant’s Account shall be distributed in accordance with the last Initial Election or Subsequent Election made by the Deceased Participant before the Deceased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76" w:name="page77"/>
    <w:bookmarkEnd w:id="76"/>
    <w:p>
      <w:pPr>
        <w:ind w:right="20" w:firstLine="1620"/>
        <w:spacing w:after="0" w:line="25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Designation of Beneficiaries</w:t>
      </w:r>
      <w:r>
        <w:rPr>
          <w:rFonts w:ascii="Arial" w:cs="Arial" w:eastAsia="Arial" w:hAnsi="Arial"/>
          <w:sz w:val="21"/>
          <w:szCs w:val="21"/>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173"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ARTICLE 8 – HARDSHIP AND OTHER ACCELERATION EVENTS</w:t>
      </w:r>
    </w:p>
    <w:p>
      <w:pPr>
        <w:spacing w:after="0" w:line="226" w:lineRule="exact"/>
        <w:rPr>
          <w:sz w:val="20"/>
          <w:szCs w:val="20"/>
          <w:color w:val="auto"/>
        </w:rPr>
      </w:pPr>
    </w:p>
    <w:p>
      <w:pPr>
        <w:ind w:right="200" w:firstLine="1620"/>
        <w:spacing w:after="0" w:line="25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Other Acceleration Events</w:t>
      </w:r>
      <w:r>
        <w:rPr>
          <w:rFonts w:ascii="Arial" w:cs="Arial" w:eastAsia="Arial" w:hAnsi="Arial"/>
          <w:sz w:val="19"/>
          <w:szCs w:val="19"/>
          <w:color w:val="auto"/>
        </w:rPr>
        <w:t>. To the extent permitted by Section 409A, notwithstanding the terms of 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Initial Election or Subsequent Election, distribution of all or part of a Participant’s Account may be made:</w:t>
      </w:r>
    </w:p>
    <w:p>
      <w:pPr>
        <w:spacing w:after="0" w:line="202" w:lineRule="exact"/>
        <w:rPr>
          <w:sz w:val="20"/>
          <w:szCs w:val="20"/>
          <w:color w:val="auto"/>
        </w:rPr>
      </w:pPr>
    </w:p>
    <w:p>
      <w:pPr>
        <w:ind w:right="80" w:firstLine="2276"/>
        <w:spacing w:after="0" w:line="263" w:lineRule="auto"/>
        <w:tabs>
          <w:tab w:leader="none" w:pos="2774" w:val="left"/>
        </w:tabs>
        <w:numPr>
          <w:ilvl w:val="1"/>
          <w:numId w:val="93"/>
        </w:numPr>
        <w:rPr>
          <w:rFonts w:ascii="Arial" w:cs="Arial" w:eastAsia="Arial" w:hAnsi="Arial"/>
          <w:sz w:val="22"/>
          <w:szCs w:val="22"/>
          <w:color w:val="auto"/>
        </w:rPr>
      </w:pPr>
      <w:r>
        <w:rPr>
          <w:rFonts w:ascii="Arial" w:cs="Arial" w:eastAsia="Arial" w:hAnsi="Arial"/>
          <w:sz w:val="22"/>
          <w:szCs w:val="22"/>
          <w:color w:val="auto"/>
        </w:rPr>
        <w:t>To fulfill a domestic relations order (as defined in section 414(p)(1)(B) of the Code) to the extent permitted by Treasury Regulations section 1.409A-3(j)(4)(ii) or any successor provision of law).</w:t>
      </w:r>
    </w:p>
    <w:p>
      <w:pPr>
        <w:spacing w:after="0" w:line="174" w:lineRule="exact"/>
        <w:rPr>
          <w:rFonts w:ascii="Arial" w:cs="Arial" w:eastAsia="Arial" w:hAnsi="Arial"/>
          <w:sz w:val="22"/>
          <w:szCs w:val="22"/>
          <w:color w:val="auto"/>
        </w:rPr>
      </w:pPr>
    </w:p>
    <w:p>
      <w:pPr>
        <w:ind w:right="500" w:firstLine="2276"/>
        <w:spacing w:after="0" w:line="263" w:lineRule="auto"/>
        <w:tabs>
          <w:tab w:leader="none" w:pos="2786" w:val="left"/>
        </w:tabs>
        <w:numPr>
          <w:ilvl w:val="1"/>
          <w:numId w:val="93"/>
        </w:numPr>
        <w:rPr>
          <w:rFonts w:ascii="Arial" w:cs="Arial" w:eastAsia="Arial" w:hAnsi="Arial"/>
          <w:sz w:val="22"/>
          <w:szCs w:val="22"/>
          <w:color w:val="auto"/>
        </w:rPr>
      </w:pPr>
      <w:r>
        <w:rPr>
          <w:rFonts w:ascii="Arial" w:cs="Arial" w:eastAsia="Arial" w:hAnsi="Arial"/>
          <w:sz w:val="22"/>
          <w:szCs w:val="22"/>
          <w:color w:val="auto"/>
        </w:rPr>
        <w:t>To the extent necessary to comply with laws relating to avoidance of conflicts of interest, as provided in Treasury Regulation section 1.409A-3(j)(4)(iii) (or any successor provision of law).</w:t>
      </w:r>
    </w:p>
    <w:p>
      <w:pPr>
        <w:spacing w:after="0" w:line="174" w:lineRule="exact"/>
        <w:rPr>
          <w:rFonts w:ascii="Arial" w:cs="Arial" w:eastAsia="Arial" w:hAnsi="Arial"/>
          <w:sz w:val="22"/>
          <w:szCs w:val="22"/>
          <w:color w:val="auto"/>
        </w:rPr>
      </w:pPr>
    </w:p>
    <w:p>
      <w:pPr>
        <w:ind w:left="2780" w:hanging="504"/>
        <w:spacing w:after="0"/>
        <w:tabs>
          <w:tab w:leader="none" w:pos="2780" w:val="left"/>
        </w:tabs>
        <w:numPr>
          <w:ilvl w:val="1"/>
          <w:numId w:val="93"/>
        </w:numPr>
        <w:rPr>
          <w:rFonts w:ascii="Arial" w:cs="Arial" w:eastAsia="Arial" w:hAnsi="Arial"/>
          <w:sz w:val="19"/>
          <w:szCs w:val="19"/>
          <w:color w:val="auto"/>
        </w:rPr>
      </w:pPr>
      <w:r>
        <w:rPr>
          <w:rFonts w:ascii="Arial" w:cs="Arial" w:eastAsia="Arial" w:hAnsi="Arial"/>
          <w:sz w:val="19"/>
          <w:szCs w:val="19"/>
          <w:color w:val="auto"/>
        </w:rPr>
        <w:t>To pay employment taxes to the extent permitted by Treasury Regulation section 1.409A-3(j)(4)</w:t>
      </w:r>
    </w:p>
    <w:p>
      <w:pPr>
        <w:spacing w:after="0" w:line="55" w:lineRule="exact"/>
        <w:rPr>
          <w:rFonts w:ascii="Arial" w:cs="Arial" w:eastAsia="Arial" w:hAnsi="Arial"/>
          <w:sz w:val="19"/>
          <w:szCs w:val="19"/>
          <w:color w:val="auto"/>
        </w:rPr>
      </w:pPr>
    </w:p>
    <w:p>
      <w:pPr>
        <w:ind w:left="380" w:hanging="372"/>
        <w:spacing w:after="0"/>
        <w:tabs>
          <w:tab w:leader="none" w:pos="3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(or any successor provision of law).</w:t>
      </w:r>
    </w:p>
    <w:p>
      <w:pPr>
        <w:spacing w:after="0" w:line="201" w:lineRule="exact"/>
        <w:rPr>
          <w:rFonts w:ascii="Arial" w:cs="Arial" w:eastAsia="Arial" w:hAnsi="Arial"/>
          <w:sz w:val="22"/>
          <w:szCs w:val="22"/>
          <w:color w:val="auto"/>
        </w:rPr>
      </w:pPr>
    </w:p>
    <w:p>
      <w:pPr>
        <w:ind w:right="400" w:firstLine="2276"/>
        <w:spacing w:after="0" w:line="343" w:lineRule="auto"/>
        <w:tabs>
          <w:tab w:leader="none" w:pos="2790" w:val="left"/>
        </w:tabs>
        <w:numPr>
          <w:ilvl w:val="1"/>
          <w:numId w:val="94"/>
        </w:numPr>
        <w:rPr>
          <w:rFonts w:ascii="Arial" w:cs="Arial" w:eastAsia="Arial" w:hAnsi="Arial"/>
          <w:sz w:val="19"/>
          <w:szCs w:val="19"/>
          <w:color w:val="auto"/>
        </w:rPr>
      </w:pPr>
      <w:r>
        <w:rPr>
          <w:rFonts w:ascii="Arial" w:cs="Arial" w:eastAsia="Arial" w:hAnsi="Arial"/>
          <w:sz w:val="19"/>
          <w:szCs w:val="19"/>
          <w:color w:val="auto"/>
        </w:rPr>
        <w:t>In connection with the recognition of income as the result of a failure to comply with Section 409A, to the extent permitted by Treasury Regulation section 1.409A-3(j)(4)(vii) (or any successor provision of law).</w:t>
      </w:r>
    </w:p>
    <w:p>
      <w:pPr>
        <w:spacing w:after="0" w:line="104" w:lineRule="exact"/>
        <w:rPr>
          <w:rFonts w:ascii="Arial" w:cs="Arial" w:eastAsia="Arial" w:hAnsi="Arial"/>
          <w:sz w:val="19"/>
          <w:szCs w:val="19"/>
          <w:color w:val="auto"/>
        </w:rPr>
      </w:pPr>
    </w:p>
    <w:p>
      <w:pPr>
        <w:ind w:left="2780" w:hanging="504"/>
        <w:spacing w:after="0"/>
        <w:tabs>
          <w:tab w:leader="none" w:pos="2780" w:val="left"/>
        </w:tabs>
        <w:numPr>
          <w:ilvl w:val="1"/>
          <w:numId w:val="94"/>
        </w:numPr>
        <w:rPr>
          <w:rFonts w:ascii="Arial" w:cs="Arial" w:eastAsia="Arial" w:hAnsi="Arial"/>
          <w:sz w:val="21"/>
          <w:szCs w:val="21"/>
          <w:color w:val="auto"/>
        </w:rPr>
      </w:pPr>
      <w:r>
        <w:rPr>
          <w:rFonts w:ascii="Arial" w:cs="Arial" w:eastAsia="Arial" w:hAnsi="Arial"/>
          <w:sz w:val="21"/>
          <w:szCs w:val="21"/>
          <w:color w:val="auto"/>
        </w:rPr>
        <w:t>To pay state, local or foreign taxes to the extent permitted by Treasury Regulation section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1.409A-3(j)(4)(xi) (or any successor provision of law).</w:t>
      </w:r>
    </w:p>
    <w:p>
      <w:pPr>
        <w:spacing w:after="0" w:line="202" w:lineRule="exact"/>
        <w:rPr>
          <w:sz w:val="20"/>
          <w:szCs w:val="20"/>
          <w:color w:val="auto"/>
        </w:rPr>
      </w:pPr>
    </w:p>
    <w:p>
      <w:pPr>
        <w:ind w:firstLine="2276"/>
        <w:spacing w:after="0" w:line="253" w:lineRule="auto"/>
        <w:tabs>
          <w:tab w:leader="none" w:pos="2754"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77" w:name="page78"/>
    <w:bookmarkEnd w:id="77"/>
    <w:p>
      <w:pPr>
        <w:ind w:right="740" w:firstLine="2276"/>
        <w:spacing w:after="0" w:line="263" w:lineRule="auto"/>
        <w:tabs>
          <w:tab w:leader="none" w:pos="279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connection with a bona fide dispute as to a Participant’s right to payment, to the extent permitted by Treasury Regulation section 1.409A-3(j)(4)(xiv) (or any successor provision of law).</w:t>
      </w:r>
    </w:p>
    <w:p>
      <w:pPr>
        <w:spacing w:after="0" w:line="169"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9 – INTERPRETATION</w:t>
      </w:r>
    </w:p>
    <w:p>
      <w:pPr>
        <w:spacing w:after="0" w:line="226" w:lineRule="exact"/>
        <w:rPr>
          <w:sz w:val="20"/>
          <w:szCs w:val="20"/>
          <w:color w:val="auto"/>
        </w:rPr>
      </w:pPr>
    </w:p>
    <w:p>
      <w:pPr>
        <w:ind w:right="120" w:firstLine="1620"/>
        <w:spacing w:after="0" w:line="253"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Authority of Committee</w:t>
      </w:r>
      <w:r>
        <w:rPr>
          <w:rFonts w:ascii="Arial" w:cs="Arial" w:eastAsia="Arial" w:hAnsi="Arial"/>
          <w:sz w:val="22"/>
          <w:szCs w:val="22"/>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85" w:lineRule="exact"/>
        <w:rPr>
          <w:sz w:val="20"/>
          <w:szCs w:val="20"/>
          <w:color w:val="auto"/>
        </w:rPr>
      </w:pPr>
    </w:p>
    <w:p>
      <w:pPr>
        <w:ind w:right="480" w:firstLine="1620"/>
        <w:spacing w:after="0" w:line="312"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Claims Procedure</w:t>
      </w:r>
      <w:r>
        <w:rPr>
          <w:rFonts w:ascii="Arial" w:cs="Arial" w:eastAsia="Arial" w:hAnsi="Arial"/>
          <w:sz w:val="19"/>
          <w:szCs w:val="19"/>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An Applicant may file a claim for benefits with the Administrator on a form supplied by the Administrator. If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Administrator wholly or partially denies a claim, the Administrator shall provide the Applicant with a written notice stating:</w:t>
      </w:r>
    </w:p>
    <w:p>
      <w:pPr>
        <w:spacing w:after="0" w:line="213" w:lineRule="exact"/>
        <w:rPr>
          <w:sz w:val="20"/>
          <w:szCs w:val="20"/>
          <w:color w:val="auto"/>
        </w:rPr>
      </w:pPr>
    </w:p>
    <w:p>
      <w:pPr>
        <w:ind w:left="2780" w:hanging="504"/>
        <w:spacing w:after="0"/>
        <w:tabs>
          <w:tab w:leader="none" w:pos="27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19" w:lineRule="exact"/>
        <w:rPr>
          <w:rFonts w:ascii="Arial" w:cs="Arial" w:eastAsia="Arial" w:hAnsi="Arial"/>
          <w:sz w:val="22"/>
          <w:szCs w:val="22"/>
          <w:color w:val="auto"/>
        </w:rPr>
      </w:pPr>
    </w:p>
    <w:p>
      <w:pPr>
        <w:ind w:left="2800" w:hanging="524"/>
        <w:spacing w:after="0"/>
        <w:tabs>
          <w:tab w:leader="none" w:pos="28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19" w:lineRule="exact"/>
        <w:rPr>
          <w:rFonts w:ascii="Arial" w:cs="Arial" w:eastAsia="Arial" w:hAnsi="Arial"/>
          <w:sz w:val="22"/>
          <w:szCs w:val="22"/>
          <w:color w:val="auto"/>
        </w:rPr>
      </w:pPr>
    </w:p>
    <w:p>
      <w:pPr>
        <w:ind w:right="80" w:firstLine="2276"/>
        <w:spacing w:after="0" w:line="263" w:lineRule="auto"/>
        <w:tabs>
          <w:tab w:leader="none" w:pos="2778"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Applicant to perfect the claim and an explanation of why such material or information is necessary; and</w:t>
      </w:r>
    </w:p>
    <w:p>
      <w:pPr>
        <w:spacing w:after="0" w:line="174" w:lineRule="exact"/>
        <w:rPr>
          <w:rFonts w:ascii="Arial" w:cs="Arial" w:eastAsia="Arial" w:hAnsi="Arial"/>
          <w:sz w:val="22"/>
          <w:szCs w:val="22"/>
          <w:color w:val="auto"/>
        </w:rPr>
      </w:pPr>
    </w:p>
    <w:p>
      <w:pPr>
        <w:ind w:left="2780" w:hanging="504"/>
        <w:spacing w:after="0"/>
        <w:tabs>
          <w:tab w:leader="none" w:pos="27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Appropriate information as to the steps to be taken in order to submit a claim for review.</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5" w:lineRule="exact"/>
        <w:rPr>
          <w:sz w:val="20"/>
          <w:szCs w:val="20"/>
          <w:color w:val="auto"/>
        </w:rPr>
      </w:pPr>
    </w:p>
    <w:p>
      <w:pPr>
        <w:ind w:right="20" w:firstLine="1296"/>
        <w:spacing w:after="0" w:line="260" w:lineRule="auto"/>
        <w:rPr>
          <w:sz w:val="20"/>
          <w:szCs w:val="20"/>
          <w:color w:val="auto"/>
        </w:rPr>
      </w:pPr>
      <w:r>
        <w:rPr>
          <w:rFonts w:ascii="Arial" w:cs="Arial" w:eastAsia="Arial" w:hAnsi="Arial"/>
          <w:sz w:val="21"/>
          <w:szCs w:val="21"/>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78" w:name="page79"/>
    <w:bookmarkEnd w:id="78"/>
    <w:p>
      <w:pPr>
        <w:ind w:right="460" w:firstLine="1296"/>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Claims for benefits under the Plan must be filed with the Administrator at the following address: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Corporation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John F. Kennedy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PA 19103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36"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ARTICLE 10 – AMENDMENT OR TERMINATION</w:t>
      </w:r>
    </w:p>
    <w:p>
      <w:pPr>
        <w:spacing w:after="0" w:line="226" w:lineRule="exact"/>
        <w:rPr>
          <w:sz w:val="20"/>
          <w:szCs w:val="20"/>
          <w:color w:val="auto"/>
        </w:rPr>
      </w:pPr>
    </w:p>
    <w:p>
      <w:pPr>
        <w:ind w:right="20" w:firstLine="1620"/>
        <w:spacing w:after="0" w:line="25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Amendment or Termination</w:t>
      </w:r>
      <w:r>
        <w:rPr>
          <w:rFonts w:ascii="Arial" w:cs="Arial" w:eastAsia="Arial" w:hAnsi="Arial"/>
          <w:sz w:val="22"/>
          <w:szCs w:val="22"/>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85" w:lineRule="exact"/>
        <w:rPr>
          <w:sz w:val="20"/>
          <w:szCs w:val="20"/>
          <w:color w:val="auto"/>
        </w:rPr>
      </w:pPr>
    </w:p>
    <w:p>
      <w:pPr>
        <w:ind w:firstLine="1620"/>
        <w:spacing w:after="0" w:line="294"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Amendment of Rate of Credited Earnings</w:t>
      </w:r>
      <w:r>
        <w:rPr>
          <w:rFonts w:ascii="Arial" w:cs="Arial" w:eastAsia="Arial" w:hAnsi="Arial"/>
          <w:sz w:val="19"/>
          <w:szCs w:val="19"/>
          <w:color w:val="auto"/>
        </w:rPr>
        <w:t>. No amendment shall change the Applicable Interest Rate with respect to the portion of a Participant’s Account that is attributable to an Initial Election or Subsequent Election made with respect to Compensation and filed with the Administrator before the date of adoption of such amendment by the Board or the Committee without the consent of the Participant.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ARTICLE 11 – WITHHOLDING OF TAXES</w:t>
      </w:r>
    </w:p>
    <w:p>
      <w:pPr>
        <w:spacing w:after="0" w:line="226" w:lineRule="exact"/>
        <w:rPr>
          <w:sz w:val="20"/>
          <w:szCs w:val="20"/>
          <w:color w:val="auto"/>
        </w:rPr>
      </w:pPr>
    </w:p>
    <w:p>
      <w:pPr>
        <w:ind w:right="80" w:firstLine="1296"/>
        <w:spacing w:after="0" w:line="289" w:lineRule="auto"/>
        <w:rPr>
          <w:sz w:val="20"/>
          <w:szCs w:val="20"/>
          <w:color w:val="auto"/>
        </w:rPr>
      </w:pPr>
      <w:r>
        <w:rPr>
          <w:rFonts w:ascii="Arial" w:cs="Arial" w:eastAsia="Arial" w:hAnsi="Arial"/>
          <w:sz w:val="19"/>
          <w:szCs w:val="19"/>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20" w:top="1428" w:right="359" w:bottom="1440" w:gutter="0" w:footer="0" w:header="0"/>
        </w:sectPr>
      </w:pPr>
    </w:p>
    <w:bookmarkStart w:id="79" w:name="page80"/>
    <w:bookmarkEnd w:id="79"/>
    <w:p>
      <w:pPr>
        <w:ind w:left="3400"/>
        <w:spacing w:after="0"/>
        <w:rPr>
          <w:sz w:val="20"/>
          <w:szCs w:val="20"/>
          <w:color w:val="auto"/>
        </w:rPr>
      </w:pPr>
      <w:r>
        <w:rPr>
          <w:rFonts w:ascii="Arial" w:cs="Arial" w:eastAsia="Arial" w:hAnsi="Arial"/>
          <w:sz w:val="22"/>
          <w:szCs w:val="22"/>
          <w:b w:val="1"/>
          <w:bCs w:val="1"/>
          <w:color w:val="auto"/>
        </w:rPr>
        <w:t>ARTICLE 12 – MISCELLANEOUS PROVISIONS</w:t>
      </w:r>
    </w:p>
    <w:p>
      <w:pPr>
        <w:spacing w:after="0" w:line="226" w:lineRule="exact"/>
        <w:rPr>
          <w:sz w:val="20"/>
          <w:szCs w:val="20"/>
          <w:color w:val="auto"/>
        </w:rPr>
      </w:pPr>
    </w:p>
    <w:p>
      <w:pPr>
        <w:ind w:firstLine="1620"/>
        <w:spacing w:after="0" w:line="253"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Expenses of Plan</w:t>
      </w:r>
      <w:r>
        <w:rPr>
          <w:rFonts w:ascii="Arial" w:cs="Arial" w:eastAsia="Arial" w:hAnsi="Arial"/>
          <w:sz w:val="22"/>
          <w:szCs w:val="22"/>
          <w:color w:val="auto"/>
        </w:rPr>
        <w:t>. All expenses of the Plan shall be paid by the Participating Companies.</w:t>
      </w:r>
    </w:p>
    <w:p>
      <w:pPr>
        <w:spacing w:after="0" w:line="220"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Gender and Number</w:t>
      </w:r>
      <w:r>
        <w:rPr>
          <w:rFonts w:ascii="Arial" w:cs="Arial" w:eastAsia="Arial" w:hAnsi="Arial"/>
          <w:sz w:val="22"/>
          <w:szCs w:val="22"/>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22"/>
          <w:szCs w:val="22"/>
          <w:i w:val="1"/>
          <w:iCs w:val="1"/>
          <w:color w:val="auto"/>
        </w:rPr>
        <w:t>vice versa</w:t>
      </w:r>
      <w:r>
        <w:rPr>
          <w:rFonts w:ascii="Arial" w:cs="Arial" w:eastAsia="Arial" w:hAnsi="Arial"/>
          <w:sz w:val="22"/>
          <w:szCs w:val="22"/>
          <w:color w:val="auto"/>
        </w:rPr>
        <w:t>, as the context may require.</w:t>
      </w:r>
    </w:p>
    <w:p>
      <w:pPr>
        <w:spacing w:after="0" w:line="185" w:lineRule="exact"/>
        <w:rPr>
          <w:sz w:val="20"/>
          <w:szCs w:val="20"/>
          <w:color w:val="auto"/>
        </w:rPr>
      </w:pPr>
    </w:p>
    <w:p>
      <w:pPr>
        <w:ind w:right="240" w:firstLine="1620"/>
        <w:spacing w:after="0" w:line="312"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Law Governing Construction</w:t>
      </w:r>
      <w:r>
        <w:rPr>
          <w:rFonts w:ascii="Arial" w:cs="Arial" w:eastAsia="Arial" w:hAnsi="Arial"/>
          <w:sz w:val="19"/>
          <w:szCs w:val="19"/>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33" w:lineRule="exact"/>
        <w:rPr>
          <w:sz w:val="20"/>
          <w:szCs w:val="20"/>
          <w:color w:val="auto"/>
        </w:rPr>
      </w:pPr>
    </w:p>
    <w:p>
      <w:pPr>
        <w:ind w:right="180" w:firstLine="1620"/>
        <w:spacing w:after="0" w:line="253"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Headings Not a Part Hereof</w:t>
      </w:r>
      <w:r>
        <w:rPr>
          <w:rFonts w:ascii="Arial" w:cs="Arial" w:eastAsia="Arial" w:hAnsi="Arial"/>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85" w:lineRule="exact"/>
        <w:rPr>
          <w:sz w:val="20"/>
          <w:szCs w:val="20"/>
          <w:color w:val="auto"/>
        </w:rPr>
      </w:pPr>
    </w:p>
    <w:p>
      <w:pPr>
        <w:ind w:right="540" w:firstLine="1620"/>
        <w:spacing w:after="0" w:line="253"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20"/>
          </w:cols>
          <w:pgMar w:left="320" w:top="1422" w:right="359" w:bottom="1440" w:gutter="0" w:footer="0" w:header="0"/>
        </w:sectPr>
      </w:pPr>
    </w:p>
    <w:bookmarkStart w:id="80" w:name="page81"/>
    <w:bookmarkEnd w:id="80"/>
    <w:p>
      <w:pPr>
        <w:ind w:left="4120"/>
        <w:spacing w:after="0"/>
        <w:rPr>
          <w:sz w:val="20"/>
          <w:szCs w:val="20"/>
          <w:color w:val="auto"/>
        </w:rPr>
      </w:pPr>
      <w:r>
        <w:rPr>
          <w:rFonts w:ascii="Arial" w:cs="Arial" w:eastAsia="Arial" w:hAnsi="Arial"/>
          <w:sz w:val="22"/>
          <w:szCs w:val="22"/>
          <w:b w:val="1"/>
          <w:bCs w:val="1"/>
          <w:color w:val="auto"/>
        </w:rPr>
        <w:t>ARTICLE 13 – EFFECTIVE DATE</w:t>
      </w:r>
    </w:p>
    <w:p>
      <w:pPr>
        <w:spacing w:after="0" w:line="22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original effective date of the Plan is January 1, 2005. The amended and restated Plan document approved and adopted on October 22, 2020 shall be effective October 22, 2020.</w:t>
      </w:r>
    </w:p>
    <w:p>
      <w:pPr>
        <w:spacing w:after="0" w:line="175" w:lineRule="exact"/>
        <w:rPr>
          <w:sz w:val="20"/>
          <w:szCs w:val="20"/>
          <w:color w:val="auto"/>
        </w:rPr>
      </w:pPr>
    </w:p>
    <w:p>
      <w:pPr>
        <w:ind w:right="500" w:firstLine="1296"/>
        <w:spacing w:after="0" w:line="289" w:lineRule="auto"/>
        <w:rPr>
          <w:sz w:val="20"/>
          <w:szCs w:val="20"/>
          <w:color w:val="auto"/>
        </w:rPr>
      </w:pPr>
      <w:r>
        <w:rPr>
          <w:rFonts w:ascii="Arial" w:cs="Arial" w:eastAsia="Arial" w:hAnsi="Arial"/>
          <w:sz w:val="21"/>
          <w:szCs w:val="21"/>
          <w:color w:val="auto"/>
        </w:rPr>
        <w:t>IN WITNESS WHEREOF, COMCAST CORPORATION has caused this Plan to be executed by its officers thereunto duly authorized, and its corporate seal to be affixed hereto, on the 22</w:t>
      </w:r>
      <w:r>
        <w:rPr>
          <w:rFonts w:ascii="Arial" w:cs="Arial" w:eastAsia="Arial" w:hAnsi="Arial"/>
          <w:sz w:val="27"/>
          <w:szCs w:val="27"/>
          <w:color w:val="auto"/>
          <w:vertAlign w:val="superscript"/>
        </w:rPr>
        <w:t>nd</w:t>
      </w:r>
      <w:r>
        <w:rPr>
          <w:rFonts w:ascii="Arial" w:cs="Arial" w:eastAsia="Arial" w:hAnsi="Arial"/>
          <w:sz w:val="21"/>
          <w:szCs w:val="21"/>
          <w:color w:val="auto"/>
        </w:rPr>
        <w:t xml:space="preserve"> day of October, 2020.</w:t>
      </w:r>
    </w:p>
    <w:p>
      <w:pPr>
        <w:spacing w:after="0" w:line="361"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80"/>
        <w:spacing w:after="0"/>
        <w:tabs>
          <w:tab w:leader="none" w:pos="5080" w:val="left"/>
        </w:tabs>
        <w:rPr>
          <w:sz w:val="20"/>
          <w:szCs w:val="20"/>
          <w:color w:val="auto"/>
        </w:rPr>
      </w:pPr>
      <w:r>
        <w:rPr>
          <w:rFonts w:ascii="Arial" w:cs="Arial" w:eastAsia="Arial" w:hAnsi="Arial"/>
          <w:sz w:val="22"/>
          <w:szCs w:val="22"/>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-17780</wp:posOffset>
            </wp:positionV>
            <wp:extent cx="17411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3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Thomas J. Reid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140"/>
          </w:cols>
          <w:pgMar w:left="320" w:top="1422" w:right="4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2002 NON-EMPLOYEE DIRECTOR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July 31, 2020)</w:t>
      </w:r>
    </w:p>
    <w:p>
      <w:pPr>
        <w:spacing w:after="0" w:line="220" w:lineRule="exact"/>
        <w:rPr>
          <w:sz w:val="20"/>
          <w:szCs w:val="20"/>
          <w:color w:val="auto"/>
        </w:rPr>
      </w:pPr>
    </w:p>
    <w:p>
      <w:pPr>
        <w:ind w:left="820" w:hanging="380"/>
        <w:spacing w:after="0"/>
        <w:tabs>
          <w:tab w:leader="none" w:pos="82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 AND PURPOSE</w:t>
      </w:r>
    </w:p>
    <w:p>
      <w:pPr>
        <w:spacing w:after="0" w:line="226" w:lineRule="exact"/>
        <w:rPr>
          <w:sz w:val="20"/>
          <w:szCs w:val="20"/>
          <w:color w:val="auto"/>
        </w:rPr>
      </w:pPr>
    </w:p>
    <w:p>
      <w:pPr>
        <w:ind w:right="60" w:firstLine="1944"/>
        <w:spacing w:after="0" w:line="250" w:lineRule="auto"/>
        <w:rPr>
          <w:sz w:val="20"/>
          <w:szCs w:val="20"/>
          <w:color w:val="auto"/>
        </w:rPr>
      </w:pPr>
      <w:r>
        <w:rPr>
          <w:rFonts w:ascii="Arial" w:cs="Arial" w:eastAsia="Arial" w:hAnsi="Arial"/>
          <w:sz w:val="22"/>
          <w:szCs w:val="22"/>
          <w:color w:val="auto"/>
        </w:rPr>
        <w:t>COMCAST CORPORATION, a Pennsylvania corporation, hereby amends and restates the Comcast Corporation 2002 Non-Employee Director Compensation Plan</w:t>
      </w:r>
      <w:r>
        <w:rPr>
          <w:rFonts w:ascii="Arial" w:cs="Arial" w:eastAsia="Arial" w:hAnsi="Arial"/>
          <w:sz w:val="22"/>
          <w:szCs w:val="22"/>
          <w:b w:val="1"/>
          <w:bCs w:val="1"/>
          <w:color w:val="auto"/>
        </w:rPr>
        <w:t>,</w:t>
      </w:r>
      <w:r>
        <w:rPr>
          <w:rFonts w:ascii="Arial" w:cs="Arial" w:eastAsia="Arial" w:hAnsi="Arial"/>
          <w:sz w:val="22"/>
          <w:szCs w:val="22"/>
          <w:color w:val="auto"/>
        </w:rPr>
        <w:t xml:space="preserve"> effective July 31, 2020, except as otherwise specifically provided herein. The purpose of the Plan is to provide Non-Employee Directors of COMCAST CORPORATION (the “Company”) with compensation for services to the Company.</w:t>
      </w:r>
    </w:p>
    <w:p>
      <w:pPr>
        <w:spacing w:after="0" w:line="182" w:lineRule="exact"/>
        <w:rPr>
          <w:sz w:val="20"/>
          <w:szCs w:val="20"/>
          <w:color w:val="auto"/>
        </w:rPr>
      </w:pPr>
    </w:p>
    <w:p>
      <w:pPr>
        <w:ind w:left="1680" w:hanging="376"/>
        <w:spacing w:after="0"/>
        <w:tabs>
          <w:tab w:leader="none" w:pos="1680" w:val="left"/>
        </w:tabs>
        <w:numPr>
          <w:ilvl w:val="2"/>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ind w:right="460" w:firstLine="764"/>
        <w:spacing w:after="0" w:line="343" w:lineRule="auto"/>
        <w:tabs>
          <w:tab w:leader="none" w:pos="1212" w:val="left"/>
        </w:tabs>
        <w:numPr>
          <w:ilvl w:val="1"/>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Annual Retainer</w:t>
      </w:r>
      <w:r>
        <w:rPr>
          <w:rFonts w:ascii="Arial" w:cs="Arial" w:eastAsia="Arial" w:hAnsi="Arial"/>
          <w:sz w:val="19"/>
          <w:szCs w:val="19"/>
          <w:color w:val="auto"/>
        </w:rPr>
        <w:t>” means the amount payable for service as a Non-Employee Director for a calendar year, as a member of the Board, and as a member of one or more Committees as determined under Paragraph 3(a) of the Plan.</w:t>
      </w:r>
    </w:p>
    <w:p>
      <w:pPr>
        <w:spacing w:after="0" w:line="131" w:lineRule="exact"/>
        <w:rPr>
          <w:rFonts w:ascii="Arial" w:cs="Arial" w:eastAsia="Arial" w:hAnsi="Arial"/>
          <w:sz w:val="19"/>
          <w:szCs w:val="19"/>
          <w:color w:val="auto"/>
        </w:rPr>
      </w:pPr>
    </w:p>
    <w:p>
      <w:pPr>
        <w:ind w:left="1280" w:hanging="516"/>
        <w:spacing w:after="0"/>
        <w:tabs>
          <w:tab w:leader="none" w:pos="12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46" w:lineRule="exact"/>
        <w:rPr>
          <w:rFonts w:ascii="Arial" w:cs="Arial" w:eastAsia="Arial" w:hAnsi="Arial"/>
          <w:sz w:val="22"/>
          <w:szCs w:val="22"/>
          <w:color w:val="auto"/>
        </w:rPr>
      </w:pPr>
    </w:p>
    <w:p>
      <w:pPr>
        <w:ind w:left="1280" w:hanging="516"/>
        <w:spacing w:after="0"/>
        <w:tabs>
          <w:tab w:leader="none" w:pos="12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Meeting</w:t>
      </w:r>
      <w:r>
        <w:rPr>
          <w:rFonts w:ascii="Arial" w:cs="Arial" w:eastAsia="Arial" w:hAnsi="Arial"/>
          <w:sz w:val="22"/>
          <w:szCs w:val="22"/>
          <w:color w:val="auto"/>
        </w:rPr>
        <w:t>” means a meeting of the Board, whether in person or by telephone.</w:t>
      </w:r>
    </w:p>
    <w:p>
      <w:pPr>
        <w:spacing w:after="0" w:line="246" w:lineRule="exact"/>
        <w:rPr>
          <w:rFonts w:ascii="Arial" w:cs="Arial" w:eastAsia="Arial" w:hAnsi="Arial"/>
          <w:sz w:val="22"/>
          <w:szCs w:val="22"/>
          <w:color w:val="auto"/>
        </w:rPr>
      </w:pPr>
    </w:p>
    <w:p>
      <w:pPr>
        <w:ind w:left="1280" w:hanging="516"/>
        <w:spacing w:after="0"/>
        <w:tabs>
          <w:tab w:leader="none" w:pos="12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duly-constituted committee of the Board.</w:t>
      </w:r>
    </w:p>
    <w:p>
      <w:pPr>
        <w:spacing w:after="0" w:line="246" w:lineRule="exact"/>
        <w:rPr>
          <w:rFonts w:ascii="Arial" w:cs="Arial" w:eastAsia="Arial" w:hAnsi="Arial"/>
          <w:sz w:val="22"/>
          <w:szCs w:val="22"/>
          <w:color w:val="auto"/>
        </w:rPr>
      </w:pPr>
    </w:p>
    <w:p>
      <w:pPr>
        <w:ind w:right="20" w:firstLine="764"/>
        <w:spacing w:after="0" w:line="263" w:lineRule="auto"/>
        <w:tabs>
          <w:tab w:leader="none" w:pos="121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 Meeting</w:t>
      </w:r>
      <w:r>
        <w:rPr>
          <w:rFonts w:ascii="Arial" w:cs="Arial" w:eastAsia="Arial" w:hAnsi="Arial"/>
          <w:sz w:val="22"/>
          <w:szCs w:val="22"/>
          <w:color w:val="auto"/>
        </w:rPr>
        <w:t>” means a meeting of a Committee, whether in person or by telephone, other than a meeting of a Committee that is convened and held during a Board Meeting.</w:t>
      </w:r>
    </w:p>
    <w:p>
      <w:pPr>
        <w:spacing w:after="0" w:line="201" w:lineRule="exact"/>
        <w:rPr>
          <w:rFonts w:ascii="Arial" w:cs="Arial" w:eastAsia="Arial" w:hAnsi="Arial"/>
          <w:sz w:val="22"/>
          <w:szCs w:val="22"/>
          <w:color w:val="auto"/>
        </w:rPr>
      </w:pPr>
    </w:p>
    <w:p>
      <w:pPr>
        <w:ind w:right="240" w:firstLine="764"/>
        <w:spacing w:after="0" w:line="263" w:lineRule="auto"/>
        <w:tabs>
          <w:tab w:leader="none" w:pos="1188"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201" w:lineRule="exact"/>
        <w:rPr>
          <w:rFonts w:ascii="Arial" w:cs="Arial" w:eastAsia="Arial" w:hAnsi="Arial"/>
          <w:sz w:val="22"/>
          <w:szCs w:val="22"/>
          <w:color w:val="auto"/>
        </w:rPr>
      </w:pPr>
    </w:p>
    <w:p>
      <w:pPr>
        <w:jc w:val="both"/>
        <w:ind w:right="220" w:firstLine="764"/>
        <w:spacing w:after="0" w:line="253" w:lineRule="auto"/>
        <w:tabs>
          <w:tab w:leader="none" w:pos="1278"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means the Comcast Corporation 2005 Deferred Compensation Plan, as amended from time to time, or such other more recently-adopted plan pursuant to which a Non-Employee Director may elect to defer the receipt of compensation for service as a Non-Employee Director.</w:t>
      </w:r>
    </w:p>
    <w:p>
      <w:pPr>
        <w:spacing w:after="0" w:line="212" w:lineRule="exact"/>
        <w:rPr>
          <w:rFonts w:ascii="Arial" w:cs="Arial" w:eastAsia="Arial" w:hAnsi="Arial"/>
          <w:sz w:val="22"/>
          <w:szCs w:val="22"/>
          <w:color w:val="auto"/>
        </w:rPr>
      </w:pPr>
    </w:p>
    <w:p>
      <w:pPr>
        <w:ind w:right="640" w:firstLine="656"/>
        <w:spacing w:after="0" w:line="263" w:lineRule="auto"/>
        <w:tabs>
          <w:tab w:leader="none" w:pos="111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ectPr>
          <w:pgSz w:w="11900" w:h="16838" w:orient="portrait"/>
          <w:cols w:equalWidth="0" w:num="1">
            <w:col w:w="11240"/>
          </w:cols>
          <w:pgMar w:left="320" w:top="126" w:right="339" w:bottom="1440" w:gutter="0" w:footer="0" w:header="0"/>
        </w:sectPr>
      </w:pPr>
    </w:p>
    <w:bookmarkStart w:id="82" w:name="page83"/>
    <w:bookmarkEnd w:id="82"/>
    <w:p>
      <w:pPr>
        <w:ind w:left="2380" w:hanging="428"/>
        <w:spacing w:after="0"/>
        <w:tabs>
          <w:tab w:leader="none" w:pos="2380" w:val="left"/>
        </w:tabs>
        <w:numPr>
          <w:ilvl w:val="6"/>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246" w:lineRule="exact"/>
        <w:rPr>
          <w:rFonts w:ascii="Arial" w:cs="Arial" w:eastAsia="Arial" w:hAnsi="Arial"/>
          <w:sz w:val="22"/>
          <w:szCs w:val="22"/>
          <w:color w:val="auto"/>
        </w:rPr>
      </w:pPr>
    </w:p>
    <w:p>
      <w:pPr>
        <w:jc w:val="both"/>
        <w:ind w:right="140" w:firstLine="1412"/>
        <w:spacing w:after="0" w:line="253" w:lineRule="auto"/>
        <w:tabs>
          <w:tab w:leader="none" w:pos="1824" w:val="left"/>
        </w:tabs>
        <w:numPr>
          <w:ilvl w:val="5"/>
          <w:numId w:val="103"/>
        </w:numPr>
        <w:rPr>
          <w:rFonts w:ascii="Arial" w:cs="Arial" w:eastAsia="Arial" w:hAnsi="Arial"/>
          <w:sz w:val="22"/>
          <w:szCs w:val="22"/>
          <w:color w:val="auto"/>
        </w:rPr>
      </w:pPr>
      <w:r>
        <w:rPr>
          <w:rFonts w:ascii="Arial" w:cs="Arial" w:eastAsia="Arial" w:hAnsi="Arial"/>
          <w:sz w:val="22"/>
          <w:szCs w:val="22"/>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5" w:lineRule="exact"/>
        <w:rPr>
          <w:rFonts w:ascii="Arial" w:cs="Arial" w:eastAsia="Arial" w:hAnsi="Arial"/>
          <w:sz w:val="22"/>
          <w:szCs w:val="22"/>
          <w:color w:val="auto"/>
        </w:rPr>
      </w:pPr>
    </w:p>
    <w:p>
      <w:pPr>
        <w:ind w:right="240" w:firstLine="1358"/>
        <w:spacing w:after="0" w:line="253" w:lineRule="auto"/>
        <w:tabs>
          <w:tab w:leader="none" w:pos="1830" w:val="left"/>
        </w:tabs>
        <w:numPr>
          <w:ilvl w:val="4"/>
          <w:numId w:val="104"/>
        </w:numPr>
        <w:rPr>
          <w:rFonts w:ascii="Arial" w:cs="Arial" w:eastAsia="Arial" w:hAnsi="Arial"/>
          <w:sz w:val="22"/>
          <w:szCs w:val="22"/>
          <w:color w:val="auto"/>
        </w:rPr>
      </w:pPr>
      <w:r>
        <w:rPr>
          <w:rFonts w:ascii="Arial" w:cs="Arial" w:eastAsia="Arial" w:hAnsi="Arial"/>
          <w:sz w:val="22"/>
          <w:szCs w:val="22"/>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5" w:lineRule="exact"/>
        <w:rPr>
          <w:rFonts w:ascii="Arial" w:cs="Arial" w:eastAsia="Arial" w:hAnsi="Arial"/>
          <w:sz w:val="22"/>
          <w:szCs w:val="22"/>
          <w:color w:val="auto"/>
        </w:rPr>
      </w:pPr>
    </w:p>
    <w:p>
      <w:pPr>
        <w:ind w:right="140" w:firstLine="1412"/>
        <w:spacing w:after="0" w:line="263" w:lineRule="auto"/>
        <w:tabs>
          <w:tab w:leader="none" w:pos="1944" w:val="left"/>
        </w:tabs>
        <w:numPr>
          <w:ilvl w:val="5"/>
          <w:numId w:val="104"/>
        </w:numPr>
        <w:rPr>
          <w:rFonts w:ascii="Arial" w:cs="Arial" w:eastAsia="Arial" w:hAnsi="Arial"/>
          <w:sz w:val="22"/>
          <w:szCs w:val="22"/>
          <w:color w:val="auto"/>
        </w:rPr>
      </w:pPr>
      <w:r>
        <w:rPr>
          <w:rFonts w:ascii="Arial" w:cs="Arial" w:eastAsia="Arial" w:hAnsi="Arial"/>
          <w:sz w:val="22"/>
          <w:szCs w:val="22"/>
          <w:color w:val="auto"/>
        </w:rPr>
        <w:t>If Shares are not so listed nor trades of Shares so reported, Fair Market Value shall be determined by the Committee in good faith.</w:t>
      </w:r>
    </w:p>
    <w:p>
      <w:pPr>
        <w:spacing w:after="0" w:line="201" w:lineRule="exact"/>
        <w:rPr>
          <w:rFonts w:ascii="Arial" w:cs="Arial" w:eastAsia="Arial" w:hAnsi="Arial"/>
          <w:sz w:val="22"/>
          <w:szCs w:val="22"/>
          <w:color w:val="auto"/>
        </w:rPr>
      </w:pPr>
    </w:p>
    <w:p>
      <w:pPr>
        <w:ind w:right="80" w:firstLine="764"/>
        <w:spacing w:after="0" w:line="343" w:lineRule="auto"/>
        <w:tabs>
          <w:tab w:leader="none" w:pos="1176" w:val="left"/>
        </w:tabs>
        <w:numPr>
          <w:ilvl w:val="2"/>
          <w:numId w:val="1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9"/>
          <w:szCs w:val="19"/>
          <w:color w:val="auto"/>
        </w:rPr>
      </w:pPr>
    </w:p>
    <w:p>
      <w:pPr>
        <w:ind w:firstLine="764"/>
        <w:spacing w:after="0" w:line="263" w:lineRule="auto"/>
        <w:tabs>
          <w:tab w:leader="none" w:pos="1224" w:val="left"/>
        </w:tabs>
        <w:numPr>
          <w:ilvl w:val="2"/>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2002 Non-Employee Director Compensation Plan, as set forth herein, and as amended from time to time.</w:t>
      </w:r>
    </w:p>
    <w:p>
      <w:pPr>
        <w:spacing w:after="0" w:line="201" w:lineRule="exact"/>
        <w:rPr>
          <w:rFonts w:ascii="Arial" w:cs="Arial" w:eastAsia="Arial" w:hAnsi="Arial"/>
          <w:sz w:val="22"/>
          <w:szCs w:val="22"/>
          <w:color w:val="auto"/>
        </w:rPr>
      </w:pPr>
    </w:p>
    <w:p>
      <w:pPr>
        <w:ind w:left="1180" w:hanging="416"/>
        <w:spacing w:after="0"/>
        <w:tabs>
          <w:tab w:leader="none" w:pos="1180" w:val="left"/>
        </w:tabs>
        <w:numPr>
          <w:ilvl w:val="2"/>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46" w:lineRule="exact"/>
        <w:rPr>
          <w:rFonts w:ascii="Arial" w:cs="Arial" w:eastAsia="Arial" w:hAnsi="Arial"/>
          <w:sz w:val="22"/>
          <w:szCs w:val="22"/>
          <w:color w:val="auto"/>
        </w:rPr>
      </w:pPr>
    </w:p>
    <w:p>
      <w:pPr>
        <w:ind w:right="40" w:firstLine="656"/>
        <w:spacing w:after="0" w:line="343" w:lineRule="auto"/>
        <w:tabs>
          <w:tab w:leader="none" w:pos="117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such other more recently-adopted generally applicable plan pursuant to which the Company grants restricted stock or restricted stock units).</w:t>
      </w:r>
    </w:p>
    <w:p>
      <w:pPr>
        <w:spacing w:after="0" w:line="131" w:lineRule="exact"/>
        <w:rPr>
          <w:rFonts w:ascii="Arial" w:cs="Arial" w:eastAsia="Arial" w:hAnsi="Arial"/>
          <w:sz w:val="19"/>
          <w:szCs w:val="19"/>
          <w:color w:val="auto"/>
        </w:rPr>
      </w:pPr>
    </w:p>
    <w:p>
      <w:pPr>
        <w:ind w:left="1120" w:hanging="464"/>
        <w:spacing w:after="0"/>
        <w:tabs>
          <w:tab w:leader="none" w:pos="112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Restricted Stock Unit granted under the Restricted Stock Plan.</w:t>
      </w:r>
    </w:p>
    <w:p>
      <w:pPr>
        <w:spacing w:after="0" w:line="246" w:lineRule="exact"/>
        <w:rPr>
          <w:rFonts w:ascii="Arial" w:cs="Arial" w:eastAsia="Arial" w:hAnsi="Arial"/>
          <w:sz w:val="22"/>
          <w:szCs w:val="22"/>
          <w:color w:val="auto"/>
        </w:rPr>
      </w:pPr>
    </w:p>
    <w:p>
      <w:pPr>
        <w:ind w:left="1240" w:hanging="476"/>
        <w:spacing w:after="0"/>
        <w:tabs>
          <w:tab w:leader="none" w:pos="1240" w:val="left"/>
        </w:tabs>
        <w:numPr>
          <w:ilvl w:val="2"/>
          <w:numId w:val="1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Comcast Corporation Class A Common Stock, par value $0.01.</w:t>
      </w:r>
    </w:p>
    <w:p>
      <w:pPr>
        <w:spacing w:after="0" w:line="240" w:lineRule="exact"/>
        <w:rPr>
          <w:rFonts w:ascii="Arial" w:cs="Arial" w:eastAsia="Arial" w:hAnsi="Arial"/>
          <w:sz w:val="22"/>
          <w:szCs w:val="22"/>
          <w:color w:val="auto"/>
        </w:rPr>
      </w:pPr>
    </w:p>
    <w:p>
      <w:pPr>
        <w:ind w:left="820" w:hanging="380"/>
        <w:spacing w:after="0"/>
        <w:tabs>
          <w:tab w:leader="none" w:pos="82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NON-EMPLOYEE DIRECTOR COMPENSATION</w:t>
      </w:r>
    </w:p>
    <w:p>
      <w:pPr>
        <w:spacing w:after="0" w:line="252" w:lineRule="exact"/>
        <w:rPr>
          <w:rFonts w:ascii="Arial" w:cs="Arial" w:eastAsia="Arial" w:hAnsi="Arial"/>
          <w:sz w:val="22"/>
          <w:szCs w:val="22"/>
          <w:b w:val="1"/>
          <w:bCs w:val="1"/>
          <w:color w:val="auto"/>
        </w:rPr>
      </w:pPr>
    </w:p>
    <w:p>
      <w:pPr>
        <w:ind w:right="480" w:firstLine="656"/>
        <w:spacing w:after="0" w:line="263" w:lineRule="auto"/>
        <w:tabs>
          <w:tab w:leader="none" w:pos="1104"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Non-Employee Director Compensation Package</w:t>
      </w:r>
      <w:r>
        <w:rPr>
          <w:rFonts w:ascii="Arial" w:cs="Arial" w:eastAsia="Arial" w:hAnsi="Arial"/>
          <w:sz w:val="22"/>
          <w:szCs w:val="22"/>
          <w:color w:val="auto"/>
        </w:rPr>
        <w:t>. Effective January 1, 2018, Non-Employee Directors shall be entitled to payments, grants and awards determined as follows:</w:t>
      </w:r>
    </w:p>
    <w:p>
      <w:pPr>
        <w:spacing w:after="0" w:line="201" w:lineRule="exact"/>
        <w:rPr>
          <w:rFonts w:ascii="Arial" w:cs="Arial" w:eastAsia="Arial" w:hAnsi="Arial"/>
          <w:sz w:val="22"/>
          <w:szCs w:val="22"/>
          <w:color w:val="auto"/>
        </w:rPr>
      </w:pPr>
    </w:p>
    <w:p>
      <w:pPr>
        <w:ind w:left="1400" w:hanging="474"/>
        <w:spacing w:after="0"/>
        <w:tabs>
          <w:tab w:leader="none" w:pos="1400" w:val="left"/>
        </w:tabs>
        <w:numPr>
          <w:ilvl w:val="3"/>
          <w:numId w:val="107"/>
        </w:numPr>
        <w:rPr>
          <w:rFonts w:ascii="Arial" w:cs="Arial" w:eastAsia="Arial" w:hAnsi="Arial"/>
          <w:sz w:val="21"/>
          <w:szCs w:val="21"/>
          <w:color w:val="auto"/>
        </w:rPr>
      </w:pPr>
      <w:r>
        <w:rPr>
          <w:rFonts w:ascii="Arial" w:cs="Arial" w:eastAsia="Arial" w:hAnsi="Arial"/>
          <w:sz w:val="21"/>
          <w:szCs w:val="21"/>
          <w:u w:val="single" w:color="auto"/>
          <w:color w:val="auto"/>
        </w:rPr>
        <w:t>Annual Retainer</w:t>
      </w:r>
      <w:r>
        <w:rPr>
          <w:rFonts w:ascii="Arial" w:cs="Arial" w:eastAsia="Arial" w:hAnsi="Arial"/>
          <w:sz w:val="21"/>
          <w:szCs w:val="21"/>
          <w:color w:val="auto"/>
        </w:rPr>
        <w:t>. The Annual Retainer for service to the Company as a Non-Employee Director shall be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$110,000.</w:t>
      </w:r>
    </w:p>
    <w:p>
      <w:pPr>
        <w:spacing w:after="0" w:line="229" w:lineRule="exact"/>
        <w:rPr>
          <w:sz w:val="20"/>
          <w:szCs w:val="20"/>
          <w:color w:val="auto"/>
        </w:rPr>
      </w:pPr>
    </w:p>
    <w:p>
      <w:pPr>
        <w:ind w:right="380" w:firstLine="872"/>
        <w:spacing w:after="0" w:line="263" w:lineRule="auto"/>
        <w:tabs>
          <w:tab w:leader="none" w:pos="1344"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Board Meeting Fee ; Committee Meeting Fee; Other Assignments</w:t>
      </w:r>
      <w:r>
        <w:rPr>
          <w:rFonts w:ascii="Arial" w:cs="Arial" w:eastAsia="Arial" w:hAnsi="Arial"/>
          <w:sz w:val="22"/>
          <w:szCs w:val="22"/>
          <w:color w:val="auto"/>
        </w:rPr>
        <w:t>. No fee shall be payable for attendance in person or via telephone at a Board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80"/>
          </w:cols>
          <w:pgMar w:left="320" w:top="1428" w:right="499" w:bottom="1440" w:gutter="0" w:footer="0" w:header="0"/>
        </w:sectPr>
      </w:pPr>
    </w:p>
    <w:bookmarkStart w:id="83" w:name="page84"/>
    <w:bookmarkEnd w:id="83"/>
    <w:p>
      <w:pPr>
        <w:spacing w:after="0" w:line="343" w:lineRule="auto"/>
        <w:rPr>
          <w:sz w:val="20"/>
          <w:szCs w:val="20"/>
          <w:color w:val="auto"/>
        </w:rPr>
      </w:pPr>
      <w:r>
        <w:rPr>
          <w:rFonts w:ascii="Arial" w:cs="Arial" w:eastAsia="Arial" w:hAnsi="Arial"/>
          <w:sz w:val="19"/>
          <w:szCs w:val="19"/>
          <w:color w:val="auto"/>
        </w:rPr>
        <w:t>Meeting or Committee Meeting. A fee of $2,500 shall be paid when a member of the Board attends a meeting (other than a Board Meeting or Committee Meeting) or conducts business on behalf of the Company in his or her capacity as a Director.</w:t>
      </w:r>
    </w:p>
    <w:p>
      <w:pPr>
        <w:spacing w:after="0" w:line="131" w:lineRule="exact"/>
        <w:rPr>
          <w:sz w:val="20"/>
          <w:szCs w:val="20"/>
          <w:color w:val="auto"/>
        </w:rPr>
      </w:pPr>
    </w:p>
    <w:p>
      <w:pPr>
        <w:ind w:left="1460" w:hanging="588"/>
        <w:spacing w:after="0"/>
        <w:tabs>
          <w:tab w:leader="none" w:pos="1460"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Annual Retainer: Chair – Audit Committee</w:t>
      </w:r>
      <w:r>
        <w:rPr>
          <w:rFonts w:ascii="Arial" w:cs="Arial" w:eastAsia="Arial" w:hAnsi="Arial"/>
          <w:sz w:val="19"/>
          <w:szCs w:val="19"/>
          <w:color w:val="auto"/>
        </w:rPr>
        <w:t>. The Annual Retainer for service as Chair of the Audit Committee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shall be $40,000</w:t>
      </w:r>
    </w:p>
    <w:p>
      <w:pPr>
        <w:spacing w:after="0" w:line="228" w:lineRule="exact"/>
        <w:rPr>
          <w:rFonts w:ascii="Arial" w:cs="Arial" w:eastAsia="Arial" w:hAnsi="Arial"/>
          <w:sz w:val="19"/>
          <w:szCs w:val="19"/>
          <w:color w:val="auto"/>
        </w:rPr>
      </w:pPr>
    </w:p>
    <w:p>
      <w:pPr>
        <w:ind w:right="700" w:firstLine="872"/>
        <w:spacing w:after="0" w:line="263" w:lineRule="auto"/>
        <w:tabs>
          <w:tab w:leader="none" w:pos="1392"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Annual Retainer: Member – Audit Committee</w:t>
      </w:r>
      <w:r>
        <w:rPr>
          <w:rFonts w:ascii="Arial" w:cs="Arial" w:eastAsia="Arial" w:hAnsi="Arial"/>
          <w:sz w:val="22"/>
          <w:szCs w:val="22"/>
          <w:color w:val="auto"/>
        </w:rPr>
        <w:t>. The Annual Retainer for service as a member of the Audit Committee shall be $15,000.</w:t>
      </w:r>
    </w:p>
    <w:p>
      <w:pPr>
        <w:spacing w:after="0" w:line="201" w:lineRule="exact"/>
        <w:rPr>
          <w:rFonts w:ascii="Arial" w:cs="Arial" w:eastAsia="Arial" w:hAnsi="Arial"/>
          <w:sz w:val="22"/>
          <w:szCs w:val="22"/>
          <w:color w:val="auto"/>
        </w:rPr>
      </w:pPr>
    </w:p>
    <w:p>
      <w:pPr>
        <w:ind w:right="1180" w:firstLine="872"/>
        <w:spacing w:after="0" w:line="263" w:lineRule="auto"/>
        <w:tabs>
          <w:tab w:leader="none" w:pos="1332"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Annual Retainer: Chair – Compensation Committee</w:t>
      </w:r>
      <w:r>
        <w:rPr>
          <w:rFonts w:ascii="Arial" w:cs="Arial" w:eastAsia="Arial" w:hAnsi="Arial"/>
          <w:sz w:val="22"/>
          <w:szCs w:val="22"/>
          <w:color w:val="auto"/>
        </w:rPr>
        <w:t>. The Annual Retainer for service as Chair of the Compensation Committee shall be $40,000.</w:t>
      </w:r>
    </w:p>
    <w:p>
      <w:pPr>
        <w:spacing w:after="0" w:line="201" w:lineRule="exact"/>
        <w:rPr>
          <w:rFonts w:ascii="Arial" w:cs="Arial" w:eastAsia="Arial" w:hAnsi="Arial"/>
          <w:sz w:val="22"/>
          <w:szCs w:val="22"/>
          <w:color w:val="auto"/>
        </w:rPr>
      </w:pPr>
    </w:p>
    <w:p>
      <w:pPr>
        <w:ind w:right="320" w:firstLine="1034"/>
        <w:spacing w:after="0" w:line="263" w:lineRule="auto"/>
        <w:tabs>
          <w:tab w:leader="none" w:pos="1554"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Annual Retainer: Member – Compensation Committee</w:t>
      </w:r>
      <w:r>
        <w:rPr>
          <w:rFonts w:ascii="Arial" w:cs="Arial" w:eastAsia="Arial" w:hAnsi="Arial"/>
          <w:sz w:val="22"/>
          <w:szCs w:val="22"/>
          <w:color w:val="auto"/>
        </w:rPr>
        <w:t>. The Annual Retainer for service as a member of the Compensation Committee shall be $15,000.</w:t>
      </w:r>
    </w:p>
    <w:p>
      <w:pPr>
        <w:spacing w:after="0" w:line="201" w:lineRule="exact"/>
        <w:rPr>
          <w:rFonts w:ascii="Arial" w:cs="Arial" w:eastAsia="Arial" w:hAnsi="Arial"/>
          <w:sz w:val="22"/>
          <w:szCs w:val="22"/>
          <w:color w:val="auto"/>
        </w:rPr>
      </w:pPr>
    </w:p>
    <w:p>
      <w:pPr>
        <w:ind w:right="20" w:firstLine="1034"/>
        <w:spacing w:after="0" w:line="263" w:lineRule="auto"/>
        <w:tabs>
          <w:tab w:leader="none" w:pos="1668"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Annual Retainer: Chair -- Governance and Directors Nominating Committee</w:t>
      </w:r>
      <w:r>
        <w:rPr>
          <w:rFonts w:ascii="Arial" w:cs="Arial" w:eastAsia="Arial" w:hAnsi="Arial"/>
          <w:sz w:val="22"/>
          <w:szCs w:val="22"/>
          <w:color w:val="auto"/>
        </w:rPr>
        <w:t>. The Annual Retainer for service as Chair of the Governance and Directors Nominating Committee shall be $20,000.</w:t>
      </w:r>
    </w:p>
    <w:p>
      <w:pPr>
        <w:spacing w:after="0" w:line="202" w:lineRule="exact"/>
        <w:rPr>
          <w:sz w:val="20"/>
          <w:szCs w:val="20"/>
          <w:color w:val="auto"/>
        </w:rPr>
      </w:pPr>
    </w:p>
    <w:p>
      <w:pPr>
        <w:ind w:right="20" w:firstLine="872"/>
        <w:spacing w:after="0" w:line="263" w:lineRule="auto"/>
        <w:tabs>
          <w:tab w:leader="none" w:pos="151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Annual Retainer: Member –Governance and Directors Nominating Committee</w:t>
      </w:r>
      <w:r>
        <w:rPr>
          <w:rFonts w:ascii="Arial" w:cs="Arial" w:eastAsia="Arial" w:hAnsi="Arial"/>
          <w:sz w:val="22"/>
          <w:szCs w:val="22"/>
          <w:color w:val="auto"/>
        </w:rPr>
        <w:t>. The Annual Retainer for service as a member of the Governance and Directors Nominating Committee shall be $12,500.</w:t>
      </w:r>
    </w:p>
    <w:p>
      <w:pPr>
        <w:spacing w:after="0" w:line="201" w:lineRule="exact"/>
        <w:rPr>
          <w:rFonts w:ascii="Arial" w:cs="Arial" w:eastAsia="Arial" w:hAnsi="Arial"/>
          <w:sz w:val="22"/>
          <w:szCs w:val="22"/>
          <w:color w:val="auto"/>
        </w:rPr>
      </w:pPr>
    </w:p>
    <w:p>
      <w:pPr>
        <w:ind w:right="600" w:firstLine="872"/>
        <w:spacing w:after="0" w:line="250" w:lineRule="auto"/>
        <w:tabs>
          <w:tab w:leader="none" w:pos="139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Annual Retainer: Chair – Any Committee of the Board other than the Audit Committee, the Compensation Committee or the Governance and Directors Nominating Committee</w:t>
      </w:r>
      <w:r>
        <w:rPr>
          <w:rFonts w:ascii="Arial" w:cs="Arial" w:eastAsia="Arial" w:hAnsi="Arial"/>
          <w:sz w:val="22"/>
          <w:szCs w:val="22"/>
          <w:color w:val="auto"/>
        </w:rPr>
        <w:t>. The Annual Retainer for service as the Chair of any committee of the Board other than the Audit Committee, the Compensation Committee or the Governance and Directors Nominating Committee shall be $10,000.</w:t>
      </w:r>
    </w:p>
    <w:p>
      <w:pPr>
        <w:spacing w:after="0" w:line="214" w:lineRule="exact"/>
        <w:rPr>
          <w:rFonts w:ascii="Arial" w:cs="Arial" w:eastAsia="Arial" w:hAnsi="Arial"/>
          <w:sz w:val="22"/>
          <w:szCs w:val="22"/>
          <w:color w:val="auto"/>
        </w:rPr>
      </w:pPr>
    </w:p>
    <w:p>
      <w:pPr>
        <w:ind w:right="400" w:firstLine="872"/>
        <w:spacing w:after="0" w:line="250" w:lineRule="auto"/>
        <w:tabs>
          <w:tab w:leader="none" w:pos="133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Annual Retainer: Member – Any Committee of the Board other than the Audit Committee, the Compensation Committee or the Governance and Directors Nominating Committee</w:t>
      </w:r>
      <w:r>
        <w:rPr>
          <w:rFonts w:ascii="Arial" w:cs="Arial" w:eastAsia="Arial" w:hAnsi="Arial"/>
          <w:sz w:val="22"/>
          <w:szCs w:val="22"/>
          <w:color w:val="auto"/>
        </w:rPr>
        <w:t>. The Annual Retainer for service as a member of any committee of the Board other than the Audit Committee, the Compensation Committee or the Governance and Directors Nominating Committee shall be $7,500.</w:t>
      </w:r>
    </w:p>
    <w:p>
      <w:pPr>
        <w:spacing w:after="0" w:line="214" w:lineRule="exact"/>
        <w:rPr>
          <w:rFonts w:ascii="Arial" w:cs="Arial" w:eastAsia="Arial" w:hAnsi="Arial"/>
          <w:sz w:val="22"/>
          <w:szCs w:val="22"/>
          <w:color w:val="auto"/>
        </w:rPr>
      </w:pPr>
    </w:p>
    <w:p>
      <w:pPr>
        <w:ind w:right="740" w:firstLine="1034"/>
        <w:spacing w:after="0" w:line="251" w:lineRule="auto"/>
        <w:tabs>
          <w:tab w:leader="none" w:pos="1554"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Stock Grants</w:t>
      </w:r>
      <w:r>
        <w:rPr>
          <w:rFonts w:ascii="Arial" w:cs="Arial" w:eastAsia="Arial" w:hAnsi="Arial"/>
          <w:sz w:val="22"/>
          <w:szCs w:val="22"/>
          <w:color w:val="auto"/>
        </w:rPr>
        <w:t>. Except as otherwise specifically provided below, this Paragraph 3(a)(xi) shall apply as of November 20 each Plan Year beginning after 2019.</w:t>
      </w:r>
    </w:p>
    <w:p>
      <w:pPr>
        <w:spacing w:after="0" w:line="1" w:lineRule="exact"/>
        <w:rPr>
          <w:rFonts w:ascii="Arial" w:cs="Arial" w:eastAsia="Arial" w:hAnsi="Arial"/>
          <w:sz w:val="22"/>
          <w:szCs w:val="22"/>
          <w:color w:val="auto"/>
        </w:rPr>
      </w:pPr>
    </w:p>
    <w:p>
      <w:pPr>
        <w:ind w:right="20" w:firstLine="2816"/>
        <w:spacing w:after="0" w:line="244" w:lineRule="auto"/>
        <w:tabs>
          <w:tab w:leader="none" w:pos="3374" w:val="left"/>
        </w:tabs>
        <w:numPr>
          <w:ilvl w:val="2"/>
          <w:numId w:val="110"/>
        </w:numPr>
        <w:rPr>
          <w:rFonts w:ascii="Arial" w:cs="Arial" w:eastAsia="Arial" w:hAnsi="Arial"/>
          <w:sz w:val="22"/>
          <w:szCs w:val="22"/>
          <w:color w:val="auto"/>
        </w:rPr>
      </w:pPr>
      <w:r>
        <w:rPr>
          <w:rFonts w:ascii="Arial" w:cs="Arial" w:eastAsia="Arial" w:hAnsi="Arial"/>
          <w:sz w:val="22"/>
          <w:szCs w:val="22"/>
          <w:color w:val="auto"/>
        </w:rPr>
        <w:t>The Board shall grant Restricted Stock Units for Shares having a Fair Market Value on the date of grant of $195,000, rounded, if necessary, to the next higher whole Share, provided that with respect to each individual who first becomes a Non-Employee Director on or after January 1, 2020, the Board shall grant Restricted Stock Units for Shares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8" w:right="359" w:bottom="1440" w:gutter="0" w:footer="0" w:header="0"/>
        </w:sectPr>
      </w:pPr>
    </w:p>
    <w:bookmarkStart w:id="84" w:name="page85"/>
    <w:bookmarkEnd w:id="8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Date of Commencement of Service as a Non-Employee</w:t>
            </w: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2"/>
              </w:rPr>
              <w:t>Number of Shares Subject to Grant of Restricted Stock Units</w:t>
            </w:r>
          </w:p>
        </w:tc>
      </w:tr>
      <w:tr>
        <w:trPr>
          <w:trHeight w:val="285"/>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Director</w:t>
            </w:r>
          </w:p>
        </w:tc>
        <w:tc>
          <w:tcPr>
            <w:tcW w:w="5520" w:type="dxa"/>
            <w:vAlign w:val="bottom"/>
            <w:tcBorders>
              <w:bottom w:val="single" w:sz="8" w:color="auto"/>
              <w:right w:val="single" w:sz="8" w:color="auto"/>
            </w:tcBorders>
          </w:tcPr>
          <w:p>
            <w:pPr>
              <w:spacing w:after="0"/>
              <w:rPr>
                <w:sz w:val="24"/>
                <w:szCs w:val="24"/>
                <w:color w:val="auto"/>
              </w:rPr>
            </w:pPr>
          </w:p>
        </w:tc>
      </w:tr>
      <w:tr>
        <w:trPr>
          <w:trHeight w:val="276"/>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After November 20 of a Plan Year and before the next</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7"/>
              </w:rPr>
              <w:t>Shares having a Fair Market Value on the date of grant of</w:t>
            </w:r>
          </w:p>
        </w:tc>
      </w:tr>
      <w:tr>
        <w:trPr>
          <w:trHeight w:val="285"/>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following February 20</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$195,000</w:t>
            </w:r>
          </w:p>
        </w:tc>
      </w:tr>
      <w:tr>
        <w:trPr>
          <w:trHeight w:val="276"/>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5"/>
              </w:rPr>
              <w:t>On or after February 20 of a Plan Year and before the next</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7"/>
              </w:rPr>
              <w:t>Shares having a Fair Market Value on the date of grant of</w:t>
            </w:r>
          </w:p>
        </w:tc>
      </w:tr>
      <w:tr>
        <w:trPr>
          <w:trHeight w:val="285"/>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following May 20</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$146,250</w:t>
            </w:r>
          </w:p>
        </w:tc>
      </w:tr>
      <w:tr>
        <w:trPr>
          <w:trHeight w:val="276"/>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On or after May 20 of a Plan Year and before the next</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7"/>
              </w:rPr>
              <w:t>Shares having a Fair Market Value on the date of grant of</w:t>
            </w:r>
          </w:p>
        </w:tc>
      </w:tr>
      <w:tr>
        <w:trPr>
          <w:trHeight w:val="285"/>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following August 20</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$97,500</w:t>
            </w:r>
          </w:p>
        </w:tc>
      </w:tr>
      <w:tr>
        <w:trPr>
          <w:trHeight w:val="276"/>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8"/>
              </w:rPr>
              <w:t>On or after August 20 of a Plan Year and before the next</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7"/>
              </w:rPr>
              <w:t>Shares having a Fair Market Value on the date of grant of</w:t>
            </w:r>
          </w:p>
        </w:tc>
      </w:tr>
      <w:tr>
        <w:trPr>
          <w:trHeight w:val="285"/>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following November 20</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$48,750</w:t>
            </w:r>
          </w:p>
        </w:tc>
      </w:tr>
    </w:tbl>
    <w:p>
      <w:pPr>
        <w:spacing w:after="0" w:line="343"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Each Restricted Stock Unit shall (1) be fully and immediately vested on the date of grant, and (2) bear such other terms and conditions as shall be determined by the Board in its discretion.</w:t>
      </w:r>
    </w:p>
    <w:p>
      <w:pPr>
        <w:spacing w:after="0" w:line="202" w:lineRule="exact"/>
        <w:rPr>
          <w:sz w:val="20"/>
          <w:szCs w:val="20"/>
          <w:color w:val="auto"/>
        </w:rPr>
      </w:pPr>
    </w:p>
    <w:p>
      <w:pPr>
        <w:ind w:right="200" w:firstLine="1304"/>
        <w:spacing w:after="0" w:line="297" w:lineRule="auto"/>
        <w:tabs>
          <w:tab w:leader="none" w:pos="1854" w:val="left"/>
        </w:tabs>
        <w:numPr>
          <w:ilvl w:val="3"/>
          <w:numId w:val="111"/>
        </w:numPr>
        <w:rPr>
          <w:rFonts w:ascii="Arial" w:cs="Arial" w:eastAsia="Arial" w:hAnsi="Arial"/>
          <w:sz w:val="19"/>
          <w:szCs w:val="19"/>
          <w:color w:val="auto"/>
        </w:rPr>
      </w:pPr>
      <w:r>
        <w:rPr>
          <w:rFonts w:ascii="Arial" w:cs="Arial" w:eastAsia="Arial" w:hAnsi="Arial"/>
          <w:sz w:val="19"/>
          <w:szCs w:val="19"/>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and such adjustment shall be effective and binding for all purposes of this Plan.</w:t>
      </w:r>
    </w:p>
    <w:p>
      <w:pPr>
        <w:spacing w:after="0" w:line="173" w:lineRule="exact"/>
        <w:rPr>
          <w:rFonts w:ascii="Arial" w:cs="Arial" w:eastAsia="Arial" w:hAnsi="Arial"/>
          <w:sz w:val="19"/>
          <w:szCs w:val="19"/>
          <w:color w:val="auto"/>
        </w:rPr>
      </w:pPr>
    </w:p>
    <w:p>
      <w:pPr>
        <w:ind w:right="640" w:firstLine="710"/>
        <w:spacing w:after="0" w:line="263" w:lineRule="auto"/>
        <w:tabs>
          <w:tab w:leader="none" w:pos="1008"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Payment Practices</w:t>
      </w:r>
      <w:r>
        <w:rPr>
          <w:rFonts w:ascii="Arial" w:cs="Arial" w:eastAsia="Arial" w:hAnsi="Arial"/>
          <w:sz w:val="22"/>
          <w:szCs w:val="22"/>
          <w:color w:val="auto"/>
        </w:rPr>
        <w:t>. Payments, grants and awards described in Paragraph 3(a) of the Plan shall be subject to the following payment practices:</w:t>
      </w:r>
    </w:p>
    <w:p>
      <w:pPr>
        <w:spacing w:after="0" w:line="201" w:lineRule="exact"/>
        <w:rPr>
          <w:rFonts w:ascii="Arial" w:cs="Arial" w:eastAsia="Arial" w:hAnsi="Arial"/>
          <w:sz w:val="22"/>
          <w:szCs w:val="22"/>
          <w:color w:val="auto"/>
        </w:rPr>
      </w:pPr>
    </w:p>
    <w:p>
      <w:pPr>
        <w:ind w:right="160" w:firstLine="872"/>
        <w:spacing w:after="0" w:line="246" w:lineRule="auto"/>
        <w:tabs>
          <w:tab w:leader="none" w:pos="1284" w:val="left"/>
        </w:tabs>
        <w:numPr>
          <w:ilvl w:val="1"/>
          <w:numId w:val="112"/>
        </w:numPr>
        <w:rPr>
          <w:rFonts w:ascii="Arial" w:cs="Arial" w:eastAsia="Arial" w:hAnsi="Arial"/>
          <w:sz w:val="22"/>
          <w:szCs w:val="22"/>
          <w:color w:val="auto"/>
        </w:rPr>
      </w:pPr>
      <w:r>
        <w:rPr>
          <w:rFonts w:ascii="Arial" w:cs="Arial" w:eastAsia="Arial" w:hAnsi="Arial"/>
          <w:sz w:val="22"/>
          <w:szCs w:val="22"/>
          <w:color w:val="auto"/>
        </w:rPr>
        <w:t>Except to the extent deferred under the Deferred Compensation Plan, Annual Retainer payments described in Paragraphs 3(a)(i), 3(a)(iii), 3(a)(iv), 3(a)(v), 3(a)(vi), 3(a)(vii), 3(a)(viii), 3(a)(ix) and 3(a)(x)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223" w:lineRule="exact"/>
        <w:rPr>
          <w:rFonts w:ascii="Arial" w:cs="Arial" w:eastAsia="Arial" w:hAnsi="Arial"/>
          <w:sz w:val="22"/>
          <w:szCs w:val="22"/>
          <w:color w:val="auto"/>
        </w:rPr>
      </w:pPr>
    </w:p>
    <w:p>
      <w:pPr>
        <w:ind w:firstLine="1034"/>
        <w:spacing w:after="0" w:line="248" w:lineRule="auto"/>
        <w:tabs>
          <w:tab w:leader="none" w:pos="1494" w:val="left"/>
        </w:tabs>
        <w:numPr>
          <w:ilvl w:val="2"/>
          <w:numId w:val="112"/>
        </w:numPr>
        <w:rPr>
          <w:rFonts w:ascii="Arial" w:cs="Arial" w:eastAsia="Arial" w:hAnsi="Arial"/>
          <w:sz w:val="22"/>
          <w:szCs w:val="22"/>
          <w:color w:val="auto"/>
        </w:rPr>
      </w:pPr>
      <w:r>
        <w:rPr>
          <w:rFonts w:ascii="Arial" w:cs="Arial" w:eastAsia="Arial" w:hAnsi="Arial"/>
          <w:sz w:val="22"/>
          <w:szCs w:val="22"/>
          <w:color w:val="auto"/>
        </w:rPr>
        <w:t>A Non-Employee Director may elect to receive up to 100% of the Annual Retainer, Committee Retainer, and Meeting Fee amounts described in Paragraph 3(a) in the form of Shares issuable pursuant to a grant of fully-vested Restricted Stock Units under the Restricted Stock Plan. The number of Shares payable to a Non-Employee Director shall be determined based on the closing price of Shares on the last business day of each calendar quarter and rounded, if necessary, to the next higher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85" w:name="page86"/>
    <w:bookmarkEnd w:id="85"/>
    <w:p>
      <w:pPr>
        <w:ind w:left="1280" w:hanging="516"/>
        <w:spacing w:after="0"/>
        <w:tabs>
          <w:tab w:leader="none" w:pos="1280"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Special Rules and Payment Practices for Director Emeritus Compensation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firstLine="1034"/>
        <w:spacing w:after="0" w:line="250" w:lineRule="auto"/>
        <w:tabs>
          <w:tab w:leader="none" w:pos="1500" w:val="left"/>
        </w:tabs>
        <w:numPr>
          <w:ilvl w:val="2"/>
          <w:numId w:val="113"/>
        </w:numPr>
        <w:rPr>
          <w:rFonts w:ascii="Arial" w:cs="Arial" w:eastAsia="Arial" w:hAnsi="Arial"/>
          <w:sz w:val="22"/>
          <w:szCs w:val="22"/>
          <w:color w:val="auto"/>
        </w:rPr>
      </w:pPr>
      <w:r>
        <w:rPr>
          <w:rFonts w:ascii="Arial" w:cs="Arial" w:eastAsia="Arial" w:hAnsi="Arial"/>
          <w:sz w:val="22"/>
          <w:szCs w:val="22"/>
          <w:color w:val="auto"/>
        </w:rPr>
        <w:t>Except as otherwise provided in Paragraph 3(c)(ii) and Paragraph 3(c)(iii), for the duration of an individual’s service to the Company as a Director Emeritus, the Director Emeritus such shall be entitled to compensation on the same basis as a Non-Employee Director as described in Paragraph 3(a) and subject to the same payment practices as apply to a Non-Employee Director as described in Paragraph 3(b).</w:t>
      </w:r>
    </w:p>
    <w:p>
      <w:pPr>
        <w:spacing w:after="0" w:line="214" w:lineRule="exact"/>
        <w:rPr>
          <w:rFonts w:ascii="Arial" w:cs="Arial" w:eastAsia="Arial" w:hAnsi="Arial"/>
          <w:sz w:val="22"/>
          <w:szCs w:val="22"/>
          <w:color w:val="auto"/>
        </w:rPr>
      </w:pPr>
    </w:p>
    <w:p>
      <w:pPr>
        <w:ind w:right="140" w:firstLine="1034"/>
        <w:spacing w:after="0" w:line="312" w:lineRule="auto"/>
        <w:tabs>
          <w:tab w:leader="none" w:pos="1560" w:val="left"/>
        </w:tabs>
        <w:numPr>
          <w:ilvl w:val="2"/>
          <w:numId w:val="113"/>
        </w:numPr>
        <w:rPr>
          <w:rFonts w:ascii="Arial" w:cs="Arial" w:eastAsia="Arial" w:hAnsi="Arial"/>
          <w:sz w:val="19"/>
          <w:szCs w:val="19"/>
          <w:color w:val="auto"/>
        </w:rPr>
      </w:pPr>
      <w:r>
        <w:rPr>
          <w:rFonts w:ascii="Arial" w:cs="Arial" w:eastAsia="Arial" w:hAnsi="Arial"/>
          <w:sz w:val="19"/>
          <w:szCs w:val="19"/>
          <w:color w:val="auto"/>
        </w:rPr>
        <w:t>Paragraph 3(b)(ii), relating to a Non-Employee Director’s elect to receive up to 100% of the Annual Retainer, Committee Retainer, and Meeting Fee amounts described in Paragraph 3(a) in the form of Shares, shall not apply to a Director Emeritus. Any Annual Retainer and Committee Retainer payments to a Director Emeritus shall be in the form of cash.</w:t>
      </w:r>
    </w:p>
    <w:p>
      <w:pPr>
        <w:spacing w:after="0" w:line="160" w:lineRule="exact"/>
        <w:rPr>
          <w:rFonts w:ascii="Arial" w:cs="Arial" w:eastAsia="Arial" w:hAnsi="Arial"/>
          <w:sz w:val="19"/>
          <w:szCs w:val="19"/>
          <w:color w:val="auto"/>
        </w:rPr>
      </w:pPr>
    </w:p>
    <w:p>
      <w:pPr>
        <w:ind w:firstLine="1034"/>
        <w:spacing w:after="0" w:line="231" w:lineRule="auto"/>
        <w:tabs>
          <w:tab w:leader="none" w:pos="1616" w:val="left"/>
        </w:tabs>
        <w:numPr>
          <w:ilvl w:val="2"/>
          <w:numId w:val="113"/>
        </w:numPr>
        <w:rPr>
          <w:rFonts w:ascii="Arial" w:cs="Arial" w:eastAsia="Arial" w:hAnsi="Arial"/>
          <w:sz w:val="22"/>
          <w:szCs w:val="22"/>
          <w:color w:val="auto"/>
        </w:rPr>
      </w:pPr>
      <w:r>
        <w:rPr>
          <w:rFonts w:ascii="Arial" w:cs="Arial" w:eastAsia="Arial" w:hAnsi="Arial"/>
          <w:sz w:val="22"/>
          <w:szCs w:val="22"/>
          <w:color w:val="auto"/>
        </w:rPr>
        <w:t>This Paragraph 3(c)(iii) shall apply to a Director Emeritus in lieu of the Stock Grant provisions of Paragraph 3(a)(xiii). On November 20, 2020 and each anniversary thereof (or the next following business day if November 20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is not a business day) during which the Director Emeritus is serving as such, the Company shall pay each Director Emeritus a single cash lump sum of $195,000.</w:t>
      </w:r>
    </w:p>
    <w:p>
      <w:pPr>
        <w:spacing w:after="0" w:line="222" w:lineRule="exact"/>
        <w:rPr>
          <w:rFonts w:ascii="Arial" w:cs="Arial" w:eastAsia="Arial" w:hAnsi="Arial"/>
          <w:sz w:val="22"/>
          <w:szCs w:val="22"/>
          <w:color w:val="auto"/>
        </w:rPr>
      </w:pPr>
    </w:p>
    <w:p>
      <w:pPr>
        <w:ind w:left="800" w:hanging="360"/>
        <w:spacing w:after="0"/>
        <w:tabs>
          <w:tab w:leader="none" w:pos="80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53" w:lineRule="exact"/>
        <w:rPr>
          <w:sz w:val="20"/>
          <w:szCs w:val="20"/>
          <w:color w:val="auto"/>
        </w:rPr>
      </w:pPr>
    </w:p>
    <w:p>
      <w:pPr>
        <w:ind w:right="80" w:firstLine="428"/>
        <w:spacing w:after="0" w:line="250" w:lineRule="auto"/>
        <w:rPr>
          <w:sz w:val="20"/>
          <w:szCs w:val="20"/>
          <w:color w:val="auto"/>
        </w:rPr>
      </w:pPr>
      <w:r>
        <w:rPr>
          <w:rFonts w:ascii="Arial" w:cs="Arial" w:eastAsia="Arial" w:hAnsi="Arial"/>
          <w:sz w:val="22"/>
          <w:szCs w:val="22"/>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209"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TAXES</w:t>
      </w:r>
    </w:p>
    <w:p>
      <w:pPr>
        <w:spacing w:after="0" w:line="253" w:lineRule="exact"/>
        <w:rPr>
          <w:sz w:val="20"/>
          <w:szCs w:val="20"/>
          <w:color w:val="auto"/>
        </w:rPr>
      </w:pPr>
    </w:p>
    <w:p>
      <w:pPr>
        <w:ind w:right="380" w:firstLine="428"/>
        <w:spacing w:after="0" w:line="343" w:lineRule="auto"/>
        <w:rPr>
          <w:sz w:val="20"/>
          <w:szCs w:val="20"/>
          <w:color w:val="auto"/>
        </w:rPr>
      </w:pPr>
      <w:r>
        <w:rPr>
          <w:rFonts w:ascii="Arial" w:cs="Arial" w:eastAsia="Arial" w:hAnsi="Arial"/>
          <w:sz w:val="19"/>
          <w:szCs w:val="19"/>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25"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22"/>
          <w:szCs w:val="22"/>
          <w:b w:val="1"/>
          <w:bCs w:val="1"/>
          <w:color w:val="auto"/>
        </w:rPr>
        <w:t>6.</w:t>
        <w:tab/>
        <w:t>AMENDMENT AND TERMINATION</w:t>
      </w:r>
    </w:p>
    <w:p>
      <w:pPr>
        <w:spacing w:after="0" w:line="253" w:lineRule="exact"/>
        <w:rPr>
          <w:sz w:val="20"/>
          <w:szCs w:val="20"/>
          <w:color w:val="auto"/>
        </w:rPr>
      </w:pPr>
    </w:p>
    <w:p>
      <w:pPr>
        <w:ind w:right="160" w:firstLine="428"/>
        <w:spacing w:after="0" w:line="253" w:lineRule="auto"/>
        <w:rPr>
          <w:sz w:val="20"/>
          <w:szCs w:val="20"/>
          <w:color w:val="auto"/>
        </w:rPr>
      </w:pPr>
      <w:r>
        <w:rPr>
          <w:rFonts w:ascii="Arial" w:cs="Arial" w:eastAsia="Arial" w:hAnsi="Arial"/>
          <w:sz w:val="22"/>
          <w:szCs w:val="22"/>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206" w:lineRule="exact"/>
        <w:rPr>
          <w:sz w:val="20"/>
          <w:szCs w:val="20"/>
          <w:color w:val="auto"/>
        </w:rPr>
      </w:pPr>
    </w:p>
    <w:p>
      <w:pPr>
        <w:ind w:left="820" w:hanging="380"/>
        <w:spacing w:after="0"/>
        <w:tabs>
          <w:tab w:leader="none" w:pos="82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EFFECTIVE DATE</w:t>
      </w:r>
    </w:p>
    <w:p>
      <w:pPr>
        <w:spacing w:after="0" w:line="253" w:lineRule="exact"/>
        <w:rPr>
          <w:sz w:val="20"/>
          <w:szCs w:val="20"/>
          <w:color w:val="auto"/>
        </w:rPr>
      </w:pPr>
    </w:p>
    <w:p>
      <w:pPr>
        <w:ind w:right="120" w:firstLine="428"/>
        <w:spacing w:after="0" w:line="263" w:lineRule="auto"/>
        <w:rPr>
          <w:sz w:val="20"/>
          <w:szCs w:val="20"/>
          <w:color w:val="auto"/>
        </w:rPr>
      </w:pPr>
      <w:r>
        <w:rPr>
          <w:rFonts w:ascii="Arial" w:cs="Arial" w:eastAsia="Arial" w:hAnsi="Arial"/>
          <w:sz w:val="22"/>
          <w:szCs w:val="22"/>
          <w:color w:val="auto"/>
        </w:rPr>
        <w:t>The effective date of this amendment and restatement of the Plan is July 31, 2020. The original effective date of the Plan is November 18, 2002.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28" w:right="399" w:bottom="1440" w:gutter="0" w:footer="0" w:header="0"/>
        </w:sectPr>
      </w:pPr>
    </w:p>
    <w:bookmarkStart w:id="86" w:name="page87"/>
    <w:bookmarkEnd w:id="86"/>
    <w:p>
      <w:pPr>
        <w:spacing w:after="0" w:line="225" w:lineRule="exact"/>
        <w:rPr>
          <w:sz w:val="20"/>
          <w:szCs w:val="20"/>
          <w:color w:val="auto"/>
        </w:rPr>
      </w:pPr>
    </w:p>
    <w:p>
      <w:pPr>
        <w:ind w:left="820" w:hanging="380"/>
        <w:spacing w:after="0"/>
        <w:tabs>
          <w:tab w:leader="none" w:pos="82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53" w:lineRule="exact"/>
        <w:rPr>
          <w:sz w:val="20"/>
          <w:szCs w:val="20"/>
          <w:color w:val="auto"/>
        </w:rPr>
      </w:pPr>
    </w:p>
    <w:p>
      <w:pPr>
        <w:ind w:firstLine="428"/>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BY</w:t>
      </w:r>
      <w:r>
        <w:rPr>
          <w:rFonts w:ascii="Arial" w:cs="Arial" w:eastAsia="Arial" w:hAnsi="Arial"/>
          <w:sz w:val="22"/>
          <w:szCs w:val="22"/>
          <w:color w:val="auto"/>
        </w:rPr>
        <w:t>: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-13970</wp:posOffset>
            </wp:positionV>
            <wp:extent cx="17411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Thomas J. Reid</w:t>
      </w:r>
    </w:p>
    <w:p>
      <w:pPr>
        <w:spacing w:after="0" w:line="322"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ATTEST</w:t>
      </w:r>
      <w:r>
        <w:rPr>
          <w:rFonts w:ascii="Arial" w:cs="Arial" w:eastAsia="Arial" w:hAnsi="Arial"/>
          <w:sz w:val="22"/>
          <w:szCs w:val="22"/>
          <w:color w:val="auto"/>
        </w:rPr>
        <w:t>: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-13970</wp:posOffset>
            </wp:positionV>
            <wp:extent cx="127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Elizabeth Wideman</w:t>
      </w:r>
    </w:p>
    <w:p>
      <w:pPr>
        <w:sectPr>
          <w:pgSz w:w="11900" w:h="16838" w:orient="portrait"/>
          <w:cols w:equalWidth="0" w:num="1">
            <w:col w:w="10300"/>
          </w:cols>
          <w:pgMar w:left="320" w:top="144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300"/>
          </w:cols>
          <w:pgMar w:left="320" w:top="1440" w:right="1279" w:bottom="1440" w:gutter="0" w:footer="0" w:header="0"/>
          <w:type w:val="continuous"/>
        </w:sectPr>
      </w:pPr>
    </w:p>
    <w:bookmarkStart w:id="87" w:name="page88"/>
    <w:bookmarkEnd w:id="87"/>
    <w:p>
      <w:pPr>
        <w:jc w:val="center"/>
        <w:ind w:right="-119"/>
        <w:spacing w:after="0"/>
        <w:rPr>
          <w:sz w:val="20"/>
          <w:szCs w:val="20"/>
          <w:color w:val="auto"/>
        </w:rPr>
      </w:pPr>
      <w:r>
        <w:rPr>
          <w:rFonts w:ascii="Arial" w:cs="Arial" w:eastAsia="Arial" w:hAnsi="Arial"/>
          <w:sz w:val="22"/>
          <w:szCs w:val="22"/>
          <w:b w:val="1"/>
          <w:bCs w:val="1"/>
          <w:color w:val="auto"/>
        </w:rPr>
        <w:t>SCHEDULE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COMCAST CORPORATION</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NON-EMPLOYEE DIRECTOR COMPENSATION</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EFFECTIVE AS OF DECEMBER 11, 2019</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49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Director Annual Retainer</w:t>
            </w:r>
          </w:p>
        </w:tc>
        <w:tc>
          <w:tcPr>
            <w:tcW w:w="4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$110,000</w:t>
            </w:r>
          </w:p>
        </w:tc>
      </w:tr>
      <w:tr>
        <w:trPr>
          <w:trHeight w:val="338"/>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Board Meeting Fee</w:t>
            </w:r>
          </w:p>
        </w:tc>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None</w:t>
            </w:r>
            <w:r>
              <w:rPr>
                <w:rFonts w:ascii="Arial" w:cs="Arial" w:eastAsia="Arial" w:hAnsi="Arial"/>
                <w:sz w:val="28"/>
                <w:szCs w:val="28"/>
                <w:color w:val="auto"/>
                <w:vertAlign w:val="superscript"/>
              </w:rPr>
              <w:t>1</w:t>
            </w:r>
          </w:p>
        </w:tc>
      </w:tr>
      <w:tr>
        <w:trPr>
          <w:trHeight w:val="298"/>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Audit Committee Annual Retainer – Chair</w:t>
            </w:r>
          </w:p>
        </w:tc>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$40,000</w:t>
            </w:r>
          </w:p>
        </w:tc>
      </w:tr>
      <w:tr>
        <w:trPr>
          <w:trHeight w:val="304"/>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7"/>
              </w:rPr>
              <w:t>Compensation Committee Annual Retainer – Chair</w:t>
            </w:r>
          </w:p>
        </w:tc>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$40,000</w:t>
            </w:r>
          </w:p>
        </w:tc>
      </w:tr>
      <w:tr>
        <w:trPr>
          <w:trHeight w:val="276"/>
        </w:trPr>
        <w:tc>
          <w:tcPr>
            <w:tcW w:w="4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9"/>
              </w:rPr>
              <w:t>Governance and Directors Nominating Committee</w:t>
            </w:r>
          </w:p>
        </w:tc>
        <w:tc>
          <w:tcPr>
            <w:tcW w:w="486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$20,000</w:t>
            </w:r>
          </w:p>
        </w:tc>
      </w:tr>
      <w:tr>
        <w:trPr>
          <w:trHeight w:val="285"/>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Annual Retainer – Chair</w:t>
            </w:r>
          </w:p>
        </w:tc>
        <w:tc>
          <w:tcPr>
            <w:tcW w:w="4860" w:type="dxa"/>
            <w:vAlign w:val="bottom"/>
            <w:tcBorders>
              <w:bottom w:val="single" w:sz="8" w:color="auto"/>
              <w:right w:val="single" w:sz="8" w:color="auto"/>
            </w:tcBorders>
          </w:tcPr>
          <w:p>
            <w:pPr>
              <w:spacing w:after="0"/>
              <w:rPr>
                <w:sz w:val="24"/>
                <w:szCs w:val="24"/>
                <w:color w:val="auto"/>
              </w:rPr>
            </w:pPr>
          </w:p>
        </w:tc>
      </w:tr>
      <w:tr>
        <w:trPr>
          <w:trHeight w:val="304"/>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Other Committee Annual Retainer – Chair</w:t>
            </w:r>
          </w:p>
        </w:tc>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$10,000</w:t>
            </w:r>
          </w:p>
        </w:tc>
      </w:tr>
      <w:tr>
        <w:trPr>
          <w:trHeight w:val="304"/>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Audit Committee Annual Retainer – Member</w:t>
            </w:r>
          </w:p>
        </w:tc>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$15,000</w:t>
            </w:r>
          </w:p>
        </w:tc>
      </w:tr>
      <w:tr>
        <w:trPr>
          <w:trHeight w:val="304"/>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2"/>
              </w:rPr>
              <w:t>Compensation Committee Annual Retainer – Member</w:t>
            </w:r>
          </w:p>
        </w:tc>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$15,000</w:t>
            </w:r>
          </w:p>
        </w:tc>
      </w:tr>
      <w:tr>
        <w:trPr>
          <w:trHeight w:val="276"/>
        </w:trPr>
        <w:tc>
          <w:tcPr>
            <w:tcW w:w="4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9"/>
              </w:rPr>
              <w:t>Governance and Directors Nominating Committee</w:t>
            </w:r>
          </w:p>
        </w:tc>
        <w:tc>
          <w:tcPr>
            <w:tcW w:w="486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$12,500</w:t>
            </w:r>
          </w:p>
        </w:tc>
      </w:tr>
      <w:tr>
        <w:trPr>
          <w:trHeight w:val="285"/>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Annual Retainer – Member</w:t>
            </w:r>
          </w:p>
        </w:tc>
        <w:tc>
          <w:tcPr>
            <w:tcW w:w="4860" w:type="dxa"/>
            <w:vAlign w:val="bottom"/>
            <w:tcBorders>
              <w:bottom w:val="single" w:sz="8" w:color="auto"/>
              <w:right w:val="single" w:sz="8" w:color="auto"/>
            </w:tcBorders>
          </w:tcPr>
          <w:p>
            <w:pPr>
              <w:spacing w:after="0"/>
              <w:rPr>
                <w:sz w:val="24"/>
                <w:szCs w:val="24"/>
                <w:color w:val="auto"/>
              </w:rPr>
            </w:pPr>
          </w:p>
        </w:tc>
      </w:tr>
      <w:tr>
        <w:trPr>
          <w:trHeight w:val="304"/>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Other Committee Annual Retainer – Member</w:t>
            </w:r>
          </w:p>
        </w:tc>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$7,500</w:t>
            </w:r>
          </w:p>
        </w:tc>
      </w:tr>
      <w:tr>
        <w:trPr>
          <w:trHeight w:val="276"/>
        </w:trPr>
        <w:tc>
          <w:tcPr>
            <w:tcW w:w="4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Annual Restricted Stock Unit Grant</w:t>
            </w:r>
          </w:p>
        </w:tc>
        <w:tc>
          <w:tcPr>
            <w:tcW w:w="486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89"/>
              </w:rPr>
              <w:t>Shares having a Fair Market Value on the date of grant</w:t>
            </w:r>
          </w:p>
        </w:tc>
      </w:tr>
      <w:tr>
        <w:trPr>
          <w:trHeight w:val="285"/>
        </w:trPr>
        <w:tc>
          <w:tcPr>
            <w:tcW w:w="4920" w:type="dxa"/>
            <w:vAlign w:val="bottom"/>
            <w:tcBorders>
              <w:left w:val="single" w:sz="8" w:color="auto"/>
              <w:bottom w:val="single" w:sz="8" w:color="auto"/>
              <w:right w:val="single" w:sz="8" w:color="auto"/>
            </w:tcBorders>
          </w:tcPr>
          <w:p>
            <w:pPr>
              <w:spacing w:after="0"/>
              <w:rPr>
                <w:sz w:val="24"/>
                <w:szCs w:val="24"/>
                <w:color w:val="auto"/>
              </w:rPr>
            </w:pPr>
          </w:p>
        </w:tc>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of $195,000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960120</wp:posOffset>
            </wp:positionV>
            <wp:extent cx="1714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656"/>
        <w:spacing w:after="0" w:line="227" w:lineRule="auto"/>
        <w:tabs>
          <w:tab w:leader="none" w:pos="751" w:val="left"/>
        </w:tabs>
        <w:numPr>
          <w:ilvl w:val="0"/>
          <w:numId w:val="117"/>
        </w:numPr>
        <w:rPr>
          <w:rFonts w:ascii="Arial" w:cs="Arial" w:eastAsia="Arial" w:hAnsi="Arial"/>
          <w:sz w:val="23"/>
          <w:szCs w:val="23"/>
          <w:color w:val="auto"/>
          <w:vertAlign w:val="superscript"/>
        </w:rPr>
      </w:pPr>
      <w:r>
        <w:rPr>
          <w:rFonts w:ascii="Arial" w:cs="Arial" w:eastAsia="Arial" w:hAnsi="Arial"/>
          <w:sz w:val="18"/>
          <w:szCs w:val="18"/>
          <w:color w:val="auto"/>
        </w:rPr>
        <w:t>A fee of $2,500 shall be paid when a member of the Board attends a meeting (other than a Board meeting) or conducts business on behalf of the Company in his or her capacity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20"/>
          </w:cols>
          <w:pgMar w:left="320" w:top="1422" w:right="45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4"/>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3624"/>
        <w:spacing w:after="0"/>
        <w:rPr>
          <w:sz w:val="20"/>
          <w:szCs w:val="20"/>
          <w:color w:val="auto"/>
        </w:rPr>
      </w:pPr>
      <w:r>
        <w:rPr>
          <w:rFonts w:ascii="Arial" w:cs="Arial" w:eastAsia="Arial" w:hAnsi="Arial"/>
          <w:sz w:val="22"/>
          <w:szCs w:val="22"/>
          <w:b w:val="1"/>
          <w:bCs w:val="1"/>
          <w:color w:val="auto"/>
        </w:rPr>
        <w:t>2002 RESTRICTED STOCK PLAN</w:t>
      </w:r>
    </w:p>
    <w:p>
      <w:pPr>
        <w:spacing w:after="0" w:line="220" w:lineRule="exact"/>
        <w:rPr>
          <w:sz w:val="20"/>
          <w:szCs w:val="20"/>
          <w:color w:val="auto"/>
        </w:rPr>
      </w:pPr>
    </w:p>
    <w:p>
      <w:pPr>
        <w:ind w:left="3044"/>
        <w:spacing w:after="0"/>
        <w:rPr>
          <w:sz w:val="20"/>
          <w:szCs w:val="20"/>
          <w:color w:val="auto"/>
        </w:rPr>
      </w:pPr>
      <w:r>
        <w:rPr>
          <w:rFonts w:ascii="Arial" w:cs="Arial" w:eastAsia="Arial" w:hAnsi="Arial"/>
          <w:sz w:val="22"/>
          <w:szCs w:val="22"/>
          <w:b w:val="1"/>
          <w:bCs w:val="1"/>
          <w:color w:val="auto"/>
        </w:rPr>
        <w:t>(As Amended and Restated, Effective October 22, 2020)</w:t>
      </w:r>
    </w:p>
    <w:p>
      <w:pPr>
        <w:spacing w:after="0" w:line="220" w:lineRule="exact"/>
        <w:rPr>
          <w:sz w:val="20"/>
          <w:szCs w:val="20"/>
          <w:color w:val="auto"/>
        </w:rPr>
      </w:pPr>
    </w:p>
    <w:p>
      <w:pPr>
        <w:ind w:left="644" w:hanging="644"/>
        <w:spacing w:after="0"/>
        <w:tabs>
          <w:tab w:leader="none" w:pos="644"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 AND PURPOSE</w:t>
      </w:r>
    </w:p>
    <w:p>
      <w:pPr>
        <w:spacing w:after="0" w:line="225" w:lineRule="exact"/>
        <w:rPr>
          <w:rFonts w:ascii="Arial" w:cs="Arial" w:eastAsia="Arial" w:hAnsi="Arial"/>
          <w:sz w:val="22"/>
          <w:szCs w:val="22"/>
          <w:b w:val="1"/>
          <w:bCs w:val="1"/>
          <w:color w:val="auto"/>
        </w:rPr>
      </w:pPr>
    </w:p>
    <w:p>
      <w:pPr>
        <w:ind w:left="4" w:right="260" w:firstLine="644"/>
        <w:spacing w:after="0" w:line="263" w:lineRule="auto"/>
        <w:tabs>
          <w:tab w:leader="none" w:pos="1297"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Background</w:t>
      </w:r>
      <w:r>
        <w:rPr>
          <w:rFonts w:ascii="Arial" w:cs="Arial" w:eastAsia="Arial" w:hAnsi="Arial"/>
          <w:sz w:val="22"/>
          <w:szCs w:val="22"/>
          <w:color w:val="auto"/>
        </w:rPr>
        <w:t>. COMCAST CORPORATION, a Pennsylvania corporation, hereby amends and restates the Comcast Corporation 2002 Restricted Stock Plan (the “Plan”) effective October 22, 2020.</w:t>
      </w:r>
    </w:p>
    <w:p>
      <w:pPr>
        <w:spacing w:after="0" w:line="174" w:lineRule="exact"/>
        <w:rPr>
          <w:rFonts w:ascii="Arial" w:cs="Arial" w:eastAsia="Arial" w:hAnsi="Arial"/>
          <w:sz w:val="22"/>
          <w:szCs w:val="22"/>
          <w:color w:val="auto"/>
        </w:rPr>
      </w:pPr>
    </w:p>
    <w:p>
      <w:pPr>
        <w:ind w:left="4" w:right="420" w:firstLine="644"/>
        <w:spacing w:after="0" w:line="271" w:lineRule="auto"/>
        <w:tabs>
          <w:tab w:leader="none" w:pos="1295" w:val="left"/>
        </w:tabs>
        <w:numPr>
          <w:ilvl w:val="1"/>
          <w:numId w:val="118"/>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67" w:lineRule="exact"/>
        <w:rPr>
          <w:rFonts w:ascii="Arial" w:cs="Arial" w:eastAsia="Arial" w:hAnsi="Arial"/>
          <w:sz w:val="21"/>
          <w:szCs w:val="21"/>
          <w:color w:val="auto"/>
        </w:rPr>
      </w:pPr>
    </w:p>
    <w:p>
      <w:pPr>
        <w:ind w:left="4" w:right="120" w:firstLine="644"/>
        <w:spacing w:after="0" w:line="258" w:lineRule="auto"/>
        <w:tabs>
          <w:tab w:leader="none" w:pos="1297" w:val="left"/>
        </w:tabs>
        <w:numPr>
          <w:ilvl w:val="1"/>
          <w:numId w:val="118"/>
        </w:numPr>
        <w:rPr>
          <w:rFonts w:ascii="Arial" w:cs="Arial" w:eastAsia="Arial" w:hAnsi="Arial"/>
          <w:sz w:val="21"/>
          <w:szCs w:val="21"/>
          <w:color w:val="auto"/>
        </w:rPr>
      </w:pPr>
      <w:r>
        <w:rPr>
          <w:rFonts w:ascii="Arial" w:cs="Arial" w:eastAsia="Arial" w:hAnsi="Arial"/>
          <w:sz w:val="21"/>
          <w:szCs w:val="21"/>
          <w:u w:val="single" w:color="auto"/>
          <w:color w:val="auto"/>
        </w:rPr>
        <w:t>Purpose of the Amendment; Credits Affected</w:t>
      </w:r>
      <w:r>
        <w:rPr>
          <w:rFonts w:ascii="Arial" w:cs="Arial" w:eastAsia="Arial" w:hAnsi="Arial"/>
          <w:sz w:val="21"/>
          <w:szCs w:val="21"/>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85" w:lineRule="exact"/>
        <w:rPr>
          <w:rFonts w:ascii="Arial" w:cs="Arial" w:eastAsia="Arial" w:hAnsi="Arial"/>
          <w:sz w:val="21"/>
          <w:szCs w:val="21"/>
          <w:color w:val="auto"/>
        </w:rPr>
      </w:pPr>
    </w:p>
    <w:p>
      <w:pPr>
        <w:jc w:val="both"/>
        <w:ind w:left="4" w:right="340" w:firstLine="644"/>
        <w:spacing w:after="0" w:line="250" w:lineRule="auto"/>
        <w:tabs>
          <w:tab w:leader="none" w:pos="1295"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Reservation of Right to Amend to Comply with Section 409A</w:t>
      </w:r>
      <w:r>
        <w:rPr>
          <w:rFonts w:ascii="Arial" w:cs="Arial" w:eastAsia="Arial" w:hAnsi="Arial"/>
          <w:sz w:val="22"/>
          <w:szCs w:val="22"/>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87" w:lineRule="exact"/>
        <w:rPr>
          <w:rFonts w:ascii="Arial" w:cs="Arial" w:eastAsia="Arial" w:hAnsi="Arial"/>
          <w:sz w:val="22"/>
          <w:szCs w:val="22"/>
          <w:color w:val="auto"/>
        </w:rPr>
      </w:pPr>
    </w:p>
    <w:p>
      <w:pPr>
        <w:ind w:left="4" w:right="300" w:firstLine="644"/>
        <w:spacing w:after="0" w:line="246" w:lineRule="auto"/>
        <w:tabs>
          <w:tab w:leader="none" w:pos="1297"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Deferral Provisions of Plan Unfunded and Limited to Select Group of Management or Highly Compensated Employees</w:t>
      </w:r>
      <w:r>
        <w:rPr>
          <w:rFonts w:ascii="Arial" w:cs="Arial" w:eastAsia="Arial" w:hAnsi="Arial"/>
          <w:sz w:val="22"/>
          <w:szCs w:val="22"/>
          <w:b w:val="1"/>
          <w:bCs w:val="1"/>
          <w:color w:val="auto"/>
        </w:rPr>
        <w:t>.</w:t>
      </w:r>
      <w:r>
        <w:rPr>
          <w:rFonts w:ascii="Arial" w:cs="Arial" w:eastAsia="Arial" w:hAnsi="Arial"/>
          <w:sz w:val="22"/>
          <w:szCs w:val="22"/>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0584"/>
          </w:cols>
          <w:pgMar w:left="976" w:top="126" w:right="339" w:bottom="1440" w:gutter="0" w:footer="0" w:header="0"/>
        </w:sectPr>
      </w:pPr>
    </w:p>
    <w:bookmarkStart w:id="89" w:name="page90"/>
    <w:bookmarkEnd w:id="89"/>
    <w:p>
      <w:pPr>
        <w:ind w:left="4" w:right="180" w:firstLine="644"/>
        <w:spacing w:after="0" w:line="253" w:lineRule="auto"/>
        <w:tabs>
          <w:tab w:leader="none" w:pos="1570"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Committee.</w:t>
      </w:r>
    </w:p>
    <w:p>
      <w:pPr>
        <w:spacing w:after="0" w:line="179" w:lineRule="exact"/>
        <w:rPr>
          <w:rFonts w:ascii="Arial" w:cs="Arial" w:eastAsia="Arial" w:hAnsi="Arial"/>
          <w:sz w:val="22"/>
          <w:szCs w:val="22"/>
          <w:color w:val="auto"/>
        </w:rPr>
      </w:pPr>
    </w:p>
    <w:p>
      <w:pPr>
        <w:ind w:left="644" w:hanging="644"/>
        <w:spacing w:after="0"/>
        <w:tabs>
          <w:tab w:leader="none" w:pos="644"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ind w:left="1284" w:hanging="636"/>
        <w:spacing w:after="0"/>
        <w:tabs>
          <w:tab w:leader="none" w:pos="128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4" w:firstLine="644"/>
        <w:spacing w:after="0" w:line="297" w:lineRule="auto"/>
        <w:tabs>
          <w:tab w:leader="none" w:pos="1295"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w:t>
      </w:r>
      <w:r>
        <w:rPr>
          <w:rFonts w:ascii="Arial" w:cs="Arial" w:eastAsia="Arial" w:hAnsi="Arial"/>
          <w:sz w:val="19"/>
          <w:szCs w:val="19"/>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amounts credited to the Income Fund or an Other Investment Fund are credited with income, gains, and losses as provided in Article 8, reduced by distributions in accordance with the Plan.</w:t>
      </w:r>
    </w:p>
    <w:p>
      <w:pPr>
        <w:spacing w:after="0" w:line="146" w:lineRule="exact"/>
        <w:rPr>
          <w:rFonts w:ascii="Arial" w:cs="Arial" w:eastAsia="Arial" w:hAnsi="Arial"/>
          <w:sz w:val="19"/>
          <w:szCs w:val="19"/>
          <w:color w:val="auto"/>
        </w:rPr>
      </w:pPr>
    </w:p>
    <w:p>
      <w:pPr>
        <w:ind w:left="1284" w:hanging="636"/>
        <w:spacing w:after="0"/>
        <w:tabs>
          <w:tab w:leader="none" w:pos="128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Active Grantee</w:t>
      </w:r>
      <w:r>
        <w:rPr>
          <w:rFonts w:ascii="Arial" w:cs="Arial" w:eastAsia="Arial" w:hAnsi="Arial"/>
          <w:sz w:val="22"/>
          <w:szCs w:val="22"/>
          <w:color w:val="auto"/>
        </w:rPr>
        <w:t>” means each Grantee who is actively employed by a Participating Company.</w:t>
      </w:r>
    </w:p>
    <w:p>
      <w:pPr>
        <w:spacing w:after="0" w:line="219" w:lineRule="exact"/>
        <w:rPr>
          <w:rFonts w:ascii="Arial" w:cs="Arial" w:eastAsia="Arial" w:hAnsi="Arial"/>
          <w:sz w:val="22"/>
          <w:szCs w:val="22"/>
          <w:color w:val="auto"/>
        </w:rPr>
      </w:pPr>
    </w:p>
    <w:p>
      <w:pPr>
        <w:ind w:left="4" w:right="120" w:firstLine="644"/>
        <w:spacing w:after="0" w:line="297" w:lineRule="auto"/>
        <w:tabs>
          <w:tab w:leader="none" w:pos="1295"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6" w:lineRule="exact"/>
        <w:rPr>
          <w:rFonts w:ascii="Arial" w:cs="Arial" w:eastAsia="Arial" w:hAnsi="Arial"/>
          <w:sz w:val="19"/>
          <w:szCs w:val="19"/>
          <w:color w:val="auto"/>
        </w:rPr>
      </w:pPr>
    </w:p>
    <w:p>
      <w:pPr>
        <w:ind w:left="4" w:right="520" w:firstLine="644"/>
        <w:spacing w:after="0" w:line="287" w:lineRule="auto"/>
        <w:tabs>
          <w:tab w:leader="none" w:pos="1297" w:val="left"/>
        </w:tabs>
        <w:numPr>
          <w:ilvl w:val="1"/>
          <w:numId w:val="1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Rate of Pay</w:t>
      </w:r>
      <w:r>
        <w:rPr>
          <w:rFonts w:ascii="Arial" w:cs="Arial" w:eastAsia="Arial" w:hAnsi="Arial"/>
          <w:sz w:val="21"/>
          <w:szCs w:val="21"/>
          <w:color w:val="auto"/>
        </w:rPr>
        <w:t>” means, as of any date, an employee’s annualized base pay rate. An employee’s Annual Rate of Pay shall not include sales commissions or other similar payments or awards.</w:t>
      </w:r>
    </w:p>
    <w:p>
      <w:pPr>
        <w:spacing w:after="0" w:line="151" w:lineRule="exact"/>
        <w:rPr>
          <w:rFonts w:ascii="Arial" w:cs="Arial" w:eastAsia="Arial" w:hAnsi="Arial"/>
          <w:sz w:val="21"/>
          <w:szCs w:val="21"/>
          <w:color w:val="auto"/>
        </w:rPr>
      </w:pPr>
    </w:p>
    <w:p>
      <w:pPr>
        <w:ind w:left="1304" w:hanging="656"/>
        <w:spacing w:after="0"/>
        <w:tabs>
          <w:tab w:leader="none" w:pos="1304" w:val="left"/>
        </w:tabs>
        <w:numPr>
          <w:ilvl w:val="1"/>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Interest Rate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944" w:hanging="852"/>
        <w:spacing w:after="0"/>
        <w:tabs>
          <w:tab w:leader="none" w:pos="1944" w:val="left"/>
        </w:tabs>
        <w:numPr>
          <w:ilvl w:val="2"/>
          <w:numId w:val="120"/>
        </w:numPr>
        <w:rPr>
          <w:rFonts w:ascii="Arial" w:cs="Arial" w:eastAsia="Arial" w:hAnsi="Arial"/>
          <w:sz w:val="22"/>
          <w:szCs w:val="22"/>
          <w:color w:val="auto"/>
        </w:rPr>
      </w:pPr>
      <w:r>
        <w:rPr>
          <w:rFonts w:ascii="Arial" w:cs="Arial" w:eastAsia="Arial" w:hAnsi="Arial"/>
          <w:sz w:val="22"/>
          <w:szCs w:val="22"/>
          <w:color w:val="auto"/>
        </w:rPr>
        <w:t>Except as otherwise provided in Paragraph 2(f)(ii):</w:t>
      </w:r>
    </w:p>
    <w:p>
      <w:pPr>
        <w:spacing w:after="0" w:line="219" w:lineRule="exact"/>
        <w:rPr>
          <w:rFonts w:ascii="Arial" w:cs="Arial" w:eastAsia="Arial" w:hAnsi="Arial"/>
          <w:sz w:val="22"/>
          <w:szCs w:val="22"/>
          <w:color w:val="auto"/>
        </w:rPr>
      </w:pPr>
    </w:p>
    <w:p>
      <w:pPr>
        <w:ind w:left="2584" w:hanging="640"/>
        <w:spacing w:after="0" w:line="246" w:lineRule="auto"/>
        <w:tabs>
          <w:tab w:leader="none" w:pos="2502" w:val="left"/>
        </w:tabs>
        <w:numPr>
          <w:ilvl w:val="3"/>
          <w:numId w:val="120"/>
        </w:numPr>
        <w:rPr>
          <w:rFonts w:ascii="Arial" w:cs="Arial" w:eastAsia="Arial" w:hAnsi="Arial"/>
          <w:sz w:val="22"/>
          <w:szCs w:val="22"/>
          <w:color w:val="auto"/>
        </w:rPr>
      </w:pPr>
      <w:r>
        <w:rPr>
          <w:rFonts w:ascii="Arial" w:cs="Arial" w:eastAsia="Arial" w:hAnsi="Arial"/>
          <w:sz w:val="22"/>
          <w:szCs w:val="22"/>
          <w:color w:val="auto"/>
        </w:rPr>
        <w:t>The Applicable Interest Rate with respect to amounts credited to the Income Fund that are attributable to (1) dividends and other distributions credited with respect to Deferred Stock Units that are deferred pursuant to Initial Deferral Elections made before January 1, 2010 and (2) Diversification Elections and Special Diversification Elections made before January 1, 2010 shall be the interest rate that, when compounded annually pursuant to rules established by the Committee from time to time, is mathematically equivalent to 8% (0.08) per annum,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44"/>
          </w:cols>
          <w:pgMar w:left="976" w:top="1428" w:right="379" w:bottom="1440" w:gutter="0" w:footer="0" w:header="0"/>
        </w:sectPr>
      </w:pPr>
    </w:p>
    <w:bookmarkStart w:id="90" w:name="page91"/>
    <w:bookmarkEnd w:id="90"/>
    <w:p>
      <w:pPr>
        <w:jc w:val="center"/>
        <w:ind w:right="100"/>
        <w:spacing w:after="0"/>
        <w:rPr>
          <w:sz w:val="20"/>
          <w:szCs w:val="20"/>
          <w:color w:val="auto"/>
        </w:rPr>
      </w:pPr>
      <w:r>
        <w:rPr>
          <w:rFonts w:ascii="Arial" w:cs="Arial" w:eastAsia="Arial" w:hAnsi="Arial"/>
          <w:sz w:val="22"/>
          <w:szCs w:val="22"/>
          <w:color w:val="auto"/>
        </w:rPr>
        <w:t>other interest rate established by the Committee from time to time.</w:t>
      </w:r>
    </w:p>
    <w:p>
      <w:pPr>
        <w:spacing w:after="0" w:line="220" w:lineRule="exact"/>
        <w:rPr>
          <w:sz w:val="20"/>
          <w:szCs w:val="20"/>
          <w:color w:val="auto"/>
        </w:rPr>
      </w:pPr>
    </w:p>
    <w:p>
      <w:pPr>
        <w:ind w:left="2120" w:right="280" w:hanging="640"/>
        <w:spacing w:after="0" w:line="263" w:lineRule="auto"/>
        <w:tabs>
          <w:tab w:leader="none" w:pos="202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Applicable Interest Rate with respect to amounts credited to the Income Fund that are attributable to:</w:t>
      </w:r>
    </w:p>
    <w:p>
      <w:pPr>
        <w:spacing w:after="0" w:line="174" w:lineRule="exact"/>
        <w:rPr>
          <w:rFonts w:ascii="Arial" w:cs="Arial" w:eastAsia="Arial" w:hAnsi="Arial"/>
          <w:sz w:val="22"/>
          <w:szCs w:val="22"/>
          <w:color w:val="auto"/>
        </w:rPr>
      </w:pPr>
    </w:p>
    <w:p>
      <w:pPr>
        <w:ind w:left="1480" w:firstLine="648"/>
        <w:spacing w:after="0" w:line="253" w:lineRule="auto"/>
        <w:tabs>
          <w:tab w:leader="none" w:pos="2596" w:val="left"/>
        </w:tabs>
        <w:numPr>
          <w:ilvl w:val="1"/>
          <w:numId w:val="121"/>
        </w:numPr>
        <w:rPr>
          <w:rFonts w:ascii="Arial" w:cs="Arial" w:eastAsia="Arial" w:hAnsi="Arial"/>
          <w:sz w:val="22"/>
          <w:szCs w:val="22"/>
          <w:color w:val="auto"/>
        </w:rPr>
      </w:pPr>
      <w:r>
        <w:rPr>
          <w:rFonts w:ascii="Arial" w:cs="Arial" w:eastAsia="Arial" w:hAnsi="Arial"/>
          <w:sz w:val="22"/>
          <w:szCs w:val="22"/>
          <w:color w:val="auto"/>
        </w:rPr>
        <w:t>dividends and other distributions credited with respect to Deferred Stock Units that are deferred pursuant to Initial Deferral Elections made on or after January 1, 2010 and before January 1, 2014; and</w:t>
      </w:r>
    </w:p>
    <w:p>
      <w:pPr>
        <w:spacing w:after="0" w:line="212" w:lineRule="exact"/>
        <w:rPr>
          <w:rFonts w:ascii="Arial" w:cs="Arial" w:eastAsia="Arial" w:hAnsi="Arial"/>
          <w:sz w:val="22"/>
          <w:szCs w:val="22"/>
          <w:color w:val="auto"/>
        </w:rPr>
      </w:pPr>
    </w:p>
    <w:p>
      <w:pPr>
        <w:jc w:val="both"/>
        <w:ind w:left="1480" w:right="620" w:firstLine="648"/>
        <w:spacing w:after="0" w:line="312" w:lineRule="auto"/>
        <w:tabs>
          <w:tab w:leader="none" w:pos="2596" w:val="left"/>
        </w:tabs>
        <w:numPr>
          <w:ilvl w:val="1"/>
          <w:numId w:val="121"/>
        </w:numPr>
        <w:rPr>
          <w:rFonts w:ascii="Arial" w:cs="Arial" w:eastAsia="Arial" w:hAnsi="Arial"/>
          <w:sz w:val="19"/>
          <w:szCs w:val="19"/>
          <w:color w:val="auto"/>
        </w:rPr>
      </w:pPr>
      <w:r>
        <w:rPr>
          <w:rFonts w:ascii="Arial" w:cs="Arial" w:eastAsia="Arial" w:hAnsi="Arial"/>
          <w:sz w:val="19"/>
          <w:szCs w:val="19"/>
          <w:color w:val="auto"/>
        </w:rPr>
        <w:t>Diversification Elections and Special Diversification Elections made on or after January 1, 2010 and before January 1, 2014 and Subsequent Deferral Elections made before January 1, 2021 with respect to the amounts described in this Paragraph 2(f)(i)(B)(2);</w:t>
      </w:r>
    </w:p>
    <w:p>
      <w:pPr>
        <w:spacing w:after="0" w:line="160" w:lineRule="exact"/>
        <w:rPr>
          <w:sz w:val="20"/>
          <w:szCs w:val="20"/>
          <w:color w:val="auto"/>
        </w:rPr>
      </w:pPr>
    </w:p>
    <w:p>
      <w:pPr>
        <w:jc w:val="both"/>
        <w:ind w:left="1480" w:right="560"/>
        <w:spacing w:after="0" w:line="271" w:lineRule="auto"/>
        <w:rPr>
          <w:sz w:val="20"/>
          <w:szCs w:val="20"/>
          <w:color w:val="auto"/>
        </w:rPr>
      </w:pPr>
      <w:r>
        <w:rPr>
          <w:rFonts w:ascii="Arial" w:cs="Arial" w:eastAsia="Arial" w:hAnsi="Arial"/>
          <w:sz w:val="21"/>
          <w:szCs w:val="21"/>
          <w:color w:val="auto"/>
        </w:rPr>
        <w:t>shall be the interest rate that, when compounded annually pursuant to rules established by the Committee from time to time, is mathematically equivalent to 12% per annum, or such other interest rate established by the Committee from time to time.</w:t>
      </w:r>
    </w:p>
    <w:p>
      <w:pPr>
        <w:spacing w:after="0" w:line="167" w:lineRule="exact"/>
        <w:rPr>
          <w:sz w:val="20"/>
          <w:szCs w:val="20"/>
          <w:color w:val="auto"/>
        </w:rPr>
      </w:pPr>
    </w:p>
    <w:p>
      <w:pPr>
        <w:ind w:left="2040" w:hanging="560"/>
        <w:spacing w:after="0"/>
        <w:tabs>
          <w:tab w:leader="none" w:pos="204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Effective with respect to amounts credited to the Income Fund that are attributable to:</w:t>
      </w:r>
    </w:p>
    <w:p>
      <w:pPr>
        <w:spacing w:after="0" w:line="231" w:lineRule="exact"/>
        <w:rPr>
          <w:rFonts w:ascii="Arial" w:cs="Arial" w:eastAsia="Arial" w:hAnsi="Arial"/>
          <w:sz w:val="21"/>
          <w:szCs w:val="21"/>
          <w:color w:val="auto"/>
        </w:rPr>
      </w:pPr>
    </w:p>
    <w:p>
      <w:pPr>
        <w:ind w:left="1480" w:firstLine="648"/>
        <w:spacing w:after="0" w:line="253" w:lineRule="auto"/>
        <w:tabs>
          <w:tab w:leader="none" w:pos="2596" w:val="left"/>
        </w:tabs>
        <w:numPr>
          <w:ilvl w:val="1"/>
          <w:numId w:val="122"/>
        </w:numPr>
        <w:rPr>
          <w:rFonts w:ascii="Arial" w:cs="Arial" w:eastAsia="Arial" w:hAnsi="Arial"/>
          <w:sz w:val="22"/>
          <w:szCs w:val="22"/>
          <w:color w:val="auto"/>
        </w:rPr>
      </w:pPr>
      <w:r>
        <w:rPr>
          <w:rFonts w:ascii="Arial" w:cs="Arial" w:eastAsia="Arial" w:hAnsi="Arial"/>
          <w:sz w:val="22"/>
          <w:szCs w:val="22"/>
          <w:color w:val="auto"/>
        </w:rPr>
        <w:t>dividends and other distributions credited with respect to Deferred Stock Units that are deferred pursuant to Initial Deferral Elections made on or after January 1, 2014 and before January 1, 2021:</w:t>
      </w:r>
    </w:p>
    <w:p>
      <w:pPr>
        <w:spacing w:after="0" w:line="185" w:lineRule="exact"/>
        <w:rPr>
          <w:rFonts w:ascii="Arial" w:cs="Arial" w:eastAsia="Arial" w:hAnsi="Arial"/>
          <w:sz w:val="22"/>
          <w:szCs w:val="22"/>
          <w:color w:val="auto"/>
        </w:rPr>
      </w:pPr>
    </w:p>
    <w:p>
      <w:pPr>
        <w:ind w:left="1480" w:right="260" w:firstLine="648"/>
        <w:spacing w:after="0" w:line="343" w:lineRule="auto"/>
        <w:tabs>
          <w:tab w:leader="none" w:pos="265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dividends and other distributions credited with respect to Deferred Stock Units that are deferred pursuant to Regular Deferral Elections made before January 1, 2021; and</w:t>
      </w:r>
    </w:p>
    <w:p>
      <w:pPr>
        <w:spacing w:after="0" w:line="104" w:lineRule="exact"/>
        <w:rPr>
          <w:rFonts w:ascii="Arial" w:cs="Arial" w:eastAsia="Arial" w:hAnsi="Arial"/>
          <w:sz w:val="19"/>
          <w:szCs w:val="19"/>
          <w:color w:val="auto"/>
        </w:rPr>
      </w:pPr>
    </w:p>
    <w:p>
      <w:pPr>
        <w:ind w:left="1480" w:right="180" w:firstLine="648"/>
        <w:spacing w:after="0" w:line="312" w:lineRule="auto"/>
        <w:tabs>
          <w:tab w:leader="none" w:pos="2596" w:val="left"/>
        </w:tabs>
        <w:numPr>
          <w:ilvl w:val="1"/>
          <w:numId w:val="122"/>
        </w:numPr>
        <w:rPr>
          <w:rFonts w:ascii="Arial" w:cs="Arial" w:eastAsia="Arial" w:hAnsi="Arial"/>
          <w:sz w:val="19"/>
          <w:szCs w:val="19"/>
          <w:color w:val="auto"/>
        </w:rPr>
      </w:pPr>
      <w:r>
        <w:rPr>
          <w:rFonts w:ascii="Arial" w:cs="Arial" w:eastAsia="Arial" w:hAnsi="Arial"/>
          <w:sz w:val="19"/>
          <w:szCs w:val="19"/>
          <w:color w:val="auto"/>
        </w:rPr>
        <w:t>Diversification Elections and Special Diversification Elections that become effective on or after January 1, 2014 and before January 1, 2021, and Subsequent Deferral Elections made before January 1, 2021 with respect to the amounts described in this Paragraph 2(f)(i)(C)(3);</w:t>
      </w:r>
    </w:p>
    <w:p>
      <w:pPr>
        <w:spacing w:after="0" w:line="133" w:lineRule="exact"/>
        <w:rPr>
          <w:sz w:val="20"/>
          <w:szCs w:val="20"/>
          <w:color w:val="auto"/>
        </w:rPr>
      </w:pPr>
    </w:p>
    <w:p>
      <w:pPr>
        <w:ind w:left="1480" w:right="100"/>
        <w:spacing w:after="0" w:line="276" w:lineRule="auto"/>
        <w:rPr>
          <w:sz w:val="20"/>
          <w:szCs w:val="20"/>
          <w:color w:val="auto"/>
        </w:rPr>
      </w:pPr>
      <w:r>
        <w:rPr>
          <w:rFonts w:ascii="Arial" w:cs="Arial" w:eastAsia="Arial" w:hAnsi="Arial"/>
          <w:sz w:val="19"/>
          <w:szCs w:val="19"/>
          <w:color w:val="auto"/>
        </w:rPr>
        <w:t>the “Applicable Interest Rate” shall be the Applicable Interest Rate that applies to “Protected Account Balances” under the Comcast Corporation 2005 Deferred Compensation Plan (the “2005 Deferred Compensation Plan”) if, as of the September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immediately preceding the Plan Year to which the Initial Deferral Election, Regular Deferral Election or Diversification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00"/>
          </w:cols>
          <w:pgMar w:left="1440" w:top="1428" w:right="359" w:bottom="1440" w:gutter="0" w:footer="0" w:header="0"/>
        </w:sectPr>
      </w:pPr>
    </w:p>
    <w:bookmarkStart w:id="91" w:name="page92"/>
    <w:bookmarkEnd w:id="91"/>
    <w:p>
      <w:pPr>
        <w:ind w:left="1480"/>
        <w:spacing w:after="0" w:line="289" w:lineRule="auto"/>
        <w:rPr>
          <w:sz w:val="20"/>
          <w:szCs w:val="20"/>
          <w:color w:val="auto"/>
        </w:rPr>
      </w:pPr>
      <w:r>
        <w:rPr>
          <w:rFonts w:ascii="Arial" w:cs="Arial" w:eastAsia="Arial" w:hAnsi="Arial"/>
          <w:sz w:val="19"/>
          <w:szCs w:val="19"/>
          <w:color w:val="auto"/>
        </w:rPr>
        <w:t>applies, the sum of (x) the Grantee’s Account under the 2005 Deferred Compensation Plan to the extent such Account is credited to the Income Fund, plus (y) the Grantee’s Account under the Comcast Corporation 2002 Deferred Compensation Plan (the “2002 Deferred Compensation Plan”) to the extent such Account is credited to the Income Fund, plus (z) the portion of the Grantee’s Account under this Plan credited to the Income Fund, is less than the High-Water Mark. If the conditions described in the preceding sentence do not apply, the “Applicable Interest Rate” shall be the Applicable Interest Rate that applies under the 2005 Deferred Compensation Plan to amounts credited pursuant to Initial Deferral Elections with respect to compensation earned after December 31, 2013, that are not Protected Account Balances.</w:t>
      </w:r>
    </w:p>
    <w:p>
      <w:pPr>
        <w:spacing w:after="0" w:line="157" w:lineRule="exact"/>
        <w:rPr>
          <w:sz w:val="20"/>
          <w:szCs w:val="20"/>
          <w:color w:val="auto"/>
        </w:rPr>
      </w:pPr>
    </w:p>
    <w:p>
      <w:pPr>
        <w:ind w:left="1480" w:right="20" w:hanging="911"/>
        <w:spacing w:after="0" w:line="286" w:lineRule="auto"/>
        <w:tabs>
          <w:tab w:leader="none" w:pos="148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Effective for the period beginning as soon as administratively practicable following (A) a significant reduction in a Grantee’s compensation and services to the Company, as determined by the Committee in its sole discretion, and (B) a Grantee’s employment termination date, in each case,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460" w:right="460" w:firstLine="644"/>
        <w:spacing w:after="0" w:line="263" w:lineRule="auto"/>
        <w:tabs>
          <w:tab w:leader="none" w:pos="110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AT&amp;T Broadband Transaction</w:t>
      </w:r>
      <w:r>
        <w:rPr>
          <w:rFonts w:ascii="Arial" w:cs="Arial" w:eastAsia="Arial" w:hAnsi="Arial"/>
          <w:sz w:val="22"/>
          <w:szCs w:val="22"/>
          <w:color w:val="auto"/>
        </w:rPr>
        <w:t>” means the acquisition of AT&amp;T Broadband Corp. (now known as Comcast Cable Communications, LLC) by the Company.</w:t>
      </w:r>
    </w:p>
    <w:p>
      <w:pPr>
        <w:spacing w:after="0" w:line="174" w:lineRule="exact"/>
        <w:rPr>
          <w:rFonts w:ascii="Arial" w:cs="Arial" w:eastAsia="Arial" w:hAnsi="Arial"/>
          <w:sz w:val="22"/>
          <w:szCs w:val="22"/>
          <w:color w:val="auto"/>
        </w:rPr>
      </w:pPr>
    </w:p>
    <w:p>
      <w:pPr>
        <w:ind w:left="820" w:hanging="636"/>
        <w:spacing w:after="0"/>
        <w:tabs>
          <w:tab w:leader="none" w:pos="8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 award of Restricted Stock or Restricted Stock Units granted under the Plan.</w:t>
      </w:r>
    </w:p>
    <w:p>
      <w:pPr>
        <w:spacing w:after="0" w:line="219" w:lineRule="exact"/>
        <w:rPr>
          <w:rFonts w:ascii="Arial" w:cs="Arial" w:eastAsia="Arial" w:hAnsi="Arial"/>
          <w:sz w:val="22"/>
          <w:szCs w:val="22"/>
          <w:color w:val="auto"/>
        </w:rPr>
      </w:pPr>
    </w:p>
    <w:p>
      <w:pPr>
        <w:ind w:left="820" w:hanging="636"/>
        <w:spacing w:after="0"/>
        <w:tabs>
          <w:tab w:leader="none" w:pos="8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080"/>
          </w:cols>
          <w:pgMar w:left="1440" w:top="1428" w:right="379" w:bottom="1440" w:gutter="0" w:footer="0" w:header="0"/>
        </w:sectPr>
      </w:pPr>
    </w:p>
    <w:bookmarkStart w:id="92" w:name="page93"/>
    <w:bookmarkEnd w:id="92"/>
    <w:p>
      <w:pPr>
        <w:ind w:left="820" w:hanging="636"/>
        <w:spacing w:after="0"/>
        <w:tabs>
          <w:tab w:leader="none" w:pos="8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480" w:right="180" w:hanging="852"/>
        <w:spacing w:after="0" w:line="263" w:lineRule="auto"/>
        <w:tabs>
          <w:tab w:leader="none" w:pos="14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Except as provided in Paragraph 2(j)(ii), “Change in Control” means the occurrence of any one or more of the following events:</w:t>
      </w:r>
    </w:p>
    <w:p>
      <w:pPr>
        <w:spacing w:after="0" w:line="174" w:lineRule="exact"/>
        <w:rPr>
          <w:rFonts w:ascii="Arial" w:cs="Arial" w:eastAsia="Arial" w:hAnsi="Arial"/>
          <w:sz w:val="22"/>
          <w:szCs w:val="22"/>
          <w:color w:val="auto"/>
        </w:rPr>
      </w:pPr>
    </w:p>
    <w:p>
      <w:pPr>
        <w:ind w:left="2120" w:right="20" w:hanging="640"/>
        <w:spacing w:after="0" w:line="245" w:lineRule="auto"/>
        <w:tabs>
          <w:tab w:leader="none" w:pos="1988" w:val="left"/>
        </w:tabs>
        <w:numPr>
          <w:ilvl w:val="2"/>
          <w:numId w:val="125"/>
        </w:numPr>
        <w:rPr>
          <w:rFonts w:ascii="Arial" w:cs="Arial" w:eastAsia="Arial" w:hAnsi="Arial"/>
          <w:sz w:val="22"/>
          <w:szCs w:val="22"/>
          <w:color w:val="auto"/>
        </w:rPr>
      </w:pPr>
      <w:r>
        <w:rPr>
          <w:rFonts w:ascii="Arial" w:cs="Arial" w:eastAsia="Arial" w:hAnsi="Arial"/>
          <w:sz w:val="22"/>
          <w:szCs w:val="22"/>
          <w:color w:val="auto"/>
        </w:rPr>
        <w:t>following February 22, 2016, 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38" w:lineRule="exact"/>
        <w:rPr>
          <w:rFonts w:ascii="Arial" w:cs="Arial" w:eastAsia="Arial" w:hAnsi="Arial"/>
          <w:sz w:val="22"/>
          <w:szCs w:val="22"/>
          <w:color w:val="auto"/>
        </w:rPr>
      </w:pPr>
    </w:p>
    <w:p>
      <w:pPr>
        <w:ind w:left="2120" w:right="80" w:hanging="640"/>
        <w:spacing w:after="0" w:line="247" w:lineRule="auto"/>
        <w:tabs>
          <w:tab w:leader="none" w:pos="1976" w:val="left"/>
        </w:tabs>
        <w:numPr>
          <w:ilvl w:val="2"/>
          <w:numId w:val="125"/>
        </w:numPr>
        <w:rPr>
          <w:rFonts w:ascii="Arial" w:cs="Arial" w:eastAsia="Arial" w:hAnsi="Arial"/>
          <w:sz w:val="22"/>
          <w:szCs w:val="22"/>
          <w:color w:val="auto"/>
        </w:rPr>
      </w:pPr>
      <w:r>
        <w:rPr>
          <w:rFonts w:ascii="Arial" w:cs="Arial" w:eastAsia="Arial" w:hAnsi="Arial"/>
          <w:sz w:val="22"/>
          <w:szCs w:val="22"/>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30" w:lineRule="exact"/>
        <w:rPr>
          <w:rFonts w:ascii="Arial" w:cs="Arial" w:eastAsia="Arial" w:hAnsi="Arial"/>
          <w:sz w:val="22"/>
          <w:szCs w:val="22"/>
          <w:color w:val="auto"/>
        </w:rPr>
      </w:pPr>
    </w:p>
    <w:p>
      <w:pPr>
        <w:ind w:left="2120" w:hanging="640"/>
        <w:spacing w:after="0" w:line="287" w:lineRule="auto"/>
        <w:tabs>
          <w:tab w:leader="none" w:pos="1976" w:val="left"/>
        </w:tabs>
        <w:numPr>
          <w:ilvl w:val="2"/>
          <w:numId w:val="125"/>
        </w:numPr>
        <w:rPr>
          <w:rFonts w:ascii="Arial" w:cs="Arial" w:eastAsia="Arial" w:hAnsi="Arial"/>
          <w:sz w:val="19"/>
          <w:szCs w:val="19"/>
          <w:color w:val="auto"/>
        </w:rPr>
      </w:pPr>
      <w:r>
        <w:rPr>
          <w:rFonts w:ascii="Arial" w:cs="Arial" w:eastAsia="Arial" w:hAnsi="Arial"/>
          <w:sz w:val="19"/>
          <w:szCs w:val="19"/>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428" w:right="339" w:bottom="1440" w:gutter="0" w:footer="0" w:header="0"/>
        </w:sectPr>
      </w:pPr>
    </w:p>
    <w:bookmarkStart w:id="93" w:name="page94"/>
    <w:bookmarkEnd w:id="93"/>
    <w:p>
      <w:pPr>
        <w:ind w:left="2120" w:right="700" w:hanging="640"/>
        <w:spacing w:after="0" w:line="263" w:lineRule="auto"/>
        <w:tabs>
          <w:tab w:leader="none" w:pos="1988" w:val="left"/>
        </w:tabs>
        <w:numPr>
          <w:ilvl w:val="2"/>
          <w:numId w:val="126"/>
        </w:numPr>
        <w:rPr>
          <w:rFonts w:ascii="Arial" w:cs="Arial" w:eastAsia="Arial" w:hAnsi="Arial"/>
          <w:sz w:val="22"/>
          <w:szCs w:val="22"/>
          <w:color w:val="auto"/>
        </w:rPr>
      </w:pPr>
      <w:r>
        <w:rPr>
          <w:rFonts w:ascii="Arial" w:cs="Arial" w:eastAsia="Arial" w:hAnsi="Arial"/>
          <w:sz w:val="22"/>
          <w:szCs w:val="22"/>
          <w:color w:val="auto"/>
        </w:rPr>
        <w:t>the approval by the shareholders of the Company of a liquidation or dissolution of the Company.</w:t>
      </w:r>
    </w:p>
    <w:p>
      <w:pPr>
        <w:spacing w:after="0" w:line="174" w:lineRule="exact"/>
        <w:rPr>
          <w:rFonts w:ascii="Arial" w:cs="Arial" w:eastAsia="Arial" w:hAnsi="Arial"/>
          <w:sz w:val="22"/>
          <w:szCs w:val="22"/>
          <w:color w:val="auto"/>
        </w:rPr>
      </w:pPr>
    </w:p>
    <w:p>
      <w:pPr>
        <w:ind w:left="1480" w:right="20" w:hanging="911"/>
        <w:spacing w:after="0" w:line="263" w:lineRule="auto"/>
        <w:tabs>
          <w:tab w:leader="none" w:pos="148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For purposes of Paragraph 8, and 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175" w:lineRule="exact"/>
        <w:rPr>
          <w:rFonts w:ascii="Arial" w:cs="Arial" w:eastAsia="Arial" w:hAnsi="Arial"/>
          <w:sz w:val="21"/>
          <w:szCs w:val="21"/>
          <w:color w:val="auto"/>
        </w:rPr>
      </w:pPr>
    </w:p>
    <w:p>
      <w:pPr>
        <w:ind w:left="820" w:hanging="636"/>
        <w:spacing w:after="0"/>
        <w:tabs>
          <w:tab w:leader="none" w:pos="8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color w:val="auto"/>
        </w:rPr>
      </w:pPr>
    </w:p>
    <w:p>
      <w:pPr>
        <w:ind w:left="-460" w:right="80" w:firstLine="644"/>
        <w:spacing w:after="0" w:line="248" w:lineRule="auto"/>
        <w:tabs>
          <w:tab w:leader="none" w:pos="82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Plan</w:t>
      </w:r>
      <w:r>
        <w:rPr>
          <w:rFonts w:ascii="Arial" w:cs="Arial" w:eastAsia="Arial" w:hAnsi="Arial"/>
          <w:sz w:val="22"/>
          <w:szCs w:val="22"/>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91" w:lineRule="exact"/>
        <w:rPr>
          <w:rFonts w:ascii="Arial" w:cs="Arial" w:eastAsia="Arial" w:hAnsi="Arial"/>
          <w:sz w:val="22"/>
          <w:szCs w:val="22"/>
          <w:color w:val="auto"/>
        </w:rPr>
      </w:pPr>
    </w:p>
    <w:p>
      <w:pPr>
        <w:ind w:left="-460" w:right="140" w:firstLine="644"/>
        <w:spacing w:after="0" w:line="253" w:lineRule="auto"/>
        <w:tabs>
          <w:tab w:leader="none" w:pos="82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185" w:lineRule="exact"/>
        <w:rPr>
          <w:rFonts w:ascii="Arial" w:cs="Arial" w:eastAsia="Arial" w:hAnsi="Arial"/>
          <w:sz w:val="22"/>
          <w:szCs w:val="22"/>
          <w:color w:val="auto"/>
        </w:rPr>
      </w:pPr>
    </w:p>
    <w:p>
      <w:pPr>
        <w:ind w:left="820" w:hanging="636"/>
        <w:spacing w:after="0"/>
        <w:tabs>
          <w:tab w:leader="none" w:pos="8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Class A Common Stock, par value $0.01, of the Company.</w:t>
      </w:r>
    </w:p>
    <w:p>
      <w:pPr>
        <w:spacing w:after="0" w:line="219" w:lineRule="exact"/>
        <w:rPr>
          <w:rFonts w:ascii="Arial" w:cs="Arial" w:eastAsia="Arial" w:hAnsi="Arial"/>
          <w:sz w:val="22"/>
          <w:szCs w:val="22"/>
          <w:color w:val="auto"/>
        </w:rPr>
      </w:pPr>
    </w:p>
    <w:p>
      <w:pPr>
        <w:ind w:left="-460" w:right="200" w:firstLine="644"/>
        <w:spacing w:after="0" w:line="287" w:lineRule="auto"/>
        <w:tabs>
          <w:tab w:leader="none" w:pos="83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Comcast Corporation, a Pennsylvania corporation, including any successor thereto by merger, consolidation, acquisition of all or substantially all the assets thereof, or otherwise.</w:t>
      </w:r>
    </w:p>
    <w:p>
      <w:pPr>
        <w:spacing w:after="0" w:line="151" w:lineRule="exact"/>
        <w:rPr>
          <w:rFonts w:ascii="Arial" w:cs="Arial" w:eastAsia="Arial" w:hAnsi="Arial"/>
          <w:sz w:val="21"/>
          <w:szCs w:val="21"/>
          <w:color w:val="auto"/>
        </w:rPr>
      </w:pPr>
    </w:p>
    <w:p>
      <w:pPr>
        <w:ind w:left="-460" w:firstLine="644"/>
        <w:spacing w:after="0" w:line="287" w:lineRule="auto"/>
        <w:tabs>
          <w:tab w:leader="none" w:pos="88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Stock Fund</w:t>
      </w:r>
      <w:r>
        <w:rPr>
          <w:rFonts w:ascii="Arial" w:cs="Arial" w:eastAsia="Arial" w:hAnsi="Arial"/>
          <w:sz w:val="19"/>
          <w:szCs w:val="19"/>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otherwise 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 commencing as of the date on which dividends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20"/>
          </w:cols>
          <w:pgMar w:left="1440" w:top="1428" w:right="339" w:bottom="1440" w:gutter="0" w:footer="0" w:header="0"/>
        </w:sectPr>
      </w:pPr>
    </w:p>
    <w:bookmarkStart w:id="94" w:name="page95"/>
    <w:bookmarkEnd w:id="94"/>
    <w:p>
      <w:pPr>
        <w:spacing w:after="0" w:line="246" w:lineRule="auto"/>
        <w:rPr>
          <w:sz w:val="20"/>
          <w:szCs w:val="20"/>
          <w:color w:val="auto"/>
        </w:rPr>
      </w:pPr>
      <w:r>
        <w:rPr>
          <w:rFonts w:ascii="Arial" w:cs="Arial" w:eastAsia="Arial" w:hAnsi="Arial"/>
          <w:sz w:val="22"/>
          <w:szCs w:val="22"/>
          <w:color w:val="auto"/>
        </w:rPr>
        <w:t>distributions are paid, provided further that with respect to the Accounts of Non-Employee Directors, (a) dividends and other distribution paid on or before July 31, 2020 shall be credited to the Income Fund, and (b) dividends and other distributions paid after July 31, 2020 shall be credited to the Company Stock Fund as a hypothetical purchase of Common Stock at Fair Market Value on the applicable dividend or distribution payment date. To the extent a distribution of a Grantee’s Account is attributable to amounts credited to the Company Stock Fund (i) as Deferred Stock Units that have never been the subject of a completed Diversification Election or (ii) under circumstances described in Paragraph 8(j)(ii) (A), distributions shall be made in the form of Common Stock. All other distributions of Account balances shall be made in cash.</w:t>
      </w:r>
    </w:p>
    <w:p>
      <w:pPr>
        <w:spacing w:after="0" w:line="194" w:lineRule="exact"/>
        <w:rPr>
          <w:sz w:val="20"/>
          <w:szCs w:val="20"/>
          <w:color w:val="auto"/>
        </w:rPr>
      </w:pPr>
    </w:p>
    <w:p>
      <w:pPr>
        <w:ind w:left="1280" w:hanging="636"/>
        <w:spacing w:after="0"/>
        <w:tabs>
          <w:tab w:leader="none" w:pos="12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on which an Award is granted.</w:t>
      </w:r>
    </w:p>
    <w:p>
      <w:pPr>
        <w:spacing w:after="0" w:line="219" w:lineRule="exact"/>
        <w:rPr>
          <w:rFonts w:ascii="Arial" w:cs="Arial" w:eastAsia="Arial" w:hAnsi="Arial"/>
          <w:sz w:val="22"/>
          <w:szCs w:val="22"/>
          <w:color w:val="auto"/>
        </w:rPr>
      </w:pPr>
    </w:p>
    <w:p>
      <w:pPr>
        <w:ind w:left="1300" w:hanging="656"/>
        <w:spacing w:after="0"/>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Deceased Grantee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940" w:hanging="852"/>
        <w:spacing w:after="0"/>
        <w:tabs>
          <w:tab w:leader="none" w:pos="194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 Grantee whose employment by a Participating Company is terminated by death; or</w:t>
      </w:r>
    </w:p>
    <w:p>
      <w:pPr>
        <w:spacing w:after="0" w:line="219" w:lineRule="exact"/>
        <w:rPr>
          <w:rFonts w:ascii="Arial" w:cs="Arial" w:eastAsia="Arial" w:hAnsi="Arial"/>
          <w:sz w:val="22"/>
          <w:szCs w:val="22"/>
          <w:color w:val="auto"/>
        </w:rPr>
      </w:pPr>
    </w:p>
    <w:p>
      <w:pPr>
        <w:ind w:left="1940" w:hanging="911"/>
        <w:spacing w:after="0"/>
        <w:tabs>
          <w:tab w:leader="none" w:pos="194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 Grantee who dies following termination of employment by a Participating Company.</w:t>
      </w:r>
    </w:p>
    <w:p>
      <w:pPr>
        <w:spacing w:after="0" w:line="219" w:lineRule="exact"/>
        <w:rPr>
          <w:rFonts w:ascii="Arial" w:cs="Arial" w:eastAsia="Arial" w:hAnsi="Arial"/>
          <w:sz w:val="22"/>
          <w:szCs w:val="22"/>
          <w:color w:val="auto"/>
        </w:rPr>
      </w:pPr>
    </w:p>
    <w:p>
      <w:pPr>
        <w:ind w:left="1300" w:hanging="656"/>
        <w:spacing w:after="0"/>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Eligible Employee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940" w:hanging="852"/>
        <w:spacing w:after="0"/>
        <w:tabs>
          <w:tab w:leader="none" w:pos="194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w:t>
      </w:r>
    </w:p>
    <w:p>
      <w:pPr>
        <w:spacing w:after="0" w:line="219" w:lineRule="exact"/>
        <w:rPr>
          <w:rFonts w:ascii="Arial" w:cs="Arial" w:eastAsia="Arial" w:hAnsi="Arial"/>
          <w:sz w:val="22"/>
          <w:szCs w:val="22"/>
          <w:color w:val="auto"/>
        </w:rPr>
      </w:pPr>
    </w:p>
    <w:p>
      <w:pPr>
        <w:ind w:left="2580" w:hanging="640"/>
        <w:spacing w:after="0" w:line="250" w:lineRule="auto"/>
        <w:tabs>
          <w:tab w:leader="none" w:pos="2436" w:val="left"/>
        </w:tabs>
        <w:numPr>
          <w:ilvl w:val="2"/>
          <w:numId w:val="129"/>
        </w:numPr>
        <w:rPr>
          <w:rFonts w:ascii="Arial" w:cs="Arial" w:eastAsia="Arial" w:hAnsi="Arial"/>
          <w:sz w:val="22"/>
          <w:szCs w:val="22"/>
          <w:color w:val="auto"/>
        </w:rPr>
      </w:pPr>
      <w:r>
        <w:rPr>
          <w:rFonts w:ascii="Arial" w:cs="Arial" w:eastAsia="Arial" w:hAnsi="Arial"/>
          <w:sz w:val="22"/>
          <w:szCs w:val="22"/>
          <w:color w:val="auto"/>
        </w:rPr>
        <w:t>An Eligible Employee whose Annual Rate of Pay is $250,000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87" w:lineRule="exact"/>
        <w:rPr>
          <w:rFonts w:ascii="Arial" w:cs="Arial" w:eastAsia="Arial" w:hAnsi="Arial"/>
          <w:sz w:val="22"/>
          <w:szCs w:val="22"/>
          <w:color w:val="auto"/>
        </w:rPr>
      </w:pPr>
    </w:p>
    <w:p>
      <w:pPr>
        <w:ind w:left="2440" w:hanging="500"/>
        <w:spacing w:after="0"/>
        <w:tabs>
          <w:tab w:leader="none" w:pos="2440" w:val="left"/>
        </w:tabs>
        <w:numPr>
          <w:ilvl w:val="2"/>
          <w:numId w:val="129"/>
        </w:numPr>
        <w:rPr>
          <w:rFonts w:ascii="Arial" w:cs="Arial" w:eastAsia="Arial" w:hAnsi="Arial"/>
          <w:sz w:val="22"/>
          <w:szCs w:val="22"/>
          <w:color w:val="auto"/>
        </w:rPr>
      </w:pPr>
      <w:r>
        <w:rPr>
          <w:rFonts w:ascii="Arial" w:cs="Arial" w:eastAsia="Arial" w:hAnsi="Arial"/>
          <w:sz w:val="22"/>
          <w:szCs w:val="22"/>
          <w:color w:val="auto"/>
        </w:rPr>
        <w:t>Each New Key Employee.</w:t>
      </w:r>
    </w:p>
    <w:p>
      <w:pPr>
        <w:spacing w:after="0" w:line="219" w:lineRule="exact"/>
        <w:rPr>
          <w:rFonts w:ascii="Arial" w:cs="Arial" w:eastAsia="Arial" w:hAnsi="Arial"/>
          <w:sz w:val="22"/>
          <w:szCs w:val="22"/>
          <w:color w:val="auto"/>
        </w:rPr>
      </w:pPr>
    </w:p>
    <w:p>
      <w:pPr>
        <w:ind w:left="2580" w:right="100" w:hanging="640"/>
        <w:spacing w:after="0" w:line="263" w:lineRule="auto"/>
        <w:tabs>
          <w:tab w:leader="none" w:pos="2436" w:val="left"/>
        </w:tabs>
        <w:numPr>
          <w:ilvl w:val="2"/>
          <w:numId w:val="129"/>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spacing w:after="0" w:line="174" w:lineRule="exact"/>
        <w:rPr>
          <w:rFonts w:ascii="Arial" w:cs="Arial" w:eastAsia="Arial" w:hAnsi="Arial"/>
          <w:sz w:val="22"/>
          <w:szCs w:val="22"/>
          <w:color w:val="auto"/>
        </w:rPr>
      </w:pPr>
    </w:p>
    <w:p>
      <w:pPr>
        <w:ind w:left="1940" w:hanging="911"/>
        <w:spacing w:after="0"/>
        <w:tabs>
          <w:tab w:leader="none" w:pos="194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Effective on and after January 1, 2019:</w:t>
      </w:r>
    </w:p>
    <w:p>
      <w:pPr>
        <w:spacing w:after="0" w:line="219" w:lineRule="exact"/>
        <w:rPr>
          <w:rFonts w:ascii="Arial" w:cs="Arial" w:eastAsia="Arial" w:hAnsi="Arial"/>
          <w:sz w:val="22"/>
          <w:szCs w:val="22"/>
          <w:color w:val="auto"/>
        </w:rPr>
      </w:pPr>
    </w:p>
    <w:p>
      <w:pPr>
        <w:ind w:left="2580" w:hanging="640"/>
        <w:spacing w:after="0" w:line="250" w:lineRule="auto"/>
        <w:tabs>
          <w:tab w:leader="none" w:pos="2436" w:val="left"/>
        </w:tabs>
        <w:numPr>
          <w:ilvl w:val="2"/>
          <w:numId w:val="129"/>
        </w:numPr>
        <w:rPr>
          <w:rFonts w:ascii="Arial" w:cs="Arial" w:eastAsia="Arial" w:hAnsi="Arial"/>
          <w:sz w:val="22"/>
          <w:szCs w:val="22"/>
          <w:color w:val="auto"/>
        </w:rPr>
      </w:pPr>
      <w:r>
        <w:rPr>
          <w:rFonts w:ascii="Arial" w:cs="Arial" w:eastAsia="Arial" w:hAnsi="Arial"/>
          <w:sz w:val="22"/>
          <w:szCs w:val="22"/>
          <w:color w:val="auto"/>
        </w:rPr>
        <w:t>An Eligible Employee whose Annual Rate of Pay is $350,000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40"/>
          </w:cols>
          <w:pgMar w:left="980" w:top="1428" w:right="379" w:bottom="1440" w:gutter="0" w:footer="0" w:header="0"/>
        </w:sectPr>
      </w:pPr>
    </w:p>
    <w:bookmarkStart w:id="95" w:name="page96"/>
    <w:bookmarkEnd w:id="95"/>
    <w:p>
      <w:pPr>
        <w:ind w:left="3100" w:hanging="500"/>
        <w:spacing w:after="0"/>
        <w:tabs>
          <w:tab w:leader="none" w:pos="31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Each New Key Employee.</w:t>
      </w:r>
    </w:p>
    <w:p>
      <w:pPr>
        <w:spacing w:after="0" w:line="219" w:lineRule="exact"/>
        <w:rPr>
          <w:rFonts w:ascii="Arial" w:cs="Arial" w:eastAsia="Arial" w:hAnsi="Arial"/>
          <w:sz w:val="22"/>
          <w:szCs w:val="22"/>
          <w:color w:val="auto"/>
        </w:rPr>
      </w:pPr>
    </w:p>
    <w:p>
      <w:pPr>
        <w:ind w:left="3240" w:right="80" w:hanging="640"/>
        <w:spacing w:after="0" w:line="263" w:lineRule="auto"/>
        <w:tabs>
          <w:tab w:leader="none" w:pos="309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spacing w:after="0" w:line="175" w:lineRule="exact"/>
        <w:rPr>
          <w:sz w:val="20"/>
          <w:szCs w:val="20"/>
          <w:color w:val="auto"/>
        </w:rPr>
      </w:pPr>
    </w:p>
    <w:p>
      <w:pPr>
        <w:jc w:val="both"/>
        <w:ind w:right="120"/>
        <w:spacing w:after="0" w:line="250" w:lineRule="auto"/>
        <w:rPr>
          <w:sz w:val="20"/>
          <w:szCs w:val="20"/>
          <w:color w:val="auto"/>
        </w:rPr>
      </w:pPr>
      <w:r>
        <w:rPr>
          <w:rFonts w:ascii="Arial" w:cs="Arial" w:eastAsia="Arial" w:hAnsi="Arial"/>
          <w:sz w:val="22"/>
          <w:szCs w:val="22"/>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88" w:lineRule="exact"/>
        <w:rPr>
          <w:sz w:val="20"/>
          <w:szCs w:val="20"/>
          <w:color w:val="auto"/>
        </w:rPr>
      </w:pPr>
    </w:p>
    <w:p>
      <w:pPr>
        <w:ind w:left="1940" w:hanging="636"/>
        <w:spacing w:after="0"/>
        <w:tabs>
          <w:tab w:leader="none" w:pos="19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jc w:val="both"/>
        <w:ind w:left="2600" w:right="320" w:hanging="852"/>
        <w:spacing w:after="0" w:line="250" w:lineRule="auto"/>
        <w:tabs>
          <w:tab w:leader="none" w:pos="260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two-calendar year period; or</w:t>
      </w:r>
    </w:p>
    <w:p>
      <w:pPr>
        <w:spacing w:after="0" w:line="187" w:lineRule="exact"/>
        <w:rPr>
          <w:rFonts w:ascii="Arial" w:cs="Arial" w:eastAsia="Arial" w:hAnsi="Arial"/>
          <w:sz w:val="22"/>
          <w:szCs w:val="22"/>
          <w:color w:val="auto"/>
        </w:rPr>
      </w:pPr>
    </w:p>
    <w:p>
      <w:pPr>
        <w:ind w:left="2600" w:hanging="911"/>
        <w:spacing w:after="0" w:line="343" w:lineRule="auto"/>
        <w:tabs>
          <w:tab w:leader="none" w:pos="26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If different from the definition in Paragraph 2(u)(i) above, “Disability” as it may be defined in such Grantee’s employment agreement between the Grantee and the Company or an Affiliate, if any.</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2600" w:hanging="852"/>
        <w:spacing w:after="0"/>
        <w:tabs>
          <w:tab w:leader="none" w:pos="26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A Grantee whose employment by a Participating Company is terminated by reason of Disability;</w:t>
      </w:r>
    </w:p>
    <w:p>
      <w:pPr>
        <w:spacing w:after="0" w:line="254" w:lineRule="exact"/>
        <w:rPr>
          <w:rFonts w:ascii="Arial" w:cs="Arial" w:eastAsia="Arial" w:hAnsi="Arial"/>
          <w:sz w:val="19"/>
          <w:szCs w:val="19"/>
          <w:color w:val="auto"/>
        </w:rPr>
      </w:pPr>
    </w:p>
    <w:p>
      <w:pPr>
        <w:ind w:left="2600" w:right="80" w:hanging="911"/>
        <w:spacing w:after="0" w:line="263" w:lineRule="auto"/>
        <w:tabs>
          <w:tab w:leader="none" w:pos="260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The duly-appointed legal guardian of an individual described in Paragraph 2(v)(i) acting on behalf of such individual.</w:t>
      </w:r>
    </w:p>
    <w:p>
      <w:pPr>
        <w:spacing w:after="0" w:line="174" w:lineRule="exact"/>
        <w:rPr>
          <w:rFonts w:ascii="Arial" w:cs="Arial" w:eastAsia="Arial" w:hAnsi="Arial"/>
          <w:sz w:val="22"/>
          <w:szCs w:val="22"/>
          <w:color w:val="auto"/>
        </w:rPr>
      </w:pPr>
    </w:p>
    <w:p>
      <w:pPr>
        <w:ind w:left="660" w:right="120" w:firstLine="644"/>
        <w:spacing w:after="0" w:line="247" w:lineRule="auto"/>
        <w:tabs>
          <w:tab w:leader="none" w:pos="194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Diversification Election</w:t>
      </w:r>
      <w:r>
        <w:rPr>
          <w:rFonts w:ascii="Arial" w:cs="Arial" w:eastAsia="Arial" w:hAnsi="Arial"/>
          <w:sz w:val="22"/>
          <w:szCs w:val="22"/>
          <w:color w:val="auto"/>
        </w:rPr>
        <w:t>” means a Grantee’s election to have a portion of the Grantee’s Account credited in the form of Deferred Stock Units and attributable to any grant of Restricted Stock or Restricted Stock Units deemed liquidated and credited thereafter under the Income Fund or an Other Investment Fund, as provided in Paragraph 8(k)(i), if (and to the extent that) it is approved by the Committee or its delegate in accordance with Paragraph 8(k)(ii), provided that no Diversification Election by a Grantee who is a Non-Employee Director shall be recognized on or after July 31, 2020.</w:t>
      </w:r>
    </w:p>
    <w:p>
      <w:pPr>
        <w:spacing w:after="0" w:line="192" w:lineRule="exact"/>
        <w:rPr>
          <w:rFonts w:ascii="Arial" w:cs="Arial" w:eastAsia="Arial" w:hAnsi="Arial"/>
          <w:sz w:val="22"/>
          <w:szCs w:val="22"/>
          <w:color w:val="auto"/>
        </w:rPr>
      </w:pPr>
    </w:p>
    <w:p>
      <w:pPr>
        <w:ind w:left="660" w:right="220" w:firstLine="644"/>
        <w:spacing w:after="0" w:line="263" w:lineRule="auto"/>
        <w:tabs>
          <w:tab w:leader="none" w:pos="195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w:t>
      </w:r>
      <w:r>
        <w:rPr>
          <w:rFonts w:ascii="Arial" w:cs="Arial" w:eastAsia="Arial" w:hAnsi="Arial"/>
          <w:sz w:val="22"/>
          <w:szCs w:val="22"/>
          <w:color w:val="auto"/>
        </w:rPr>
        <w:t>” means, as applicable, an Initial Deferral Election, Regular Deferral Election, or a Subsequent Deferral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0"/>
          </w:cols>
          <w:pgMar w:left="320" w:top="1428" w:right="399" w:bottom="1440" w:gutter="0" w:footer="0" w:header="0"/>
        </w:sectPr>
      </w:pPr>
    </w:p>
    <w:bookmarkStart w:id="96" w:name="page97"/>
    <w:bookmarkEnd w:id="96"/>
    <w:p>
      <w:pPr>
        <w:ind w:left="820" w:hanging="636"/>
        <w:spacing w:after="0"/>
        <w:tabs>
          <w:tab w:leader="none" w:pos="82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employee of a Participating Company, as determined by the Committee.</w:t>
      </w:r>
    </w:p>
    <w:p>
      <w:pPr>
        <w:spacing w:after="0" w:line="254" w:lineRule="exact"/>
        <w:rPr>
          <w:rFonts w:ascii="Arial" w:cs="Arial" w:eastAsia="Arial" w:hAnsi="Arial"/>
          <w:sz w:val="19"/>
          <w:szCs w:val="19"/>
          <w:color w:val="auto"/>
        </w:rPr>
      </w:pPr>
    </w:p>
    <w:p>
      <w:pPr>
        <w:ind w:left="820" w:hanging="636"/>
        <w:spacing w:after="0"/>
        <w:tabs>
          <w:tab w:leader="none" w:pos="8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480" w:right="40" w:hanging="852"/>
        <w:spacing w:after="0" w:line="250" w:lineRule="auto"/>
        <w:tabs>
          <w:tab w:leader="none" w:pos="148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If Shares or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7" w:lineRule="exact"/>
        <w:rPr>
          <w:rFonts w:ascii="Arial" w:cs="Arial" w:eastAsia="Arial" w:hAnsi="Arial"/>
          <w:sz w:val="22"/>
          <w:szCs w:val="22"/>
          <w:color w:val="auto"/>
        </w:rPr>
      </w:pPr>
    </w:p>
    <w:p>
      <w:pPr>
        <w:ind w:left="1480" w:right="80" w:hanging="911"/>
        <w:spacing w:after="0" w:line="250" w:lineRule="auto"/>
        <w:tabs>
          <w:tab w:leader="none" w:pos="148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If Shares or shares of any Other Investment Fund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7" w:lineRule="exact"/>
        <w:rPr>
          <w:rFonts w:ascii="Arial" w:cs="Arial" w:eastAsia="Arial" w:hAnsi="Arial"/>
          <w:sz w:val="22"/>
          <w:szCs w:val="22"/>
          <w:color w:val="auto"/>
        </w:rPr>
      </w:pPr>
    </w:p>
    <w:p>
      <w:pPr>
        <w:ind w:left="1480" w:right="140" w:hanging="971"/>
        <w:spacing w:after="0" w:line="263" w:lineRule="auto"/>
        <w:tabs>
          <w:tab w:leader="none" w:pos="148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If Shares or shares of any Other Investment Fund are not so listed nor trades of shares so reported, Fair Market Value shall be determined by the Committee in good faith.</w:t>
      </w:r>
    </w:p>
    <w:p>
      <w:pPr>
        <w:spacing w:after="0" w:line="175" w:lineRule="exact"/>
        <w:rPr>
          <w:sz w:val="20"/>
          <w:szCs w:val="20"/>
          <w:color w:val="auto"/>
        </w:rPr>
      </w:pPr>
    </w:p>
    <w:p>
      <w:pPr>
        <w:ind w:left="-460" w:right="20" w:firstLine="644"/>
        <w:spacing w:after="0" w:line="263" w:lineRule="auto"/>
        <w:tabs>
          <w:tab w:leader="none" w:pos="83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has the meaning given to such term in General Instructions A.1(a)(5) to Form S-8 under the Securities Act of 1933, as amended, and any successor thereto.</w:t>
      </w:r>
    </w:p>
    <w:p>
      <w:pPr>
        <w:spacing w:after="0" w:line="174" w:lineRule="exact"/>
        <w:rPr>
          <w:rFonts w:ascii="Arial" w:cs="Arial" w:eastAsia="Arial" w:hAnsi="Arial"/>
          <w:sz w:val="22"/>
          <w:szCs w:val="22"/>
          <w:color w:val="auto"/>
        </w:rPr>
      </w:pPr>
    </w:p>
    <w:p>
      <w:pPr>
        <w:ind w:left="-460" w:right="20" w:firstLine="644"/>
        <w:spacing w:after="0" w:line="263" w:lineRule="auto"/>
        <w:tabs>
          <w:tab w:leader="none" w:pos="76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Grandfathered Amount</w:t>
      </w:r>
      <w:r>
        <w:rPr>
          <w:rFonts w:ascii="Arial" w:cs="Arial" w:eastAsia="Arial" w:hAnsi="Arial"/>
          <w:sz w:val="22"/>
          <w:szCs w:val="22"/>
          <w:color w:val="auto"/>
        </w:rPr>
        <w:t>” means amounts described in Paragraph 1(c) that were deferred under the Plan and that were earned and vested before January 1, 2005.</w:t>
      </w:r>
    </w:p>
    <w:p>
      <w:pPr>
        <w:spacing w:after="0" w:line="174" w:lineRule="exact"/>
        <w:rPr>
          <w:rFonts w:ascii="Arial" w:cs="Arial" w:eastAsia="Arial" w:hAnsi="Arial"/>
          <w:sz w:val="22"/>
          <w:szCs w:val="22"/>
          <w:color w:val="auto"/>
        </w:rPr>
      </w:pPr>
    </w:p>
    <w:p>
      <w:pPr>
        <w:ind w:left="740" w:hanging="556"/>
        <w:spacing w:after="0"/>
        <w:tabs>
          <w:tab w:leader="none" w:pos="7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 means an Eligible Employee or Non-Employee Director who is granted an Award.</w:t>
      </w:r>
    </w:p>
    <w:p>
      <w:pPr>
        <w:spacing w:after="0" w:line="219" w:lineRule="exact"/>
        <w:rPr>
          <w:rFonts w:ascii="Arial" w:cs="Arial" w:eastAsia="Arial" w:hAnsi="Arial"/>
          <w:sz w:val="22"/>
          <w:szCs w:val="22"/>
          <w:color w:val="auto"/>
        </w:rPr>
      </w:pPr>
    </w:p>
    <w:p>
      <w:pPr>
        <w:ind w:left="-460" w:firstLine="644"/>
        <w:spacing w:after="0" w:line="259" w:lineRule="auto"/>
        <w:tabs>
          <w:tab w:leader="none" w:pos="764" w:val="left"/>
        </w:tabs>
        <w:numPr>
          <w:ilvl w:val="0"/>
          <w:numId w:val="1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Hardship</w:t>
      </w:r>
      <w:r>
        <w:rPr>
          <w:rFonts w:ascii="Arial" w:cs="Arial" w:eastAsia="Arial" w:hAnsi="Arial"/>
          <w:sz w:val="21"/>
          <w:szCs w:val="21"/>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83" w:lineRule="exact"/>
        <w:rPr>
          <w:rFonts w:ascii="Arial" w:cs="Arial" w:eastAsia="Arial" w:hAnsi="Arial"/>
          <w:sz w:val="21"/>
          <w:szCs w:val="21"/>
          <w:color w:val="auto"/>
        </w:rPr>
      </w:pPr>
    </w:p>
    <w:p>
      <w:pPr>
        <w:ind w:left="-460" w:right="140" w:firstLine="644"/>
        <w:spacing w:after="0" w:line="263" w:lineRule="auto"/>
        <w:tabs>
          <w:tab w:leader="none" w:pos="7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 Balance Participant</w:t>
      </w:r>
      <w:r>
        <w:rPr>
          <w:rFonts w:ascii="Arial" w:cs="Arial" w:eastAsia="Arial" w:hAnsi="Arial"/>
          <w:sz w:val="22"/>
          <w:szCs w:val="22"/>
          <w:color w:val="auto"/>
        </w:rPr>
        <w:t>” means (a) a Grantee the value of whose Account that is deemed invested in the Income Fund is greater than or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00"/>
          </w:cols>
          <w:pgMar w:left="1440" w:top="1428" w:right="359" w:bottom="1440" w:gutter="0" w:footer="0" w:header="0"/>
        </w:sectPr>
      </w:pPr>
    </w:p>
    <w:bookmarkStart w:id="97" w:name="page98"/>
    <w:bookmarkEnd w:id="97"/>
    <w:p>
      <w:pPr>
        <w:ind w:right="160"/>
        <w:spacing w:after="0" w:line="263" w:lineRule="auto"/>
        <w:rPr>
          <w:sz w:val="20"/>
          <w:szCs w:val="20"/>
          <w:color w:val="auto"/>
        </w:rPr>
      </w:pPr>
      <w:r>
        <w:rPr>
          <w:rFonts w:ascii="Arial" w:cs="Arial" w:eastAsia="Arial" w:hAnsi="Arial"/>
          <w:sz w:val="22"/>
          <w:szCs w:val="22"/>
          <w:color w:val="auto"/>
        </w:rPr>
        <w:t>Income Fund Limit, as determined by the Committee and (b) effective July 31, 2020, a Grantee who is a Non-Employee Director.</w:t>
      </w:r>
    </w:p>
    <w:p>
      <w:pPr>
        <w:spacing w:after="0" w:line="175" w:lineRule="exact"/>
        <w:rPr>
          <w:sz w:val="20"/>
          <w:szCs w:val="20"/>
          <w:color w:val="auto"/>
        </w:rPr>
      </w:pPr>
    </w:p>
    <w:p>
      <w:pPr>
        <w:ind w:left="1140" w:hanging="496"/>
        <w:spacing w:after="0"/>
        <w:tabs>
          <w:tab w:leader="none" w:pos="114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High-Water Mark</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940" w:right="60" w:hanging="852"/>
        <w:spacing w:after="0" w:line="312" w:lineRule="auto"/>
        <w:tabs>
          <w:tab w:leader="none" w:pos="194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pacing w:after="0" w:line="133" w:lineRule="exact"/>
        <w:rPr>
          <w:rFonts w:ascii="Arial" w:cs="Arial" w:eastAsia="Arial" w:hAnsi="Arial"/>
          <w:sz w:val="19"/>
          <w:szCs w:val="19"/>
          <w:color w:val="auto"/>
        </w:rPr>
      </w:pPr>
    </w:p>
    <w:p>
      <w:pPr>
        <w:ind w:left="2580" w:right="100" w:hanging="640"/>
        <w:spacing w:after="0" w:line="263" w:lineRule="auto"/>
        <w:tabs>
          <w:tab w:leader="none" w:pos="2448" w:val="left"/>
        </w:tabs>
        <w:numPr>
          <w:ilvl w:val="2"/>
          <w:numId w:val="134"/>
        </w:numPr>
        <w:rPr>
          <w:rFonts w:ascii="Arial" w:cs="Arial" w:eastAsia="Arial" w:hAnsi="Arial"/>
          <w:sz w:val="22"/>
          <w:szCs w:val="22"/>
          <w:color w:val="auto"/>
        </w:rPr>
      </w:pPr>
      <w:r>
        <w:rPr>
          <w:rFonts w:ascii="Arial" w:cs="Arial" w:eastAsia="Arial" w:hAnsi="Arial"/>
          <w:sz w:val="22"/>
          <w:szCs w:val="22"/>
          <w:color w:val="auto"/>
        </w:rPr>
        <w:t>the Grantee’s Account under the 2005 Deferred Compensation Plan, to the extent credited to the Income Fund; plus</w:t>
      </w:r>
    </w:p>
    <w:p>
      <w:pPr>
        <w:spacing w:after="0" w:line="174" w:lineRule="exact"/>
        <w:rPr>
          <w:rFonts w:ascii="Arial" w:cs="Arial" w:eastAsia="Arial" w:hAnsi="Arial"/>
          <w:sz w:val="22"/>
          <w:szCs w:val="22"/>
          <w:color w:val="auto"/>
        </w:rPr>
      </w:pPr>
    </w:p>
    <w:p>
      <w:pPr>
        <w:ind w:left="2580" w:right="100" w:hanging="640"/>
        <w:spacing w:after="0" w:line="263" w:lineRule="auto"/>
        <w:tabs>
          <w:tab w:leader="none" w:pos="2436" w:val="left"/>
        </w:tabs>
        <w:numPr>
          <w:ilvl w:val="2"/>
          <w:numId w:val="134"/>
        </w:numPr>
        <w:rPr>
          <w:rFonts w:ascii="Arial" w:cs="Arial" w:eastAsia="Arial" w:hAnsi="Arial"/>
          <w:sz w:val="22"/>
          <w:szCs w:val="22"/>
          <w:color w:val="auto"/>
        </w:rPr>
      </w:pPr>
      <w:r>
        <w:rPr>
          <w:rFonts w:ascii="Arial" w:cs="Arial" w:eastAsia="Arial" w:hAnsi="Arial"/>
          <w:sz w:val="22"/>
          <w:szCs w:val="22"/>
          <w:color w:val="auto"/>
        </w:rPr>
        <w:t>the Grantee’s Account under the 2002 Deferred Compensation Plan, to the extent credited to the Income Fund; plus</w:t>
      </w:r>
    </w:p>
    <w:p>
      <w:pPr>
        <w:spacing w:after="0" w:line="174" w:lineRule="exact"/>
        <w:rPr>
          <w:rFonts w:ascii="Arial" w:cs="Arial" w:eastAsia="Arial" w:hAnsi="Arial"/>
          <w:sz w:val="22"/>
          <w:szCs w:val="22"/>
          <w:color w:val="auto"/>
        </w:rPr>
      </w:pPr>
    </w:p>
    <w:p>
      <w:pPr>
        <w:ind w:left="2440" w:hanging="500"/>
        <w:spacing w:after="0"/>
        <w:tabs>
          <w:tab w:leader="none" w:pos="2440" w:val="left"/>
        </w:tabs>
        <w:numPr>
          <w:ilvl w:val="2"/>
          <w:numId w:val="134"/>
        </w:numPr>
        <w:rPr>
          <w:rFonts w:ascii="Arial" w:cs="Arial" w:eastAsia="Arial" w:hAnsi="Arial"/>
          <w:sz w:val="22"/>
          <w:szCs w:val="22"/>
          <w:color w:val="auto"/>
        </w:rPr>
      </w:pPr>
      <w:r>
        <w:rPr>
          <w:rFonts w:ascii="Arial" w:cs="Arial" w:eastAsia="Arial" w:hAnsi="Arial"/>
          <w:sz w:val="22"/>
          <w:szCs w:val="22"/>
          <w:color w:val="auto"/>
        </w:rPr>
        <w:t>the portion of the Grantee’s Account under this Plan credited to the Income Fund.</w:t>
      </w:r>
    </w:p>
    <w:p>
      <w:pPr>
        <w:spacing w:after="0" w:line="219" w:lineRule="exact"/>
        <w:rPr>
          <w:rFonts w:ascii="Arial" w:cs="Arial" w:eastAsia="Arial" w:hAnsi="Arial"/>
          <w:sz w:val="22"/>
          <w:szCs w:val="22"/>
          <w:color w:val="auto"/>
        </w:rPr>
      </w:pPr>
    </w:p>
    <w:p>
      <w:pPr>
        <w:ind w:left="1940" w:hanging="911"/>
        <w:spacing w:after="0" w:line="248" w:lineRule="auto"/>
        <w:tabs>
          <w:tab w:leader="none" w:pos="194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With respect to amounts credited to the Income Fund on account of Diversification Elections and Special Diversification Elections made after 2014, the sum of (x) plus (y) where (x) equals the highest of the sum of the amounts described in Paragraphs 2(ee)(i)(A), (B) and (C) as of the last day of any calendar quarter beginning after December 31, 2008 and before January 1, 2014, and (y) equals the sum of:</w:t>
      </w:r>
    </w:p>
    <w:p>
      <w:pPr>
        <w:spacing w:after="0" w:line="191" w:lineRule="exact"/>
        <w:rPr>
          <w:rFonts w:ascii="Arial" w:cs="Arial" w:eastAsia="Arial" w:hAnsi="Arial"/>
          <w:sz w:val="22"/>
          <w:szCs w:val="22"/>
          <w:color w:val="auto"/>
        </w:rPr>
      </w:pPr>
    </w:p>
    <w:p>
      <w:pPr>
        <w:ind w:left="2580" w:right="120" w:hanging="640"/>
        <w:spacing w:after="0" w:line="265" w:lineRule="auto"/>
        <w:tabs>
          <w:tab w:leader="none" w:pos="2444" w:val="left"/>
        </w:tabs>
        <w:numPr>
          <w:ilvl w:val="2"/>
          <w:numId w:val="134"/>
        </w:numPr>
        <w:rPr>
          <w:rFonts w:ascii="Arial" w:cs="Arial" w:eastAsia="Arial" w:hAnsi="Arial"/>
          <w:sz w:val="21"/>
          <w:szCs w:val="21"/>
          <w:color w:val="auto"/>
        </w:rPr>
      </w:pPr>
      <w:r>
        <w:rPr>
          <w:rFonts w:ascii="Arial" w:cs="Arial" w:eastAsia="Arial" w:hAnsi="Arial"/>
          <w:sz w:val="21"/>
          <w:szCs w:val="21"/>
          <w:color w:val="auto"/>
        </w:rPr>
        <w:t>The amount credited to the Income Fund with respect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175" w:lineRule="exact"/>
        <w:rPr>
          <w:rFonts w:ascii="Arial" w:cs="Arial" w:eastAsia="Arial" w:hAnsi="Arial"/>
          <w:sz w:val="21"/>
          <w:szCs w:val="21"/>
          <w:color w:val="auto"/>
        </w:rPr>
      </w:pPr>
    </w:p>
    <w:p>
      <w:pPr>
        <w:ind w:left="2580" w:right="160" w:hanging="640"/>
        <w:spacing w:after="0" w:line="250" w:lineRule="auto"/>
        <w:tabs>
          <w:tab w:leader="none" w:pos="2432" w:val="left"/>
        </w:tabs>
        <w:numPr>
          <w:ilvl w:val="2"/>
          <w:numId w:val="134"/>
        </w:numPr>
        <w:rPr>
          <w:rFonts w:ascii="Arial" w:cs="Arial" w:eastAsia="Arial" w:hAnsi="Arial"/>
          <w:sz w:val="22"/>
          <w:szCs w:val="22"/>
          <w:color w:val="auto"/>
        </w:rPr>
      </w:pPr>
      <w:r>
        <w:rPr>
          <w:rFonts w:ascii="Arial" w:cs="Arial" w:eastAsia="Arial" w:hAnsi="Arial"/>
          <w:sz w:val="22"/>
          <w:szCs w:val="22"/>
          <w:color w:val="auto"/>
        </w:rPr>
        <w:t>The deferred portion of a Grantee’s cash bonus award earned for 2013 to the extent credited to the Income Fund and payable, but for the Grantee’s deferral election under the 2005 Deferred Compensation Plan after December 31, 2013 and on or before September 30, 2014; plus</w:t>
      </w:r>
    </w:p>
    <w:p>
      <w:pPr>
        <w:spacing w:after="0" w:line="187" w:lineRule="exact"/>
        <w:rPr>
          <w:rFonts w:ascii="Arial" w:cs="Arial" w:eastAsia="Arial" w:hAnsi="Arial"/>
          <w:sz w:val="22"/>
          <w:szCs w:val="22"/>
          <w:color w:val="auto"/>
        </w:rPr>
      </w:pPr>
    </w:p>
    <w:p>
      <w:pPr>
        <w:ind w:left="2580" w:right="360" w:hanging="640"/>
        <w:spacing w:after="0" w:line="343" w:lineRule="auto"/>
        <w:tabs>
          <w:tab w:leader="none" w:pos="2432" w:val="left"/>
        </w:tabs>
        <w:numPr>
          <w:ilvl w:val="2"/>
          <w:numId w:val="134"/>
        </w:numPr>
        <w:rPr>
          <w:rFonts w:ascii="Arial" w:cs="Arial" w:eastAsia="Arial" w:hAnsi="Arial"/>
          <w:sz w:val="19"/>
          <w:szCs w:val="19"/>
          <w:color w:val="auto"/>
        </w:rPr>
      </w:pPr>
      <w:r>
        <w:rPr>
          <w:rFonts w:ascii="Arial" w:cs="Arial" w:eastAsia="Arial" w:hAnsi="Arial"/>
          <w:sz w:val="19"/>
          <w:szCs w:val="19"/>
          <w:color w:val="auto"/>
        </w:rPr>
        <w:t>The amount credited to the Income Fund pursuant to a Diversification Election or Special Diversification Election made by a Grantee before January 1, 2014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40"/>
          </w:cols>
          <w:pgMar w:left="980" w:top="1428" w:right="379" w:bottom="1440" w:gutter="0" w:footer="0" w:header="0"/>
        </w:sectPr>
      </w:pPr>
    </w:p>
    <w:bookmarkStart w:id="98" w:name="page99"/>
    <w:bookmarkEnd w:id="98"/>
    <w:p>
      <w:pPr>
        <w:ind w:left="3240" w:right="280"/>
        <w:spacing w:after="0" w:line="263" w:lineRule="auto"/>
        <w:rPr>
          <w:sz w:val="20"/>
          <w:szCs w:val="20"/>
          <w:color w:val="auto"/>
        </w:rPr>
      </w:pPr>
      <w:r>
        <w:rPr>
          <w:rFonts w:ascii="Arial" w:cs="Arial" w:eastAsia="Arial" w:hAnsi="Arial"/>
          <w:sz w:val="22"/>
          <w:szCs w:val="22"/>
          <w:color w:val="auto"/>
        </w:rPr>
        <w:t>Restricted Stock Units that vest after December 31, 2013 and on or before September 30, 2014.</w:t>
      </w:r>
    </w:p>
    <w:p>
      <w:pPr>
        <w:spacing w:after="0" w:line="175" w:lineRule="exact"/>
        <w:rPr>
          <w:sz w:val="20"/>
          <w:szCs w:val="20"/>
          <w:color w:val="auto"/>
        </w:rPr>
      </w:pPr>
    </w:p>
    <w:p>
      <w:pPr>
        <w:ind w:left="660" w:firstLine="644"/>
        <w:spacing w:after="0" w:line="284" w:lineRule="auto"/>
        <w:tabs>
          <w:tab w:leader="none" w:pos="188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Income Fund</w:t>
      </w:r>
      <w:r>
        <w:rPr>
          <w:rFonts w:ascii="Arial" w:cs="Arial" w:eastAsia="Arial" w:hAnsi="Arial"/>
          <w:sz w:val="19"/>
          <w:szCs w:val="19"/>
          <w:color w:val="auto"/>
        </w:rPr>
        <w:t>” means a hypothetical investment fund pursuant to which an amount equal to the Fair Market Value of Deferred Stock Units subject to a Diversification Election is credited as of the effective date of such Diversification Election and, except as otherwise provided in Paragraph 8(j) and Paragraph 8(k), as to which interest is credited thereafter until the date of distribution at the Applicable Interest Rate. In addition, the Income Fund shall also be deemed to hold dividend equivalents and earnings on dividend equivalents credited to a Grantee’s Account as described in Paragraph 2(b) and Paragraph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Grantee’s account under such</w:t>
      </w:r>
    </w:p>
    <w:p>
      <w:pPr>
        <w:spacing w:after="0" w:line="1" w:lineRule="exact"/>
        <w:rPr>
          <w:rFonts w:ascii="Arial" w:cs="Arial" w:eastAsia="Arial" w:hAnsi="Arial"/>
          <w:sz w:val="19"/>
          <w:szCs w:val="19"/>
          <w:color w:val="auto"/>
        </w:rPr>
      </w:pPr>
    </w:p>
    <w:p>
      <w:pPr>
        <w:ind w:left="660" w:right="360"/>
        <w:spacing w:after="0" w:line="244" w:lineRule="auto"/>
        <w:rPr>
          <w:rFonts w:ascii="Arial" w:cs="Arial" w:eastAsia="Arial" w:hAnsi="Arial"/>
          <w:sz w:val="19"/>
          <w:szCs w:val="19"/>
          <w:color w:val="auto"/>
        </w:rPr>
      </w:pPr>
      <w:r>
        <w:rPr>
          <w:rFonts w:ascii="Arial" w:cs="Arial" w:eastAsia="Arial" w:hAnsi="Arial"/>
          <w:sz w:val="22"/>
          <w:szCs w:val="22"/>
          <w:color w:val="auto"/>
        </w:rPr>
        <w:t>2005 Deferred Compensation Plan. The “</w:t>
      </w:r>
      <w:r>
        <w:rPr>
          <w:rFonts w:ascii="Arial" w:cs="Arial" w:eastAsia="Arial" w:hAnsi="Arial"/>
          <w:sz w:val="22"/>
          <w:szCs w:val="22"/>
          <w:u w:val="single" w:color="auto"/>
          <w:color w:val="auto"/>
        </w:rPr>
        <w:t>9% Fund</w:t>
      </w:r>
      <w:r>
        <w:rPr>
          <w:rFonts w:ascii="Arial" w:cs="Arial" w:eastAsia="Arial" w:hAnsi="Arial"/>
          <w:sz w:val="22"/>
          <w:szCs w:val="22"/>
          <w:color w:val="auto"/>
        </w:rPr>
        <w:t>” means that portion of the Income Fund with respect to which the Applicable Interest Rate is 9%. The “</w:t>
      </w:r>
      <w:r>
        <w:rPr>
          <w:rFonts w:ascii="Arial" w:cs="Arial" w:eastAsia="Arial" w:hAnsi="Arial"/>
          <w:sz w:val="22"/>
          <w:szCs w:val="22"/>
          <w:u w:val="single" w:color="auto"/>
          <w:color w:val="auto"/>
        </w:rPr>
        <w:t>12% Fund</w:t>
      </w:r>
      <w:r>
        <w:rPr>
          <w:rFonts w:ascii="Arial" w:cs="Arial" w:eastAsia="Arial" w:hAnsi="Arial"/>
          <w:sz w:val="22"/>
          <w:szCs w:val="22"/>
          <w:color w:val="auto"/>
        </w:rPr>
        <w:t>” means that portion of the Income Fund with respect to which the Applicable Interest Rate is 12%. The “</w:t>
      </w:r>
      <w:r>
        <w:rPr>
          <w:rFonts w:ascii="Arial" w:cs="Arial" w:eastAsia="Arial" w:hAnsi="Arial"/>
          <w:sz w:val="22"/>
          <w:szCs w:val="22"/>
          <w:u w:val="single" w:color="auto"/>
          <w:color w:val="auto"/>
        </w:rPr>
        <w:t>Prime Plus One Fund</w:t>
      </w:r>
      <w:r>
        <w:rPr>
          <w:rFonts w:ascii="Arial" w:cs="Arial" w:eastAsia="Arial" w:hAnsi="Arial"/>
          <w:sz w:val="22"/>
          <w:szCs w:val="22"/>
          <w:color w:val="auto"/>
        </w:rPr>
        <w:t>” means that portion of the Income Fund with respect to which the Applicable Interest Rate is described in Paragraph 2(f)(ii). For purposes of this Paragraph 2(gg), the Income Fund shall include amounts credited to the Income Fund under the 2002 Deferred Compensation Plan and the 2005 Deferred Compensation Plan.</w:t>
      </w:r>
    </w:p>
    <w:p>
      <w:pPr>
        <w:spacing w:after="0" w:line="193" w:lineRule="exact"/>
        <w:rPr>
          <w:rFonts w:ascii="Arial" w:cs="Arial" w:eastAsia="Arial" w:hAnsi="Arial"/>
          <w:sz w:val="19"/>
          <w:szCs w:val="19"/>
          <w:color w:val="auto"/>
        </w:rPr>
      </w:pPr>
    </w:p>
    <w:p>
      <w:pPr>
        <w:ind w:left="1880" w:hanging="576"/>
        <w:spacing w:after="0"/>
        <w:tabs>
          <w:tab w:leader="none" w:pos="18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Fund Limit</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2600" w:hanging="648"/>
        <w:spacing w:after="0" w:line="297" w:lineRule="auto"/>
        <w:tabs>
          <w:tab w:leader="none" w:pos="2368" w:val="left"/>
        </w:tabs>
        <w:numPr>
          <w:ilvl w:val="1"/>
          <w:numId w:val="135"/>
        </w:numPr>
        <w:rPr>
          <w:rFonts w:ascii="Arial" w:cs="Arial" w:eastAsia="Arial" w:hAnsi="Arial"/>
          <w:sz w:val="19"/>
          <w:szCs w:val="19"/>
          <w:color w:val="auto"/>
        </w:rPr>
      </w:pPr>
      <w:r>
        <w:rPr>
          <w:rFonts w:ascii="Arial" w:cs="Arial" w:eastAsia="Arial" w:hAnsi="Arial"/>
          <w:sz w:val="19"/>
          <w:szCs w:val="19"/>
          <w:color w:val="auto"/>
        </w:rPr>
        <w:t>With respect to Grantees other than Non-Employee Directors, $100 million, provided that if the amount credited to a Grantee’s Income Fund is greater than $100 million as of December 31, 2019, the Income Fund Limit applicable to such Grantee for any applicable Plan Year shall be equal to the amount credited to a Grantee’s Income Fund as of the December 31 immediately preceding such applicable Plan Year until such balance is equal to or less than $100 million.</w:t>
      </w:r>
    </w:p>
    <w:p>
      <w:pPr>
        <w:spacing w:after="0" w:line="146" w:lineRule="exact"/>
        <w:rPr>
          <w:rFonts w:ascii="Arial" w:cs="Arial" w:eastAsia="Arial" w:hAnsi="Arial"/>
          <w:sz w:val="19"/>
          <w:szCs w:val="19"/>
          <w:color w:val="auto"/>
        </w:rPr>
      </w:pPr>
    </w:p>
    <w:p>
      <w:pPr>
        <w:ind w:left="2600" w:right="340" w:hanging="648"/>
        <w:spacing w:after="0" w:line="263" w:lineRule="auto"/>
        <w:tabs>
          <w:tab w:leader="none" w:pos="2428" w:val="left"/>
        </w:tabs>
        <w:numPr>
          <w:ilvl w:val="1"/>
          <w:numId w:val="135"/>
        </w:numPr>
        <w:rPr>
          <w:rFonts w:ascii="Arial" w:cs="Arial" w:eastAsia="Arial" w:hAnsi="Arial"/>
          <w:sz w:val="22"/>
          <w:szCs w:val="22"/>
          <w:color w:val="auto"/>
        </w:rPr>
      </w:pPr>
      <w:r>
        <w:rPr>
          <w:rFonts w:ascii="Arial" w:cs="Arial" w:eastAsia="Arial" w:hAnsi="Arial"/>
          <w:sz w:val="22"/>
          <w:szCs w:val="22"/>
          <w:color w:val="auto"/>
        </w:rPr>
        <w:t>With respect to Grantees who are Non-Employee Directors, effective as of July 31, 2020, $0 (zero dollars).</w:t>
      </w:r>
    </w:p>
    <w:p>
      <w:pPr>
        <w:spacing w:after="0" w:line="175" w:lineRule="exact"/>
        <w:rPr>
          <w:sz w:val="20"/>
          <w:szCs w:val="20"/>
          <w:color w:val="auto"/>
        </w:rPr>
      </w:pPr>
    </w:p>
    <w:p>
      <w:pPr>
        <w:ind w:right="160"/>
        <w:spacing w:after="0" w:line="271" w:lineRule="auto"/>
        <w:rPr>
          <w:sz w:val="20"/>
          <w:szCs w:val="20"/>
          <w:color w:val="auto"/>
        </w:rPr>
      </w:pPr>
      <w:r>
        <w:rPr>
          <w:rFonts w:ascii="Arial" w:cs="Arial" w:eastAsia="Arial" w:hAnsi="Arial"/>
          <w:sz w:val="21"/>
          <w:szCs w:val="21"/>
          <w:color w:val="auto"/>
        </w:rPr>
        <w:t>The Committee may waive or modify downward the Income Fund Limit applicable to one or more High Balance Participants in its discretion. For purposes of this Paragraph 2(hh), the Income Fund shall include amounts credited to the Income Fund under the 2002 Deferred Compensation Plan and 2005 Deferred Compensation Plan.</w:t>
      </w:r>
    </w:p>
    <w:p>
      <w:pPr>
        <w:spacing w:after="0" w:line="167" w:lineRule="exact"/>
        <w:rPr>
          <w:sz w:val="20"/>
          <w:szCs w:val="20"/>
          <w:color w:val="auto"/>
        </w:rPr>
      </w:pPr>
    </w:p>
    <w:p>
      <w:pPr>
        <w:ind w:left="660" w:right="60" w:firstLine="644"/>
        <w:spacing w:after="0" w:line="271" w:lineRule="auto"/>
        <w:tabs>
          <w:tab w:leader="none" w:pos="178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Deferral Election</w:t>
      </w:r>
      <w:r>
        <w:rPr>
          <w:rFonts w:ascii="Arial" w:cs="Arial" w:eastAsia="Arial" w:hAnsi="Arial"/>
          <w:sz w:val="21"/>
          <w:szCs w:val="21"/>
          <w:color w:val="auto"/>
        </w:rPr>
        <w:t>” means a written election on a form provided by the Committee, pursuant to which a Grantee: (i) elects, within the time or times specified in Paragraph 8(a)(i), to defer the distribution date of Shares issuable with respect to Restricted Stock Units; and (ii) designates the distribution date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99" w:name="page100"/>
    <w:bookmarkEnd w:id="99"/>
    <w:p>
      <w:pPr>
        <w:ind w:left="1120" w:hanging="476"/>
        <w:spacing w:after="0"/>
        <w:tabs>
          <w:tab w:leader="none" w:pos="11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220" w:hanging="576"/>
        <w:spacing w:after="0"/>
        <w:tabs>
          <w:tab w:leader="none" w:pos="12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Key Employee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940" w:right="20" w:hanging="648"/>
        <w:spacing w:after="0" w:line="263" w:lineRule="auto"/>
        <w:tabs>
          <w:tab w:leader="none" w:pos="1712" w:val="left"/>
        </w:tabs>
        <w:numPr>
          <w:ilvl w:val="1"/>
          <w:numId w:val="137"/>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 each employee of a Participating Company who:</w:t>
      </w:r>
    </w:p>
    <w:p>
      <w:pPr>
        <w:spacing w:after="0" w:line="175" w:lineRule="exact"/>
        <w:rPr>
          <w:sz w:val="20"/>
          <w:szCs w:val="20"/>
          <w:color w:val="auto"/>
        </w:rPr>
      </w:pPr>
    </w:p>
    <w:p>
      <w:pPr>
        <w:ind w:left="2580" w:right="680" w:hanging="640"/>
        <w:spacing w:after="0" w:line="287" w:lineRule="auto"/>
        <w:tabs>
          <w:tab w:leader="none" w:pos="2448" w:val="left"/>
        </w:tabs>
        <w:numPr>
          <w:ilvl w:val="1"/>
          <w:numId w:val="138"/>
        </w:numPr>
        <w:rPr>
          <w:rFonts w:ascii="Arial" w:cs="Arial" w:eastAsia="Arial" w:hAnsi="Arial"/>
          <w:sz w:val="21"/>
          <w:szCs w:val="21"/>
          <w:color w:val="auto"/>
        </w:rPr>
      </w:pPr>
      <w:r>
        <w:rPr>
          <w:rFonts w:ascii="Arial" w:cs="Arial" w:eastAsia="Arial" w:hAnsi="Arial"/>
          <w:sz w:val="21"/>
          <w:szCs w:val="21"/>
          <w:color w:val="auto"/>
        </w:rPr>
        <w:t>becomes an employee of a Participating Company and has an Annual Rate of Pay of $250,000 or more as of his employment commencement date; or</w:t>
      </w:r>
    </w:p>
    <w:p>
      <w:pPr>
        <w:spacing w:after="0" w:line="151" w:lineRule="exact"/>
        <w:rPr>
          <w:rFonts w:ascii="Arial" w:cs="Arial" w:eastAsia="Arial" w:hAnsi="Arial"/>
          <w:sz w:val="21"/>
          <w:szCs w:val="21"/>
          <w:color w:val="auto"/>
        </w:rPr>
      </w:pPr>
    </w:p>
    <w:p>
      <w:pPr>
        <w:ind w:left="2580" w:right="460" w:hanging="640"/>
        <w:spacing w:after="0" w:line="263" w:lineRule="auto"/>
        <w:tabs>
          <w:tab w:leader="none" w:pos="2436" w:val="left"/>
        </w:tabs>
        <w:numPr>
          <w:ilvl w:val="1"/>
          <w:numId w:val="138"/>
        </w:numPr>
        <w:rPr>
          <w:rFonts w:ascii="Arial" w:cs="Arial" w:eastAsia="Arial" w:hAnsi="Arial"/>
          <w:sz w:val="22"/>
          <w:szCs w:val="22"/>
          <w:color w:val="auto"/>
        </w:rPr>
      </w:pPr>
      <w:r>
        <w:rPr>
          <w:rFonts w:ascii="Arial" w:cs="Arial" w:eastAsia="Arial" w:hAnsi="Arial"/>
          <w:sz w:val="22"/>
          <w:szCs w:val="22"/>
          <w:color w:val="auto"/>
        </w:rPr>
        <w:t>has an Annual Rate of Pay that is increased to $250,000 or more and who, immediately preceding such increase, was not a Deferral Eligible Employee.</w:t>
      </w:r>
    </w:p>
    <w:p>
      <w:pPr>
        <w:spacing w:after="0" w:line="174" w:lineRule="exact"/>
        <w:rPr>
          <w:rFonts w:ascii="Arial" w:cs="Arial" w:eastAsia="Arial" w:hAnsi="Arial"/>
          <w:sz w:val="22"/>
          <w:szCs w:val="22"/>
          <w:color w:val="auto"/>
        </w:rPr>
      </w:pPr>
    </w:p>
    <w:p>
      <w:pPr>
        <w:ind w:left="1780" w:hanging="488"/>
        <w:spacing w:after="0"/>
        <w:tabs>
          <w:tab w:leader="none" w:pos="17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Effective on and after January 1, 2019, each employee of a Participating Company who:</w:t>
      </w:r>
    </w:p>
    <w:p>
      <w:pPr>
        <w:spacing w:after="0" w:line="219" w:lineRule="exact"/>
        <w:rPr>
          <w:rFonts w:ascii="Arial" w:cs="Arial" w:eastAsia="Arial" w:hAnsi="Arial"/>
          <w:sz w:val="22"/>
          <w:szCs w:val="22"/>
          <w:color w:val="auto"/>
        </w:rPr>
      </w:pPr>
    </w:p>
    <w:p>
      <w:pPr>
        <w:ind w:left="2460" w:hanging="520"/>
        <w:spacing w:after="0"/>
        <w:tabs>
          <w:tab w:leader="none" w:pos="2460" w:val="left"/>
        </w:tabs>
        <w:numPr>
          <w:ilvl w:val="1"/>
          <w:numId w:val="139"/>
        </w:numPr>
        <w:rPr>
          <w:rFonts w:ascii="Arial" w:cs="Arial" w:eastAsia="Arial" w:hAnsi="Arial"/>
          <w:sz w:val="21"/>
          <w:szCs w:val="21"/>
          <w:color w:val="auto"/>
        </w:rPr>
      </w:pPr>
      <w:r>
        <w:rPr>
          <w:rFonts w:ascii="Arial" w:cs="Arial" w:eastAsia="Arial" w:hAnsi="Arial"/>
          <w:sz w:val="21"/>
          <w:szCs w:val="21"/>
          <w:color w:val="auto"/>
        </w:rPr>
        <w:t>becomes an employee of a Participating Company and has an Annual Rate of Pay of</w:t>
      </w:r>
    </w:p>
    <w:p>
      <w:pPr>
        <w:spacing w:after="0" w:line="33"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$350,000 or more as of his employment commencement date; or</w:t>
      </w:r>
    </w:p>
    <w:p>
      <w:pPr>
        <w:spacing w:after="0" w:line="202" w:lineRule="exact"/>
        <w:rPr>
          <w:sz w:val="20"/>
          <w:szCs w:val="20"/>
          <w:color w:val="auto"/>
        </w:rPr>
      </w:pPr>
    </w:p>
    <w:p>
      <w:pPr>
        <w:ind w:left="2580" w:right="460" w:hanging="640"/>
        <w:spacing w:after="0" w:line="263" w:lineRule="auto"/>
        <w:tabs>
          <w:tab w:leader="none" w:pos="2436" w:val="left"/>
        </w:tabs>
        <w:numPr>
          <w:ilvl w:val="2"/>
          <w:numId w:val="140"/>
        </w:numPr>
        <w:rPr>
          <w:rFonts w:ascii="Arial" w:cs="Arial" w:eastAsia="Arial" w:hAnsi="Arial"/>
          <w:sz w:val="22"/>
          <w:szCs w:val="22"/>
          <w:color w:val="auto"/>
        </w:rPr>
      </w:pPr>
      <w:r>
        <w:rPr>
          <w:rFonts w:ascii="Arial" w:cs="Arial" w:eastAsia="Arial" w:hAnsi="Arial"/>
          <w:sz w:val="22"/>
          <w:szCs w:val="22"/>
          <w:color w:val="auto"/>
        </w:rPr>
        <w:t>has an Annual Rate of Pay that is increased to $350,000 or more and who, immediately preceding such increase, was not a Deferral Eligible Employee.</w:t>
      </w:r>
    </w:p>
    <w:p>
      <w:pPr>
        <w:spacing w:after="0" w:line="174" w:lineRule="exact"/>
        <w:rPr>
          <w:rFonts w:ascii="Arial" w:cs="Arial" w:eastAsia="Arial" w:hAnsi="Arial"/>
          <w:sz w:val="22"/>
          <w:szCs w:val="22"/>
          <w:color w:val="auto"/>
        </w:rPr>
      </w:pPr>
    </w:p>
    <w:p>
      <w:pPr>
        <w:ind w:firstLine="644"/>
        <w:spacing w:after="0" w:line="343" w:lineRule="auto"/>
        <w:tabs>
          <w:tab w:leader="none" w:pos="112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an individual who is a member of the Board, and who is not an Eligible Employee, including an individual who is a member of the Board and who previously was an employee of the Company.</w:t>
      </w:r>
    </w:p>
    <w:p>
      <w:pPr>
        <w:spacing w:after="0" w:line="104" w:lineRule="exact"/>
        <w:rPr>
          <w:rFonts w:ascii="Arial" w:cs="Arial" w:eastAsia="Arial" w:hAnsi="Arial"/>
          <w:sz w:val="19"/>
          <w:szCs w:val="19"/>
          <w:color w:val="auto"/>
        </w:rPr>
      </w:pPr>
    </w:p>
    <w:p>
      <w:pPr>
        <w:ind w:right="220" w:firstLine="644"/>
        <w:spacing w:after="0" w:line="343" w:lineRule="auto"/>
        <w:tabs>
          <w:tab w:leader="none" w:pos="134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Normal Retirement</w:t>
      </w:r>
      <w:r>
        <w:rPr>
          <w:rFonts w:ascii="Arial" w:cs="Arial" w:eastAsia="Arial" w:hAnsi="Arial"/>
          <w:sz w:val="19"/>
          <w:szCs w:val="19"/>
          <w:color w:val="auto"/>
        </w:rPr>
        <w:t>” means a Grantee’s termination of employment that is treated by the Participating Company as a retirement under its employment policies and practices as in effect from time to time.</w:t>
      </w:r>
    </w:p>
    <w:p>
      <w:pPr>
        <w:spacing w:after="0" w:line="104" w:lineRule="exact"/>
        <w:rPr>
          <w:rFonts w:ascii="Arial" w:cs="Arial" w:eastAsia="Arial" w:hAnsi="Arial"/>
          <w:sz w:val="19"/>
          <w:szCs w:val="19"/>
          <w:color w:val="auto"/>
        </w:rPr>
      </w:pPr>
    </w:p>
    <w:p>
      <w:pPr>
        <w:ind w:left="1220" w:hanging="576"/>
        <w:spacing w:after="0"/>
        <w:tabs>
          <w:tab w:leader="none" w:pos="12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Available Shares</w:t>
      </w:r>
      <w:r>
        <w:rPr>
          <w:rFonts w:ascii="Arial" w:cs="Arial" w:eastAsia="Arial" w:hAnsi="Arial"/>
          <w:sz w:val="22"/>
          <w:szCs w:val="22"/>
          <w:color w:val="auto"/>
        </w:rPr>
        <w:t>” means, as of any date, the sum of:</w:t>
      </w:r>
    </w:p>
    <w:p>
      <w:pPr>
        <w:spacing w:after="0" w:line="219" w:lineRule="exact"/>
        <w:rPr>
          <w:rFonts w:ascii="Arial" w:cs="Arial" w:eastAsia="Arial" w:hAnsi="Arial"/>
          <w:sz w:val="22"/>
          <w:szCs w:val="22"/>
          <w:color w:val="auto"/>
        </w:rPr>
      </w:pPr>
    </w:p>
    <w:p>
      <w:pPr>
        <w:ind w:left="1700" w:hanging="408"/>
        <w:spacing w:after="0"/>
        <w:tabs>
          <w:tab w:leader="none" w:pos="170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total number of Shares owned by a Grantee or such Grantee’s Family Member that were not</w:t>
      </w:r>
    </w:p>
    <w:p>
      <w:pPr>
        <w:spacing w:after="0" w:line="55" w:lineRule="exact"/>
        <w:rPr>
          <w:rFonts w:ascii="Arial" w:cs="Arial" w:eastAsia="Arial" w:hAnsi="Arial"/>
          <w:sz w:val="19"/>
          <w:szCs w:val="19"/>
          <w:color w:val="auto"/>
        </w:rPr>
      </w:pPr>
    </w:p>
    <w:p>
      <w:pPr>
        <w:ind w:left="1940" w:right="380"/>
        <w:spacing w:after="0" w:line="323" w:lineRule="auto"/>
        <w:rPr>
          <w:rFonts w:ascii="Arial" w:cs="Arial" w:eastAsia="Arial" w:hAnsi="Arial"/>
          <w:sz w:val="19"/>
          <w:szCs w:val="19"/>
          <w:color w:val="auto"/>
        </w:rPr>
      </w:pPr>
      <w:r>
        <w:rPr>
          <w:rFonts w:ascii="Arial" w:cs="Arial" w:eastAsia="Arial" w:hAnsi="Arial"/>
          <w:sz w:val="19"/>
          <w:szCs w:val="19"/>
          <w:color w:val="auto"/>
        </w:rPr>
        <w:t>acquired by such Grantee or such Grantee’s Family Member pursuant to a Comcast Plan or otherwise in connection with the performance of services to the Company or an Affiliate; plus</w:t>
      </w:r>
    </w:p>
    <w:p>
      <w:pPr>
        <w:spacing w:after="0" w:line="122" w:lineRule="exact"/>
        <w:rPr>
          <w:rFonts w:ascii="Arial" w:cs="Arial" w:eastAsia="Arial" w:hAnsi="Arial"/>
          <w:sz w:val="19"/>
          <w:szCs w:val="19"/>
          <w:color w:val="auto"/>
        </w:rPr>
      </w:pPr>
    </w:p>
    <w:p>
      <w:pPr>
        <w:ind w:left="1760" w:hanging="468"/>
        <w:spacing w:after="0"/>
        <w:tabs>
          <w:tab w:leader="none" w:pos="176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excess, if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440"/>
          </w:cols>
          <w:pgMar w:left="980" w:top="1428" w:right="479" w:bottom="1440" w:gutter="0" w:footer="0" w:header="0"/>
        </w:sectPr>
      </w:pPr>
    </w:p>
    <w:bookmarkStart w:id="100" w:name="page101"/>
    <w:bookmarkEnd w:id="100"/>
    <w:p>
      <w:pPr>
        <w:ind w:left="2580" w:right="20" w:hanging="640"/>
        <w:spacing w:after="0" w:line="263" w:lineRule="auto"/>
        <w:tabs>
          <w:tab w:leader="none" w:pos="244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total number of Shares owned by a Grantee or such Grantee’s Family Member other than the Shares described in Paragraph 2(nn)(i); over</w:t>
      </w:r>
    </w:p>
    <w:p>
      <w:pPr>
        <w:spacing w:after="0" w:line="174" w:lineRule="exact"/>
        <w:rPr>
          <w:rFonts w:ascii="Arial" w:cs="Arial" w:eastAsia="Arial" w:hAnsi="Arial"/>
          <w:sz w:val="22"/>
          <w:szCs w:val="22"/>
          <w:color w:val="auto"/>
        </w:rPr>
      </w:pPr>
    </w:p>
    <w:p>
      <w:pPr>
        <w:ind w:left="2440" w:hanging="500"/>
        <w:spacing w:after="0"/>
        <w:tabs>
          <w:tab w:leader="none" w:pos="24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sum of:</w:t>
      </w:r>
    </w:p>
    <w:p>
      <w:pPr>
        <w:spacing w:after="0" w:line="219" w:lineRule="exact"/>
        <w:rPr>
          <w:rFonts w:ascii="Arial" w:cs="Arial" w:eastAsia="Arial" w:hAnsi="Arial"/>
          <w:sz w:val="22"/>
          <w:szCs w:val="22"/>
          <w:color w:val="auto"/>
        </w:rPr>
      </w:pPr>
    </w:p>
    <w:p>
      <w:pPr>
        <w:ind w:left="1940" w:right="40" w:firstLine="648"/>
        <w:spacing w:after="0" w:line="263" w:lineRule="auto"/>
        <w:tabs>
          <w:tab w:leader="none" w:pos="305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number of such Shares owned by such Grantee or such Grantee’s Family Member for less than six months; plus</w:t>
      </w:r>
    </w:p>
    <w:p>
      <w:pPr>
        <w:spacing w:after="0" w:line="174" w:lineRule="exact"/>
        <w:rPr>
          <w:rFonts w:ascii="Arial" w:cs="Arial" w:eastAsia="Arial" w:hAnsi="Arial"/>
          <w:sz w:val="22"/>
          <w:szCs w:val="22"/>
          <w:color w:val="auto"/>
        </w:rPr>
      </w:pPr>
    </w:p>
    <w:p>
      <w:pPr>
        <w:ind w:left="1940" w:right="40" w:firstLine="648"/>
        <w:spacing w:after="0" w:line="271" w:lineRule="auto"/>
        <w:tabs>
          <w:tab w:leader="none" w:pos="3052" w:val="left"/>
        </w:tabs>
        <w:numPr>
          <w:ilvl w:val="1"/>
          <w:numId w:val="142"/>
        </w:numPr>
        <w:rPr>
          <w:rFonts w:ascii="Arial" w:cs="Arial" w:eastAsia="Arial" w:hAnsi="Arial"/>
          <w:sz w:val="21"/>
          <w:szCs w:val="21"/>
          <w:color w:val="auto"/>
        </w:rPr>
      </w:pPr>
      <w:r>
        <w:rPr>
          <w:rFonts w:ascii="Arial" w:cs="Arial" w:eastAsia="Arial" w:hAnsi="Arial"/>
          <w:sz w:val="21"/>
          <w:szCs w:val="21"/>
          <w:color w:val="auto"/>
        </w:rPr>
        <w:t>The number of such Shares owned by such Grantee or such Grantee’s Family Member that has, within the preceding six months, been the subject of a certification pursuant to Paragraph 9(c)(ii) or any similar certification under any other Comcast Plan; plus</w:t>
      </w:r>
    </w:p>
    <w:p>
      <w:pPr>
        <w:spacing w:after="0" w:line="167" w:lineRule="exact"/>
        <w:rPr>
          <w:rFonts w:ascii="Arial" w:cs="Arial" w:eastAsia="Arial" w:hAnsi="Arial"/>
          <w:sz w:val="21"/>
          <w:szCs w:val="21"/>
          <w:color w:val="auto"/>
        </w:rPr>
      </w:pPr>
    </w:p>
    <w:p>
      <w:pPr>
        <w:ind w:left="1940" w:firstLine="648"/>
        <w:spacing w:after="0" w:line="247" w:lineRule="auto"/>
        <w:tabs>
          <w:tab w:leader="none" w:pos="305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92" w:lineRule="exact"/>
        <w:rPr>
          <w:rFonts w:ascii="Arial" w:cs="Arial" w:eastAsia="Arial" w:hAnsi="Arial"/>
          <w:sz w:val="22"/>
          <w:szCs w:val="22"/>
          <w:color w:val="auto"/>
        </w:rPr>
      </w:pPr>
    </w:p>
    <w:p>
      <w:pPr>
        <w:ind w:left="1940" w:right="40" w:firstLine="648"/>
        <w:spacing w:after="0" w:line="302" w:lineRule="auto"/>
        <w:tabs>
          <w:tab w:leader="none" w:pos="3052" w:val="left"/>
        </w:tabs>
        <w:numPr>
          <w:ilvl w:val="1"/>
          <w:numId w:val="142"/>
        </w:numPr>
        <w:rPr>
          <w:rFonts w:ascii="Arial" w:cs="Arial" w:eastAsia="Arial" w:hAnsi="Arial"/>
          <w:sz w:val="19"/>
          <w:szCs w:val="19"/>
          <w:color w:val="auto"/>
        </w:rPr>
      </w:pPr>
      <w:r>
        <w:rPr>
          <w:rFonts w:ascii="Arial" w:cs="Arial" w:eastAsia="Arial" w:hAnsi="Arial"/>
          <w:sz w:val="19"/>
          <w:szCs w:val="19"/>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42"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For purposes of this Paragraph 2(nn),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pacing w:after="0" w:line="147" w:lineRule="exact"/>
        <w:rPr>
          <w:sz w:val="20"/>
          <w:szCs w:val="20"/>
          <w:color w:val="auto"/>
        </w:rPr>
      </w:pPr>
    </w:p>
    <w:p>
      <w:pPr>
        <w:ind w:right="40" w:firstLine="644"/>
        <w:spacing w:after="0" w:line="297" w:lineRule="auto"/>
        <w:tabs>
          <w:tab w:leader="none" w:pos="122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Investment Fund</w:t>
      </w:r>
      <w:r>
        <w:rPr>
          <w:rFonts w:ascii="Arial" w:cs="Arial" w:eastAsia="Arial" w:hAnsi="Arial"/>
          <w:sz w:val="19"/>
          <w:szCs w:val="19"/>
          <w:color w:val="auto"/>
        </w:rPr>
        <w:t>” means the Company Stock Fund and such other hypothetical investment funds designated by the Committee, pursuant to which income, gains, and losses are credited to a Grantee’s Account as if the Account, to the extent deemed invested in such Other Investment Fund, were credited with income, gains, and losses as if actually invested in such Other Investment Fund. The Grantee shall designate the Other Investment Funds in which the Grantee’s Account shall be invested in accordance with rules 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60"/>
          </w:cols>
          <w:pgMar w:left="980" w:top="1428" w:right="359" w:bottom="1440" w:gutter="0" w:footer="0" w:header="0"/>
        </w:sectPr>
      </w:pPr>
    </w:p>
    <w:bookmarkStart w:id="101" w:name="page102"/>
    <w:bookmarkEnd w:id="101"/>
    <w:p>
      <w:pPr>
        <w:ind w:left="1220" w:hanging="576"/>
        <w:spacing w:after="0"/>
        <w:tabs>
          <w:tab w:leader="none" w:pos="12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of the Subsidiary Companies.</w:t>
      </w:r>
    </w:p>
    <w:p>
      <w:pPr>
        <w:spacing w:after="0" w:line="219" w:lineRule="exact"/>
        <w:rPr>
          <w:rFonts w:ascii="Arial" w:cs="Arial" w:eastAsia="Arial" w:hAnsi="Arial"/>
          <w:sz w:val="22"/>
          <w:szCs w:val="22"/>
          <w:color w:val="auto"/>
        </w:rPr>
      </w:pPr>
    </w:p>
    <w:p>
      <w:pPr>
        <w:ind w:right="320" w:firstLine="644"/>
        <w:spacing w:after="0" w:line="263" w:lineRule="auto"/>
        <w:tabs>
          <w:tab w:leader="none" w:pos="122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Performance-Based Compensation</w:t>
      </w:r>
      <w:r>
        <w:rPr>
          <w:rFonts w:ascii="Arial" w:cs="Arial" w:eastAsia="Arial" w:hAnsi="Arial"/>
          <w:sz w:val="22"/>
          <w:szCs w:val="22"/>
          <w:color w:val="auto"/>
        </w:rPr>
        <w:t>” means “Performance-Based Compensation” within the meaning of Section 409A.</w:t>
      </w:r>
    </w:p>
    <w:p>
      <w:pPr>
        <w:spacing w:after="0" w:line="174" w:lineRule="exact"/>
        <w:rPr>
          <w:rFonts w:ascii="Arial" w:cs="Arial" w:eastAsia="Arial" w:hAnsi="Arial"/>
          <w:sz w:val="22"/>
          <w:szCs w:val="22"/>
          <w:color w:val="auto"/>
        </w:rPr>
      </w:pPr>
    </w:p>
    <w:p>
      <w:pPr>
        <w:ind w:right="100" w:firstLine="644"/>
        <w:spacing w:after="0" w:line="263" w:lineRule="auto"/>
        <w:tabs>
          <w:tab w:leader="none" w:pos="115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Grantee may earn Performance-Based Compensation.</w:t>
      </w:r>
    </w:p>
    <w:p>
      <w:pPr>
        <w:spacing w:after="0" w:line="174" w:lineRule="exact"/>
        <w:rPr>
          <w:rFonts w:ascii="Arial" w:cs="Arial" w:eastAsia="Arial" w:hAnsi="Arial"/>
          <w:sz w:val="22"/>
          <w:szCs w:val="22"/>
          <w:color w:val="auto"/>
        </w:rPr>
      </w:pPr>
    </w:p>
    <w:p>
      <w:pPr>
        <w:ind w:left="1180" w:hanging="536"/>
        <w:spacing w:after="0"/>
        <w:tabs>
          <w:tab w:leader="none" w:pos="11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organization.</w:t>
      </w:r>
    </w:p>
    <w:p>
      <w:pPr>
        <w:spacing w:after="0" w:line="201" w:lineRule="exact"/>
        <w:rPr>
          <w:rFonts w:ascii="Arial" w:cs="Arial" w:eastAsia="Arial" w:hAnsi="Arial"/>
          <w:sz w:val="19"/>
          <w:szCs w:val="19"/>
          <w:color w:val="auto"/>
        </w:rPr>
      </w:pPr>
    </w:p>
    <w:p>
      <w:pPr>
        <w:ind w:left="1120" w:hanging="476"/>
        <w:spacing w:after="0"/>
        <w:tabs>
          <w:tab w:leader="none" w:pos="11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Comcast Corporation 2002 Restricted Stock Plan, as set forth herein, and as amended from</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201" w:lineRule="exact"/>
        <w:rPr>
          <w:rFonts w:ascii="Arial" w:cs="Arial" w:eastAsia="Arial" w:hAnsi="Arial"/>
          <w:sz w:val="19"/>
          <w:szCs w:val="19"/>
          <w:color w:val="auto"/>
        </w:rPr>
      </w:pPr>
    </w:p>
    <w:p>
      <w:pPr>
        <w:ind w:left="1220" w:hanging="576"/>
        <w:spacing w:after="0"/>
        <w:tabs>
          <w:tab w:leader="none" w:pos="12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19" w:lineRule="exact"/>
        <w:rPr>
          <w:rFonts w:ascii="Arial" w:cs="Arial" w:eastAsia="Arial" w:hAnsi="Arial"/>
          <w:sz w:val="22"/>
          <w:szCs w:val="22"/>
          <w:color w:val="auto"/>
        </w:rPr>
      </w:pPr>
    </w:p>
    <w:p>
      <w:pPr>
        <w:ind w:right="20" w:firstLine="644"/>
        <w:spacing w:after="0" w:line="248" w:lineRule="auto"/>
        <w:tabs>
          <w:tab w:leader="none" w:pos="122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22"/>
          <w:szCs w:val="22"/>
          <w:u w:val="single" w:color="auto"/>
          <w:color w:val="auto"/>
        </w:rPr>
        <w:t>The Wall Street Journal</w:t>
      </w:r>
      <w:r>
        <w:rPr>
          <w:rFonts w:ascii="Arial" w:cs="Arial" w:eastAsia="Arial" w:hAnsi="Arial"/>
          <w:sz w:val="22"/>
          <w:szCs w:val="22"/>
          <w:color w:val="auto"/>
        </w:rPr>
        <w:t xml:space="preserve"> on the last business day preceding the first day of such calendar year, and as adjusted as of the last business day preceding the first day of each calendar year beginning thereafter.</w:t>
      </w:r>
    </w:p>
    <w:p>
      <w:pPr>
        <w:spacing w:after="0" w:line="191" w:lineRule="exact"/>
        <w:rPr>
          <w:rFonts w:ascii="Arial" w:cs="Arial" w:eastAsia="Arial" w:hAnsi="Arial"/>
          <w:sz w:val="22"/>
          <w:szCs w:val="22"/>
          <w:color w:val="auto"/>
        </w:rPr>
      </w:pPr>
    </w:p>
    <w:p>
      <w:pPr>
        <w:ind w:right="20" w:firstLine="644"/>
        <w:spacing w:after="0" w:line="312" w:lineRule="auto"/>
        <w:tabs>
          <w:tab w:leader="none" w:pos="13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Regular Deferral Election</w:t>
      </w:r>
      <w:r>
        <w:rPr>
          <w:rFonts w:ascii="Arial" w:cs="Arial" w:eastAsia="Arial" w:hAnsi="Arial"/>
          <w:sz w:val="19"/>
          <w:szCs w:val="19"/>
          <w:color w:val="auto"/>
        </w:rPr>
        <w:t>” means a written election on a form provided by the Committee, pursuant to which a Grantee: (i) elects, within the time or times specified in Paragraph 8(a)(ii), to defer the distribution date of Shares issuable with respect to Restricted Stock Units; and (ii) designates the distribution date of such Shares.</w:t>
      </w:r>
    </w:p>
    <w:p>
      <w:pPr>
        <w:spacing w:after="0" w:line="133" w:lineRule="exact"/>
        <w:rPr>
          <w:rFonts w:ascii="Arial" w:cs="Arial" w:eastAsia="Arial" w:hAnsi="Arial"/>
          <w:sz w:val="19"/>
          <w:szCs w:val="19"/>
          <w:color w:val="auto"/>
        </w:rPr>
      </w:pPr>
    </w:p>
    <w:p>
      <w:pPr>
        <w:ind w:left="1220" w:hanging="576"/>
        <w:spacing w:after="0"/>
        <w:tabs>
          <w:tab w:leader="none" w:pos="12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subject to restrictions as set forth in an Award.</w:t>
      </w:r>
    </w:p>
    <w:p>
      <w:pPr>
        <w:spacing w:after="0" w:line="219" w:lineRule="exact"/>
        <w:rPr>
          <w:rFonts w:ascii="Arial" w:cs="Arial" w:eastAsia="Arial" w:hAnsi="Arial"/>
          <w:sz w:val="22"/>
          <w:szCs w:val="22"/>
          <w:color w:val="auto"/>
        </w:rPr>
      </w:pPr>
    </w:p>
    <w:p>
      <w:pPr>
        <w:ind w:right="60" w:firstLine="644"/>
        <w:spacing w:after="0" w:line="263" w:lineRule="auto"/>
        <w:tabs>
          <w:tab w:leader="none" w:pos="122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unit that entitles the Grantee, upon the Vesting Date set forth in an Award, to receive one Share.</w:t>
      </w:r>
    </w:p>
    <w:p>
      <w:pPr>
        <w:spacing w:after="0" w:line="174" w:lineRule="exact"/>
        <w:rPr>
          <w:rFonts w:ascii="Arial" w:cs="Arial" w:eastAsia="Arial" w:hAnsi="Arial"/>
          <w:sz w:val="22"/>
          <w:szCs w:val="22"/>
          <w:color w:val="auto"/>
        </w:rPr>
      </w:pPr>
    </w:p>
    <w:p>
      <w:pPr>
        <w:ind w:left="1200" w:hanging="556"/>
        <w:spacing w:after="0"/>
        <w:tabs>
          <w:tab w:leader="none" w:pos="12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Retired Grantee</w:t>
      </w:r>
      <w:r>
        <w:rPr>
          <w:rFonts w:ascii="Arial" w:cs="Arial" w:eastAsia="Arial" w:hAnsi="Arial"/>
          <w:sz w:val="19"/>
          <w:szCs w:val="19"/>
          <w:color w:val="auto"/>
        </w:rPr>
        <w:t>” means a Grantee who has terminated employment pursuant to a Normal Retirement.</w:t>
      </w:r>
    </w:p>
    <w:p>
      <w:pPr>
        <w:spacing w:after="0" w:line="254" w:lineRule="exact"/>
        <w:rPr>
          <w:sz w:val="20"/>
          <w:szCs w:val="20"/>
          <w:color w:val="auto"/>
        </w:rPr>
      </w:pPr>
    </w:p>
    <w:p>
      <w:pPr>
        <w:ind w:left="1300" w:hanging="656"/>
        <w:spacing w:after="0"/>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promulgated under the 1934 Act, as in effect from time to time.</w:t>
      </w:r>
    </w:p>
    <w:p>
      <w:pPr>
        <w:spacing w:after="0" w:line="219" w:lineRule="exact"/>
        <w:rPr>
          <w:rFonts w:ascii="Arial" w:cs="Arial" w:eastAsia="Arial" w:hAnsi="Arial"/>
          <w:sz w:val="22"/>
          <w:szCs w:val="22"/>
          <w:color w:val="auto"/>
        </w:rPr>
      </w:pPr>
    </w:p>
    <w:p>
      <w:pPr>
        <w:ind w:left="1320" w:hanging="676"/>
        <w:spacing w:after="0"/>
        <w:tabs>
          <w:tab w:leader="none" w:pos="132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16 Officer</w:t>
      </w:r>
      <w:r>
        <w:rPr>
          <w:rFonts w:ascii="Arial" w:cs="Arial" w:eastAsia="Arial" w:hAnsi="Arial"/>
          <w:sz w:val="19"/>
          <w:szCs w:val="19"/>
          <w:color w:val="auto"/>
        </w:rPr>
        <w:t>” means an “officer” of the Company, as defined pursuant to Rule 16a-1(f) under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40"/>
          </w:cols>
          <w:pgMar w:left="980" w:top="1428" w:right="379" w:bottom="1440" w:gutter="0" w:footer="0" w:header="0"/>
        </w:sectPr>
      </w:pPr>
    </w:p>
    <w:bookmarkStart w:id="102" w:name="page103"/>
    <w:bookmarkEnd w:id="102"/>
    <w:p>
      <w:pPr>
        <w:ind w:left="1304" w:hanging="656"/>
        <w:spacing w:after="0"/>
        <w:tabs>
          <w:tab w:leader="none" w:pos="130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or “</w:t>
      </w:r>
      <w:r>
        <w:rPr>
          <w:rFonts w:ascii="Arial" w:cs="Arial" w:eastAsia="Arial" w:hAnsi="Arial"/>
          <w:sz w:val="22"/>
          <w:szCs w:val="22"/>
          <w:u w:val="single" w:color="auto"/>
          <w:color w:val="auto"/>
        </w:rPr>
        <w:t>Shares</w:t>
      </w:r>
      <w:r>
        <w:rPr>
          <w:rFonts w:ascii="Arial" w:cs="Arial" w:eastAsia="Arial" w:hAnsi="Arial"/>
          <w:sz w:val="22"/>
          <w:szCs w:val="22"/>
          <w:color w:val="auto"/>
        </w:rPr>
        <w:t>” means a share or shares of Common Stock.</w:t>
      </w:r>
    </w:p>
    <w:p>
      <w:pPr>
        <w:spacing w:after="0" w:line="219" w:lineRule="exact"/>
        <w:rPr>
          <w:rFonts w:ascii="Arial" w:cs="Arial" w:eastAsia="Arial" w:hAnsi="Arial"/>
          <w:sz w:val="22"/>
          <w:szCs w:val="22"/>
          <w:color w:val="auto"/>
        </w:rPr>
      </w:pPr>
    </w:p>
    <w:p>
      <w:pPr>
        <w:ind w:left="4" w:right="40" w:firstLine="644"/>
        <w:spacing w:after="0" w:line="263" w:lineRule="auto"/>
        <w:tabs>
          <w:tab w:leader="none" w:pos="1336" w:val="left"/>
        </w:tabs>
        <w:numPr>
          <w:ilvl w:val="1"/>
          <w:numId w:val="14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Diversification Election</w:t>
      </w:r>
      <w:r>
        <w:rPr>
          <w:rFonts w:ascii="Arial" w:cs="Arial" w:eastAsia="Arial" w:hAnsi="Arial"/>
          <w:sz w:val="21"/>
          <w:szCs w:val="21"/>
          <w:color w:val="auto"/>
        </w:rPr>
        <w:t>” means, with respect to each separate Award, a Diversification Election made before October 22, 2020 by a Grantee other than a Non-Employee Director to have more than 40 percent of the Deferred Stock Units credited to such Grantee’s Account in the Company Stock Fund liquidated and credited thereafter under the Income Fund or an Other Investment Fund, as provided in Paragraph 8(k)(i), if (and to the extent that) it is approved by the Committee or its delegate in accordance with Paragraph 8(k)(ii).</w:t>
      </w:r>
    </w:p>
    <w:p>
      <w:pPr>
        <w:spacing w:after="0" w:line="175" w:lineRule="exact"/>
        <w:rPr>
          <w:rFonts w:ascii="Arial" w:cs="Arial" w:eastAsia="Arial" w:hAnsi="Arial"/>
          <w:sz w:val="21"/>
          <w:szCs w:val="21"/>
          <w:color w:val="auto"/>
        </w:rPr>
      </w:pPr>
    </w:p>
    <w:p>
      <w:pPr>
        <w:ind w:left="4" w:right="20" w:firstLine="644"/>
        <w:spacing w:after="0" w:line="265" w:lineRule="auto"/>
        <w:tabs>
          <w:tab w:leader="none" w:pos="1300" w:val="left"/>
        </w:tabs>
        <w:numPr>
          <w:ilvl w:val="1"/>
          <w:numId w:val="14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Subsequent Deferral Election</w:t>
      </w:r>
      <w:r>
        <w:rPr>
          <w:rFonts w:ascii="Arial" w:cs="Arial" w:eastAsia="Arial" w:hAnsi="Arial"/>
          <w:sz w:val="21"/>
          <w:szCs w:val="21"/>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75" w:lineRule="exact"/>
        <w:rPr>
          <w:rFonts w:ascii="Arial" w:cs="Arial" w:eastAsia="Arial" w:hAnsi="Arial"/>
          <w:sz w:val="21"/>
          <w:szCs w:val="21"/>
          <w:color w:val="auto"/>
        </w:rPr>
      </w:pPr>
    </w:p>
    <w:p>
      <w:pPr>
        <w:ind w:left="4" w:right="360" w:firstLine="644"/>
        <w:spacing w:after="0" w:line="263" w:lineRule="auto"/>
        <w:tabs>
          <w:tab w:leader="none" w:pos="122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Companies</w:t>
      </w:r>
      <w:r>
        <w:rPr>
          <w:rFonts w:ascii="Arial" w:cs="Arial" w:eastAsia="Arial" w:hAnsi="Arial"/>
          <w:sz w:val="22"/>
          <w:szCs w:val="22"/>
          <w:color w:val="auto"/>
        </w:rPr>
        <w:t>” means all business entities that, at the time in question, are subsidiaries of the Company, within the meaning of section 424(f) of the Code.</w:t>
      </w:r>
    </w:p>
    <w:p>
      <w:pPr>
        <w:spacing w:after="0" w:line="174" w:lineRule="exact"/>
        <w:rPr>
          <w:rFonts w:ascii="Arial" w:cs="Arial" w:eastAsia="Arial" w:hAnsi="Arial"/>
          <w:sz w:val="22"/>
          <w:szCs w:val="22"/>
          <w:color w:val="auto"/>
        </w:rPr>
      </w:pPr>
    </w:p>
    <w:p>
      <w:pPr>
        <w:ind w:left="4" w:right="20" w:firstLine="644"/>
        <w:spacing w:after="0" w:line="263" w:lineRule="auto"/>
        <w:tabs>
          <w:tab w:leader="none" w:pos="133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Successor-in-Interest</w:t>
      </w:r>
      <w:r>
        <w:rPr>
          <w:rFonts w:ascii="Arial" w:cs="Arial" w:eastAsia="Arial" w:hAnsi="Arial"/>
          <w:sz w:val="22"/>
          <w:szCs w:val="22"/>
          <w:color w:val="auto"/>
        </w:rPr>
        <w:t>” means the estate or beneficiary to whom the right to payment under the Plan shall have passed by will or the laws of descent and distribution.</w:t>
      </w:r>
    </w:p>
    <w:p>
      <w:pPr>
        <w:spacing w:after="0" w:line="174" w:lineRule="exact"/>
        <w:rPr>
          <w:rFonts w:ascii="Arial" w:cs="Arial" w:eastAsia="Arial" w:hAnsi="Arial"/>
          <w:sz w:val="22"/>
          <w:szCs w:val="22"/>
          <w:color w:val="auto"/>
        </w:rPr>
      </w:pPr>
    </w:p>
    <w:p>
      <w:pPr>
        <w:ind w:left="1324" w:hanging="676"/>
        <w:spacing w:after="0"/>
        <w:tabs>
          <w:tab w:leader="none" w:pos="132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Terminating Event</w:t>
      </w:r>
      <w:r>
        <w:rPr>
          <w:rFonts w:ascii="Arial" w:cs="Arial" w:eastAsia="Arial" w:hAnsi="Arial"/>
          <w:sz w:val="22"/>
          <w:szCs w:val="22"/>
          <w:color w:val="auto"/>
        </w:rPr>
        <w:t>” means a Change in Control.</w:t>
      </w:r>
    </w:p>
    <w:p>
      <w:pPr>
        <w:spacing w:after="0" w:line="219" w:lineRule="exact"/>
        <w:rPr>
          <w:rFonts w:ascii="Arial" w:cs="Arial" w:eastAsia="Arial" w:hAnsi="Arial"/>
          <w:sz w:val="22"/>
          <w:szCs w:val="22"/>
          <w:color w:val="auto"/>
        </w:rPr>
      </w:pPr>
    </w:p>
    <w:p>
      <w:pPr>
        <w:ind w:left="4" w:right="480" w:firstLine="644"/>
        <w:spacing w:after="0" w:line="263" w:lineRule="auto"/>
        <w:tabs>
          <w:tab w:leader="none" w:pos="1192"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174" w:lineRule="exact"/>
        <w:rPr>
          <w:rFonts w:ascii="Arial" w:cs="Arial" w:eastAsia="Arial" w:hAnsi="Arial"/>
          <w:sz w:val="22"/>
          <w:szCs w:val="22"/>
          <w:color w:val="auto"/>
        </w:rPr>
      </w:pPr>
    </w:p>
    <w:p>
      <w:pPr>
        <w:ind w:left="4" w:firstLine="644"/>
        <w:spacing w:after="0" w:line="263" w:lineRule="auto"/>
        <w:tabs>
          <w:tab w:leader="none" w:pos="1192"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as applicable: (i) the date on which the restrictions imposed on a Share of Restricted Stock lapse or (ii) the date on which the Grantee vests in a Restricted Stock Unit.</w:t>
      </w:r>
    </w:p>
    <w:p>
      <w:pPr>
        <w:spacing w:after="0" w:line="174" w:lineRule="exact"/>
        <w:rPr>
          <w:rFonts w:ascii="Arial" w:cs="Arial" w:eastAsia="Arial" w:hAnsi="Arial"/>
          <w:sz w:val="22"/>
          <w:szCs w:val="22"/>
          <w:color w:val="auto"/>
        </w:rPr>
      </w:pPr>
    </w:p>
    <w:p>
      <w:pPr>
        <w:ind w:left="1324" w:hanging="676"/>
        <w:spacing w:after="0"/>
        <w:tabs>
          <w:tab w:leader="none" w:pos="132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219" w:lineRule="exact"/>
        <w:rPr>
          <w:rFonts w:ascii="Arial" w:cs="Arial" w:eastAsia="Arial" w:hAnsi="Arial"/>
          <w:sz w:val="22"/>
          <w:szCs w:val="22"/>
          <w:color w:val="auto"/>
        </w:rPr>
      </w:pPr>
    </w:p>
    <w:p>
      <w:pPr>
        <w:ind w:left="1184" w:hanging="536"/>
        <w:spacing w:after="0"/>
        <w:tabs>
          <w:tab w:leader="none" w:pos="118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213" w:lineRule="exact"/>
        <w:rPr>
          <w:rFonts w:ascii="Arial" w:cs="Arial" w:eastAsia="Arial" w:hAnsi="Arial"/>
          <w:sz w:val="22"/>
          <w:szCs w:val="22"/>
          <w:color w:val="auto"/>
        </w:rPr>
      </w:pPr>
    </w:p>
    <w:p>
      <w:pPr>
        <w:ind w:left="644" w:hanging="644"/>
        <w:spacing w:after="0"/>
        <w:tabs>
          <w:tab w:leader="none" w:pos="644"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RIGHTS TO BE GRANTED</w:t>
      </w:r>
    </w:p>
    <w:p>
      <w:pPr>
        <w:spacing w:after="0" w:line="225" w:lineRule="exact"/>
        <w:rPr>
          <w:rFonts w:ascii="Arial" w:cs="Arial" w:eastAsia="Arial" w:hAnsi="Arial"/>
          <w:sz w:val="22"/>
          <w:szCs w:val="22"/>
          <w:b w:val="1"/>
          <w:bCs w:val="1"/>
          <w:color w:val="auto"/>
        </w:rPr>
      </w:pPr>
    </w:p>
    <w:p>
      <w:pPr>
        <w:ind w:left="644"/>
        <w:spacing w:after="0"/>
        <w:rPr>
          <w:rFonts w:ascii="Arial" w:cs="Arial" w:eastAsia="Arial" w:hAnsi="Arial"/>
          <w:sz w:val="22"/>
          <w:szCs w:val="22"/>
          <w:b w:val="1"/>
          <w:bCs w:val="1"/>
          <w:color w:val="auto"/>
        </w:rPr>
      </w:pPr>
      <w:r>
        <w:rPr>
          <w:rFonts w:ascii="Arial" w:cs="Arial" w:eastAsia="Arial" w:hAnsi="Arial"/>
          <w:sz w:val="22"/>
          <w:szCs w:val="22"/>
          <w:color w:val="auto"/>
        </w:rPr>
        <w:t>Rights that may be granted under the Plan are:</w:t>
      </w:r>
    </w:p>
    <w:p>
      <w:pPr>
        <w:spacing w:after="0" w:line="219" w:lineRule="exact"/>
        <w:rPr>
          <w:rFonts w:ascii="Arial" w:cs="Arial" w:eastAsia="Arial" w:hAnsi="Arial"/>
          <w:sz w:val="22"/>
          <w:szCs w:val="22"/>
          <w:b w:val="1"/>
          <w:bCs w:val="1"/>
          <w:color w:val="auto"/>
        </w:rPr>
      </w:pPr>
    </w:p>
    <w:p>
      <w:pPr>
        <w:ind w:left="4" w:firstLine="644"/>
        <w:spacing w:after="0" w:line="253" w:lineRule="auto"/>
        <w:tabs>
          <w:tab w:leader="none" w:pos="1297" w:val="left"/>
        </w:tabs>
        <w:numPr>
          <w:ilvl w:val="1"/>
          <w:numId w:val="147"/>
        </w:numPr>
        <w:rPr>
          <w:rFonts w:ascii="Arial" w:cs="Arial" w:eastAsia="Arial" w:hAnsi="Arial"/>
          <w:sz w:val="22"/>
          <w:szCs w:val="22"/>
          <w:color w:val="auto"/>
        </w:rPr>
      </w:pPr>
      <w:r>
        <w:rPr>
          <w:rFonts w:ascii="Arial" w:cs="Arial" w:eastAsia="Arial" w:hAnsi="Arial"/>
          <w:sz w:val="22"/>
          <w:szCs w:val="22"/>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464"/>
          </w:cols>
          <w:pgMar w:left="976" w:top="1428" w:right="459" w:bottom="1440" w:gutter="0" w:footer="0" w:header="0"/>
        </w:sectPr>
      </w:pPr>
    </w:p>
    <w:bookmarkStart w:id="103" w:name="page104"/>
    <w:bookmarkEnd w:id="103"/>
    <w:p>
      <w:pPr>
        <w:ind w:left="4" w:firstLine="644"/>
        <w:spacing w:after="0" w:line="250" w:lineRule="auto"/>
        <w:tabs>
          <w:tab w:leader="none" w:pos="1295" w:val="left"/>
        </w:tabs>
        <w:numPr>
          <w:ilvl w:val="1"/>
          <w:numId w:val="148"/>
        </w:numPr>
        <w:rPr>
          <w:rFonts w:ascii="Arial" w:cs="Arial" w:eastAsia="Arial" w:hAnsi="Arial"/>
          <w:sz w:val="22"/>
          <w:szCs w:val="22"/>
          <w:color w:val="auto"/>
        </w:rPr>
      </w:pPr>
      <w:r>
        <w:rPr>
          <w:rFonts w:ascii="Arial" w:cs="Arial" w:eastAsia="Arial" w:hAnsi="Arial"/>
          <w:sz w:val="22"/>
          <w:szCs w:val="22"/>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4.0 million Shares.</w:t>
      </w:r>
    </w:p>
    <w:p>
      <w:pPr>
        <w:spacing w:after="0" w:line="181" w:lineRule="exact"/>
        <w:rPr>
          <w:rFonts w:ascii="Arial" w:cs="Arial" w:eastAsia="Arial" w:hAnsi="Arial"/>
          <w:sz w:val="22"/>
          <w:szCs w:val="22"/>
          <w:color w:val="auto"/>
        </w:rPr>
      </w:pPr>
    </w:p>
    <w:p>
      <w:pPr>
        <w:ind w:left="644" w:hanging="644"/>
        <w:spacing w:after="0"/>
        <w:tabs>
          <w:tab w:leader="none" w:pos="644"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25" w:lineRule="exact"/>
        <w:rPr>
          <w:rFonts w:ascii="Arial" w:cs="Arial" w:eastAsia="Arial" w:hAnsi="Arial"/>
          <w:sz w:val="22"/>
          <w:szCs w:val="22"/>
          <w:b w:val="1"/>
          <w:bCs w:val="1"/>
          <w:color w:val="auto"/>
        </w:rPr>
      </w:pPr>
    </w:p>
    <w:p>
      <w:pPr>
        <w:ind w:left="4" w:right="120" w:firstLine="644"/>
        <w:spacing w:after="0" w:line="312" w:lineRule="auto"/>
        <w:tabs>
          <w:tab w:leader="none" w:pos="1297"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Shares Available for Grant</w:t>
      </w:r>
      <w:r>
        <w:rPr>
          <w:rFonts w:ascii="Arial" w:cs="Arial" w:eastAsia="Arial" w:hAnsi="Arial"/>
          <w:sz w:val="19"/>
          <w:szCs w:val="19"/>
          <w:color w:val="auto"/>
        </w:rPr>
        <w:t>. Subject to adjustment as provided in Paragraph 10, not more than 304 million Shares in the aggregate may be issued under the Plan pursuant to the grant of Awards. The Shares issued under the Plan may, at the Company’s option, be either Shares held in treasury or Shares originally issued for such purpose.</w:t>
      </w:r>
    </w:p>
    <w:p>
      <w:pPr>
        <w:spacing w:after="0" w:line="133" w:lineRule="exact"/>
        <w:rPr>
          <w:rFonts w:ascii="Arial" w:cs="Arial" w:eastAsia="Arial" w:hAnsi="Arial"/>
          <w:sz w:val="19"/>
          <w:szCs w:val="19"/>
          <w:color w:val="auto"/>
        </w:rPr>
      </w:pPr>
    </w:p>
    <w:p>
      <w:pPr>
        <w:ind w:left="4" w:right="120" w:firstLine="644"/>
        <w:spacing w:after="0" w:line="253" w:lineRule="auto"/>
        <w:tabs>
          <w:tab w:leader="none" w:pos="1295"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Shares Returned to the Reserve</w:t>
      </w:r>
      <w:r>
        <w:rPr>
          <w:rFonts w:ascii="Arial" w:cs="Arial" w:eastAsia="Arial" w:hAnsi="Arial"/>
          <w:sz w:val="22"/>
          <w:szCs w:val="22"/>
          <w:color w:val="auto"/>
        </w:rPr>
        <w:t>. If Restricted Stock or Restricted Stock Units are forfeited pursuant to the terms of an Award, the Shares underlying such forfeited Award shall return to the pool of Shares available for issuance under the Plan.</w:t>
      </w:r>
    </w:p>
    <w:p>
      <w:pPr>
        <w:spacing w:after="0" w:line="185" w:lineRule="exact"/>
        <w:rPr>
          <w:rFonts w:ascii="Arial" w:cs="Arial" w:eastAsia="Arial" w:hAnsi="Arial"/>
          <w:sz w:val="22"/>
          <w:szCs w:val="22"/>
          <w:color w:val="auto"/>
        </w:rPr>
      </w:pPr>
    </w:p>
    <w:p>
      <w:pPr>
        <w:ind w:left="4" w:right="140" w:firstLine="644"/>
        <w:spacing w:after="0" w:line="253" w:lineRule="auto"/>
        <w:tabs>
          <w:tab w:leader="none" w:pos="1297"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Share Recycling Prohibitions</w:t>
      </w:r>
      <w:r>
        <w:rPr>
          <w:rFonts w:ascii="Arial" w:cs="Arial" w:eastAsia="Arial" w:hAnsi="Arial"/>
          <w:sz w:val="22"/>
          <w:szCs w:val="22"/>
          <w:color w:val="auto"/>
        </w:rPr>
        <w:t>. If the Company withholds Shares to satisfy its tax withholding obligations, such withheld Shares shall not again become available for Awards or increase the number of Shares available for grant under Paragraph 4(a).</w:t>
      </w:r>
    </w:p>
    <w:p>
      <w:pPr>
        <w:spacing w:after="0" w:line="179" w:lineRule="exact"/>
        <w:rPr>
          <w:rFonts w:ascii="Arial" w:cs="Arial" w:eastAsia="Arial" w:hAnsi="Arial"/>
          <w:sz w:val="22"/>
          <w:szCs w:val="22"/>
          <w:color w:val="auto"/>
        </w:rPr>
      </w:pPr>
    </w:p>
    <w:p>
      <w:pPr>
        <w:ind w:left="644" w:hanging="644"/>
        <w:spacing w:after="0"/>
        <w:tabs>
          <w:tab w:leader="none" w:pos="644"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25" w:lineRule="exact"/>
        <w:rPr>
          <w:rFonts w:ascii="Arial" w:cs="Arial" w:eastAsia="Arial" w:hAnsi="Arial"/>
          <w:sz w:val="22"/>
          <w:szCs w:val="22"/>
          <w:b w:val="1"/>
          <w:bCs w:val="1"/>
          <w:color w:val="auto"/>
        </w:rPr>
      </w:pPr>
    </w:p>
    <w:p>
      <w:pPr>
        <w:ind w:left="4" w:right="60" w:firstLine="644"/>
        <w:spacing w:after="0" w:line="271" w:lineRule="auto"/>
        <w:tabs>
          <w:tab w:leader="none" w:pos="1297" w:val="left"/>
        </w:tabs>
        <w:numPr>
          <w:ilvl w:val="1"/>
          <w:numId w:val="149"/>
        </w:numPr>
        <w:rPr>
          <w:rFonts w:ascii="Arial" w:cs="Arial" w:eastAsia="Arial" w:hAnsi="Arial"/>
          <w:sz w:val="21"/>
          <w:szCs w:val="21"/>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167" w:lineRule="exact"/>
        <w:rPr>
          <w:rFonts w:ascii="Arial" w:cs="Arial" w:eastAsia="Arial" w:hAnsi="Arial"/>
          <w:sz w:val="21"/>
          <w:szCs w:val="21"/>
          <w:color w:val="auto"/>
        </w:rPr>
      </w:pPr>
    </w:p>
    <w:p>
      <w:pPr>
        <w:ind w:left="4" w:right="80" w:firstLine="644"/>
        <w:spacing w:after="0" w:line="261" w:lineRule="auto"/>
        <w:tabs>
          <w:tab w:leader="none" w:pos="1295" w:val="left"/>
        </w:tabs>
        <w:numPr>
          <w:ilvl w:val="1"/>
          <w:numId w:val="149"/>
        </w:numPr>
        <w:rPr>
          <w:rFonts w:ascii="Arial" w:cs="Arial" w:eastAsia="Arial" w:hAnsi="Arial"/>
          <w:sz w:val="21"/>
          <w:szCs w:val="21"/>
          <w:color w:val="auto"/>
        </w:rPr>
      </w:pPr>
      <w:r>
        <w:rPr>
          <w:rFonts w:ascii="Arial" w:cs="Arial" w:eastAsia="Arial" w:hAnsi="Arial"/>
          <w:sz w:val="21"/>
          <w:szCs w:val="21"/>
          <w:u w:val="single" w:color="auto"/>
          <w:color w:val="auto"/>
        </w:rPr>
        <w:t>Grants</w:t>
      </w:r>
      <w:r>
        <w:rPr>
          <w:rFonts w:ascii="Arial" w:cs="Arial" w:eastAsia="Arial" w:hAnsi="Arial"/>
          <w:sz w:val="21"/>
          <w:szCs w:val="21"/>
          <w:color w:val="auto"/>
        </w:rPr>
        <w:t>. Subject to the express terms and conditions set forth in the Plan, the Committee shall have the power, from time to time, to 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179" w:lineRule="exact"/>
        <w:rPr>
          <w:rFonts w:ascii="Arial" w:cs="Arial" w:eastAsia="Arial" w:hAnsi="Arial"/>
          <w:sz w:val="21"/>
          <w:szCs w:val="21"/>
          <w:color w:val="auto"/>
        </w:rPr>
      </w:pPr>
    </w:p>
    <w:p>
      <w:pPr>
        <w:ind w:left="4" w:firstLine="644"/>
        <w:spacing w:after="0" w:line="253" w:lineRule="auto"/>
        <w:tabs>
          <w:tab w:leader="none" w:pos="1297"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5" w:lineRule="exact"/>
        <w:rPr>
          <w:rFonts w:ascii="Arial" w:cs="Arial" w:eastAsia="Arial" w:hAnsi="Arial"/>
          <w:sz w:val="22"/>
          <w:szCs w:val="22"/>
          <w:color w:val="auto"/>
        </w:rPr>
      </w:pPr>
    </w:p>
    <w:p>
      <w:pPr>
        <w:ind w:left="4" w:right="60" w:firstLine="644"/>
        <w:spacing w:after="0" w:line="253" w:lineRule="auto"/>
        <w:tabs>
          <w:tab w:leader="none" w:pos="1295"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Exculpation</w:t>
      </w:r>
      <w:r>
        <w:rPr>
          <w:rFonts w:ascii="Arial" w:cs="Arial" w:eastAsia="Arial" w:hAnsi="Arial"/>
          <w:sz w:val="22"/>
          <w:szCs w:val="22"/>
          <w:color w:val="auto"/>
        </w:rPr>
        <w:t>. No member of the Committee shall be personally liable for monetary damages for any action taken or any failure to take any action in connection with the administration of the Plan or the granting of Awards thereunder unless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44"/>
          </w:cols>
          <w:pgMar w:left="976" w:top="1428" w:right="379" w:bottom="1440" w:gutter="0" w:footer="0" w:header="0"/>
        </w:sectPr>
      </w:pPr>
    </w:p>
    <w:bookmarkStart w:id="104" w:name="page105"/>
    <w:bookmarkEnd w:id="104"/>
    <w:p>
      <w:pPr>
        <w:ind w:left="4" w:right="300"/>
        <w:spacing w:after="0" w:line="250" w:lineRule="auto"/>
        <w:rPr>
          <w:sz w:val="20"/>
          <w:szCs w:val="20"/>
          <w:color w:val="auto"/>
        </w:rPr>
      </w:pPr>
      <w:r>
        <w:rPr>
          <w:rFonts w:ascii="Arial" w:cs="Arial" w:eastAsia="Arial" w:hAnsi="Arial"/>
          <w:sz w:val="22"/>
          <w:szCs w:val="22"/>
          <w:color w:val="auto"/>
        </w:rPr>
        <w:t>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88" w:lineRule="exact"/>
        <w:rPr>
          <w:sz w:val="20"/>
          <w:szCs w:val="20"/>
          <w:color w:val="auto"/>
        </w:rPr>
      </w:pPr>
    </w:p>
    <w:p>
      <w:pPr>
        <w:ind w:left="4" w:right="220" w:firstLine="644"/>
        <w:spacing w:after="0" w:line="294" w:lineRule="auto"/>
        <w:tabs>
          <w:tab w:leader="none" w:pos="1297"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49" w:lineRule="exact"/>
        <w:rPr>
          <w:rFonts w:ascii="Arial" w:cs="Arial" w:eastAsia="Arial" w:hAnsi="Arial"/>
          <w:sz w:val="19"/>
          <w:szCs w:val="19"/>
          <w:color w:val="auto"/>
        </w:rPr>
      </w:pPr>
    </w:p>
    <w:p>
      <w:pPr>
        <w:ind w:left="4" w:firstLine="644"/>
        <w:spacing w:after="0" w:line="263" w:lineRule="auto"/>
        <w:tabs>
          <w:tab w:leader="none" w:pos="1354" w:val="left"/>
        </w:tabs>
        <w:numPr>
          <w:ilvl w:val="1"/>
          <w:numId w:val="150"/>
        </w:numPr>
        <w:rPr>
          <w:rFonts w:ascii="Arial" w:cs="Arial" w:eastAsia="Arial" w:hAnsi="Arial"/>
          <w:sz w:val="21"/>
          <w:szCs w:val="21"/>
          <w:color w:val="auto"/>
        </w:rPr>
      </w:pPr>
      <w:r>
        <w:rPr>
          <w:rFonts w:ascii="Arial" w:cs="Arial" w:eastAsia="Arial" w:hAnsi="Arial"/>
          <w:sz w:val="21"/>
          <w:szCs w:val="21"/>
          <w:u w:val="single" w:color="auto"/>
          <w:color w:val="auto"/>
        </w:rPr>
        <w:t>Delegation of Authority</w:t>
      </w:r>
      <w:r>
        <w:rPr>
          <w:rFonts w:ascii="Arial" w:cs="Arial" w:eastAsia="Arial" w:hAnsi="Arial"/>
          <w:sz w:val="21"/>
          <w:szCs w:val="21"/>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175" w:lineRule="exact"/>
        <w:rPr>
          <w:rFonts w:ascii="Arial" w:cs="Arial" w:eastAsia="Arial" w:hAnsi="Arial"/>
          <w:sz w:val="21"/>
          <w:szCs w:val="21"/>
          <w:color w:val="auto"/>
        </w:rPr>
      </w:pPr>
    </w:p>
    <w:p>
      <w:pPr>
        <w:ind w:left="1944" w:right="400" w:hanging="852"/>
        <w:spacing w:after="0" w:line="263" w:lineRule="auto"/>
        <w:tabs>
          <w:tab w:leader="none" w:pos="1944" w:val="left"/>
        </w:tabs>
        <w:numPr>
          <w:ilvl w:val="2"/>
          <w:numId w:val="150"/>
        </w:numPr>
        <w:rPr>
          <w:rFonts w:ascii="Arial" w:cs="Arial" w:eastAsia="Arial" w:hAnsi="Arial"/>
          <w:sz w:val="22"/>
          <w:szCs w:val="22"/>
          <w:color w:val="auto"/>
        </w:rPr>
      </w:pPr>
      <w:r>
        <w:rPr>
          <w:rFonts w:ascii="Arial" w:cs="Arial" w:eastAsia="Arial" w:hAnsi="Arial"/>
          <w:sz w:val="22"/>
          <w:szCs w:val="22"/>
          <w:color w:val="auto"/>
        </w:rPr>
        <w:t>such time as the Committee shall, in its sole and absolute discretion, revoke such delegation of authority;</w:t>
      </w:r>
    </w:p>
    <w:p>
      <w:pPr>
        <w:spacing w:after="0" w:line="174" w:lineRule="exact"/>
        <w:rPr>
          <w:rFonts w:ascii="Arial" w:cs="Arial" w:eastAsia="Arial" w:hAnsi="Arial"/>
          <w:sz w:val="22"/>
          <w:szCs w:val="22"/>
          <w:color w:val="auto"/>
        </w:rPr>
      </w:pPr>
    </w:p>
    <w:p>
      <w:pPr>
        <w:ind w:left="1944" w:right="60" w:hanging="911"/>
        <w:spacing w:after="0" w:line="253" w:lineRule="auto"/>
        <w:tabs>
          <w:tab w:leader="none" w:pos="1944" w:val="left"/>
        </w:tabs>
        <w:numPr>
          <w:ilvl w:val="2"/>
          <w:numId w:val="150"/>
        </w:numPr>
        <w:rPr>
          <w:rFonts w:ascii="Arial" w:cs="Arial" w:eastAsia="Arial" w:hAnsi="Arial"/>
          <w:sz w:val="22"/>
          <w:szCs w:val="22"/>
          <w:color w:val="auto"/>
        </w:rPr>
      </w:pPr>
      <w:r>
        <w:rPr>
          <w:rFonts w:ascii="Arial" w:cs="Arial" w:eastAsia="Arial" w:hAnsi="Arial"/>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85" w:lineRule="exact"/>
        <w:rPr>
          <w:rFonts w:ascii="Arial" w:cs="Arial" w:eastAsia="Arial" w:hAnsi="Arial"/>
          <w:sz w:val="22"/>
          <w:szCs w:val="22"/>
          <w:color w:val="auto"/>
        </w:rPr>
      </w:pPr>
    </w:p>
    <w:p>
      <w:pPr>
        <w:ind w:left="1944" w:right="760" w:hanging="971"/>
        <w:spacing w:after="0" w:line="263" w:lineRule="auto"/>
        <w:tabs>
          <w:tab w:leader="none" w:pos="1944" w:val="left"/>
        </w:tabs>
        <w:numPr>
          <w:ilvl w:val="2"/>
          <w:numId w:val="150"/>
        </w:numPr>
        <w:rPr>
          <w:rFonts w:ascii="Arial" w:cs="Arial" w:eastAsia="Arial" w:hAnsi="Arial"/>
          <w:sz w:val="22"/>
          <w:szCs w:val="22"/>
          <w:color w:val="auto"/>
        </w:rPr>
      </w:pPr>
      <w:r>
        <w:rPr>
          <w:rFonts w:ascii="Arial" w:cs="Arial" w:eastAsia="Arial" w:hAnsi="Arial"/>
          <w:sz w:val="22"/>
          <w:szCs w:val="22"/>
          <w:color w:val="auto"/>
        </w:rPr>
        <w:t>the delegate shall notify the Committee that he or she declines to continue to exercise such authority.</w:t>
      </w:r>
    </w:p>
    <w:p>
      <w:pPr>
        <w:spacing w:after="0" w:line="168" w:lineRule="exact"/>
        <w:rPr>
          <w:rFonts w:ascii="Arial" w:cs="Arial" w:eastAsia="Arial" w:hAnsi="Arial"/>
          <w:sz w:val="22"/>
          <w:szCs w:val="22"/>
          <w:color w:val="auto"/>
        </w:rPr>
      </w:pPr>
    </w:p>
    <w:p>
      <w:pPr>
        <w:ind w:left="644" w:hanging="644"/>
        <w:spacing w:after="0"/>
        <w:tabs>
          <w:tab w:leader="none" w:pos="644"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25" w:lineRule="exact"/>
        <w:rPr>
          <w:rFonts w:ascii="Arial" w:cs="Arial" w:eastAsia="Arial" w:hAnsi="Arial"/>
          <w:sz w:val="22"/>
          <w:szCs w:val="22"/>
          <w:b w:val="1"/>
          <w:bCs w:val="1"/>
          <w:color w:val="auto"/>
        </w:rPr>
      </w:pPr>
    </w:p>
    <w:p>
      <w:pPr>
        <w:ind w:left="644"/>
        <w:spacing w:after="0"/>
        <w:rPr>
          <w:rFonts w:ascii="Arial" w:cs="Arial" w:eastAsia="Arial" w:hAnsi="Arial"/>
          <w:sz w:val="22"/>
          <w:szCs w:val="22"/>
          <w:b w:val="1"/>
          <w:bCs w:val="1"/>
          <w:color w:val="auto"/>
        </w:rPr>
      </w:pPr>
      <w:r>
        <w:rPr>
          <w:rFonts w:ascii="Arial" w:cs="Arial" w:eastAsia="Arial" w:hAnsi="Arial"/>
          <w:sz w:val="22"/>
          <w:szCs w:val="22"/>
          <w:color w:val="auto"/>
        </w:rPr>
        <w:t>Awards may be granted only to Eligible Employees and Non-Employee Directors.</w:t>
      </w:r>
    </w:p>
    <w:p>
      <w:pPr>
        <w:spacing w:after="0" w:line="213" w:lineRule="exact"/>
        <w:rPr>
          <w:rFonts w:ascii="Arial" w:cs="Arial" w:eastAsia="Arial" w:hAnsi="Arial"/>
          <w:sz w:val="22"/>
          <w:szCs w:val="22"/>
          <w:b w:val="1"/>
          <w:bCs w:val="1"/>
          <w:color w:val="auto"/>
        </w:rPr>
      </w:pPr>
    </w:p>
    <w:p>
      <w:pPr>
        <w:ind w:left="644" w:hanging="644"/>
        <w:spacing w:after="0"/>
        <w:tabs>
          <w:tab w:leader="none" w:pos="644"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RESTRICTED STOCK AND RESTRICTED STOCK UNIT AWARDS</w:t>
      </w:r>
    </w:p>
    <w:p>
      <w:pPr>
        <w:spacing w:after="0" w:line="226" w:lineRule="exact"/>
        <w:rPr>
          <w:sz w:val="20"/>
          <w:szCs w:val="20"/>
          <w:color w:val="auto"/>
        </w:rPr>
      </w:pPr>
    </w:p>
    <w:p>
      <w:pPr>
        <w:ind w:left="4" w:right="80" w:firstLine="648"/>
        <w:spacing w:after="0" w:line="248" w:lineRule="auto"/>
        <w:rPr>
          <w:sz w:val="20"/>
          <w:szCs w:val="20"/>
          <w:color w:val="auto"/>
        </w:rPr>
      </w:pPr>
      <w:r>
        <w:rPr>
          <w:rFonts w:ascii="Arial" w:cs="Arial" w:eastAsia="Arial" w:hAnsi="Arial"/>
          <w:sz w:val="22"/>
          <w:szCs w:val="22"/>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524"/>
          </w:cols>
          <w:pgMar w:left="976" w:top="1428" w:right="399" w:bottom="1440" w:gutter="0" w:footer="0" w:header="0"/>
        </w:sectPr>
      </w:pPr>
    </w:p>
    <w:bookmarkStart w:id="105" w:name="page106"/>
    <w:bookmarkEnd w:id="105"/>
    <w:p>
      <w:pPr>
        <w:ind w:left="640"/>
        <w:spacing w:after="0"/>
        <w:rPr>
          <w:sz w:val="20"/>
          <w:szCs w:val="20"/>
          <w:color w:val="auto"/>
        </w:rPr>
      </w:pPr>
      <w:r>
        <w:rPr>
          <w:rFonts w:ascii="Arial" w:cs="Arial" w:eastAsia="Arial" w:hAnsi="Arial"/>
          <w:sz w:val="22"/>
          <w:szCs w:val="22"/>
          <w:color w:val="auto"/>
        </w:rPr>
        <w:t>The terms and conditions of Awards shall be set forth in writing as determined from time to time by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Committee, consistent, however, with the following:</w:t>
      </w:r>
    </w:p>
    <w:p>
      <w:pPr>
        <w:spacing w:after="0" w:line="202" w:lineRule="exact"/>
        <w:rPr>
          <w:sz w:val="20"/>
          <w:szCs w:val="20"/>
          <w:color w:val="auto"/>
        </w:rPr>
      </w:pPr>
    </w:p>
    <w:p>
      <w:pPr>
        <w:ind w:left="1280" w:hanging="636"/>
        <w:spacing w:after="0"/>
        <w:tabs>
          <w:tab w:leader="none" w:pos="128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Time of Grant</w:t>
      </w:r>
      <w:r>
        <w:rPr>
          <w:rFonts w:ascii="Arial" w:cs="Arial" w:eastAsia="Arial" w:hAnsi="Arial"/>
          <w:sz w:val="22"/>
          <w:szCs w:val="22"/>
          <w:color w:val="auto"/>
        </w:rPr>
        <w:t>. All Awards shall be granted on or before May 19, 2026.</w:t>
      </w:r>
    </w:p>
    <w:p>
      <w:pPr>
        <w:spacing w:after="0" w:line="219" w:lineRule="exact"/>
        <w:rPr>
          <w:rFonts w:ascii="Arial" w:cs="Arial" w:eastAsia="Arial" w:hAnsi="Arial"/>
          <w:sz w:val="22"/>
          <w:szCs w:val="22"/>
          <w:color w:val="auto"/>
        </w:rPr>
      </w:pPr>
    </w:p>
    <w:p>
      <w:pPr>
        <w:ind w:right="60" w:firstLine="644"/>
        <w:spacing w:after="0" w:line="287" w:lineRule="auto"/>
        <w:tabs>
          <w:tab w:leader="none" w:pos="1291"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Terms of Awards</w:t>
      </w:r>
      <w:r>
        <w:rPr>
          <w:rFonts w:ascii="Arial" w:cs="Arial" w:eastAsia="Arial" w:hAnsi="Arial"/>
          <w:sz w:val="21"/>
          <w:szCs w:val="21"/>
          <w:color w:val="auto"/>
        </w:rPr>
        <w:t>. The provisions of Awards need not be the same with respect to each Grantee. No cash or other consideration shall be required to be paid by the Grantee in exchange for an Award.</w:t>
      </w:r>
    </w:p>
    <w:p>
      <w:pPr>
        <w:spacing w:after="0" w:line="151" w:lineRule="exact"/>
        <w:rPr>
          <w:rFonts w:ascii="Arial" w:cs="Arial" w:eastAsia="Arial" w:hAnsi="Arial"/>
          <w:sz w:val="21"/>
          <w:szCs w:val="21"/>
          <w:color w:val="auto"/>
        </w:rPr>
      </w:pPr>
    </w:p>
    <w:p>
      <w:pPr>
        <w:ind w:right="400" w:firstLine="644"/>
        <w:spacing w:after="0" w:line="253" w:lineRule="auto"/>
        <w:tabs>
          <w:tab w:leader="none" w:pos="1293"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Awards and Agreements</w:t>
      </w:r>
      <w:r>
        <w:rPr>
          <w:rFonts w:ascii="Arial" w:cs="Arial" w:eastAsia="Arial" w:hAnsi="Arial"/>
          <w:sz w:val="22"/>
          <w:szCs w:val="22"/>
          <w:color w:val="auto"/>
        </w:rPr>
        <w:t>. Each Grantee shall be provided with an agreement specifying the terms of an Award. The Company shall arrange for the recording of Grantee’s ownership of the Restricted Stock on a book entry recordkeeping system maintained on behalf of the Company.</w:t>
      </w:r>
    </w:p>
    <w:p>
      <w:pPr>
        <w:spacing w:after="0" w:line="185" w:lineRule="exact"/>
        <w:rPr>
          <w:rFonts w:ascii="Arial" w:cs="Arial" w:eastAsia="Arial" w:hAnsi="Arial"/>
          <w:sz w:val="22"/>
          <w:szCs w:val="22"/>
          <w:color w:val="auto"/>
        </w:rPr>
      </w:pPr>
    </w:p>
    <w:p>
      <w:pPr>
        <w:ind w:right="340" w:firstLine="644"/>
        <w:spacing w:after="0" w:line="253" w:lineRule="auto"/>
        <w:tabs>
          <w:tab w:leader="none" w:pos="1291"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185" w:lineRule="exact"/>
        <w:rPr>
          <w:rFonts w:ascii="Arial" w:cs="Arial" w:eastAsia="Arial" w:hAnsi="Arial"/>
          <w:sz w:val="22"/>
          <w:szCs w:val="22"/>
          <w:color w:val="auto"/>
        </w:rPr>
      </w:pPr>
    </w:p>
    <w:p>
      <w:pPr>
        <w:ind w:right="20" w:firstLine="644"/>
        <w:spacing w:after="0" w:line="288" w:lineRule="auto"/>
        <w:tabs>
          <w:tab w:leader="none" w:pos="1293"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Vesting/Lapse of Restrictions</w:t>
      </w:r>
      <w:r>
        <w:rPr>
          <w:rFonts w:ascii="Arial" w:cs="Arial" w:eastAsia="Arial" w:hAnsi="Arial"/>
          <w:sz w:val="19"/>
          <w:szCs w:val="19"/>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pacing w:after="0" w:line="159" w:lineRule="exact"/>
        <w:rPr>
          <w:rFonts w:ascii="Arial" w:cs="Arial" w:eastAsia="Arial" w:hAnsi="Arial"/>
          <w:sz w:val="19"/>
          <w:szCs w:val="19"/>
          <w:color w:val="auto"/>
        </w:rPr>
      </w:pPr>
    </w:p>
    <w:p>
      <w:pPr>
        <w:ind w:firstLine="644"/>
        <w:spacing w:after="0" w:line="247" w:lineRule="auto"/>
        <w:tabs>
          <w:tab w:leader="none" w:pos="1296"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Rights of the Grantee</w:t>
      </w:r>
      <w:r>
        <w:rPr>
          <w:rFonts w:ascii="Arial" w:cs="Arial" w:eastAsia="Arial" w:hAnsi="Arial"/>
          <w:sz w:val="22"/>
          <w:szCs w:val="22"/>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192" w:lineRule="exact"/>
        <w:rPr>
          <w:rFonts w:ascii="Arial" w:cs="Arial" w:eastAsia="Arial" w:hAnsi="Arial"/>
          <w:sz w:val="22"/>
          <w:szCs w:val="22"/>
          <w:color w:val="auto"/>
        </w:rPr>
      </w:pPr>
    </w:p>
    <w:p>
      <w:pPr>
        <w:jc w:val="both"/>
        <w:ind w:right="100" w:firstLine="644"/>
        <w:spacing w:after="0" w:line="265" w:lineRule="auto"/>
        <w:tabs>
          <w:tab w:leader="none" w:pos="1291"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0"/>
          </w:cols>
          <w:pgMar w:left="980" w:top="1428" w:right="339" w:bottom="1440" w:gutter="0" w:footer="0" w:header="0"/>
        </w:sectPr>
      </w:pPr>
    </w:p>
    <w:bookmarkStart w:id="106" w:name="page107"/>
    <w:bookmarkEnd w:id="106"/>
    <w:p>
      <w:pPr>
        <w:ind w:left="4" w:right="520"/>
        <w:spacing w:after="0" w:line="263" w:lineRule="auto"/>
        <w:rPr>
          <w:sz w:val="20"/>
          <w:szCs w:val="20"/>
          <w:color w:val="auto"/>
        </w:rPr>
      </w:pPr>
      <w:r>
        <w:rPr>
          <w:rFonts w:ascii="Arial" w:cs="Arial" w:eastAsia="Arial" w:hAnsi="Arial"/>
          <w:sz w:val="22"/>
          <w:szCs w:val="22"/>
          <w:color w:val="auto"/>
        </w:rPr>
        <w:t>reinvested in additional Restricted Stock Units, or a combination thereof, as determined by the Committee in its sole discretion.</w:t>
      </w:r>
    </w:p>
    <w:p>
      <w:pPr>
        <w:spacing w:after="0" w:line="175" w:lineRule="exact"/>
        <w:rPr>
          <w:sz w:val="20"/>
          <w:szCs w:val="20"/>
          <w:color w:val="auto"/>
        </w:rPr>
      </w:pPr>
    </w:p>
    <w:p>
      <w:pPr>
        <w:ind w:left="4" w:right="140" w:firstLine="644"/>
        <w:spacing w:after="0" w:line="290" w:lineRule="auto"/>
        <w:tabs>
          <w:tab w:leader="none" w:pos="1295"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Termination of Grantee’s Employment</w:t>
      </w:r>
      <w:r>
        <w:rPr>
          <w:rFonts w:ascii="Arial" w:cs="Arial" w:eastAsia="Arial" w:hAnsi="Arial"/>
          <w:sz w:val="19"/>
          <w:szCs w:val="19"/>
          <w:color w:val="auto"/>
        </w:rPr>
        <w:t>. A transfer of an Eligible Employee between two employers, each of which is a Participating Company, shall not be deemed a termination of employment. A Grantee who is a Non-Employee Director shall be treated as having been terminated upon the Grantee’s termination of service as a Non-Employee Director, provided that if such a Grantee is designated as a Director Emeritus upon termination of service as a Non-Employee Director, such Non-Employee Director shall not be treated as having been terminated until the Grantee’s termination of service as a Director Emeritus.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155" w:lineRule="exact"/>
        <w:rPr>
          <w:rFonts w:ascii="Arial" w:cs="Arial" w:eastAsia="Arial" w:hAnsi="Arial"/>
          <w:sz w:val="19"/>
          <w:szCs w:val="19"/>
          <w:color w:val="auto"/>
        </w:rPr>
      </w:pPr>
    </w:p>
    <w:p>
      <w:pPr>
        <w:ind w:left="4" w:firstLine="644"/>
        <w:spacing w:after="0" w:line="288" w:lineRule="auto"/>
        <w:tabs>
          <w:tab w:leader="none" w:pos="1288"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Delivery of Shares</w:t>
      </w:r>
      <w:r>
        <w:rPr>
          <w:rFonts w:ascii="Arial" w:cs="Arial" w:eastAsia="Arial" w:hAnsi="Arial"/>
          <w:sz w:val="19"/>
          <w:szCs w:val="19"/>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53" w:lineRule="exact"/>
        <w:rPr>
          <w:rFonts w:ascii="Arial" w:cs="Arial" w:eastAsia="Arial" w:hAnsi="Arial"/>
          <w:sz w:val="19"/>
          <w:szCs w:val="19"/>
          <w:color w:val="auto"/>
        </w:rPr>
      </w:pPr>
    </w:p>
    <w:p>
      <w:pPr>
        <w:ind w:left="644" w:hanging="644"/>
        <w:spacing w:after="0"/>
        <w:tabs>
          <w:tab w:leader="none" w:pos="644"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DEFERRAL ELECTIONS</w:t>
      </w:r>
    </w:p>
    <w:p>
      <w:pPr>
        <w:spacing w:after="0" w:line="226" w:lineRule="exact"/>
        <w:rPr>
          <w:sz w:val="20"/>
          <w:szCs w:val="20"/>
          <w:color w:val="auto"/>
        </w:rPr>
      </w:pPr>
    </w:p>
    <w:p>
      <w:pPr>
        <w:ind w:left="4" w:right="480" w:firstLine="648"/>
        <w:spacing w:after="0" w:line="253" w:lineRule="auto"/>
        <w:rPr>
          <w:sz w:val="20"/>
          <w:szCs w:val="20"/>
          <w:color w:val="auto"/>
        </w:rPr>
      </w:pPr>
      <w:r>
        <w:rPr>
          <w:rFonts w:ascii="Arial" w:cs="Arial" w:eastAsia="Arial" w:hAnsi="Arial"/>
          <w:sz w:val="22"/>
          <w:szCs w:val="22"/>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85" w:lineRule="exact"/>
        <w:rPr>
          <w:sz w:val="20"/>
          <w:szCs w:val="20"/>
          <w:color w:val="auto"/>
        </w:rPr>
      </w:pPr>
    </w:p>
    <w:p>
      <w:pPr>
        <w:ind w:left="1284" w:hanging="636"/>
        <w:spacing w:after="0"/>
        <w:tabs>
          <w:tab w:leader="none" w:pos="1284"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Initial Deferral Election and Regular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4" w:hanging="852"/>
        <w:spacing w:after="0"/>
        <w:tabs>
          <w:tab w:leader="none" w:pos="1944" w:val="left"/>
        </w:tabs>
        <w:numPr>
          <w:ilvl w:val="1"/>
          <w:numId w:val="155"/>
        </w:numPr>
        <w:rPr>
          <w:rFonts w:ascii="Arial" w:cs="Arial" w:eastAsia="Arial" w:hAnsi="Arial"/>
          <w:sz w:val="22"/>
          <w:szCs w:val="22"/>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584" w:right="160" w:hanging="640"/>
        <w:spacing w:after="0" w:line="250" w:lineRule="auto"/>
        <w:tabs>
          <w:tab w:leader="none" w:pos="2452" w:val="left"/>
        </w:tabs>
        <w:numPr>
          <w:ilvl w:val="2"/>
          <w:numId w:val="155"/>
        </w:numPr>
        <w:rPr>
          <w:rFonts w:ascii="Arial" w:cs="Arial" w:eastAsia="Arial" w:hAnsi="Arial"/>
          <w:sz w:val="22"/>
          <w:szCs w:val="22"/>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4"/>
          </w:cols>
          <w:pgMar w:left="976" w:top="1428" w:right="339" w:bottom="1440" w:gutter="0" w:footer="0" w:header="0"/>
        </w:sectPr>
      </w:pPr>
    </w:p>
    <w:bookmarkStart w:id="107" w:name="page108"/>
    <w:bookmarkEnd w:id="107"/>
    <w:p>
      <w:pPr>
        <w:ind w:left="2120" w:right="280"/>
        <w:spacing w:after="0" w:line="263" w:lineRule="auto"/>
        <w:rPr>
          <w:sz w:val="20"/>
          <w:szCs w:val="20"/>
          <w:color w:val="auto"/>
        </w:rPr>
      </w:pPr>
      <w:r>
        <w:rPr>
          <w:rFonts w:ascii="Arial" w:cs="Arial" w:eastAsia="Arial" w:hAnsi="Arial"/>
          <w:sz w:val="22"/>
          <w:szCs w:val="22"/>
          <w:color w:val="auto"/>
        </w:rPr>
        <w:t>Election to defer the receipt of such Shares on a form provided by the Committee for this purpose.</w:t>
      </w:r>
    </w:p>
    <w:p>
      <w:pPr>
        <w:spacing w:after="0" w:line="175" w:lineRule="exact"/>
        <w:rPr>
          <w:sz w:val="20"/>
          <w:szCs w:val="20"/>
          <w:color w:val="auto"/>
        </w:rPr>
      </w:pPr>
    </w:p>
    <w:p>
      <w:pPr>
        <w:ind w:left="2120" w:right="200" w:hanging="640"/>
        <w:spacing w:after="0" w:line="277" w:lineRule="auto"/>
        <w:tabs>
          <w:tab w:leader="none" w:pos="1976" w:val="left"/>
        </w:tabs>
        <w:numPr>
          <w:ilvl w:val="2"/>
          <w:numId w:val="156"/>
        </w:numPr>
        <w:rPr>
          <w:rFonts w:ascii="Arial" w:cs="Arial" w:eastAsia="Arial" w:hAnsi="Arial"/>
          <w:sz w:val="19"/>
          <w:szCs w:val="19"/>
          <w:color w:val="auto"/>
        </w:rPr>
      </w:pPr>
      <w:r>
        <w:rPr>
          <w:rFonts w:ascii="Arial" w:cs="Arial" w:eastAsia="Arial" w:hAnsi="Arial"/>
          <w:sz w:val="19"/>
          <w:szCs w:val="19"/>
          <w:u w:val="single" w:color="auto"/>
          <w:color w:val="auto"/>
        </w:rPr>
        <w:t>Deadline for Initial Deferral Election</w:t>
      </w:r>
      <w:r>
        <w:rPr>
          <w:rFonts w:ascii="Arial" w:cs="Arial" w:eastAsia="Arial" w:hAnsi="Arial"/>
          <w:sz w:val="19"/>
          <w:szCs w:val="19"/>
          <w:color w:val="auto"/>
        </w:rPr>
        <w:t>. No Initial Deferral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Committee at least six months before the end of the Performance Period during which such Performance-Based Compensation may be earned.</w:t>
      </w:r>
    </w:p>
    <w:p>
      <w:pPr>
        <w:spacing w:after="0" w:line="171" w:lineRule="exact"/>
        <w:rPr>
          <w:rFonts w:ascii="Arial" w:cs="Arial" w:eastAsia="Arial" w:hAnsi="Arial"/>
          <w:sz w:val="19"/>
          <w:szCs w:val="19"/>
          <w:color w:val="auto"/>
        </w:rPr>
      </w:pPr>
    </w:p>
    <w:p>
      <w:pPr>
        <w:ind w:left="1480" w:hanging="911"/>
        <w:spacing w:after="0"/>
        <w:tabs>
          <w:tab w:leader="none" w:pos="1480" w:val="left"/>
        </w:tabs>
        <w:numPr>
          <w:ilvl w:val="1"/>
          <w:numId w:val="157"/>
        </w:numPr>
        <w:rPr>
          <w:rFonts w:ascii="Arial" w:cs="Arial" w:eastAsia="Arial" w:hAnsi="Arial"/>
          <w:sz w:val="22"/>
          <w:szCs w:val="22"/>
          <w:color w:val="auto"/>
        </w:rPr>
      </w:pPr>
      <w:r>
        <w:rPr>
          <w:rFonts w:ascii="Arial" w:cs="Arial" w:eastAsia="Arial" w:hAnsi="Arial"/>
          <w:sz w:val="22"/>
          <w:szCs w:val="22"/>
          <w:u w:val="single" w:color="auto"/>
          <w:color w:val="auto"/>
        </w:rPr>
        <w:t>Regular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120" w:right="100" w:hanging="640"/>
        <w:spacing w:after="0" w:line="248" w:lineRule="auto"/>
        <w:tabs>
          <w:tab w:leader="none" w:pos="1988" w:val="left"/>
        </w:tabs>
        <w:numPr>
          <w:ilvl w:val="2"/>
          <w:numId w:val="157"/>
        </w:numPr>
        <w:rPr>
          <w:rFonts w:ascii="Arial" w:cs="Arial" w:eastAsia="Arial" w:hAnsi="Arial"/>
          <w:sz w:val="22"/>
          <w:szCs w:val="22"/>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Each Grantee who is a Deferral Eligible Employee shall have the right to defer the receipt of some or all of the Shares issuable with respect to Restricted Stock Units as to which a Vesting Date has not yet occurred, and that are not subject to an Initial Deferral Election, by filing a Regular Deferral Election to defer the receipt of such Shares on a form provided by the Committee for this purpose.</w:t>
      </w:r>
    </w:p>
    <w:p>
      <w:pPr>
        <w:spacing w:after="0" w:line="191" w:lineRule="exact"/>
        <w:rPr>
          <w:rFonts w:ascii="Arial" w:cs="Arial" w:eastAsia="Arial" w:hAnsi="Arial"/>
          <w:sz w:val="22"/>
          <w:szCs w:val="22"/>
          <w:color w:val="auto"/>
        </w:rPr>
      </w:pPr>
    </w:p>
    <w:p>
      <w:pPr>
        <w:ind w:left="2120" w:right="40" w:hanging="640"/>
        <w:spacing w:after="0" w:line="250" w:lineRule="auto"/>
        <w:tabs>
          <w:tab w:leader="none" w:pos="1976" w:val="left"/>
        </w:tabs>
        <w:numPr>
          <w:ilvl w:val="2"/>
          <w:numId w:val="157"/>
        </w:numPr>
        <w:rPr>
          <w:rFonts w:ascii="Arial" w:cs="Arial" w:eastAsia="Arial" w:hAnsi="Arial"/>
          <w:sz w:val="22"/>
          <w:szCs w:val="22"/>
          <w:color w:val="auto"/>
        </w:rPr>
      </w:pPr>
      <w:r>
        <w:rPr>
          <w:rFonts w:ascii="Arial" w:cs="Arial" w:eastAsia="Arial" w:hAnsi="Arial"/>
          <w:sz w:val="22"/>
          <w:szCs w:val="22"/>
          <w:u w:val="single" w:color="auto"/>
          <w:color w:val="auto"/>
        </w:rPr>
        <w:t>Deadline for Regular Deferral Election</w:t>
      </w:r>
      <w:r>
        <w:rPr>
          <w:rFonts w:ascii="Arial" w:cs="Arial" w:eastAsia="Arial" w:hAnsi="Arial"/>
          <w:sz w:val="22"/>
          <w:szCs w:val="22"/>
          <w:color w:val="auto"/>
        </w:rPr>
        <w:t>. No Regular Deferral Election to defer the receipt of Shares issuable with respect to Restricted Stock Units shall be effective unless it is filed with the Committee on or before the close of business at least one year before the scheduled Vesting Date of such Restricted Stock Units.</w:t>
      </w:r>
    </w:p>
    <w:p>
      <w:pPr>
        <w:spacing w:after="0" w:line="187" w:lineRule="exact"/>
        <w:rPr>
          <w:rFonts w:ascii="Arial" w:cs="Arial" w:eastAsia="Arial" w:hAnsi="Arial"/>
          <w:sz w:val="22"/>
          <w:szCs w:val="22"/>
          <w:color w:val="auto"/>
        </w:rPr>
      </w:pPr>
    </w:p>
    <w:p>
      <w:pPr>
        <w:jc w:val="both"/>
        <w:ind w:left="-460" w:firstLine="644"/>
        <w:spacing w:after="0" w:line="253" w:lineRule="auto"/>
        <w:tabs>
          <w:tab w:leader="none" w:pos="831"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Effect of Failure of Vesting Date to Occur</w:t>
      </w:r>
      <w:r>
        <w:rPr>
          <w:rFonts w:ascii="Arial" w:cs="Arial" w:eastAsia="Arial" w:hAnsi="Arial"/>
          <w:sz w:val="22"/>
          <w:szCs w:val="22"/>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120"/>
          </w:cols>
          <w:pgMar w:left="1440" w:top="1428" w:right="339" w:bottom="1440" w:gutter="0" w:footer="0" w:header="0"/>
        </w:sectPr>
      </w:pPr>
    </w:p>
    <w:bookmarkStart w:id="108" w:name="page109"/>
    <w:bookmarkEnd w:id="108"/>
    <w:p>
      <w:pPr>
        <w:ind w:left="-460" w:right="220" w:firstLine="644"/>
        <w:spacing w:after="0" w:line="292" w:lineRule="auto"/>
        <w:tabs>
          <w:tab w:leader="none" w:pos="833"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Deferral Period</w:t>
      </w:r>
      <w:r>
        <w:rPr>
          <w:rFonts w:ascii="Arial" w:cs="Arial" w:eastAsia="Arial" w:hAnsi="Arial"/>
          <w:sz w:val="19"/>
          <w:szCs w:val="19"/>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The distribution date may vary with each separate Election. A Grantee may elect distribution to commence on the earlier of a date within 60 days following the Grantee’s death or the date otherwise specified pursuant to an Initial Deferral Election, a Regular Deferral Election, or a Subsequent Deferral Election.</w:t>
      </w:r>
    </w:p>
    <w:p>
      <w:pPr>
        <w:spacing w:after="0" w:line="150" w:lineRule="exact"/>
        <w:rPr>
          <w:rFonts w:ascii="Arial" w:cs="Arial" w:eastAsia="Arial" w:hAnsi="Arial"/>
          <w:sz w:val="19"/>
          <w:szCs w:val="19"/>
          <w:color w:val="auto"/>
        </w:rPr>
      </w:pPr>
    </w:p>
    <w:p>
      <w:pPr>
        <w:ind w:left="1480" w:hanging="852"/>
        <w:spacing w:after="0"/>
        <w:tabs>
          <w:tab w:leader="none" w:pos="1480" w:val="left"/>
        </w:tabs>
        <w:numPr>
          <w:ilvl w:val="1"/>
          <w:numId w:val="159"/>
        </w:numPr>
        <w:rPr>
          <w:rFonts w:ascii="Arial" w:cs="Arial" w:eastAsia="Arial" w:hAnsi="Arial"/>
          <w:sz w:val="22"/>
          <w:szCs w:val="22"/>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 Except as otherwise specifically provided by the Plan:</w:t>
      </w:r>
    </w:p>
    <w:p>
      <w:pPr>
        <w:spacing w:after="0" w:line="219" w:lineRule="exact"/>
        <w:rPr>
          <w:rFonts w:ascii="Arial" w:cs="Arial" w:eastAsia="Arial" w:hAnsi="Arial"/>
          <w:sz w:val="22"/>
          <w:szCs w:val="22"/>
          <w:color w:val="auto"/>
        </w:rPr>
      </w:pPr>
    </w:p>
    <w:p>
      <w:pPr>
        <w:ind w:left="2120" w:hanging="640"/>
        <w:spacing w:after="0" w:line="233" w:lineRule="auto"/>
        <w:tabs>
          <w:tab w:leader="none" w:pos="1984" w:val="left"/>
        </w:tabs>
        <w:numPr>
          <w:ilvl w:val="2"/>
          <w:numId w:val="159"/>
        </w:numPr>
        <w:rPr>
          <w:rFonts w:ascii="Arial" w:cs="Arial" w:eastAsia="Arial" w:hAnsi="Arial"/>
          <w:sz w:val="22"/>
          <w:szCs w:val="22"/>
          <w:color w:val="auto"/>
        </w:rPr>
      </w:pPr>
      <w:r>
        <w:rPr>
          <w:rFonts w:ascii="Arial" w:cs="Arial" w:eastAsia="Arial" w:hAnsi="Arial"/>
          <w:sz w:val="22"/>
          <w:szCs w:val="22"/>
          <w:color w:val="auto"/>
        </w:rPr>
        <w:t>With respect to Initial Deferral Elections made with respect to Restricted Stock Units subject to Awards granted before January 1, 2021, no distribution pursuant to an Initial Deferral Election may be made earlier than January 2nd of the third calendar year beginning after the Vesting Date, nor later than January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of the eleventh calendar year beginning after the Vesting Date.</w:t>
      </w:r>
    </w:p>
    <w:p>
      <w:pPr>
        <w:spacing w:after="0" w:line="203" w:lineRule="exact"/>
        <w:rPr>
          <w:rFonts w:ascii="Arial" w:cs="Arial" w:eastAsia="Arial" w:hAnsi="Arial"/>
          <w:sz w:val="22"/>
          <w:szCs w:val="22"/>
          <w:color w:val="auto"/>
        </w:rPr>
      </w:pPr>
    </w:p>
    <w:p>
      <w:pPr>
        <w:ind w:left="2120" w:hanging="640"/>
        <w:spacing w:after="0" w:line="233" w:lineRule="auto"/>
        <w:tabs>
          <w:tab w:leader="none" w:pos="1972" w:val="left"/>
        </w:tabs>
        <w:numPr>
          <w:ilvl w:val="2"/>
          <w:numId w:val="159"/>
        </w:numPr>
        <w:rPr>
          <w:rFonts w:ascii="Arial" w:cs="Arial" w:eastAsia="Arial" w:hAnsi="Arial"/>
          <w:sz w:val="22"/>
          <w:szCs w:val="22"/>
          <w:color w:val="auto"/>
        </w:rPr>
      </w:pPr>
      <w:r>
        <w:rPr>
          <w:rFonts w:ascii="Arial" w:cs="Arial" w:eastAsia="Arial" w:hAnsi="Arial"/>
          <w:sz w:val="22"/>
          <w:szCs w:val="22"/>
          <w:color w:val="auto"/>
        </w:rPr>
        <w:t>With respect to Initial Deferral Elections made with respect to Restricted Stock Units subject to Awards granted after December 31, 2020, no distribution pursuant to an Initial Deferral Election may be made earlier than January 2nd of the third calendar year beginning after the Vesting Date, nor later than January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of the eighth calendar year beginning after the Vesting Date.</w:t>
      </w:r>
    </w:p>
    <w:p>
      <w:pPr>
        <w:spacing w:after="0" w:line="203" w:lineRule="exact"/>
        <w:rPr>
          <w:rFonts w:ascii="Arial" w:cs="Arial" w:eastAsia="Arial" w:hAnsi="Arial"/>
          <w:sz w:val="22"/>
          <w:szCs w:val="22"/>
          <w:color w:val="auto"/>
        </w:rPr>
      </w:pPr>
    </w:p>
    <w:p>
      <w:pPr>
        <w:ind w:left="1480" w:hanging="911"/>
        <w:spacing w:after="0"/>
        <w:tabs>
          <w:tab w:leader="none" w:pos="1480" w:val="left"/>
        </w:tabs>
        <w:numPr>
          <w:ilvl w:val="1"/>
          <w:numId w:val="159"/>
        </w:numPr>
        <w:rPr>
          <w:rFonts w:ascii="Arial" w:cs="Arial" w:eastAsia="Arial" w:hAnsi="Arial"/>
          <w:sz w:val="22"/>
          <w:szCs w:val="22"/>
          <w:color w:val="auto"/>
        </w:rPr>
      </w:pPr>
      <w:r>
        <w:rPr>
          <w:rFonts w:ascii="Arial" w:cs="Arial" w:eastAsia="Arial" w:hAnsi="Arial"/>
          <w:sz w:val="22"/>
          <w:szCs w:val="22"/>
          <w:u w:val="single" w:color="auto"/>
          <w:color w:val="auto"/>
        </w:rPr>
        <w:t>Regular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120" w:right="320" w:hanging="640"/>
        <w:spacing w:after="0" w:line="301" w:lineRule="auto"/>
        <w:tabs>
          <w:tab w:leader="none" w:pos="1984" w:val="left"/>
        </w:tabs>
        <w:numPr>
          <w:ilvl w:val="2"/>
          <w:numId w:val="159"/>
        </w:numPr>
        <w:rPr>
          <w:rFonts w:ascii="Arial" w:cs="Arial" w:eastAsia="Arial" w:hAnsi="Arial"/>
          <w:sz w:val="19"/>
          <w:szCs w:val="19"/>
          <w:color w:val="auto"/>
        </w:rPr>
      </w:pPr>
      <w:r>
        <w:rPr>
          <w:rFonts w:ascii="Arial" w:cs="Arial" w:eastAsia="Arial" w:hAnsi="Arial"/>
          <w:sz w:val="19"/>
          <w:szCs w:val="19"/>
          <w:color w:val="auto"/>
        </w:rPr>
        <w:t>With respect to Regular Deferral Elections made with respect to Restricted Stock Units subject to Awards granted before January 1, 2021, no distribution pursuant to an Initial Deferral Election may be made earlier than the fifth anniversary of the Vesting Date, nor later than January 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of the eleventh calendar year beginning after the Vesting Date.</w:t>
      </w:r>
    </w:p>
    <w:p>
      <w:pPr>
        <w:spacing w:after="0" w:line="59" w:lineRule="exact"/>
        <w:rPr>
          <w:rFonts w:ascii="Arial" w:cs="Arial" w:eastAsia="Arial" w:hAnsi="Arial"/>
          <w:sz w:val="19"/>
          <w:szCs w:val="19"/>
          <w:color w:val="auto"/>
        </w:rPr>
      </w:pPr>
    </w:p>
    <w:p>
      <w:pPr>
        <w:jc w:val="both"/>
        <w:ind w:left="2120" w:right="300" w:hanging="640"/>
        <w:spacing w:after="0" w:line="301" w:lineRule="auto"/>
        <w:tabs>
          <w:tab w:leader="none" w:pos="1972" w:val="left"/>
        </w:tabs>
        <w:numPr>
          <w:ilvl w:val="2"/>
          <w:numId w:val="159"/>
        </w:numPr>
        <w:rPr>
          <w:rFonts w:ascii="Arial" w:cs="Arial" w:eastAsia="Arial" w:hAnsi="Arial"/>
          <w:sz w:val="19"/>
          <w:szCs w:val="19"/>
          <w:color w:val="auto"/>
        </w:rPr>
      </w:pPr>
      <w:r>
        <w:rPr>
          <w:rFonts w:ascii="Arial" w:cs="Arial" w:eastAsia="Arial" w:hAnsi="Arial"/>
          <w:sz w:val="19"/>
          <w:szCs w:val="19"/>
          <w:color w:val="auto"/>
        </w:rPr>
        <w:t>With respect to Regular Deferral Elections made with respect to Restricted Stock Units subject to Awards granted after December 31, 2021, no distribution pursuant to an Initial Deferral Election may be made earlier than the fifth anniversary of the Vesting Date, nor later than January 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of the eighth calendar year beginning after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100"/>
          </w:cols>
          <w:pgMar w:left="1440" w:top="1428" w:right="359" w:bottom="1440" w:gutter="0" w:footer="0" w:header="0"/>
        </w:sectPr>
      </w:pPr>
    </w:p>
    <w:bookmarkStart w:id="109" w:name="page110"/>
    <w:bookmarkEnd w:id="109"/>
    <w:p>
      <w:pPr>
        <w:jc w:val="both"/>
        <w:ind w:left="-460" w:right="220" w:firstLine="644"/>
        <w:spacing w:after="0" w:line="343" w:lineRule="auto"/>
        <w:tabs>
          <w:tab w:leader="none" w:pos="1101"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Additional Elections</w:t>
      </w:r>
      <w:r>
        <w:rPr>
          <w:rFonts w:ascii="Arial" w:cs="Arial" w:eastAsia="Arial" w:hAnsi="Arial"/>
          <w:sz w:val="19"/>
          <w:szCs w:val="19"/>
          <w:color w:val="auto"/>
        </w:rPr>
        <w:t>. Notwithstanding anything in this Paragraph 8(d) to the contrary, no Subsequent Deferral Election shall be effective until 12 months after the date on which such Subsequent Deferral Election is made.</w:t>
      </w:r>
    </w:p>
    <w:p>
      <w:pPr>
        <w:spacing w:after="0" w:line="104" w:lineRule="exact"/>
        <w:rPr>
          <w:rFonts w:ascii="Arial" w:cs="Arial" w:eastAsia="Arial" w:hAnsi="Arial"/>
          <w:sz w:val="19"/>
          <w:szCs w:val="19"/>
          <w:color w:val="auto"/>
        </w:rPr>
      </w:pPr>
    </w:p>
    <w:p>
      <w:pPr>
        <w:ind w:left="1480" w:hanging="852"/>
        <w:spacing w:after="0" w:line="292" w:lineRule="auto"/>
        <w:tabs>
          <w:tab w:leader="none" w:pos="14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Each Active Grantee, and each Grantee designated by the Committee who has served as a Non-Employee Director or Section 16 Officer at any time on or after January 1, 2019 (whether or not such individual is an Active Grantee) (A) who has previously made an Initial Deferral Election or a Regular Deferral Election to receive a distribution of part or all of his or her Account, or (B) who, pursuant to this Paragraph 8(d)(i) has made a Subsequent Deferral Election to defer the distribution date for Shares issuable with respect to Restricted Stock Units may delay the payment date for an additional period from the originally-elected distribution date, provided that—</w:t>
      </w:r>
    </w:p>
    <w:p>
      <w:pPr>
        <w:spacing w:after="0" w:line="150" w:lineRule="exact"/>
        <w:rPr>
          <w:rFonts w:ascii="Arial" w:cs="Arial" w:eastAsia="Arial" w:hAnsi="Arial"/>
          <w:sz w:val="19"/>
          <w:szCs w:val="19"/>
          <w:color w:val="auto"/>
        </w:rPr>
      </w:pPr>
    </w:p>
    <w:p>
      <w:pPr>
        <w:ind w:left="2120" w:right="140" w:hanging="640"/>
        <w:spacing w:after="0" w:line="248" w:lineRule="auto"/>
        <w:tabs>
          <w:tab w:leader="none" w:pos="1984" w:val="left"/>
        </w:tabs>
        <w:numPr>
          <w:ilvl w:val="2"/>
          <w:numId w:val="160"/>
        </w:numPr>
        <w:rPr>
          <w:rFonts w:ascii="Arial" w:cs="Arial" w:eastAsia="Arial" w:hAnsi="Arial"/>
          <w:sz w:val="22"/>
          <w:szCs w:val="22"/>
          <w:color w:val="auto"/>
        </w:rPr>
      </w:pPr>
      <w:r>
        <w:rPr>
          <w:rFonts w:ascii="Arial" w:cs="Arial" w:eastAsia="Arial" w:hAnsi="Arial"/>
          <w:sz w:val="22"/>
          <w:szCs w:val="22"/>
          <w:color w:val="auto"/>
        </w:rPr>
        <w:t>With respect to Subsequent Deferral Elections made with respect to Restricted Stock Units subject to Awards granted before January 1, 2021, no distribution pursuant to an Initial Deferral Election may be made earlier than the fifth anniversary of the previously-elected distribution date, nor later than the tenth anniversary of the previously-elected distribution date;</w:t>
      </w:r>
    </w:p>
    <w:p>
      <w:pPr>
        <w:spacing w:after="0" w:line="191" w:lineRule="exact"/>
        <w:rPr>
          <w:rFonts w:ascii="Arial" w:cs="Arial" w:eastAsia="Arial" w:hAnsi="Arial"/>
          <w:sz w:val="22"/>
          <w:szCs w:val="22"/>
          <w:color w:val="auto"/>
        </w:rPr>
      </w:pPr>
    </w:p>
    <w:p>
      <w:pPr>
        <w:ind w:left="2120" w:right="200" w:hanging="640"/>
        <w:spacing w:after="0" w:line="248" w:lineRule="auto"/>
        <w:tabs>
          <w:tab w:leader="none" w:pos="1972" w:val="left"/>
        </w:tabs>
        <w:numPr>
          <w:ilvl w:val="2"/>
          <w:numId w:val="160"/>
        </w:numPr>
        <w:rPr>
          <w:rFonts w:ascii="Arial" w:cs="Arial" w:eastAsia="Arial" w:hAnsi="Arial"/>
          <w:sz w:val="22"/>
          <w:szCs w:val="22"/>
          <w:color w:val="auto"/>
        </w:rPr>
      </w:pPr>
      <w:r>
        <w:rPr>
          <w:rFonts w:ascii="Arial" w:cs="Arial" w:eastAsia="Arial" w:hAnsi="Arial"/>
          <w:sz w:val="22"/>
          <w:szCs w:val="22"/>
          <w:color w:val="auto"/>
        </w:rPr>
        <w:t>With respect to Subsequent Deferral Elections made with respect to Restricted Stock Units subject to Awards granted after December 31, 2020, no distribution pursuant to an Initial Deferral Election may be made earlier than the fifth anniversary of the previously-elected distribution date, nor later than the seventh anniversary of the previously-elected distribution date;</w:t>
      </w:r>
    </w:p>
    <w:p>
      <w:pPr>
        <w:spacing w:after="0" w:line="192" w:lineRule="exact"/>
        <w:rPr>
          <w:sz w:val="20"/>
          <w:szCs w:val="20"/>
          <w:color w:val="auto"/>
        </w:rPr>
      </w:pPr>
    </w:p>
    <w:p>
      <w:pPr>
        <w:ind w:left="1480" w:right="160"/>
        <w:spacing w:after="0" w:line="292" w:lineRule="auto"/>
        <w:rPr>
          <w:sz w:val="20"/>
          <w:szCs w:val="20"/>
          <w:color w:val="auto"/>
        </w:rPr>
      </w:pPr>
      <w:r>
        <w:rPr>
          <w:rFonts w:ascii="Arial" w:cs="Arial" w:eastAsia="Arial" w:hAnsi="Arial"/>
          <w:sz w:val="19"/>
          <w:szCs w:val="19"/>
          <w:color w:val="auto"/>
        </w:rPr>
        <w:t>by filing a Subsequent Deferral Election with the Committee on or before the close of business at least one year before the date on which the distribution would otherwise be made. The number of Subsequent Deferral Elections under this Paragraph 8(d)(i) shall not be limited. Notwithstanding the foregoing, except as otherwise provided by the Committee, an Active Grantee who returns to service with a Participating Company following a termination of service may not make a Subsequent Deferral Election with respect to amounts subject to an Initial Deferral Election or a Subsequent Deferral Election that was filed with the Committee before such return to service.</w:t>
      </w:r>
    </w:p>
    <w:p>
      <w:pPr>
        <w:spacing w:after="0" w:line="151" w:lineRule="exact"/>
        <w:rPr>
          <w:sz w:val="20"/>
          <w:szCs w:val="20"/>
          <w:color w:val="auto"/>
        </w:rPr>
      </w:pPr>
    </w:p>
    <w:p>
      <w:pPr>
        <w:ind w:left="1480" w:right="360" w:hanging="911"/>
        <w:spacing w:after="0" w:line="263" w:lineRule="auto"/>
        <w:tabs>
          <w:tab w:leader="none" w:pos="14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 Deceased Grantee’s Successor-in-Interest may elect to file a Subsequent Deferral Election to defer the distribution date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060"/>
          </w:cols>
          <w:pgMar w:left="1440" w:top="1428" w:right="399" w:bottom="1440" w:gutter="0" w:footer="0" w:header="0"/>
        </w:sectPr>
      </w:pPr>
    </w:p>
    <w:bookmarkStart w:id="110" w:name="page111"/>
    <w:bookmarkEnd w:id="110"/>
    <w:p>
      <w:pPr>
        <w:ind w:left="1480" w:right="80"/>
        <w:spacing w:after="0" w:line="265" w:lineRule="auto"/>
        <w:rPr>
          <w:sz w:val="20"/>
          <w:szCs w:val="20"/>
          <w:color w:val="auto"/>
        </w:rPr>
      </w:pPr>
      <w:r>
        <w:rPr>
          <w:rFonts w:ascii="Arial" w:cs="Arial" w:eastAsia="Arial" w:hAnsi="Arial"/>
          <w:sz w:val="21"/>
          <w:szCs w:val="21"/>
          <w:color w:val="auto"/>
        </w:rPr>
        <w:t>Deceased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Deceased Grantee’s last Election.</w:t>
      </w:r>
    </w:p>
    <w:p>
      <w:pPr>
        <w:spacing w:after="0" w:line="175" w:lineRule="exact"/>
        <w:rPr>
          <w:sz w:val="20"/>
          <w:szCs w:val="20"/>
          <w:color w:val="auto"/>
        </w:rPr>
      </w:pPr>
    </w:p>
    <w:p>
      <w:pPr>
        <w:ind w:left="1480" w:right="40" w:hanging="971"/>
        <w:spacing w:after="0" w:line="248" w:lineRule="auto"/>
        <w:tabs>
          <w:tab w:leader="none" w:pos="148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 Retired Grantee may elect to defer the distribution date of the Retired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Retired Grantee’s last Election.</w:t>
      </w:r>
    </w:p>
    <w:p>
      <w:pPr>
        <w:spacing w:after="0" w:line="191" w:lineRule="exact"/>
        <w:rPr>
          <w:rFonts w:ascii="Arial" w:cs="Arial" w:eastAsia="Arial" w:hAnsi="Arial"/>
          <w:sz w:val="22"/>
          <w:szCs w:val="22"/>
          <w:color w:val="auto"/>
        </w:rPr>
      </w:pPr>
    </w:p>
    <w:p>
      <w:pPr>
        <w:ind w:left="820" w:hanging="636"/>
        <w:spacing w:after="0"/>
        <w:tabs>
          <w:tab w:leader="none" w:pos="82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Distributions of Accounts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480" w:right="160" w:hanging="852"/>
        <w:spacing w:after="0" w:line="343" w:lineRule="auto"/>
        <w:tabs>
          <w:tab w:leader="none" w:pos="1480"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Manner of Distribution</w:t>
      </w:r>
      <w:r>
        <w:rPr>
          <w:rFonts w:ascii="Arial" w:cs="Arial" w:eastAsia="Arial" w:hAnsi="Arial"/>
          <w:sz w:val="19"/>
          <w:szCs w:val="19"/>
          <w:color w:val="auto"/>
        </w:rPr>
        <w:t>. Amounts credited to an Account shall be distributed pursuant to an Initial Deferral Election, a Regular Deferral Election, or a Subsequent Deferral Election in either:</w:t>
      </w:r>
    </w:p>
    <w:p>
      <w:pPr>
        <w:spacing w:after="0" w:line="104" w:lineRule="exact"/>
        <w:rPr>
          <w:rFonts w:ascii="Arial" w:cs="Arial" w:eastAsia="Arial" w:hAnsi="Arial"/>
          <w:sz w:val="19"/>
          <w:szCs w:val="19"/>
          <w:color w:val="auto"/>
        </w:rPr>
      </w:pPr>
    </w:p>
    <w:p>
      <w:pPr>
        <w:ind w:left="1980" w:hanging="500"/>
        <w:spacing w:after="0"/>
        <w:tabs>
          <w:tab w:leader="none" w:pos="1980" w:val="left"/>
        </w:tabs>
        <w:numPr>
          <w:ilvl w:val="2"/>
          <w:numId w:val="163"/>
        </w:numPr>
        <w:rPr>
          <w:rFonts w:ascii="Arial" w:cs="Arial" w:eastAsia="Arial" w:hAnsi="Arial"/>
          <w:sz w:val="22"/>
          <w:szCs w:val="22"/>
          <w:color w:val="auto"/>
        </w:rPr>
      </w:pPr>
      <w:r>
        <w:rPr>
          <w:rFonts w:ascii="Arial" w:cs="Arial" w:eastAsia="Arial" w:hAnsi="Arial"/>
          <w:sz w:val="22"/>
          <w:szCs w:val="22"/>
          <w:color w:val="auto"/>
        </w:rPr>
        <w:t>A lump sum payment; or</w:t>
      </w:r>
    </w:p>
    <w:p>
      <w:pPr>
        <w:spacing w:after="0" w:line="219" w:lineRule="exact"/>
        <w:rPr>
          <w:rFonts w:ascii="Arial" w:cs="Arial" w:eastAsia="Arial" w:hAnsi="Arial"/>
          <w:sz w:val="22"/>
          <w:szCs w:val="22"/>
          <w:color w:val="auto"/>
        </w:rPr>
      </w:pPr>
    </w:p>
    <w:p>
      <w:pPr>
        <w:ind w:left="2120" w:right="120" w:hanging="640"/>
        <w:spacing w:after="0" w:line="250" w:lineRule="auto"/>
        <w:tabs>
          <w:tab w:leader="none" w:pos="1972" w:val="left"/>
        </w:tabs>
        <w:numPr>
          <w:ilvl w:val="2"/>
          <w:numId w:val="163"/>
        </w:numPr>
        <w:rPr>
          <w:rFonts w:ascii="Arial" w:cs="Arial" w:eastAsia="Arial" w:hAnsi="Arial"/>
          <w:sz w:val="22"/>
          <w:szCs w:val="22"/>
          <w:color w:val="auto"/>
        </w:rPr>
      </w:pPr>
      <w:r>
        <w:rPr>
          <w:rFonts w:ascii="Arial" w:cs="Arial" w:eastAsia="Arial" w:hAnsi="Arial"/>
          <w:sz w:val="22"/>
          <w:szCs w:val="22"/>
          <w:color w:val="auto"/>
        </w:rPr>
        <w:t>With respect to Initial Deferral Elections, Regular Deferral Elections, and Subsequent Deferral Elections made with respect to Restricted Stock Units subject to Awards granted before January 1, 2021, substantially equal monthly or annual installments over a five- (5), ten- (10) or fifteen- (15) year period; or</w:t>
      </w:r>
    </w:p>
    <w:p>
      <w:pPr>
        <w:spacing w:after="0" w:line="187" w:lineRule="exact"/>
        <w:rPr>
          <w:rFonts w:ascii="Arial" w:cs="Arial" w:eastAsia="Arial" w:hAnsi="Arial"/>
          <w:sz w:val="22"/>
          <w:szCs w:val="22"/>
          <w:color w:val="auto"/>
        </w:rPr>
      </w:pPr>
    </w:p>
    <w:p>
      <w:pPr>
        <w:ind w:left="2120" w:right="20" w:hanging="640"/>
        <w:spacing w:after="0" w:line="250" w:lineRule="auto"/>
        <w:tabs>
          <w:tab w:leader="none" w:pos="1972" w:val="left"/>
        </w:tabs>
        <w:numPr>
          <w:ilvl w:val="2"/>
          <w:numId w:val="163"/>
        </w:numPr>
        <w:rPr>
          <w:rFonts w:ascii="Arial" w:cs="Arial" w:eastAsia="Arial" w:hAnsi="Arial"/>
          <w:sz w:val="22"/>
          <w:szCs w:val="22"/>
          <w:color w:val="auto"/>
        </w:rPr>
      </w:pPr>
      <w:r>
        <w:rPr>
          <w:rFonts w:ascii="Arial" w:cs="Arial" w:eastAsia="Arial" w:hAnsi="Arial"/>
          <w:sz w:val="22"/>
          <w:szCs w:val="22"/>
          <w:color w:val="auto"/>
        </w:rPr>
        <w:t>With respect to Initial Deferral Elections, Regular Deferral Elections, and Subsequent Deferral Elections made with respect to Restricted Stock Units subject to Awards granted after December 31, 2020, substantially equal monthly or annual installments over a five- (5) or ten- (10) year period.</w:t>
      </w:r>
    </w:p>
    <w:p>
      <w:pPr>
        <w:spacing w:after="0" w:line="188" w:lineRule="exact"/>
        <w:rPr>
          <w:sz w:val="20"/>
          <w:szCs w:val="20"/>
          <w:color w:val="auto"/>
        </w:rPr>
      </w:pPr>
    </w:p>
    <w:p>
      <w:pPr>
        <w:ind w:left="1480" w:right="280"/>
        <w:spacing w:after="0" w:line="263" w:lineRule="auto"/>
        <w:rPr>
          <w:sz w:val="20"/>
          <w:szCs w:val="20"/>
          <w:color w:val="auto"/>
        </w:rPr>
      </w:pPr>
      <w:r>
        <w:rPr>
          <w:rFonts w:ascii="Arial" w:cs="Arial" w:eastAsia="Arial" w:hAnsi="Arial"/>
          <w:sz w:val="22"/>
          <w:szCs w:val="22"/>
          <w:color w:val="auto"/>
        </w:rPr>
        <w:t>Installment distributions payable in the form of shares of Common Stock shall be rounded to the next lower whole share.</w:t>
      </w:r>
    </w:p>
    <w:p>
      <w:pPr>
        <w:spacing w:after="0" w:line="175" w:lineRule="exact"/>
        <w:rPr>
          <w:sz w:val="20"/>
          <w:szCs w:val="20"/>
          <w:color w:val="auto"/>
        </w:rPr>
      </w:pPr>
    </w:p>
    <w:p>
      <w:pPr>
        <w:ind w:left="1480" w:hanging="911"/>
        <w:spacing w:after="0" w:line="263" w:lineRule="auto"/>
        <w:tabs>
          <w:tab w:leader="none" w:pos="1480"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Discretion to Provide for Distribution in Full Upon or Following a Change in Control</w:t>
      </w:r>
      <w:r>
        <w:rPr>
          <w:rFonts w:ascii="Arial" w:cs="Arial" w:eastAsia="Arial" w:hAnsi="Arial"/>
          <w:sz w:val="21"/>
          <w:szCs w:val="21"/>
          <w:color w:val="auto"/>
        </w:rPr>
        <w:t>. To the extent permitted by Section 409A, in connection with a Change in Control, and for the 12-month period following a Change in Control, the Committee may exercise its discretion to terminate the deferral provisions of the Plan and, notwithstanding any other provision of the Plan or the terms of any Initial Deferral Election, Regular Deferral Election or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00"/>
          </w:cols>
          <w:pgMar w:left="1440" w:top="1428" w:right="359" w:bottom="1440" w:gutter="0" w:footer="0" w:header="0"/>
        </w:sectPr>
      </w:pPr>
    </w:p>
    <w:bookmarkStart w:id="111" w:name="page112"/>
    <w:bookmarkEnd w:id="111"/>
    <w:p>
      <w:pPr>
        <w:ind w:left="1480" w:right="220"/>
        <w:spacing w:after="0" w:line="253" w:lineRule="auto"/>
        <w:rPr>
          <w:sz w:val="20"/>
          <w:szCs w:val="20"/>
          <w:color w:val="auto"/>
        </w:rPr>
      </w:pPr>
      <w:r>
        <w:rPr>
          <w:rFonts w:ascii="Arial" w:cs="Arial" w:eastAsia="Arial" w:hAnsi="Arial"/>
          <w:sz w:val="22"/>
          <w:szCs w:val="22"/>
          <w:color w:val="auto"/>
        </w:rPr>
        <w:t>Deferral Election, distribute the Account of each Grantee in full and thereby effect the revocation of any outstanding Initial Deferral Elections, Regular Deferral Election or Subsequent Deferral Elections.</w:t>
      </w:r>
    </w:p>
    <w:p>
      <w:pPr>
        <w:spacing w:after="0" w:line="185" w:lineRule="exact"/>
        <w:rPr>
          <w:sz w:val="20"/>
          <w:szCs w:val="20"/>
          <w:color w:val="auto"/>
        </w:rPr>
      </w:pPr>
    </w:p>
    <w:p>
      <w:pPr>
        <w:ind w:left="-460" w:right="100" w:firstLine="644"/>
        <w:spacing w:after="0" w:line="250" w:lineRule="auto"/>
        <w:tabs>
          <w:tab w:leader="none" w:pos="836"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Deferral Election, Regular Deferral Election or Subsequent Deferral Election, if, at the Grantee’s request, the Committee determines that the Grantee has incurred a Hardship, the Committee may, in its discretion, authorize the immediate distribution of all or any portion of the Grantee’s Account.</w:t>
      </w:r>
    </w:p>
    <w:p>
      <w:pPr>
        <w:spacing w:after="0" w:line="187" w:lineRule="exact"/>
        <w:rPr>
          <w:rFonts w:ascii="Arial" w:cs="Arial" w:eastAsia="Arial" w:hAnsi="Arial"/>
          <w:sz w:val="22"/>
          <w:szCs w:val="22"/>
          <w:color w:val="auto"/>
        </w:rPr>
      </w:pPr>
    </w:p>
    <w:p>
      <w:pPr>
        <w:ind w:left="-460" w:right="540" w:firstLine="644"/>
        <w:spacing w:after="0" w:line="253" w:lineRule="auto"/>
        <w:tabs>
          <w:tab w:leader="none" w:pos="831"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Deferral Election, Regular Deferral Election or Subsequent Deferral Election, distribution of all or part of a Grantee’s Account may be made:</w:t>
      </w:r>
    </w:p>
    <w:p>
      <w:pPr>
        <w:spacing w:after="0" w:line="185" w:lineRule="exact"/>
        <w:rPr>
          <w:rFonts w:ascii="Arial" w:cs="Arial" w:eastAsia="Arial" w:hAnsi="Arial"/>
          <w:sz w:val="22"/>
          <w:szCs w:val="22"/>
          <w:color w:val="auto"/>
        </w:rPr>
      </w:pPr>
    </w:p>
    <w:p>
      <w:pPr>
        <w:jc w:val="both"/>
        <w:ind w:left="1480" w:right="260" w:hanging="852"/>
        <w:spacing w:after="0" w:line="343" w:lineRule="auto"/>
        <w:tabs>
          <w:tab w:leader="none" w:pos="148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To fulfill a domestic relations order (as defined in section 414(p)(1)(B) of the Code) to the extent permitted by Treasury Regulations section 1.409A-3(j)(4)(ii) or any successor provision of law).</w:t>
      </w:r>
    </w:p>
    <w:p>
      <w:pPr>
        <w:spacing w:after="0" w:line="104" w:lineRule="exact"/>
        <w:rPr>
          <w:rFonts w:ascii="Arial" w:cs="Arial" w:eastAsia="Arial" w:hAnsi="Arial"/>
          <w:sz w:val="19"/>
          <w:szCs w:val="19"/>
          <w:color w:val="auto"/>
        </w:rPr>
      </w:pPr>
    </w:p>
    <w:p>
      <w:pPr>
        <w:ind w:left="1480" w:right="360" w:hanging="911"/>
        <w:spacing w:after="0" w:line="343" w:lineRule="auto"/>
        <w:tabs>
          <w:tab w:leader="none" w:pos="148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To the extent necessary to comply with laws relating to avoidance of conflicts of interest, as provided in Treasury Regulation section 1.409A-3(j)(4)(iii) (or any successor provision of law).</w:t>
      </w:r>
    </w:p>
    <w:p>
      <w:pPr>
        <w:spacing w:after="0" w:line="104" w:lineRule="exact"/>
        <w:rPr>
          <w:rFonts w:ascii="Arial" w:cs="Arial" w:eastAsia="Arial" w:hAnsi="Arial"/>
          <w:sz w:val="19"/>
          <w:szCs w:val="19"/>
          <w:color w:val="auto"/>
        </w:rPr>
      </w:pPr>
    </w:p>
    <w:p>
      <w:pPr>
        <w:ind w:left="1480" w:right="20" w:hanging="971"/>
        <w:spacing w:after="0" w:line="263" w:lineRule="auto"/>
        <w:tabs>
          <w:tab w:leader="none" w:pos="148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To pay employment taxes to the extent permitted by Treasury Regulation section 1.409A-3(j)(4)(vi) (or any successor provision of law).</w:t>
      </w:r>
    </w:p>
    <w:p>
      <w:pPr>
        <w:spacing w:after="0" w:line="174" w:lineRule="exact"/>
        <w:rPr>
          <w:rFonts w:ascii="Arial" w:cs="Arial" w:eastAsia="Arial" w:hAnsi="Arial"/>
          <w:sz w:val="22"/>
          <w:szCs w:val="22"/>
          <w:color w:val="auto"/>
        </w:rPr>
      </w:pPr>
    </w:p>
    <w:p>
      <w:pPr>
        <w:ind w:left="1480" w:hanging="960"/>
        <w:spacing w:after="0" w:line="253" w:lineRule="auto"/>
        <w:tabs>
          <w:tab w:leader="none" w:pos="148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In connection with the recognition of income as the result of a failure to comply with Section 409A, to the extent permitted by Treasury Regulation section 1.409A-3(j)(4)(vii) (or any successor provision of law).</w:t>
      </w:r>
    </w:p>
    <w:p>
      <w:pPr>
        <w:spacing w:after="0" w:line="185" w:lineRule="exact"/>
        <w:rPr>
          <w:rFonts w:ascii="Arial" w:cs="Arial" w:eastAsia="Arial" w:hAnsi="Arial"/>
          <w:sz w:val="22"/>
          <w:szCs w:val="22"/>
          <w:color w:val="auto"/>
        </w:rPr>
      </w:pPr>
    </w:p>
    <w:p>
      <w:pPr>
        <w:ind w:left="1480" w:right="140" w:hanging="899"/>
        <w:spacing w:after="0" w:line="263" w:lineRule="auto"/>
        <w:tabs>
          <w:tab w:leader="none" w:pos="148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To pay state, local or foreign taxes to the extent permitted by Treasury Regulation section 1.409A-3(j)(4)(xi) (or any successor provision of law).</w:t>
      </w:r>
    </w:p>
    <w:p>
      <w:pPr>
        <w:spacing w:after="0" w:line="174" w:lineRule="exact"/>
        <w:rPr>
          <w:rFonts w:ascii="Arial" w:cs="Arial" w:eastAsia="Arial" w:hAnsi="Arial"/>
          <w:sz w:val="22"/>
          <w:szCs w:val="22"/>
          <w:color w:val="auto"/>
        </w:rPr>
      </w:pPr>
    </w:p>
    <w:p>
      <w:pPr>
        <w:ind w:left="1480" w:right="100" w:hanging="960"/>
        <w:spacing w:after="0" w:line="250" w:lineRule="auto"/>
        <w:tabs>
          <w:tab w:leader="none" w:pos="148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120"/>
          </w:cols>
          <w:pgMar w:left="1440" w:top="1428" w:right="339" w:bottom="1440" w:gutter="0" w:footer="0" w:header="0"/>
        </w:sectPr>
      </w:pPr>
    </w:p>
    <w:bookmarkStart w:id="112" w:name="page113"/>
    <w:bookmarkEnd w:id="112"/>
    <w:p>
      <w:pPr>
        <w:ind w:left="1480" w:right="40" w:hanging="1019"/>
        <w:spacing w:after="0" w:line="343" w:lineRule="auto"/>
        <w:tabs>
          <w:tab w:leader="none" w:pos="148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In connection with a bona fide dispute as to a Grantee’s right to payment, to the extent permitted by Treasury Regulation section 1.409A-3(j)(4)(xiv) (or any successor provision of law).</w:t>
      </w:r>
    </w:p>
    <w:p>
      <w:pPr>
        <w:spacing w:after="0" w:line="104" w:lineRule="exact"/>
        <w:rPr>
          <w:rFonts w:ascii="Arial" w:cs="Arial" w:eastAsia="Arial" w:hAnsi="Arial"/>
          <w:sz w:val="19"/>
          <w:szCs w:val="19"/>
          <w:color w:val="auto"/>
        </w:rPr>
      </w:pPr>
    </w:p>
    <w:p>
      <w:pPr>
        <w:ind w:left="-460" w:right="80" w:firstLine="644"/>
        <w:spacing w:after="0" w:line="292" w:lineRule="auto"/>
        <w:tabs>
          <w:tab w:leader="none" w:pos="831"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Book Accounts</w:t>
      </w:r>
      <w:r>
        <w:rPr>
          <w:rFonts w:ascii="Arial" w:cs="Arial" w:eastAsia="Arial" w:hAnsi="Arial"/>
          <w:sz w:val="19"/>
          <w:szCs w:val="19"/>
          <w:color w:val="auto"/>
        </w:rPr>
        <w:t>. An Account shall be established for each Grantee who makes an Election. Deferred Stock Units shall be credited to the Account as of the date an Election becomes effective. Each Deferred Stock Unit will represent a hypothetical share of Common Stock credited to the Account in lieu of delivery of the Shares to which the Election applies. To the extent an Account is deemed invested in an Other Investment Fund, the Committee shall credit income, gains, and losses on the same basis as if the Account were directly invested in such Other Investment Fund. To the extent an Account is deemed invested in the Income Fund, the Committee shall credit earnings with respect to such Account at the Applicable Interest Rate, as further provided in Paragraph 8(k).</w:t>
      </w:r>
    </w:p>
    <w:p>
      <w:pPr>
        <w:spacing w:after="0" w:line="150" w:lineRule="exact"/>
        <w:rPr>
          <w:rFonts w:ascii="Arial" w:cs="Arial" w:eastAsia="Arial" w:hAnsi="Arial"/>
          <w:sz w:val="19"/>
          <w:szCs w:val="19"/>
          <w:color w:val="auto"/>
        </w:rPr>
      </w:pPr>
    </w:p>
    <w:p>
      <w:pPr>
        <w:ind w:left="-460" w:right="240" w:firstLine="644"/>
        <w:spacing w:after="0" w:line="343" w:lineRule="auto"/>
        <w:tabs>
          <w:tab w:leader="none" w:pos="824"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Plan-to-Plan Transfers</w:t>
      </w:r>
      <w:r>
        <w:rPr>
          <w:rFonts w:ascii="Arial" w:cs="Arial" w:eastAsia="Arial" w:hAnsi="Arial"/>
          <w:sz w:val="19"/>
          <w:szCs w:val="19"/>
          <w:color w:val="auto"/>
        </w:rPr>
        <w:t>. The Committee may delegate its authority to arrange for plan-to-plan transfers as described in this Paragraph 8(i) to an officer of the Company or committee of two or more officers of the Company.</w:t>
      </w:r>
    </w:p>
    <w:p>
      <w:pPr>
        <w:spacing w:after="0" w:line="104" w:lineRule="exact"/>
        <w:rPr>
          <w:rFonts w:ascii="Arial" w:cs="Arial" w:eastAsia="Arial" w:hAnsi="Arial"/>
          <w:sz w:val="19"/>
          <w:szCs w:val="19"/>
          <w:color w:val="auto"/>
        </w:rPr>
      </w:pPr>
    </w:p>
    <w:p>
      <w:pPr>
        <w:ind w:left="1480" w:hanging="852"/>
        <w:spacing w:after="0" w:line="260" w:lineRule="auto"/>
        <w:tabs>
          <w:tab w:leader="none" w:pos="1480" w:val="left"/>
        </w:tabs>
        <w:numPr>
          <w:ilvl w:val="1"/>
          <w:numId w:val="167"/>
        </w:numPr>
        <w:rPr>
          <w:rFonts w:ascii="Arial" w:cs="Arial" w:eastAsia="Arial" w:hAnsi="Arial"/>
          <w:sz w:val="21"/>
          <w:szCs w:val="21"/>
          <w:color w:val="auto"/>
        </w:rPr>
      </w:pPr>
      <w:r>
        <w:rPr>
          <w:rFonts w:ascii="Arial" w:cs="Arial" w:eastAsia="Arial" w:hAnsi="Arial"/>
          <w:sz w:val="21"/>
          <w:szCs w:val="21"/>
          <w:color w:val="auto"/>
        </w:rPr>
        <w:t>The Committee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180" w:lineRule="exact"/>
        <w:rPr>
          <w:rFonts w:ascii="Arial" w:cs="Arial" w:eastAsia="Arial" w:hAnsi="Arial"/>
          <w:sz w:val="21"/>
          <w:szCs w:val="21"/>
          <w:color w:val="auto"/>
        </w:rPr>
      </w:pPr>
    </w:p>
    <w:p>
      <w:pPr>
        <w:ind w:left="1480" w:hanging="911"/>
        <w:spacing w:after="0" w:line="290" w:lineRule="auto"/>
        <w:tabs>
          <w:tab w:leader="none" w:pos="148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The Committee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Committee shall establish an Account for such Grantee, and the Account shall be subject to the rules of this Plan, as in effect from time to time.</w:t>
      </w:r>
    </w:p>
    <w:p>
      <w:pPr>
        <w:spacing w:after="0" w:line="155" w:lineRule="exact"/>
        <w:rPr>
          <w:rFonts w:ascii="Arial" w:cs="Arial" w:eastAsia="Arial" w:hAnsi="Arial"/>
          <w:sz w:val="19"/>
          <w:szCs w:val="19"/>
          <w:color w:val="auto"/>
        </w:rPr>
      </w:pPr>
    </w:p>
    <w:p>
      <w:pPr>
        <w:ind w:left="820" w:hanging="636"/>
        <w:spacing w:after="0"/>
        <w:tabs>
          <w:tab w:leader="none" w:pos="82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Crediting of Income, Gains, and Losses on Accounts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120"/>
          </w:cols>
          <w:pgMar w:left="1440" w:top="1428" w:right="339" w:bottom="1440" w:gutter="0" w:footer="0" w:header="0"/>
        </w:sectPr>
      </w:pPr>
    </w:p>
    <w:bookmarkStart w:id="113" w:name="page114"/>
    <w:bookmarkEnd w:id="113"/>
    <w:p>
      <w:pPr>
        <w:ind w:left="1480" w:right="180" w:hanging="852"/>
        <w:spacing w:after="0" w:line="253" w:lineRule="auto"/>
        <w:tabs>
          <w:tab w:leader="none" w:pos="148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this Paragraph 8(j) or Paragraph 8(k), the value of a Grantee’s Account as of any date shall be determined as if it were invested in the Company Stock Fund.</w:t>
      </w:r>
    </w:p>
    <w:p>
      <w:pPr>
        <w:spacing w:after="0" w:line="185" w:lineRule="exact"/>
        <w:rPr>
          <w:rFonts w:ascii="Arial" w:cs="Arial" w:eastAsia="Arial" w:hAnsi="Arial"/>
          <w:sz w:val="22"/>
          <w:szCs w:val="22"/>
          <w:color w:val="auto"/>
        </w:rPr>
      </w:pPr>
    </w:p>
    <w:p>
      <w:pPr>
        <w:ind w:left="1480" w:hanging="911"/>
        <w:spacing w:after="0"/>
        <w:tabs>
          <w:tab w:leader="none" w:pos="148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120" w:hanging="640"/>
        <w:spacing w:after="0" w:line="297" w:lineRule="auto"/>
        <w:tabs>
          <w:tab w:leader="none" w:pos="1988"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Post-Termination Elections</w:t>
      </w:r>
      <w:r>
        <w:rPr>
          <w:rFonts w:ascii="Arial" w:cs="Arial" w:eastAsia="Arial" w:hAnsi="Arial"/>
          <w:sz w:val="19"/>
          <w:szCs w:val="19"/>
          <w:color w:val="auto"/>
        </w:rPr>
        <w:t>. To the extent credited to the Income Fund, the Accounts of Non-Employee Directors and Section 16 Officers whose Subsequent Deferral Elections are made after their termination of service shall be credited to an Other Investment Fund. The Committee may designate the specific Other Investment Fund or Funds to which the Account of any individual who has terminated service to the Company shall be invested.</w:t>
      </w:r>
    </w:p>
    <w:p>
      <w:pPr>
        <w:spacing w:after="0" w:line="146" w:lineRule="exact"/>
        <w:rPr>
          <w:rFonts w:ascii="Arial" w:cs="Arial" w:eastAsia="Arial" w:hAnsi="Arial"/>
          <w:sz w:val="19"/>
          <w:szCs w:val="19"/>
          <w:color w:val="auto"/>
        </w:rPr>
      </w:pPr>
    </w:p>
    <w:p>
      <w:pPr>
        <w:ind w:left="1980" w:hanging="500"/>
        <w:spacing w:after="0"/>
        <w:tabs>
          <w:tab w:leader="none" w:pos="1980" w:val="left"/>
        </w:tabs>
        <w:numPr>
          <w:ilvl w:val="1"/>
          <w:numId w:val="168"/>
        </w:numPr>
        <w:rPr>
          <w:rFonts w:ascii="Arial" w:cs="Arial" w:eastAsia="Arial" w:hAnsi="Arial"/>
          <w:sz w:val="22"/>
          <w:szCs w:val="22"/>
          <w:color w:val="auto"/>
        </w:rPr>
      </w:pPr>
      <w:r>
        <w:rPr>
          <w:rFonts w:ascii="Arial" w:cs="Arial" w:eastAsia="Arial" w:hAnsi="Arial"/>
          <w:sz w:val="22"/>
          <w:szCs w:val="22"/>
          <w:u w:val="single" w:color="auto"/>
          <w:color w:val="auto"/>
        </w:rPr>
        <w:t>High Balance Participants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480" w:right="320" w:firstLine="648"/>
        <w:spacing w:after="0" w:line="265" w:lineRule="auto"/>
        <w:tabs>
          <w:tab w:leader="none" w:pos="2596" w:val="left"/>
        </w:tabs>
        <w:numPr>
          <w:ilvl w:val="2"/>
          <w:numId w:val="168"/>
        </w:numPr>
        <w:rPr>
          <w:rFonts w:ascii="Arial" w:cs="Arial" w:eastAsia="Arial" w:hAnsi="Arial"/>
          <w:sz w:val="21"/>
          <w:szCs w:val="21"/>
          <w:color w:val="auto"/>
        </w:rPr>
      </w:pPr>
      <w:r>
        <w:rPr>
          <w:rFonts w:ascii="Arial" w:cs="Arial" w:eastAsia="Arial" w:hAnsi="Arial"/>
          <w:sz w:val="21"/>
          <w:szCs w:val="21"/>
          <w:color w:val="auto"/>
        </w:rPr>
        <w:t xml:space="preserve">If the Income Fund of a Grantee other than a Non-Employee Director exceeds the Income Fund Limit as of the last day of a Plan Year, the excess of (x) the amount credited to the Grantee’s Income Fund </w:t>
      </w:r>
      <w:r>
        <w:rPr>
          <w:rFonts w:ascii="Arial" w:cs="Arial" w:eastAsia="Arial" w:hAnsi="Arial"/>
          <w:sz w:val="21"/>
          <w:szCs w:val="21"/>
          <w:i w:val="1"/>
          <w:iCs w:val="1"/>
          <w:color w:val="auto"/>
        </w:rPr>
        <w:t>over</w:t>
      </w:r>
      <w:r>
        <w:rPr>
          <w:rFonts w:ascii="Arial" w:cs="Arial" w:eastAsia="Arial" w:hAnsi="Arial"/>
          <w:sz w:val="21"/>
          <w:szCs w:val="21"/>
          <w:color w:val="auto"/>
        </w:rPr>
        <w:t xml:space="preserve"> (y) the Income Fund Limit shall be deemed transferred to an Other Investment Fund as of such last day of such Plan Year.</w:t>
      </w:r>
    </w:p>
    <w:p>
      <w:pPr>
        <w:spacing w:after="0" w:line="175" w:lineRule="exact"/>
        <w:rPr>
          <w:rFonts w:ascii="Arial" w:cs="Arial" w:eastAsia="Arial" w:hAnsi="Arial"/>
          <w:sz w:val="21"/>
          <w:szCs w:val="21"/>
          <w:color w:val="auto"/>
        </w:rPr>
      </w:pPr>
    </w:p>
    <w:p>
      <w:pPr>
        <w:ind w:left="1480" w:right="20" w:firstLine="648"/>
        <w:spacing w:after="0" w:line="248" w:lineRule="auto"/>
        <w:tabs>
          <w:tab w:leader="none" w:pos="2596" w:val="left"/>
        </w:tabs>
        <w:numPr>
          <w:ilvl w:val="2"/>
          <w:numId w:val="168"/>
        </w:numPr>
        <w:rPr>
          <w:rFonts w:ascii="Arial" w:cs="Arial" w:eastAsia="Arial" w:hAnsi="Arial"/>
          <w:sz w:val="22"/>
          <w:szCs w:val="22"/>
          <w:color w:val="auto"/>
        </w:rPr>
      </w:pPr>
      <w:r>
        <w:rPr>
          <w:rFonts w:ascii="Arial" w:cs="Arial" w:eastAsia="Arial" w:hAnsi="Arial"/>
          <w:sz w:val="22"/>
          <w:szCs w:val="22"/>
          <w:color w:val="auto"/>
        </w:rPr>
        <w:t>If a Non-Employee Director’s Income Fund exceeds the Income Fund Limit as of July 31, 2020, the amount credited to the Non-Employee Director’s Income Fund shall be transferred to an Other Investment Fund as of August 1, 2020, and all amounts credited to the Non-Employee Director’s Account on and after August 1, 2020 shall be deemed invested in an Other Investment Fund.</w:t>
      </w:r>
    </w:p>
    <w:p>
      <w:pPr>
        <w:spacing w:after="0" w:line="191" w:lineRule="exact"/>
        <w:rPr>
          <w:rFonts w:ascii="Arial" w:cs="Arial" w:eastAsia="Arial" w:hAnsi="Arial"/>
          <w:sz w:val="22"/>
          <w:szCs w:val="22"/>
          <w:color w:val="auto"/>
        </w:rPr>
      </w:pPr>
    </w:p>
    <w:p>
      <w:pPr>
        <w:ind w:left="2120" w:right="40" w:hanging="640"/>
        <w:spacing w:after="0" w:line="259" w:lineRule="auto"/>
        <w:tabs>
          <w:tab w:leader="none" w:pos="1976" w:val="left"/>
        </w:tabs>
        <w:numPr>
          <w:ilvl w:val="1"/>
          <w:numId w:val="168"/>
        </w:numPr>
        <w:rPr>
          <w:rFonts w:ascii="Arial" w:cs="Arial" w:eastAsia="Arial" w:hAnsi="Arial"/>
          <w:sz w:val="21"/>
          <w:szCs w:val="21"/>
          <w:color w:val="auto"/>
        </w:rPr>
      </w:pPr>
      <w:r>
        <w:rPr>
          <w:rFonts w:ascii="Arial" w:cs="Arial" w:eastAsia="Arial" w:hAnsi="Arial"/>
          <w:sz w:val="21"/>
          <w:szCs w:val="21"/>
          <w:u w:val="single" w:color="auto"/>
          <w:color w:val="auto"/>
        </w:rPr>
        <w:t>Section 16 Officers</w:t>
      </w:r>
      <w:r>
        <w:rPr>
          <w:rFonts w:ascii="Arial" w:cs="Arial" w:eastAsia="Arial" w:hAnsi="Arial"/>
          <w:sz w:val="21"/>
          <w:szCs w:val="21"/>
          <w:color w:val="auto"/>
        </w:rPr>
        <w:t>. Pursuant to rules established by the Committee or its delegate, a Section 16 Officer may elect to (x) transfer amounts credited to their Accounts that were previously subject to a Diversification Election and that are deemed to be invested in the Income Fund to an Other Investment Fund, or (y) transfer amounts credited to their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080"/>
          </w:cols>
          <w:pgMar w:left="1440" w:top="1428" w:right="379" w:bottom="1440" w:gutter="0" w:footer="0" w:header="0"/>
        </w:sectPr>
      </w:pPr>
    </w:p>
    <w:bookmarkStart w:id="114" w:name="page115"/>
    <w:bookmarkEnd w:id="114"/>
    <w:p>
      <w:pPr>
        <w:ind w:left="2120" w:right="20" w:hanging="640"/>
        <w:spacing w:after="0" w:line="253" w:lineRule="auto"/>
        <w:tabs>
          <w:tab w:leader="none" w:pos="2042" w:val="left"/>
        </w:tabs>
        <w:numPr>
          <w:ilvl w:val="3"/>
          <w:numId w:val="169"/>
        </w:numPr>
        <w:rPr>
          <w:rFonts w:ascii="Arial" w:cs="Arial" w:eastAsia="Arial" w:hAnsi="Arial"/>
          <w:sz w:val="22"/>
          <w:szCs w:val="22"/>
          <w:color w:val="auto"/>
        </w:rPr>
      </w:pPr>
      <w:r>
        <w:rPr>
          <w:rFonts w:ascii="Arial" w:cs="Arial" w:eastAsia="Arial" w:hAnsi="Arial"/>
          <w:sz w:val="22"/>
          <w:szCs w:val="22"/>
          <w:u w:val="single" w:color="auto"/>
          <w:color w:val="auto"/>
        </w:rPr>
        <w:t>Subsequent Deferral Elections</w:t>
      </w:r>
      <w:r>
        <w:rPr>
          <w:rFonts w:ascii="Arial" w:cs="Arial" w:eastAsia="Arial" w:hAnsi="Arial"/>
          <w:sz w:val="22"/>
          <w:szCs w:val="22"/>
          <w:color w:val="auto"/>
        </w:rPr>
        <w:t>. Amounts subject to a Subsequent Deferral Election that takes effect while a Grantee’s Income Fund exceeds the Income Fund Limit shall be deemed invested in an Other Investment Fund.</w:t>
      </w:r>
    </w:p>
    <w:p>
      <w:pPr>
        <w:spacing w:after="0" w:line="185" w:lineRule="exact"/>
        <w:rPr>
          <w:rFonts w:ascii="Arial" w:cs="Arial" w:eastAsia="Arial" w:hAnsi="Arial"/>
          <w:sz w:val="22"/>
          <w:szCs w:val="22"/>
          <w:color w:val="auto"/>
        </w:rPr>
      </w:pPr>
    </w:p>
    <w:p>
      <w:pPr>
        <w:ind w:left="1480" w:hanging="971"/>
        <w:spacing w:after="0" w:line="286" w:lineRule="auto"/>
        <w:tabs>
          <w:tab w:leader="none" w:pos="1480" w:val="left"/>
        </w:tabs>
        <w:numPr>
          <w:ilvl w:val="2"/>
          <w:numId w:val="170"/>
        </w:numPr>
        <w:rPr>
          <w:rFonts w:ascii="Arial" w:cs="Arial" w:eastAsia="Arial" w:hAnsi="Arial"/>
          <w:sz w:val="19"/>
          <w:szCs w:val="19"/>
          <w:color w:val="auto"/>
        </w:rPr>
      </w:pPr>
      <w:r>
        <w:rPr>
          <w:rFonts w:ascii="Arial" w:cs="Arial" w:eastAsia="Arial" w:hAnsi="Arial"/>
          <w:sz w:val="19"/>
          <w:szCs w:val="19"/>
          <w:u w:val="single" w:color="auto"/>
          <w:color w:val="auto"/>
        </w:rPr>
        <w:t>Protocol for Deemed Transfers between Income Fund and an Other Investment Fund</w:t>
      </w:r>
      <w:r>
        <w:rPr>
          <w:rFonts w:ascii="Arial" w:cs="Arial" w:eastAsia="Arial" w:hAnsi="Arial"/>
          <w:sz w:val="19"/>
          <w:szCs w:val="19"/>
          <w:color w:val="auto"/>
        </w:rPr>
        <w:t>. As provided in Article 8, the timing of distributions of amounts credited to a Grantee’s Account is established pursuant to Initial Deferral Elections, Regular Deferral Elections, and Subsequent Deferral Elections, and a Grantee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Paragraph 8(j)(ii)(C), and amounts deemed transferred from an Other Investment Fund to the Income Fund pursuant to elective transfers described in Paragraph 8(j)(ii)(C) shall be sourced and allocated on a uniform and consistent basis as determined by the Committee,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 and provided further than no amounts shall be deemed transferred to or from the Income Fund under the 2002 Deferred Compensation Plan.</w:t>
      </w:r>
    </w:p>
    <w:p>
      <w:pPr>
        <w:spacing w:after="0" w:line="161" w:lineRule="exact"/>
        <w:rPr>
          <w:rFonts w:ascii="Arial" w:cs="Arial" w:eastAsia="Arial" w:hAnsi="Arial"/>
          <w:sz w:val="19"/>
          <w:szCs w:val="19"/>
          <w:color w:val="auto"/>
        </w:rPr>
      </w:pPr>
    </w:p>
    <w:p>
      <w:pPr>
        <w:ind w:left="-460" w:right="200" w:firstLine="644"/>
        <w:spacing w:after="0" w:line="253" w:lineRule="auto"/>
        <w:tabs>
          <w:tab w:leader="none" w:pos="1101"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Diversification Elections</w:t>
      </w:r>
      <w:r>
        <w:rPr>
          <w:rFonts w:ascii="Arial" w:cs="Arial" w:eastAsia="Arial" w:hAnsi="Arial"/>
          <w:sz w:val="22"/>
          <w:szCs w:val="22"/>
          <w:color w:val="auto"/>
        </w:rPr>
        <w:t>. This Paragraph 8(k) shall not apply to (x) elective transfers described in Paragraph 8(j)(ii)(C) of amounts that were previously subject to a Diversification Election or (y) effective July 31, 2020 the Account of any Non-Employee Director.</w:t>
      </w:r>
    </w:p>
    <w:p>
      <w:pPr>
        <w:spacing w:after="0" w:line="185" w:lineRule="exact"/>
        <w:rPr>
          <w:rFonts w:ascii="Arial" w:cs="Arial" w:eastAsia="Arial" w:hAnsi="Arial"/>
          <w:sz w:val="22"/>
          <w:szCs w:val="22"/>
          <w:color w:val="auto"/>
        </w:rPr>
      </w:pPr>
    </w:p>
    <w:p>
      <w:pPr>
        <w:ind w:left="1480" w:right="380" w:hanging="852"/>
        <w:spacing w:after="0" w:line="250" w:lineRule="auto"/>
        <w:tabs>
          <w:tab w:leader="none" w:pos="1480" w:val="left"/>
        </w:tabs>
        <w:numPr>
          <w:ilvl w:val="1"/>
          <w:numId w:val="171"/>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Paragraph 8(k)(ii) and Paragraph 8(k)(v), the opportunity to make a Diversification Election shall be available at any time that a Registration Statement filed under the 1933 Act (a “Registration Statement”) is effective with respect to the Plan.</w:t>
      </w:r>
    </w:p>
    <w:p>
      <w:pPr>
        <w:spacing w:after="0" w:line="187" w:lineRule="exact"/>
        <w:rPr>
          <w:rFonts w:ascii="Arial" w:cs="Arial" w:eastAsia="Arial" w:hAnsi="Arial"/>
          <w:sz w:val="22"/>
          <w:szCs w:val="22"/>
          <w:color w:val="auto"/>
        </w:rPr>
      </w:pPr>
    </w:p>
    <w:p>
      <w:pPr>
        <w:ind w:left="1480" w:right="20" w:hanging="911"/>
        <w:spacing w:after="0" w:line="263" w:lineRule="auto"/>
        <w:tabs>
          <w:tab w:leader="none" w:pos="1480" w:val="left"/>
        </w:tabs>
        <w:numPr>
          <w:ilvl w:val="1"/>
          <w:numId w:val="172"/>
        </w:numPr>
        <w:rPr>
          <w:rFonts w:ascii="Arial" w:cs="Arial" w:eastAsia="Arial" w:hAnsi="Arial"/>
          <w:sz w:val="21"/>
          <w:szCs w:val="21"/>
          <w:color w:val="auto"/>
        </w:rPr>
      </w:pPr>
      <w:r>
        <w:rPr>
          <w:rFonts w:ascii="Arial" w:cs="Arial" w:eastAsia="Arial" w:hAnsi="Arial"/>
          <w:sz w:val="21"/>
          <w:szCs w:val="21"/>
          <w:u w:val="single" w:color="auto"/>
          <w:color w:val="auto"/>
        </w:rPr>
        <w:t>Committee Approval of Diversification Elections</w:t>
      </w:r>
      <w:r>
        <w:rPr>
          <w:rFonts w:ascii="Arial" w:cs="Arial" w:eastAsia="Arial" w:hAnsi="Arial"/>
          <w:sz w:val="21"/>
          <w:szCs w:val="21"/>
          <w:color w:val="auto"/>
        </w:rPr>
        <w:t>. The opportunity to make a Diversification Election on and after October 22, 2020 and the extent to which a Diversification Election applies to Deferred Stock Units credited to the Company Stock Fund may be approved or rejected by the Committee or its delegate in its sole discretion. A Diversification Election shall only be effective if (and to the extent) approved by the Committee or its delegate.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100"/>
          </w:cols>
          <w:pgMar w:left="1440" w:top="1428" w:right="359" w:bottom="1440" w:gutter="0" w:footer="0" w:header="0"/>
        </w:sectPr>
      </w:pPr>
    </w:p>
    <w:bookmarkStart w:id="115" w:name="page116"/>
    <w:bookmarkEnd w:id="115"/>
    <w:p>
      <w:pPr>
        <w:ind w:left="1480" w:hanging="971"/>
        <w:spacing w:after="0" w:line="287" w:lineRule="auto"/>
        <w:tabs>
          <w:tab w:leader="none" w:pos="1480"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Time and Manner of Making Diversification Elections</w:t>
      </w:r>
      <w:r>
        <w:rPr>
          <w:rFonts w:ascii="Arial" w:cs="Arial" w:eastAsia="Arial" w:hAnsi="Arial"/>
          <w:sz w:val="19"/>
          <w:szCs w:val="19"/>
          <w:color w:val="auto"/>
        </w:rPr>
        <w:t>. Each Grantee and, in the case of a Deceased Grantee, the Successor-in-Interest, may make a Diversification Election to convert Deferred Stock Units attributable to such Award credited to the Company Stock Fund to the Income Fund. Except as otherwise provided in Paragraph 8(j)(ii), no deemed transfers shall be permitted from the Income Fund to the Company Stock Fund. Diversification Elections under this Paragraph 8(k)(iii) shall be prospectively effective on the later of: (A) the date designated by the Grantee on a Diversification Election filed with and approved by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163" w:lineRule="exact"/>
        <w:rPr>
          <w:rFonts w:ascii="Arial" w:cs="Arial" w:eastAsia="Arial" w:hAnsi="Arial"/>
          <w:sz w:val="19"/>
          <w:szCs w:val="19"/>
          <w:color w:val="auto"/>
        </w:rPr>
      </w:pPr>
    </w:p>
    <w:p>
      <w:pPr>
        <w:ind w:left="1480" w:right="40" w:hanging="960"/>
        <w:spacing w:after="0" w:line="290" w:lineRule="auto"/>
        <w:tabs>
          <w:tab w:leader="none" w:pos="1480"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Interfund Transfers and Timing of Credits</w:t>
      </w:r>
      <w:r>
        <w:rPr>
          <w:rFonts w:ascii="Arial" w:cs="Arial" w:eastAsia="Arial" w:hAnsi="Arial"/>
          <w:sz w:val="19"/>
          <w:szCs w:val="19"/>
          <w:color w:val="auto"/>
        </w:rPr>
        <w:t>. Account balances subject to a Diversification Election under this Paragraph 8(k)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Common Stock underlying the liquidated Deferred Stock Units (and, if applicable, hypothetical purchases of shares of Other Investment Funds) at Fair Market Value as of the effective date of a Diversification Election.</w:t>
      </w:r>
    </w:p>
    <w:p>
      <w:pPr>
        <w:spacing w:after="0" w:line="155" w:lineRule="exact"/>
        <w:rPr>
          <w:rFonts w:ascii="Arial" w:cs="Arial" w:eastAsia="Arial" w:hAnsi="Arial"/>
          <w:sz w:val="19"/>
          <w:szCs w:val="19"/>
          <w:color w:val="auto"/>
        </w:rPr>
      </w:pPr>
    </w:p>
    <w:p>
      <w:pPr>
        <w:ind w:left="1480" w:right="140" w:hanging="899"/>
        <w:spacing w:after="0" w:line="292" w:lineRule="auto"/>
        <w:tabs>
          <w:tab w:leader="none" w:pos="1480"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Diversification Limit</w:t>
      </w:r>
      <w:r>
        <w:rPr>
          <w:rFonts w:ascii="Arial" w:cs="Arial" w:eastAsia="Arial" w:hAnsi="Arial"/>
          <w:sz w:val="19"/>
          <w:szCs w:val="19"/>
          <w:color w:val="auto"/>
        </w:rPr>
        <w:t>. No Diversification Election during a calendar year by an Eligible Employee shall be effective after October 22, 2020 if the sum of (x) the value of the Eligible Employee’s 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150" w:lineRule="exact"/>
        <w:rPr>
          <w:rFonts w:ascii="Arial" w:cs="Arial" w:eastAsia="Arial" w:hAnsi="Arial"/>
          <w:sz w:val="19"/>
          <w:szCs w:val="19"/>
          <w:color w:val="auto"/>
        </w:rPr>
      </w:pPr>
    </w:p>
    <w:p>
      <w:pPr>
        <w:ind w:left="-460" w:right="120" w:firstLine="644"/>
        <w:spacing w:after="0" w:line="263" w:lineRule="auto"/>
        <w:tabs>
          <w:tab w:leader="none" w:pos="824"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Grantees’ Status as General Creditors</w:t>
      </w:r>
      <w:r>
        <w:rPr>
          <w:rFonts w:ascii="Arial" w:cs="Arial" w:eastAsia="Arial" w:hAnsi="Arial"/>
          <w:sz w:val="22"/>
          <w:szCs w:val="22"/>
          <w:color w:val="auto"/>
        </w:rPr>
        <w:t>. A Grantee’s right to delivery of Shares subject to an Election under this Paragraph 8, or to amounts deemed invested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120"/>
          </w:cols>
          <w:pgMar w:left="1440" w:top="1428" w:right="339" w:bottom="1440" w:gutter="0" w:footer="0" w:header="0"/>
        </w:sectPr>
      </w:pPr>
    </w:p>
    <w:bookmarkStart w:id="116" w:name="page117"/>
    <w:bookmarkEnd w:id="116"/>
    <w:p>
      <w:pPr>
        <w:ind w:left="4" w:right="20"/>
        <w:spacing w:after="0" w:line="247" w:lineRule="auto"/>
        <w:rPr>
          <w:sz w:val="20"/>
          <w:szCs w:val="20"/>
          <w:color w:val="auto"/>
        </w:rPr>
      </w:pPr>
      <w:r>
        <w:rPr>
          <w:rFonts w:ascii="Arial" w:cs="Arial" w:eastAsia="Arial" w:hAnsi="Arial"/>
          <w:sz w:val="22"/>
          <w:szCs w:val="22"/>
          <w:color w:val="auto"/>
        </w:rPr>
        <w:t>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93" w:lineRule="exact"/>
        <w:rPr>
          <w:sz w:val="20"/>
          <w:szCs w:val="20"/>
          <w:color w:val="auto"/>
        </w:rPr>
      </w:pPr>
    </w:p>
    <w:p>
      <w:pPr>
        <w:ind w:left="4" w:right="60" w:firstLine="644"/>
        <w:spacing w:after="0" w:line="302" w:lineRule="auto"/>
        <w:tabs>
          <w:tab w:leader="none" w:pos="1288" w:val="left"/>
        </w:tabs>
        <w:numPr>
          <w:ilvl w:val="1"/>
          <w:numId w:val="175"/>
        </w:numPr>
        <w:rPr>
          <w:rFonts w:ascii="Arial" w:cs="Arial" w:eastAsia="Arial" w:hAnsi="Arial"/>
          <w:sz w:val="19"/>
          <w:szCs w:val="19"/>
          <w:color w:val="auto"/>
        </w:rPr>
      </w:pPr>
      <w:r>
        <w:rPr>
          <w:rFonts w:ascii="Arial" w:cs="Arial" w:eastAsia="Arial" w:hAnsi="Arial"/>
          <w:sz w:val="19"/>
          <w:szCs w:val="19"/>
          <w:u w:val="single" w:color="auto"/>
          <w:color w:val="auto"/>
        </w:rPr>
        <w:t>Non-Assignability, Etc</w:t>
      </w:r>
      <w:r>
        <w:rPr>
          <w:rFonts w:ascii="Arial" w:cs="Arial" w:eastAsia="Arial" w:hAnsi="Arial"/>
          <w:sz w:val="19"/>
          <w:szCs w:val="19"/>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42" w:lineRule="exact"/>
        <w:rPr>
          <w:rFonts w:ascii="Arial" w:cs="Arial" w:eastAsia="Arial" w:hAnsi="Arial"/>
          <w:sz w:val="19"/>
          <w:szCs w:val="19"/>
          <w:color w:val="auto"/>
        </w:rPr>
      </w:pPr>
    </w:p>
    <w:p>
      <w:pPr>
        <w:ind w:left="4" w:right="140" w:firstLine="644"/>
        <w:spacing w:after="0" w:line="246" w:lineRule="auto"/>
        <w:tabs>
          <w:tab w:leader="none" w:pos="1295" w:val="left"/>
        </w:tabs>
        <w:numPr>
          <w:ilvl w:val="1"/>
          <w:numId w:val="175"/>
        </w:numPr>
        <w:rPr>
          <w:rFonts w:ascii="Arial" w:cs="Arial" w:eastAsia="Arial" w:hAnsi="Arial"/>
          <w:sz w:val="22"/>
          <w:szCs w:val="22"/>
          <w:color w:val="auto"/>
        </w:rPr>
      </w:pPr>
      <w:r>
        <w:rPr>
          <w:rFonts w:ascii="Arial" w:cs="Arial" w:eastAsia="Arial" w:hAnsi="Arial"/>
          <w:sz w:val="22"/>
          <w:szCs w:val="22"/>
          <w:u w:val="single" w:color="auto"/>
          <w:color w:val="auto"/>
        </w:rPr>
        <w:t>Required Suspension of Payment of Benefits</w:t>
      </w:r>
      <w:r>
        <w:rPr>
          <w:rFonts w:ascii="Arial" w:cs="Arial" w:eastAsia="Arial" w:hAnsi="Arial"/>
          <w:sz w:val="22"/>
          <w:szCs w:val="22"/>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90" w:lineRule="exact"/>
        <w:rPr>
          <w:rFonts w:ascii="Arial" w:cs="Arial" w:eastAsia="Arial" w:hAnsi="Arial"/>
          <w:sz w:val="22"/>
          <w:szCs w:val="22"/>
          <w:color w:val="auto"/>
        </w:rPr>
      </w:pPr>
    </w:p>
    <w:p>
      <w:pPr>
        <w:ind w:left="644" w:hanging="644"/>
        <w:spacing w:after="0"/>
        <w:tabs>
          <w:tab w:leader="none" w:pos="644"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LAWS; TAXES</w:t>
      </w:r>
    </w:p>
    <w:p>
      <w:pPr>
        <w:spacing w:after="0" w:line="225" w:lineRule="exact"/>
        <w:rPr>
          <w:rFonts w:ascii="Arial" w:cs="Arial" w:eastAsia="Arial" w:hAnsi="Arial"/>
          <w:sz w:val="22"/>
          <w:szCs w:val="22"/>
          <w:b w:val="1"/>
          <w:bCs w:val="1"/>
          <w:color w:val="auto"/>
        </w:rPr>
      </w:pPr>
    </w:p>
    <w:p>
      <w:pPr>
        <w:ind w:left="4" w:firstLine="644"/>
        <w:spacing w:after="0" w:line="261" w:lineRule="auto"/>
        <w:tabs>
          <w:tab w:leader="none" w:pos="1297" w:val="left"/>
        </w:tabs>
        <w:numPr>
          <w:ilvl w:val="1"/>
          <w:numId w:val="176"/>
        </w:numPr>
        <w:rPr>
          <w:rFonts w:ascii="Arial" w:cs="Arial" w:eastAsia="Arial" w:hAnsi="Arial"/>
          <w:sz w:val="21"/>
          <w:szCs w:val="21"/>
          <w:color w:val="auto"/>
        </w:rPr>
      </w:pPr>
      <w:r>
        <w:rPr>
          <w:rFonts w:ascii="Arial" w:cs="Arial" w:eastAsia="Arial" w:hAnsi="Arial"/>
          <w:sz w:val="21"/>
          <w:szCs w:val="21"/>
          <w:u w:val="single" w:color="auto"/>
          <w:color w:val="auto"/>
        </w:rPr>
        <w:t>Securities Laws</w:t>
      </w:r>
      <w:r>
        <w:rPr>
          <w:rFonts w:ascii="Arial" w:cs="Arial" w:eastAsia="Arial" w:hAnsi="Arial"/>
          <w:sz w:val="21"/>
          <w:szCs w:val="21"/>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79" w:lineRule="exact"/>
        <w:rPr>
          <w:rFonts w:ascii="Arial" w:cs="Arial" w:eastAsia="Arial" w:hAnsi="Arial"/>
          <w:sz w:val="21"/>
          <w:szCs w:val="21"/>
          <w:color w:val="auto"/>
        </w:rPr>
      </w:pPr>
    </w:p>
    <w:p>
      <w:pPr>
        <w:ind w:left="4" w:firstLine="644"/>
        <w:spacing w:after="0" w:line="248" w:lineRule="auto"/>
        <w:tabs>
          <w:tab w:leader="none" w:pos="1295"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564"/>
          </w:cols>
          <w:pgMar w:left="976" w:top="1428" w:right="359" w:bottom="1440" w:gutter="0" w:footer="0" w:header="0"/>
        </w:sectPr>
      </w:pPr>
    </w:p>
    <w:bookmarkStart w:id="117" w:name="page118"/>
    <w:bookmarkEnd w:id="117"/>
    <w:p>
      <w:pPr>
        <w:ind w:left="820" w:hanging="636"/>
        <w:spacing w:after="0"/>
        <w:tabs>
          <w:tab w:leader="none" w:pos="82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Payment of Tax Liabilities; Election to Withhold Shares or Pay Cash to Satisfy Tax Liability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480" w:right="20" w:hanging="852"/>
        <w:spacing w:after="0" w:line="258" w:lineRule="auto"/>
        <w:tabs>
          <w:tab w:leader="none" w:pos="1480" w:val="left"/>
        </w:tabs>
        <w:numPr>
          <w:ilvl w:val="1"/>
          <w:numId w:val="177"/>
        </w:numPr>
        <w:rPr>
          <w:rFonts w:ascii="Arial" w:cs="Arial" w:eastAsia="Arial" w:hAnsi="Arial"/>
          <w:sz w:val="21"/>
          <w:szCs w:val="21"/>
          <w:color w:val="auto"/>
        </w:rPr>
      </w:pPr>
      <w:r>
        <w:rPr>
          <w:rFonts w:ascii="Arial" w:cs="Arial" w:eastAsia="Arial" w:hAnsi="Arial"/>
          <w:sz w:val="21"/>
          <w:szCs w:val="21"/>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85" w:lineRule="exact"/>
        <w:rPr>
          <w:rFonts w:ascii="Arial" w:cs="Arial" w:eastAsia="Arial" w:hAnsi="Arial"/>
          <w:sz w:val="21"/>
          <w:szCs w:val="21"/>
          <w:color w:val="auto"/>
        </w:rPr>
      </w:pPr>
    </w:p>
    <w:p>
      <w:pPr>
        <w:ind w:left="1480" w:hanging="911"/>
        <w:spacing w:after="0" w:line="289" w:lineRule="auto"/>
        <w:tabs>
          <w:tab w:leader="none" w:pos="1480" w:val="left"/>
        </w:tabs>
        <w:numPr>
          <w:ilvl w:val="1"/>
          <w:numId w:val="177"/>
        </w:numPr>
        <w:rPr>
          <w:rFonts w:ascii="Arial" w:cs="Arial" w:eastAsia="Arial" w:hAnsi="Arial"/>
          <w:sz w:val="19"/>
          <w:szCs w:val="19"/>
          <w:color w:val="auto"/>
        </w:rPr>
      </w:pPr>
      <w:r>
        <w:rPr>
          <w:rFonts w:ascii="Arial" w:cs="Arial" w:eastAsia="Arial" w:hAnsi="Arial"/>
          <w:sz w:val="19"/>
          <w:szCs w:val="19"/>
          <w:color w:val="auto"/>
        </w:rPr>
        <w:t>Except as otherwise provided in this Paragraph 9(c)(ii), any tax withholding obligations incurred in connection with the grant of any Award, the occurrence of a Vesting Date under any Award under the Plan that is not subject to an Initial Deferral Election, Regular Deferral Election or Subsequent Deferral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more of the following:</w:t>
      </w:r>
    </w:p>
    <w:p>
      <w:pPr>
        <w:spacing w:after="0" w:line="156" w:lineRule="exact"/>
        <w:rPr>
          <w:rFonts w:ascii="Arial" w:cs="Arial" w:eastAsia="Arial" w:hAnsi="Arial"/>
          <w:sz w:val="19"/>
          <w:szCs w:val="19"/>
          <w:color w:val="auto"/>
        </w:rPr>
      </w:pPr>
    </w:p>
    <w:p>
      <w:pPr>
        <w:ind w:left="2120" w:right="60" w:hanging="640"/>
        <w:spacing w:after="0" w:line="247" w:lineRule="auto"/>
        <w:tabs>
          <w:tab w:leader="none" w:pos="1984" w:val="left"/>
        </w:tabs>
        <w:numPr>
          <w:ilvl w:val="2"/>
          <w:numId w:val="177"/>
        </w:numPr>
        <w:rPr>
          <w:rFonts w:ascii="Arial" w:cs="Arial" w:eastAsia="Arial" w:hAnsi="Arial"/>
          <w:sz w:val="22"/>
          <w:szCs w:val="22"/>
          <w:color w:val="auto"/>
        </w:rPr>
      </w:pPr>
      <w:r>
        <w:rPr>
          <w:rFonts w:ascii="Arial" w:cs="Arial" w:eastAsia="Arial" w:hAnsi="Arial"/>
          <w:sz w:val="22"/>
          <w:szCs w:val="22"/>
          <w:color w:val="auto"/>
        </w:rPr>
        <w:t>To the extent permitted by applicable law,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w:t>
      </w:r>
    </w:p>
    <w:p>
      <w:pPr>
        <w:spacing w:after="0" w:line="192" w:lineRule="exact"/>
        <w:rPr>
          <w:rFonts w:ascii="Arial" w:cs="Arial" w:eastAsia="Arial" w:hAnsi="Arial"/>
          <w:sz w:val="22"/>
          <w:szCs w:val="22"/>
          <w:color w:val="auto"/>
        </w:rPr>
      </w:pPr>
    </w:p>
    <w:p>
      <w:pPr>
        <w:ind w:left="2120" w:right="300" w:hanging="640"/>
        <w:spacing w:after="0" w:line="263" w:lineRule="auto"/>
        <w:tabs>
          <w:tab w:leader="none" w:pos="1972" w:val="left"/>
        </w:tabs>
        <w:numPr>
          <w:ilvl w:val="2"/>
          <w:numId w:val="177"/>
        </w:numPr>
        <w:rPr>
          <w:rFonts w:ascii="Arial" w:cs="Arial" w:eastAsia="Arial" w:hAnsi="Arial"/>
          <w:sz w:val="22"/>
          <w:szCs w:val="22"/>
          <w:color w:val="auto"/>
        </w:rPr>
      </w:pPr>
      <w:r>
        <w:rPr>
          <w:rFonts w:ascii="Arial" w:cs="Arial" w:eastAsia="Arial" w:hAnsi="Arial"/>
          <w:sz w:val="22"/>
          <w:szCs w:val="22"/>
          <w:color w:val="auto"/>
        </w:rPr>
        <w:t>With respect to tax liabilities arising on or after January 1, 2017, to have Shares otherwise deliverable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060"/>
          </w:cols>
          <w:pgMar w:left="1440" w:top="1428" w:right="399" w:bottom="1440" w:gutter="0" w:footer="0" w:header="0"/>
        </w:sectPr>
      </w:pPr>
    </w:p>
    <w:bookmarkStart w:id="118" w:name="page119"/>
    <w:bookmarkEnd w:id="118"/>
    <w:p>
      <w:pPr>
        <w:ind w:left="2120" w:right="20"/>
        <w:spacing w:after="0" w:line="290" w:lineRule="auto"/>
        <w:rPr>
          <w:sz w:val="20"/>
          <w:szCs w:val="20"/>
          <w:color w:val="auto"/>
        </w:rPr>
      </w:pPr>
      <w:r>
        <w:rPr>
          <w:rFonts w:ascii="Arial" w:cs="Arial" w:eastAsia="Arial" w:hAnsi="Arial"/>
          <w:sz w:val="19"/>
          <w:szCs w:val="19"/>
          <w:color w:val="auto"/>
        </w:rPr>
        <w:t>after the application of the other provisions of this Paragraph 9(c)(ii) redeemed by the Company for the Fair Market Value of such Shares on the vesting date or other time of delivery of Shares, and have the cash proceeds of such redemption remitted by the Company to the Grantee to facilitate one or more estimated tax payments to the Internal Revenue Service or other taxing authority for the taxable year in which such vesting occurs, provided that the Grantee certifies in writing to the Company at the time of such election that the Grantee owns Other Available Shares having a Fair Market Value that is at least equal to the Fair Market Value of such Shares to be redeemed by the Company; and</w:t>
      </w:r>
    </w:p>
    <w:p>
      <w:pPr>
        <w:spacing w:after="0" w:line="156" w:lineRule="exact"/>
        <w:rPr>
          <w:sz w:val="20"/>
          <w:szCs w:val="20"/>
          <w:color w:val="auto"/>
        </w:rPr>
      </w:pPr>
    </w:p>
    <w:p>
      <w:pPr>
        <w:ind w:left="2120" w:right="100" w:hanging="640"/>
        <w:spacing w:after="0" w:line="263" w:lineRule="auto"/>
        <w:tabs>
          <w:tab w:leader="none" w:pos="197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To pay to the Company in cash all or a portion of the taxes to be withheld in connection with such grant, Vesting Date or Account distribution.</w:t>
      </w:r>
    </w:p>
    <w:p>
      <w:pPr>
        <w:spacing w:after="0" w:line="175" w:lineRule="exact"/>
        <w:rPr>
          <w:sz w:val="20"/>
          <w:szCs w:val="20"/>
          <w:color w:val="auto"/>
        </w:rPr>
      </w:pPr>
    </w:p>
    <w:p>
      <w:pPr>
        <w:ind w:left="1480"/>
        <w:spacing w:after="0" w:line="288" w:lineRule="auto"/>
        <w:rPr>
          <w:sz w:val="20"/>
          <w:szCs w:val="20"/>
          <w:color w:val="auto"/>
        </w:rPr>
      </w:pPr>
      <w:r>
        <w:rPr>
          <w:rFonts w:ascii="Arial" w:cs="Arial" w:eastAsia="Arial" w:hAnsi="Arial"/>
          <w:sz w:val="19"/>
          <w:szCs w:val="19"/>
          <w:color w:val="auto"/>
        </w:rPr>
        <w:t>In all cases, the Shares so withheld or redeemed by the Company, as applicable, shall have a Fair Market Value that does not exceed the amount of taxes to be withheld or remitted via estimated tax payments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or redeemed, as applicable, pursuant to this Paragraph 9(c)(ii) shall not be available for subsequent grants under the Plan. The Committee may add such other requirements and limitations regarding elections pursuant to this Paragraph 9(c)(ii) as it deems appropriate.</w:t>
      </w:r>
    </w:p>
    <w:p>
      <w:pPr>
        <w:spacing w:after="0" w:line="159" w:lineRule="exact"/>
        <w:rPr>
          <w:sz w:val="20"/>
          <w:szCs w:val="20"/>
          <w:color w:val="auto"/>
        </w:rPr>
      </w:pPr>
    </w:p>
    <w:p>
      <w:pPr>
        <w:ind w:left="1480" w:right="20" w:hanging="971"/>
        <w:spacing w:after="0" w:line="259" w:lineRule="auto"/>
        <w:tabs>
          <w:tab w:leader="none" w:pos="148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If part of a Grantee’s Award is subject to an Initial Deferral Election or a Regular Deferral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Deferral Election or Regular Deferral Election, the Grantee shall be required to remit to the Company an amount sufficient to satisfy any federal, state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100"/>
          </w:cols>
          <w:pgMar w:left="1440" w:top="1428" w:right="359" w:bottom="1440" w:gutter="0" w:footer="0" w:header="0"/>
        </w:sectPr>
      </w:pPr>
    </w:p>
    <w:bookmarkStart w:id="119" w:name="page120"/>
    <w:bookmarkEnd w:id="119"/>
    <w:p>
      <w:pPr>
        <w:ind w:left="1944"/>
        <w:spacing w:after="0" w:line="287" w:lineRule="auto"/>
        <w:rPr>
          <w:sz w:val="20"/>
          <w:szCs w:val="20"/>
          <w:color w:val="auto"/>
        </w:rPr>
      </w:pPr>
      <w:r>
        <w:rPr>
          <w:rFonts w:ascii="Arial" w:cs="Arial" w:eastAsia="Arial" w:hAnsi="Arial"/>
          <w:sz w:val="19"/>
          <w:szCs w:val="19"/>
          <w:color w:val="auto"/>
        </w:rPr>
        <w:t>local withholding tax requirements. As part of the Grantee’s Initial Deferral Election or Regular Deferral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200" w:lineRule="exact"/>
        <w:rPr>
          <w:sz w:val="20"/>
          <w:szCs w:val="20"/>
          <w:color w:val="auto"/>
        </w:rPr>
      </w:pPr>
    </w:p>
    <w:p>
      <w:pPr>
        <w:spacing w:after="0" w:line="214" w:lineRule="exact"/>
        <w:rPr>
          <w:sz w:val="20"/>
          <w:szCs w:val="20"/>
          <w:color w:val="auto"/>
        </w:rPr>
      </w:pPr>
    </w:p>
    <w:p>
      <w:pPr>
        <w:ind w:left="644" w:hanging="644"/>
        <w:spacing w:after="0"/>
        <w:tabs>
          <w:tab w:leader="none" w:pos="644"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CHANGES IN CAPITALIZATION</w:t>
      </w:r>
    </w:p>
    <w:p>
      <w:pPr>
        <w:spacing w:after="0" w:line="226" w:lineRule="exact"/>
        <w:rPr>
          <w:sz w:val="20"/>
          <w:szCs w:val="20"/>
          <w:color w:val="auto"/>
        </w:rPr>
      </w:pPr>
    </w:p>
    <w:p>
      <w:pPr>
        <w:ind w:left="4" w:firstLine="648"/>
        <w:spacing w:after="0" w:line="259" w:lineRule="auto"/>
        <w:rPr>
          <w:sz w:val="20"/>
          <w:szCs w:val="20"/>
          <w:color w:val="auto"/>
        </w:rPr>
      </w:pPr>
      <w:r>
        <w:rPr>
          <w:rFonts w:ascii="Arial" w:cs="Arial" w:eastAsia="Arial" w:hAnsi="Arial"/>
          <w:sz w:val="21"/>
          <w:szCs w:val="21"/>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73" w:lineRule="exact"/>
        <w:rPr>
          <w:sz w:val="20"/>
          <w:szCs w:val="20"/>
          <w:color w:val="auto"/>
        </w:rPr>
      </w:pPr>
    </w:p>
    <w:p>
      <w:pPr>
        <w:ind w:left="644" w:hanging="644"/>
        <w:spacing w:after="0"/>
        <w:tabs>
          <w:tab w:leader="none" w:pos="644"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TERMINATING EVENTS</w:t>
      </w:r>
    </w:p>
    <w:p>
      <w:pPr>
        <w:spacing w:after="0" w:line="225" w:lineRule="exact"/>
        <w:rPr>
          <w:rFonts w:ascii="Arial" w:cs="Arial" w:eastAsia="Arial" w:hAnsi="Arial"/>
          <w:sz w:val="22"/>
          <w:szCs w:val="22"/>
          <w:b w:val="1"/>
          <w:bCs w:val="1"/>
          <w:color w:val="auto"/>
        </w:rPr>
      </w:pPr>
    </w:p>
    <w:p>
      <w:pPr>
        <w:ind w:left="4" w:firstLine="644"/>
        <w:spacing w:after="0" w:line="260" w:lineRule="auto"/>
        <w:tabs>
          <w:tab w:leader="none" w:pos="1297" w:val="left"/>
        </w:tabs>
        <w:numPr>
          <w:ilvl w:val="1"/>
          <w:numId w:val="181"/>
        </w:numPr>
        <w:rPr>
          <w:rFonts w:ascii="Arial" w:cs="Arial" w:eastAsia="Arial" w:hAnsi="Arial"/>
          <w:sz w:val="21"/>
          <w:szCs w:val="21"/>
          <w:color w:val="auto"/>
        </w:rPr>
      </w:pPr>
      <w:r>
        <w:rPr>
          <w:rFonts w:ascii="Arial" w:cs="Arial" w:eastAsia="Arial" w:hAnsi="Arial"/>
          <w:sz w:val="21"/>
          <w:szCs w:val="21"/>
          <w:color w:val="auto"/>
        </w:rPr>
        <w:t>The Committee shall give Grantees at least thirty (30) days’ notice (or, if not practicable, such shorter notice as may be reasonably practicable) prior to the anticipated date of the consummation of a Terminating Event. Except as otherwise provided in Paragraph 11(b),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564"/>
          </w:cols>
          <w:pgMar w:left="976" w:top="1428" w:right="359" w:bottom="1440" w:gutter="0" w:footer="0" w:header="0"/>
        </w:sectPr>
      </w:pPr>
    </w:p>
    <w:bookmarkStart w:id="120" w:name="page121"/>
    <w:bookmarkEnd w:id="120"/>
    <w:p>
      <w:pPr>
        <w:ind w:left="4" w:right="100"/>
        <w:spacing w:after="0" w:line="312" w:lineRule="auto"/>
        <w:rPr>
          <w:sz w:val="20"/>
          <w:szCs w:val="20"/>
          <w:color w:val="auto"/>
        </w:rPr>
      </w:pPr>
      <w:r>
        <w:rPr>
          <w:rFonts w:ascii="Arial" w:cs="Arial" w:eastAsia="Arial" w:hAnsi="Arial"/>
          <w:sz w:val="19"/>
          <w:szCs w:val="19"/>
          <w:color w:val="auto"/>
        </w:rPr>
        <w:t>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33" w:lineRule="exact"/>
        <w:rPr>
          <w:sz w:val="20"/>
          <w:szCs w:val="20"/>
          <w:color w:val="auto"/>
        </w:rPr>
      </w:pPr>
    </w:p>
    <w:p>
      <w:pPr>
        <w:ind w:left="4" w:right="60" w:firstLine="644"/>
        <w:spacing w:after="0" w:line="247" w:lineRule="auto"/>
        <w:tabs>
          <w:tab w:leader="none" w:pos="1295" w:val="left"/>
        </w:tabs>
        <w:numPr>
          <w:ilvl w:val="1"/>
          <w:numId w:val="182"/>
        </w:numPr>
        <w:rPr>
          <w:rFonts w:ascii="Arial" w:cs="Arial" w:eastAsia="Arial" w:hAnsi="Arial"/>
          <w:sz w:val="22"/>
          <w:szCs w:val="22"/>
          <w:color w:val="auto"/>
        </w:rPr>
      </w:pPr>
      <w:r>
        <w:rPr>
          <w:rFonts w:ascii="Arial" w:cs="Arial" w:eastAsia="Arial" w:hAnsi="Arial"/>
          <w:sz w:val="22"/>
          <w:szCs w:val="22"/>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 earlier distribution would not result in any obligation to pay interest or additional tax under Section 409A.</w:t>
      </w:r>
    </w:p>
    <w:p>
      <w:pPr>
        <w:spacing w:after="0" w:line="186" w:lineRule="exact"/>
        <w:rPr>
          <w:rFonts w:ascii="Arial" w:cs="Arial" w:eastAsia="Arial" w:hAnsi="Arial"/>
          <w:sz w:val="22"/>
          <w:szCs w:val="22"/>
          <w:color w:val="auto"/>
        </w:rPr>
      </w:pPr>
    </w:p>
    <w:p>
      <w:pPr>
        <w:ind w:left="644" w:hanging="644"/>
        <w:spacing w:after="0"/>
        <w:tabs>
          <w:tab w:leader="none" w:pos="644"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color w:val="auto"/>
        </w:rPr>
        <w:t>CLAIMS PROCEDURE</w:t>
      </w:r>
    </w:p>
    <w:p>
      <w:pPr>
        <w:spacing w:after="0" w:line="225" w:lineRule="exact"/>
        <w:rPr>
          <w:rFonts w:ascii="Arial" w:cs="Arial" w:eastAsia="Arial" w:hAnsi="Arial"/>
          <w:sz w:val="22"/>
          <w:szCs w:val="22"/>
          <w:b w:val="1"/>
          <w:bCs w:val="1"/>
          <w:color w:val="auto"/>
        </w:rPr>
      </w:pPr>
    </w:p>
    <w:p>
      <w:pPr>
        <w:ind w:left="644"/>
        <w:spacing w:after="0"/>
        <w:rPr>
          <w:rFonts w:ascii="Arial" w:cs="Arial" w:eastAsia="Arial" w:hAnsi="Arial"/>
          <w:sz w:val="22"/>
          <w:szCs w:val="22"/>
          <w:b w:val="1"/>
          <w:bCs w:val="1"/>
          <w:color w:val="auto"/>
        </w:rPr>
      </w:pPr>
      <w:r>
        <w:rPr>
          <w:rFonts w:ascii="Arial" w:cs="Arial" w:eastAsia="Arial" w:hAnsi="Arial"/>
          <w:sz w:val="19"/>
          <w:szCs w:val="19"/>
          <w:color w:val="auto"/>
        </w:rPr>
        <w:t>If an individual (hereinafter referred to as the “Applicant,” which reference shall include the legal representative,</w:t>
      </w:r>
    </w:p>
    <w:p>
      <w:pPr>
        <w:spacing w:after="0" w:line="56" w:lineRule="exact"/>
        <w:rPr>
          <w:sz w:val="20"/>
          <w:szCs w:val="20"/>
          <w:color w:val="auto"/>
        </w:rPr>
      </w:pPr>
    </w:p>
    <w:p>
      <w:pPr>
        <w:ind w:left="4" w:right="140"/>
        <w:spacing w:after="0" w:line="269" w:lineRule="auto"/>
        <w:rPr>
          <w:sz w:val="20"/>
          <w:szCs w:val="20"/>
          <w:color w:val="auto"/>
        </w:rPr>
      </w:pPr>
      <w:r>
        <w:rPr>
          <w:rFonts w:ascii="Arial" w:cs="Arial" w:eastAsia="Arial" w:hAnsi="Arial"/>
          <w:sz w:val="21"/>
          <w:szCs w:val="21"/>
          <w:color w:val="auto"/>
        </w:rPr>
        <w:t>if any, of the individual) does not receive timely payment of benefits to which the Applicant believes he is entitled under Paragraph 8 of the Plan, the Applicant may make a claim for benefits in the manner hereinafter provided.</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21"/>
          <w:szCs w:val="21"/>
          <w:color w:val="auto"/>
        </w:rPr>
        <w:t>An Applicant may file a claim for benefits with the Committee on a form supplied by the Committee. If the</w:t>
      </w:r>
    </w:p>
    <w:p>
      <w:pPr>
        <w:spacing w:after="0" w:line="33" w:lineRule="exact"/>
        <w:rPr>
          <w:sz w:val="20"/>
          <w:szCs w:val="20"/>
          <w:color w:val="auto"/>
        </w:rPr>
      </w:pPr>
    </w:p>
    <w:p>
      <w:pPr>
        <w:ind w:left="4"/>
        <w:spacing w:after="0"/>
        <w:rPr>
          <w:sz w:val="20"/>
          <w:szCs w:val="20"/>
          <w:color w:val="auto"/>
        </w:rPr>
      </w:pPr>
      <w:r>
        <w:rPr>
          <w:rFonts w:ascii="Arial" w:cs="Arial" w:eastAsia="Arial" w:hAnsi="Arial"/>
          <w:sz w:val="19"/>
          <w:szCs w:val="19"/>
          <w:color w:val="auto"/>
        </w:rPr>
        <w:t>Committee wholly or partially denies a claim, the Committee shall provide the Applicant with a written notice stating:</w:t>
      </w:r>
    </w:p>
    <w:p>
      <w:pPr>
        <w:spacing w:after="0" w:line="236" w:lineRule="exact"/>
        <w:rPr>
          <w:sz w:val="20"/>
          <w:szCs w:val="20"/>
          <w:color w:val="auto"/>
        </w:rPr>
      </w:pPr>
    </w:p>
    <w:p>
      <w:pPr>
        <w:ind w:left="1284" w:hanging="636"/>
        <w:spacing w:after="0"/>
        <w:tabs>
          <w:tab w:leader="none" w:pos="128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19" w:lineRule="exact"/>
        <w:rPr>
          <w:rFonts w:ascii="Arial" w:cs="Arial" w:eastAsia="Arial" w:hAnsi="Arial"/>
          <w:sz w:val="22"/>
          <w:szCs w:val="22"/>
          <w:color w:val="auto"/>
        </w:rPr>
      </w:pPr>
    </w:p>
    <w:p>
      <w:pPr>
        <w:ind w:left="1284" w:hanging="636"/>
        <w:spacing w:after="0"/>
        <w:tabs>
          <w:tab w:leader="none" w:pos="128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19" w:lineRule="exact"/>
        <w:rPr>
          <w:rFonts w:ascii="Arial" w:cs="Arial" w:eastAsia="Arial" w:hAnsi="Arial"/>
          <w:sz w:val="22"/>
          <w:szCs w:val="22"/>
          <w:color w:val="auto"/>
        </w:rPr>
      </w:pPr>
    </w:p>
    <w:p>
      <w:pPr>
        <w:ind w:left="4" w:right="60" w:firstLine="644"/>
        <w:spacing w:after="0" w:line="263" w:lineRule="auto"/>
        <w:tabs>
          <w:tab w:leader="none" w:pos="1297"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Applicant to perfect the claim and an explanation of why such material or information is necessary; and</w:t>
      </w:r>
    </w:p>
    <w:p>
      <w:pPr>
        <w:spacing w:after="0" w:line="174" w:lineRule="exact"/>
        <w:rPr>
          <w:rFonts w:ascii="Arial" w:cs="Arial" w:eastAsia="Arial" w:hAnsi="Arial"/>
          <w:sz w:val="22"/>
          <w:szCs w:val="22"/>
          <w:color w:val="auto"/>
        </w:rPr>
      </w:pPr>
    </w:p>
    <w:p>
      <w:pPr>
        <w:ind w:left="1284" w:hanging="636"/>
        <w:spacing w:after="0"/>
        <w:tabs>
          <w:tab w:leader="none" w:pos="128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Appropriate information as to the steps to be taken in order to submit a claim for review.</w:t>
      </w:r>
    </w:p>
    <w:p>
      <w:pPr>
        <w:spacing w:after="0" w:line="220" w:lineRule="exact"/>
        <w:rPr>
          <w:sz w:val="20"/>
          <w:szCs w:val="20"/>
          <w:color w:val="auto"/>
        </w:rPr>
      </w:pPr>
    </w:p>
    <w:p>
      <w:pPr>
        <w:jc w:val="both"/>
        <w:ind w:left="4" w:right="220" w:firstLine="648"/>
        <w:spacing w:after="0" w:line="271" w:lineRule="auto"/>
        <w:rPr>
          <w:sz w:val="20"/>
          <w:szCs w:val="20"/>
          <w:color w:val="auto"/>
        </w:rPr>
      </w:pPr>
      <w:r>
        <w:rPr>
          <w:rFonts w:ascii="Arial" w:cs="Arial" w:eastAsia="Arial" w:hAnsi="Arial"/>
          <w:sz w:val="21"/>
          <w:szCs w:val="21"/>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67" w:lineRule="exact"/>
        <w:rPr>
          <w:sz w:val="20"/>
          <w:szCs w:val="20"/>
          <w:color w:val="auto"/>
        </w:rPr>
      </w:pPr>
    </w:p>
    <w:p>
      <w:pPr>
        <w:ind w:left="4" w:firstLine="648"/>
        <w:spacing w:after="0" w:line="312" w:lineRule="auto"/>
        <w:rPr>
          <w:sz w:val="20"/>
          <w:szCs w:val="20"/>
          <w:color w:val="auto"/>
        </w:rPr>
      </w:pPr>
      <w:r>
        <w:rPr>
          <w:rFonts w:ascii="Arial" w:cs="Arial" w:eastAsia="Arial" w:hAnsi="Arial"/>
          <w:sz w:val="19"/>
          <w:szCs w:val="19"/>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564"/>
          </w:cols>
          <w:pgMar w:left="976" w:top="1428" w:right="359" w:bottom="1440" w:gutter="0" w:footer="0" w:header="0"/>
        </w:sectPr>
      </w:pPr>
    </w:p>
    <w:bookmarkStart w:id="121" w:name="page122"/>
    <w:bookmarkEnd w:id="121"/>
    <w:p>
      <w:pPr>
        <w:ind w:left="4" w:right="180"/>
        <w:spacing w:after="0" w:line="302" w:lineRule="auto"/>
        <w:rPr>
          <w:sz w:val="20"/>
          <w:szCs w:val="20"/>
          <w:color w:val="auto"/>
        </w:rPr>
      </w:pPr>
      <w:r>
        <w:rPr>
          <w:rFonts w:ascii="Arial" w:cs="Arial" w:eastAsia="Arial" w:hAnsi="Arial"/>
          <w:sz w:val="19"/>
          <w:szCs w:val="19"/>
          <w:color w:val="auto"/>
        </w:rPr>
        <w:t>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42" w:lineRule="exact"/>
        <w:rPr>
          <w:sz w:val="20"/>
          <w:szCs w:val="20"/>
          <w:color w:val="auto"/>
        </w:rPr>
      </w:pPr>
    </w:p>
    <w:p>
      <w:pPr>
        <w:ind w:left="4" w:right="460" w:firstLine="648"/>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Claims for benefits under the Plan must be filed with the Committee at the following address: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Comcast Corporation</w:t>
      </w:r>
    </w:p>
    <w:p>
      <w:pPr>
        <w:ind w:left="4"/>
        <w:spacing w:after="0" w:line="207" w:lineRule="auto"/>
        <w:rPr>
          <w:sz w:val="20"/>
          <w:szCs w:val="20"/>
          <w:color w:val="auto"/>
        </w:rPr>
      </w:pPr>
      <w:r>
        <w:rPr>
          <w:rFonts w:ascii="Arial" w:cs="Arial" w:eastAsia="Arial" w:hAnsi="Arial"/>
          <w:sz w:val="22"/>
          <w:szCs w:val="22"/>
          <w:color w:val="auto"/>
        </w:rPr>
        <w:t>One Comcast Center,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ind w:left="4"/>
        <w:spacing w:after="0"/>
        <w:rPr>
          <w:sz w:val="20"/>
          <w:szCs w:val="20"/>
          <w:color w:val="auto"/>
        </w:rPr>
      </w:pPr>
      <w:r>
        <w:rPr>
          <w:rFonts w:ascii="Arial" w:cs="Arial" w:eastAsia="Arial" w:hAnsi="Arial"/>
          <w:sz w:val="22"/>
          <w:szCs w:val="22"/>
          <w:color w:val="auto"/>
        </w:rPr>
        <w:t>1701 John F. Kennedy Boulevard</w:t>
      </w:r>
    </w:p>
    <w:p>
      <w:pPr>
        <w:spacing w:after="0" w:line="3" w:lineRule="exact"/>
        <w:rPr>
          <w:sz w:val="20"/>
          <w:szCs w:val="20"/>
          <w:color w:val="auto"/>
        </w:rPr>
      </w:pPr>
    </w:p>
    <w:p>
      <w:pPr>
        <w:ind w:left="4"/>
        <w:spacing w:after="0"/>
        <w:rPr>
          <w:sz w:val="20"/>
          <w:szCs w:val="20"/>
          <w:color w:val="auto"/>
        </w:rPr>
      </w:pPr>
      <w:r>
        <w:rPr>
          <w:rFonts w:ascii="Arial" w:cs="Arial" w:eastAsia="Arial" w:hAnsi="Arial"/>
          <w:sz w:val="22"/>
          <w:szCs w:val="22"/>
          <w:color w:val="auto"/>
        </w:rPr>
        <w:t>Philadelphia, PA 19103-2838</w:t>
      </w:r>
    </w:p>
    <w:p>
      <w:pPr>
        <w:spacing w:after="0" w:line="4" w:lineRule="exact"/>
        <w:rPr>
          <w:sz w:val="20"/>
          <w:szCs w:val="20"/>
          <w:color w:val="auto"/>
        </w:rPr>
      </w:pPr>
    </w:p>
    <w:p>
      <w:pPr>
        <w:ind w:left="4"/>
        <w:spacing w:after="0"/>
        <w:rPr>
          <w:sz w:val="20"/>
          <w:szCs w:val="20"/>
          <w:color w:val="auto"/>
        </w:rPr>
      </w:pPr>
      <w:r>
        <w:rPr>
          <w:rFonts w:ascii="Arial" w:cs="Arial" w:eastAsia="Arial" w:hAnsi="Arial"/>
          <w:sz w:val="22"/>
          <w:szCs w:val="22"/>
          <w:color w:val="auto"/>
        </w:rPr>
        <w:t>Attention: General Counsel</w:t>
      </w:r>
    </w:p>
    <w:p>
      <w:pPr>
        <w:spacing w:after="0" w:line="236" w:lineRule="exact"/>
        <w:rPr>
          <w:sz w:val="20"/>
          <w:szCs w:val="20"/>
          <w:color w:val="auto"/>
        </w:rPr>
      </w:pPr>
    </w:p>
    <w:p>
      <w:pPr>
        <w:ind w:left="644" w:hanging="644"/>
        <w:spacing w:after="0"/>
        <w:tabs>
          <w:tab w:leader="none" w:pos="644"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color w:val="auto"/>
        </w:rPr>
        <w:t>REPAYMENT</w:t>
      </w:r>
    </w:p>
    <w:p>
      <w:pPr>
        <w:spacing w:after="0" w:line="226" w:lineRule="exact"/>
        <w:rPr>
          <w:sz w:val="20"/>
          <w:szCs w:val="20"/>
          <w:color w:val="auto"/>
        </w:rPr>
      </w:pPr>
    </w:p>
    <w:p>
      <w:pPr>
        <w:ind w:left="4" w:firstLine="648"/>
        <w:spacing w:after="0" w:line="284" w:lineRule="auto"/>
        <w:rPr>
          <w:sz w:val="20"/>
          <w:szCs w:val="20"/>
          <w:color w:val="auto"/>
        </w:rPr>
      </w:pPr>
      <w:r>
        <w:rPr>
          <w:rFonts w:ascii="Arial" w:cs="Arial" w:eastAsia="Arial" w:hAnsi="Arial"/>
          <w:sz w:val="19"/>
          <w:szCs w:val="19"/>
          <w:color w:val="auto"/>
        </w:rPr>
        <w:t>If it is determined by the Board that gross negligence, intentional misconduct or fraud by a Section 16 Officer or a former Section 16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 Officer or former Section 16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2" w:lineRule="exact"/>
        <w:rPr>
          <w:sz w:val="20"/>
          <w:szCs w:val="20"/>
          <w:color w:val="auto"/>
        </w:rPr>
      </w:pPr>
    </w:p>
    <w:p>
      <w:pPr>
        <w:ind w:left="4" w:right="100" w:hanging="4"/>
        <w:spacing w:after="0" w:line="259" w:lineRule="auto"/>
        <w:tabs>
          <w:tab w:leader="none" w:pos="322"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76" w:lineRule="exact"/>
        <w:rPr>
          <w:sz w:val="20"/>
          <w:szCs w:val="20"/>
          <w:color w:val="auto"/>
        </w:rPr>
      </w:pPr>
    </w:p>
    <w:p>
      <w:pPr>
        <w:ind w:left="644" w:hanging="644"/>
        <w:spacing w:after="0"/>
        <w:tabs>
          <w:tab w:leader="none" w:pos="644"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226" w:lineRule="exact"/>
        <w:rPr>
          <w:sz w:val="20"/>
          <w:szCs w:val="20"/>
          <w:color w:val="auto"/>
        </w:rPr>
      </w:pPr>
    </w:p>
    <w:p>
      <w:pPr>
        <w:ind w:left="4" w:right="160" w:firstLine="648"/>
        <w:spacing w:after="0" w:line="253" w:lineRule="auto"/>
        <w:rPr>
          <w:sz w:val="20"/>
          <w:szCs w:val="20"/>
          <w:color w:val="auto"/>
        </w:rPr>
      </w:pPr>
      <w:r>
        <w:rPr>
          <w:rFonts w:ascii="Arial" w:cs="Arial" w:eastAsia="Arial" w:hAnsi="Arial"/>
          <w:sz w:val="22"/>
          <w:szCs w:val="22"/>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564"/>
          </w:cols>
          <w:pgMar w:left="976" w:top="1428" w:right="359" w:bottom="1440" w:gutter="0" w:footer="0" w:header="0"/>
        </w:sectPr>
      </w:pPr>
    </w:p>
    <w:bookmarkStart w:id="122" w:name="page123"/>
    <w:bookmarkEnd w:id="122"/>
    <w:p>
      <w:pPr>
        <w:ind w:left="644" w:hanging="644"/>
        <w:spacing w:after="0"/>
        <w:tabs>
          <w:tab w:leader="none" w:pos="644"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26" w:lineRule="exact"/>
        <w:rPr>
          <w:sz w:val="20"/>
          <w:szCs w:val="20"/>
          <w:color w:val="auto"/>
        </w:rPr>
      </w:pPr>
    </w:p>
    <w:p>
      <w:pPr>
        <w:ind w:left="4" w:right="140" w:firstLine="648"/>
        <w:spacing w:after="0" w:line="250" w:lineRule="auto"/>
        <w:rPr>
          <w:sz w:val="20"/>
          <w:szCs w:val="20"/>
          <w:color w:val="auto"/>
        </w:rPr>
      </w:pPr>
      <w:r>
        <w:rPr>
          <w:rFonts w:ascii="Arial" w:cs="Arial" w:eastAsia="Arial" w:hAnsi="Arial"/>
          <w:sz w:val="22"/>
          <w:szCs w:val="22"/>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pacing w:after="0" w:line="182" w:lineRule="exact"/>
        <w:rPr>
          <w:sz w:val="20"/>
          <w:szCs w:val="20"/>
          <w:color w:val="auto"/>
        </w:rPr>
      </w:pPr>
    </w:p>
    <w:p>
      <w:pPr>
        <w:ind w:left="544" w:hanging="544"/>
        <w:spacing w:after="0"/>
        <w:tabs>
          <w:tab w:leader="none" w:pos="544"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color w:val="auto"/>
        </w:rPr>
        <w:t>TERM OF PLAN</w:t>
      </w:r>
    </w:p>
    <w:p>
      <w:pPr>
        <w:spacing w:after="0" w:line="22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Plan shall expire on May 19, 2026, unless sooner terminated by the Board.</w:t>
      </w:r>
    </w:p>
    <w:p>
      <w:pPr>
        <w:spacing w:after="0" w:line="214" w:lineRule="exact"/>
        <w:rPr>
          <w:sz w:val="20"/>
          <w:szCs w:val="20"/>
          <w:color w:val="auto"/>
        </w:rPr>
      </w:pPr>
    </w:p>
    <w:p>
      <w:pPr>
        <w:ind w:left="484" w:hanging="484"/>
        <w:spacing w:after="0"/>
        <w:tabs>
          <w:tab w:leader="none" w:pos="484"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left="4" w:firstLine="648"/>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167" w:lineRule="exact"/>
        <w:rPr>
          <w:sz w:val="20"/>
          <w:szCs w:val="20"/>
          <w:color w:val="auto"/>
        </w:rPr>
      </w:pPr>
    </w:p>
    <w:p>
      <w:pPr>
        <w:ind w:left="644"/>
        <w:spacing w:after="0"/>
        <w:rPr>
          <w:sz w:val="20"/>
          <w:szCs w:val="20"/>
          <w:color w:val="auto"/>
        </w:rPr>
      </w:pPr>
      <w:r>
        <w:rPr>
          <w:rFonts w:ascii="Arial" w:cs="Arial" w:eastAsia="Arial" w:hAnsi="Arial"/>
          <w:sz w:val="22"/>
          <w:szCs w:val="22"/>
          <w:color w:val="auto"/>
        </w:rPr>
        <w:t>Executed on the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October, 2020.</w:t>
      </w:r>
    </w:p>
    <w:p>
      <w:pPr>
        <w:spacing w:after="0" w:line="200" w:lineRule="exact"/>
        <w:rPr>
          <w:sz w:val="20"/>
          <w:szCs w:val="20"/>
          <w:color w:val="auto"/>
        </w:rPr>
      </w:pPr>
    </w:p>
    <w:p>
      <w:pPr>
        <w:spacing w:after="0" w:line="255" w:lineRule="exact"/>
        <w:rPr>
          <w:sz w:val="20"/>
          <w:szCs w:val="20"/>
          <w:color w:val="auto"/>
        </w:rPr>
      </w:pPr>
    </w:p>
    <w:p>
      <w:pPr>
        <w:jc w:val="center"/>
        <w:ind w:right="236"/>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24"/>
        <w:spacing w:after="0"/>
        <w:tabs>
          <w:tab w:leader="none" w:pos="4424" w:val="left"/>
        </w:tabs>
        <w:rPr>
          <w:sz w:val="20"/>
          <w:szCs w:val="20"/>
          <w:color w:val="auto"/>
        </w:rPr>
      </w:pPr>
      <w:r>
        <w:rPr>
          <w:rFonts w:ascii="Arial" w:cs="Arial" w:eastAsia="Arial" w:hAnsi="Arial"/>
          <w:sz w:val="22"/>
          <w:szCs w:val="22"/>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-17780</wp:posOffset>
            </wp:positionV>
            <wp:extent cx="17411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38" w:lineRule="exact"/>
        <w:rPr>
          <w:sz w:val="20"/>
          <w:szCs w:val="20"/>
          <w:color w:val="auto"/>
        </w:rPr>
      </w:pPr>
    </w:p>
    <w:p>
      <w:pPr>
        <w:ind w:left="3824"/>
        <w:spacing w:after="0"/>
        <w:rPr>
          <w:sz w:val="20"/>
          <w:szCs w:val="20"/>
          <w:color w:val="auto"/>
        </w:rPr>
      </w:pPr>
      <w:r>
        <w:rPr>
          <w:rFonts w:ascii="Arial" w:cs="Arial" w:eastAsia="Arial" w:hAnsi="Arial"/>
          <w:sz w:val="22"/>
          <w:szCs w:val="22"/>
          <w:color w:val="auto"/>
        </w:rPr>
        <w:t>Thomas J. Reid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504"/>
          </w:cols>
          <w:pgMar w:left="976" w:top="1422" w:right="4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158"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715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7"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364"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212"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715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7"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3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October 29,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62" w:lineRule="exact"/>
        <w:rPr>
          <w:sz w:val="20"/>
          <w:szCs w:val="20"/>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16"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31750</wp:posOffset>
            </wp:positionV>
            <wp:extent cx="34715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57"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36"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31750</wp:posOffset>
            </wp:positionV>
            <wp:extent cx="34715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7"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
      <w:numFmt w:val="bullet"/>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1)"/>
      <w:numFmt w:val="lowerLetter"/>
      <w:start w:val="1"/>
    </w:lvl>
    <w:lvl w:ilvl="1">
      <w:lvlJc w:val="left"/>
      <w:lvlText w:val="•"/>
      <w:numFmt w:val="bullet"/>
      <w:start w:val="1"/>
    </w:lvl>
  </w:abstractNum>
  <w:abstractNum w:abstractNumId="4">
    <w:nsid w:val="7672BD23"/>
    <w:multiLevelType w:val="hybridMultilevel"/>
    <w:lvl w:ilvl="0">
      <w:lvlJc w:val="left"/>
      <w:lvlText w:val="(%1)"/>
      <w:numFmt w:val="lowerLetter"/>
      <w:start w:val="1"/>
    </w:lvl>
  </w:abstractNum>
  <w:abstractNum w:abstractNumId="5">
    <w:nsid w:val="6FC75AF8"/>
    <w:multiLevelType w:val="hybridMultilevel"/>
    <w:lvl w:ilvl="0">
      <w:lvlJc w:val="left"/>
      <w:lvlText w:val="•"/>
      <w:numFmt w:val="bullet"/>
      <w:start w:val="1"/>
    </w:lvl>
  </w:abstractNum>
  <w:abstractNum w:abstractNumId="6">
    <w:nsid w:val="6A5F7029"/>
    <w:multiLevelType w:val="hybridMultilevel"/>
    <w:lvl w:ilvl="0">
      <w:lvlJc w:val="left"/>
      <w:lvlText w:val="•"/>
      <w:numFmt w:val="bullet"/>
      <w:start w:val="1"/>
    </w:lvl>
  </w:abstractNum>
  <w:abstractNum w:abstractNumId="7">
    <w:nsid w:val="7D5E18F8"/>
    <w:multiLevelType w:val="hybridMultilevel"/>
    <w:lvl w:ilvl="0">
      <w:lvlJc w:val="left"/>
      <w:lvlText w:val="•"/>
      <w:numFmt w:val="bullet"/>
      <w:start w:val="1"/>
    </w:lvl>
  </w:abstractNum>
  <w:abstractNum w:abstractNumId="8">
    <w:nsid w:val="5F3534A4"/>
    <w:multiLevelType w:val="hybridMultilevel"/>
    <w:lvl w:ilvl="0">
      <w:lvlJc w:val="left"/>
      <w:lvlText w:val="•"/>
      <w:numFmt w:val="bullet"/>
      <w:start w:val="1"/>
    </w:lvl>
  </w:abstractNum>
  <w:abstractNum w:abstractNumId="9">
    <w:nsid w:val="73A1821B"/>
    <w:multiLevelType w:val="hybridMultilevel"/>
    <w:lvl w:ilvl="0">
      <w:lvlJc w:val="left"/>
      <w:lvlText w:val="(%1)"/>
      <w:numFmt w:val="lowerLetter"/>
      <w:start w:val="1"/>
    </w:lvl>
  </w:abstractNum>
  <w:abstractNum w:abstractNumId="10">
    <w:nsid w:val="7DE67713"/>
    <w:multiLevelType w:val="hybridMultilevel"/>
    <w:lvl w:ilvl="0">
      <w:lvlJc w:val="left"/>
      <w:lvlText w:val="%1."/>
      <w:numFmt w:val="decimal"/>
      <w:start w:val="19"/>
    </w:lvl>
  </w:abstractNum>
  <w:abstractNum w:abstractNumId="11">
    <w:nsid w:val="555C55B5"/>
    <w:multiLevelType w:val="hybridMultilevel"/>
    <w:lvl w:ilvl="0">
      <w:lvlJc w:val="left"/>
      <w:lvlText w:val="(%1)"/>
      <w:numFmt w:val="lowerLetter"/>
      <w:start w:val="1"/>
    </w:lvl>
  </w:abstractNum>
  <w:abstractNum w:abstractNumId="12">
    <w:nsid w:val="3FA62ACA"/>
    <w:multiLevelType w:val="hybridMultilevel"/>
    <w:lvl w:ilvl="0">
      <w:lvlJc w:val="left"/>
      <w:lvlText w:val="(%1)"/>
      <w:numFmt w:val="lowerLetter"/>
      <w:start w:val="1"/>
    </w:lvl>
  </w:abstractNum>
  <w:abstractNum w:abstractNumId="13">
    <w:nsid w:val="14FCE74E"/>
    <w:multiLevelType w:val="hybridMultilevel"/>
    <w:lvl w:ilvl="0">
      <w:lvlJc w:val="left"/>
      <w:lvlText w:val="(%1)"/>
      <w:numFmt w:val="lowerLetter"/>
      <w:start w:val="1"/>
    </w:lvl>
  </w:abstractNum>
  <w:abstractNum w:abstractNumId="14">
    <w:nsid w:val="6A3DD3E8"/>
    <w:multiLevelType w:val="hybridMultilevel"/>
    <w:lvl w:ilvl="0">
      <w:lvlJc w:val="left"/>
      <w:lvlText w:val="%1"/>
      <w:numFmt w:val="decimal"/>
      <w:start w:val="22"/>
    </w:lvl>
  </w:abstractNum>
  <w:abstractNum w:abstractNumId="15">
    <w:nsid w:val="71C91298"/>
    <w:multiLevelType w:val="hybridMultilevel"/>
    <w:lvl w:ilvl="0">
      <w:lvlJc w:val="left"/>
      <w:lvlText w:val="%1"/>
      <w:numFmt w:val="decimal"/>
      <w:start w:val="31"/>
    </w:lvl>
  </w:abstractNum>
  <w:abstractNum w:abstractNumId="16">
    <w:nsid w:val="9DAF632"/>
    <w:multiLevelType w:val="hybridMultilevel"/>
    <w:lvl w:ilvl="0">
      <w:lvlJc w:val="left"/>
      <w:lvlText w:val="%1"/>
      <w:numFmt w:val="decimal"/>
      <w:start w:val="101"/>
    </w:lvl>
  </w:abstractNum>
  <w:abstractNum w:abstractNumId="17">
    <w:nsid w:val="53299938"/>
    <w:multiLevelType w:val="hybridMultilevel"/>
    <w:lvl w:ilvl="0">
      <w:lvlJc w:val="left"/>
      <w:lvlText w:val="*"/>
      <w:numFmt w:val="bullet"/>
      <w:start w:val="1"/>
    </w:lvl>
  </w:abstractNum>
  <w:abstractNum w:abstractNumId="18">
    <w:nsid w:val="1FBFE8E0"/>
    <w:multiLevelType w:val="hybridMultilevel"/>
    <w:lvl w:ilvl="0">
      <w:lvlJc w:val="left"/>
      <w:lvlText w:val="(%1)"/>
      <w:numFmt w:val="lowerLetter"/>
      <w:start w:val="1"/>
    </w:lvl>
  </w:abstractNum>
  <w:abstractNum w:abstractNumId="19">
    <w:nsid w:val="5092CA79"/>
    <w:multiLevelType w:val="hybridMultilevel"/>
    <w:lvl w:ilvl="0">
      <w:lvlJc w:val="left"/>
      <w:lvlText w:val="(%1)"/>
      <w:numFmt w:val="lowerLetter"/>
      <w:start w:val="1"/>
    </w:lvl>
    <w:lvl w:ilvl="1">
      <w:lvlJc w:val="left"/>
      <w:lvlText w:val="(%2)"/>
      <w:numFmt w:val="lowerRoman"/>
      <w:start w:val="1"/>
    </w:lvl>
  </w:abstractNum>
  <w:abstractNum w:abstractNumId="20">
    <w:nsid w:val="1D545C4D"/>
    <w:multiLevelType w:val="hybridMultilevel"/>
    <w:lvl w:ilvl="0">
      <w:lvlJc w:val="left"/>
      <w:lvlText w:val="(%1)"/>
      <w:numFmt w:val="lowerLetter"/>
      <w:start w:val="1"/>
    </w:lvl>
  </w:abstractNum>
  <w:abstractNum w:abstractNumId="21">
    <w:nsid w:val="59ADEA3D"/>
    <w:multiLevelType w:val="hybridMultilevel"/>
    <w:lvl w:ilvl="0">
      <w:lvlJc w:val="left"/>
      <w:lvlText w:val="(%1)"/>
      <w:numFmt w:val="lowerLetter"/>
      <w:start w:val="1"/>
    </w:lvl>
  </w:abstractNum>
  <w:abstractNum w:abstractNumId="22">
    <w:nsid w:val="288F1A34"/>
    <w:multiLevelType w:val="hybridMultilevel"/>
    <w:lvl w:ilvl="0">
      <w:lvlJc w:val="left"/>
      <w:lvlText w:val="(%1)"/>
      <w:numFmt w:val="lowerLetter"/>
      <w:start w:val="2"/>
    </w:lvl>
  </w:abstractNum>
  <w:abstractNum w:abstractNumId="23">
    <w:nsid w:val="2A155DBC"/>
    <w:multiLevelType w:val="hybridMultilevel"/>
    <w:lvl w:ilvl="0">
      <w:lvlJc w:val="left"/>
      <w:lvlText w:val="(%1)"/>
      <w:numFmt w:val="lowerLetter"/>
      <w:start w:val="1"/>
    </w:lvl>
  </w:abstractNum>
  <w:abstractNum w:abstractNumId="24">
    <w:nsid w:val="1D9F6E5F"/>
    <w:multiLevelType w:val="hybridMultilevel"/>
    <w:lvl w:ilvl="0">
      <w:lvlJc w:val="left"/>
      <w:lvlText w:val="(%1)"/>
      <w:numFmt w:val="lowerLetter"/>
      <w:start w:val="1"/>
    </w:lvl>
  </w:abstractNum>
  <w:abstractNum w:abstractNumId="25">
    <w:nsid w:val="97E1B4E"/>
    <w:multiLevelType w:val="hybridMultilevel"/>
    <w:lvl w:ilvl="0">
      <w:lvlJc w:val="left"/>
      <w:lvlText w:val="(%1)"/>
      <w:numFmt w:val="lowerLetter"/>
      <w:start w:val="1"/>
    </w:lvl>
  </w:abstractNum>
  <w:abstractNum w:abstractNumId="26">
    <w:nsid w:val="51088277"/>
    <w:multiLevelType w:val="hybridMultilevel"/>
    <w:lvl w:ilvl="0">
      <w:lvlJc w:val="left"/>
      <w:lvlText w:val="(%1)"/>
      <w:numFmt w:val="lowerLetter"/>
      <w:start w:val="1"/>
    </w:lvl>
  </w:abstractNum>
  <w:abstractNum w:abstractNumId="27">
    <w:nsid w:val="1CA0C5FA"/>
    <w:multiLevelType w:val="hybridMultilevel"/>
    <w:lvl w:ilvl="0">
      <w:lvlJc w:val="left"/>
      <w:lvlText w:val="(%1)"/>
      <w:numFmt w:val="lowerLetter"/>
      <w:start w:val="1"/>
    </w:lvl>
  </w:abstractNum>
  <w:abstractNum w:abstractNumId="28">
    <w:nsid w:val="53584BCB"/>
    <w:multiLevelType w:val="hybridMultilevel"/>
    <w:lvl w:ilvl="0">
      <w:lvlJc w:val="left"/>
      <w:lvlText w:val="(%1)"/>
      <w:numFmt w:val="lowerLetter"/>
      <w:start w:val="2"/>
    </w:lvl>
  </w:abstractNum>
  <w:abstractNum w:abstractNumId="29">
    <w:nsid w:val="415E286C"/>
    <w:multiLevelType w:val="hybridMultilevel"/>
    <w:lvl w:ilvl="0">
      <w:lvlJc w:val="left"/>
      <w:lvlText w:val="(%1)"/>
      <w:numFmt w:val="lowerLetter"/>
      <w:start w:val="1"/>
    </w:lvl>
  </w:abstractNum>
  <w:abstractNum w:abstractNumId="30">
    <w:nsid w:val="7C58FD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
    <w:nsid w:val="23D86AAC"/>
    <w:multiLevelType w:val="hybridMultilevel"/>
    <w:lvl w:ilvl="0">
      <w:lvlJc w:val="left"/>
      <w:lvlText w:val="%1"/>
      <w:numFmt w:val="lowerRoman"/>
      <w:start w:val="1"/>
    </w:lvl>
    <w:lvl w:ilvl="1">
      <w:lvlJc w:val="left"/>
      <w:lvlText w:val="(%2)"/>
      <w:numFmt w:val="upperLetter"/>
      <w:start w:val="6"/>
    </w:lvl>
  </w:abstractNum>
  <w:abstractNum w:abstractNumId="32">
    <w:nsid w:val="45E6D486"/>
    <w:multiLevelType w:val="hybridMultilevel"/>
    <w:lvl w:ilvl="0">
      <w:lvlJc w:val="left"/>
      <w:lvlText w:val="(%1)"/>
      <w:numFmt w:val="lowerRoman"/>
      <w:start w:val="3"/>
    </w:lvl>
    <w:lvl w:ilvl="1">
      <w:lvlJc w:val="left"/>
      <w:lvlText w:val="(%2)"/>
      <w:numFmt w:val="upperLetter"/>
      <w:start w:val="1"/>
    </w:lvl>
  </w:abstractNum>
  <w:abstractNum w:abstractNumId="33">
    <w:nsid w:val="5C10FE21"/>
    <w:multiLevelType w:val="hybridMultilevel"/>
    <w:lvl w:ilvl="0">
      <w:lvlJc w:val="left"/>
      <w:lvlText w:val="(%1)"/>
      <w:numFmt w:val="lowerLetter"/>
      <w:start w:val="2"/>
    </w:lvl>
    <w:lvl w:ilvl="1">
      <w:lvlJc w:val="left"/>
      <w:lvlText w:val="(%2)"/>
      <w:numFmt w:val="lowerRoman"/>
      <w:start w:val="1"/>
    </w:lvl>
  </w:abstractNum>
  <w:abstractNum w:abstractNumId="34">
    <w:nsid w:val="E7FFA2B"/>
    <w:multiLevelType w:val="hybridMultilevel"/>
    <w:lvl w:ilvl="0">
      <w:lvlJc w:val="left"/>
      <w:lvlText w:val="(%1)"/>
      <w:numFmt w:val="lowerLetter"/>
      <w:start w:val="1"/>
    </w:lvl>
  </w:abstractNum>
  <w:abstractNum w:abstractNumId="35">
    <w:nsid w:val="3C5991AA"/>
    <w:multiLevelType w:val="hybridMultilevel"/>
    <w:lvl w:ilvl="0">
      <w:lvlJc w:val="left"/>
      <w:lvlText w:val="(%1)"/>
      <w:numFmt w:val="lowerLetter"/>
      <w:start w:val="2"/>
    </w:lvl>
  </w:abstractNum>
  <w:abstractNum w:abstractNumId="36">
    <w:nsid w:val="4BD8591A"/>
    <w:multiLevelType w:val="hybridMultilevel"/>
    <w:lvl w:ilvl="0">
      <w:lvlJc w:val="left"/>
      <w:lvlText w:val="(%1)"/>
      <w:numFmt w:val="lowerLetter"/>
      <w:start w:val="1"/>
    </w:lvl>
    <w:lvl w:ilvl="1">
      <w:lvlJc w:val="left"/>
      <w:lvlText w:val="(%2)"/>
      <w:numFmt w:val="lowerRoman"/>
      <w:start w:val="1"/>
    </w:lvl>
  </w:abstractNum>
  <w:abstractNum w:abstractNumId="37">
    <w:nsid w:val="78DF6A55"/>
    <w:multiLevelType w:val="hybridMultilevel"/>
    <w:lvl w:ilvl="0">
      <w:lvlJc w:val="left"/>
      <w:lvlText w:val="%1"/>
      <w:numFmt w:val="lowerLetter"/>
      <w:start w:val="1"/>
    </w:lvl>
    <w:lvl w:ilvl="1">
      <w:lvlJc w:val="left"/>
      <w:lvlText w:val="(%2)"/>
      <w:numFmt w:val="lowerLetter"/>
      <w:start w:val="61"/>
    </w:lvl>
  </w:abstractNum>
  <w:abstractNum w:abstractNumId="38">
    <w:nsid w:val="39B7AAA2"/>
    <w:multiLevelType w:val="hybridMultilevel"/>
    <w:lvl w:ilvl="0">
      <w:lvlJc w:val="left"/>
      <w:lvlText w:val="(%1)"/>
      <w:numFmt w:val="lowerLetter"/>
      <w:start w:val="3"/>
    </w:lvl>
    <w:lvl w:ilvl="1">
      <w:lvlJc w:val="left"/>
      <w:lvlText w:val="(%2)"/>
      <w:numFmt w:val="lowerLetter"/>
      <w:start w:val="9"/>
    </w:lvl>
  </w:abstractNum>
  <w:abstractNum w:abstractNumId="39">
    <w:nsid w:val="2B0D8DBE"/>
    <w:multiLevelType w:val="hybridMultilevel"/>
    <w:lvl w:ilvl="0">
      <w:lvlJc w:val="left"/>
      <w:lvlText w:val="(%1)"/>
      <w:numFmt w:val="lowerRoman"/>
      <w:start w:val="2"/>
    </w:lvl>
  </w:abstractNum>
  <w:abstractNum w:abstractNumId="40">
    <w:nsid w:val="6C80EC70"/>
    <w:multiLevelType w:val="hybridMultilevel"/>
    <w:lvl w:ilvl="0">
      <w:lvlJc w:val="left"/>
      <w:lvlText w:val="(%1)"/>
      <w:numFmt w:val="lowerLetter"/>
      <w:start w:val="1"/>
    </w:lvl>
  </w:abstractNum>
  <w:abstractNum w:abstractNumId="41">
    <w:nsid w:val="379E21B5"/>
    <w:multiLevelType w:val="hybridMultilevel"/>
    <w:lvl w:ilvl="0">
      <w:lvlJc w:val="left"/>
      <w:lvlText w:val="(%1)"/>
      <w:numFmt w:val="lowerLetter"/>
      <w:start w:val="1"/>
    </w:lvl>
  </w:abstractNum>
  <w:abstractNum w:abstractNumId="42">
    <w:nsid w:val="69E373"/>
    <w:multiLevelType w:val="hybridMultilevel"/>
    <w:lvl w:ilvl="0">
      <w:lvlJc w:val="left"/>
      <w:lvlText w:val="%1"/>
      <w:numFmt w:val="lowerLetter"/>
      <w:start w:val="1"/>
    </w:lvl>
    <w:lvl w:ilvl="1">
      <w:lvlJc w:val="left"/>
      <w:lvlText w:val="(%2)"/>
      <w:numFmt w:val="lowerRoman"/>
      <w:start w:val="2"/>
    </w:lvl>
  </w:abstractNum>
  <w:abstractNum w:abstractNumId="43">
    <w:nsid w:val="2C27173B"/>
    <w:multiLevelType w:val="hybridMultilevel"/>
    <w:lvl w:ilvl="0">
      <w:lvlJc w:val="left"/>
      <w:lvlText w:val="(%1)"/>
      <w:numFmt w:val="lowerLetter"/>
      <w:start w:val="2"/>
    </w:lvl>
    <w:lvl w:ilvl="1">
      <w:lvlJc w:val="left"/>
      <w:lvlText w:val="(%2)"/>
      <w:numFmt w:val="lowerRoman"/>
      <w:start w:val="1"/>
    </w:lvl>
  </w:abstractNum>
  <w:abstractNum w:abstractNumId="44">
    <w:nsid w:val="4C9B0904"/>
    <w:multiLevelType w:val="hybridMultilevel"/>
    <w:lvl w:ilvl="0">
      <w:lvlJc w:val="left"/>
      <w:lvlText w:val="(%1)"/>
      <w:numFmt w:val="lowerLetter"/>
      <w:start w:val="1"/>
    </w:lvl>
  </w:abstractNum>
  <w:abstractNum w:abstractNumId="45">
    <w:nsid w:val="6AA7B75C"/>
    <w:multiLevelType w:val="hybridMultilevel"/>
    <w:lvl w:ilvl="0">
      <w:lvlJc w:val="left"/>
      <w:lvlText w:val="(%1)"/>
      <w:numFmt w:val="lowerLetter"/>
      <w:start w:val="1"/>
    </w:lvl>
    <w:lvl w:ilvl="1">
      <w:lvlJc w:val="left"/>
      <w:lvlText w:val="(%2)"/>
      <w:numFmt w:val="lowerRoman"/>
      <w:start w:val="1"/>
    </w:lvl>
  </w:abstractNum>
  <w:abstractNum w:abstractNumId="46">
    <w:nsid w:val="1DF029D3"/>
    <w:multiLevelType w:val="hybridMultilevel"/>
    <w:lvl w:ilvl="0">
      <w:lvlJc w:val="left"/>
      <w:lvlText w:val="%1"/>
      <w:numFmt w:val="upperLetter"/>
      <w:start w:val="1"/>
    </w:lvl>
    <w:lvl w:ilvl="1">
      <w:lvlJc w:val="left"/>
      <w:lvlText w:val="(%2)"/>
      <w:numFmt w:val="decimal"/>
      <w:start w:val="1"/>
    </w:lvl>
  </w:abstractNum>
  <w:abstractNum w:abstractNumId="47">
    <w:nsid w:val="5675FF36"/>
    <w:multiLevelType w:val="hybridMultilevel"/>
    <w:lvl w:ilvl="0">
      <w:lvlJc w:val="left"/>
      <w:lvlText w:val="(%1)"/>
      <w:numFmt w:val="upperLetter"/>
      <w:start w:val="2"/>
    </w:lvl>
    <w:lvl w:ilvl="1">
      <w:lvlJc w:val="left"/>
      <w:lvlText w:val="%2"/>
      <w:numFmt w:val="decimal"/>
      <w:start w:val="1"/>
    </w:lvl>
  </w:abstractNum>
  <w:abstractNum w:abstractNumId="48">
    <w:nsid w:val="3DD150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9">
    <w:nsid w:val="3DB012B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
    <w:nsid w:val="2708C9A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1">
    <w:nsid w:val="5B25ACE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2">
    <w:nsid w:val="175DFCF0"/>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53">
    <w:nsid w:val="4F97E3E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4">
    <w:nsid w:val="53B0A9E"/>
    <w:multiLevelType w:val="hybridMultilevel"/>
    <w:lvl w:ilvl="0">
      <w:lvlJc w:val="left"/>
      <w:lvlText w:val="(%1)"/>
      <w:numFmt w:val="lowerLetter"/>
      <w:start w:val="1"/>
    </w:lvl>
  </w:abstractNum>
  <w:abstractNum w:abstractNumId="55">
    <w:nsid w:val="34FD6B4F"/>
    <w:multiLevelType w:val="hybridMultilevel"/>
    <w:lvl w:ilvl="0">
      <w:lvlJc w:val="left"/>
      <w:lvlText w:val="(%1)"/>
      <w:numFmt w:val="lowerLetter"/>
      <w:start w:val="1"/>
    </w:lvl>
    <w:lvl w:ilvl="1">
      <w:lvlJc w:val="left"/>
      <w:lvlText w:val="(%2)"/>
      <w:numFmt w:val="lowerRoman"/>
      <w:start w:val="1"/>
    </w:lvl>
  </w:abstractNum>
  <w:abstractNum w:abstractNumId="56">
    <w:nsid w:val="5915FF32"/>
    <w:multiLevelType w:val="hybridMultilevel"/>
    <w:lvl w:ilvl="0">
      <w:lvlJc w:val="left"/>
      <w:lvlText w:val="(%1)"/>
      <w:numFmt w:val="lowerLetter"/>
      <w:start w:val="2"/>
    </w:lvl>
    <w:lvl w:ilvl="1">
      <w:lvlJc w:val="left"/>
      <w:lvlText w:val="(%2)"/>
      <w:numFmt w:val="lowerRoman"/>
      <w:start w:val="1"/>
    </w:lvl>
  </w:abstractNum>
  <w:abstractNum w:abstractNumId="57">
    <w:nsid w:val="56438D15"/>
    <w:multiLevelType w:val="hybridMultilevel"/>
    <w:lvl w:ilvl="0">
      <w:lvlJc w:val="left"/>
      <w:lvlText w:val="(%1)"/>
      <w:numFmt w:val="lowerLetter"/>
      <w:start w:val="3"/>
    </w:lvl>
  </w:abstractNum>
  <w:abstractNum w:abstractNumId="58">
    <w:nsid w:val="519E3149"/>
    <w:multiLevelType w:val="hybridMultilevel"/>
    <w:lvl w:ilvl="0">
      <w:lvlJc w:val="left"/>
      <w:lvlText w:val="(%1)"/>
      <w:numFmt w:val="lowerRoman"/>
      <w:start w:val="2"/>
    </w:lvl>
  </w:abstractNum>
  <w:abstractNum w:abstractNumId="59">
    <w:nsid w:val="2C6E4AFD"/>
    <w:multiLevelType w:val="hybridMultilevel"/>
    <w:lvl w:ilvl="0">
      <w:lvlJc w:val="left"/>
      <w:lvlText w:val="(%1)"/>
      <w:numFmt w:val="lowerLetter"/>
      <w:start w:val="4"/>
    </w:lvl>
  </w:abstractNum>
  <w:abstractNum w:abstractNumId="60">
    <w:nsid w:val="17A1B582"/>
    <w:multiLevelType w:val="hybridMultilevel"/>
    <w:lvl w:ilvl="0">
      <w:lvlJc w:val="left"/>
      <w:lvlText w:val="(%1)"/>
      <w:numFmt w:val="lowerLetter"/>
      <w:start w:val="1"/>
    </w:lvl>
  </w:abstractNum>
  <w:abstractNum w:abstractNumId="61">
    <w:nsid w:val="4DF72E4E"/>
    <w:multiLevelType w:val="hybridMultilevel"/>
    <w:lvl w:ilvl="0">
      <w:lvlJc w:val="left"/>
      <w:lvlText w:val="(%1)"/>
      <w:numFmt w:val="lowerLetter"/>
      <w:start w:val="1"/>
    </w:lvl>
  </w:abstractNum>
  <w:abstractNum w:abstractNumId="62">
    <w:nsid w:val="5046B5A9"/>
    <w:multiLevelType w:val="hybridMultilevel"/>
    <w:lvl w:ilvl="0">
      <w:lvlJc w:val="left"/>
      <w:lvlText w:val="(%1)"/>
      <w:numFmt w:val="lowerLetter"/>
      <w:start w:val="2"/>
    </w:lvl>
  </w:abstractNum>
  <w:abstractNum w:abstractNumId="63">
    <w:nsid w:val="5D888A08"/>
    <w:multiLevelType w:val="hybridMultilevel"/>
    <w:lvl w:ilvl="0">
      <w:lvlJc w:val="left"/>
      <w:lvlText w:val="(%1)"/>
      <w:numFmt w:val="lowerLetter"/>
      <w:start w:val="1"/>
    </w:lvl>
  </w:abstractNum>
  <w:abstractNum w:abstractNumId="64">
    <w:nsid w:val="2A082C70"/>
    <w:multiLevelType w:val="hybridMultilevel"/>
    <w:lvl w:ilvl="0">
      <w:lvlJc w:val="left"/>
      <w:lvlText w:val="(%1)"/>
      <w:numFmt w:val="lowerLetter"/>
      <w:start w:val="1"/>
    </w:lvl>
  </w:abstractNum>
  <w:abstractNum w:abstractNumId="65">
    <w:nsid w:val="5EC6AFD4"/>
    <w:multiLevelType w:val="hybridMultilevel"/>
    <w:lvl w:ilvl="0">
      <w:lvlJc w:val="left"/>
      <w:lvlText w:val="(%1)"/>
      <w:numFmt w:val="lowerRoman"/>
      <w:start w:val="1"/>
    </w:lvl>
  </w:abstractNum>
  <w:abstractNum w:abstractNumId="66">
    <w:nsid w:val="19E21BB2"/>
    <w:multiLevelType w:val="hybridMultilevel"/>
    <w:lvl w:ilvl="0">
      <w:lvlJc w:val="left"/>
      <w:lvlText w:val="(%1)"/>
      <w:numFmt w:val="lowerLetter"/>
      <w:start w:val="2"/>
    </w:lvl>
  </w:abstractNum>
  <w:abstractNum w:abstractNumId="67">
    <w:nsid w:val="75E0858A"/>
    <w:multiLevelType w:val="hybridMultilevel"/>
    <w:lvl w:ilvl="0">
      <w:lvlJc w:val="left"/>
      <w:lvlText w:val="(%1)"/>
      <w:numFmt w:val="lowerLetter"/>
      <w:start w:val="1"/>
    </w:lvl>
    <w:lvl w:ilvl="1">
      <w:lvlJc w:val="left"/>
      <w:lvlText w:val="(%2)"/>
      <w:numFmt w:val="lowerRoman"/>
      <w:start w:val="1"/>
    </w:lvl>
  </w:abstractNum>
  <w:abstractNum w:abstractNumId="68">
    <w:nsid w:val="57A61A29"/>
    <w:multiLevelType w:val="hybridMultilevel"/>
    <w:lvl w:ilvl="0">
      <w:lvlJc w:val="left"/>
      <w:lvlText w:val="(%1)"/>
      <w:numFmt w:val="lowerLetter"/>
      <w:start w:val="1"/>
    </w:lvl>
  </w:abstractNum>
  <w:abstractNum w:abstractNumId="69">
    <w:nsid w:val="5399C654"/>
    <w:multiLevelType w:val="hybridMultilevel"/>
    <w:lvl w:ilvl="0">
      <w:lvlJc w:val="left"/>
      <w:lvlText w:val="(%1)"/>
      <w:numFmt w:val="lowerRoman"/>
      <w:start w:val="1"/>
    </w:lvl>
  </w:abstractNum>
  <w:abstractNum w:abstractNumId="70">
    <w:nsid w:val="20EE1348"/>
    <w:multiLevelType w:val="hybridMultilevel"/>
    <w:lvl w:ilvl="0">
      <w:lvlJc w:val="left"/>
      <w:lvlText w:val="(%1)"/>
      <w:numFmt w:val="lowerLetter"/>
      <w:start w:val="2"/>
    </w:lvl>
    <w:lvl w:ilvl="1">
      <w:lvlJc w:val="left"/>
      <w:lvlText w:val="(%2)"/>
      <w:numFmt w:val="lowerRoman"/>
      <w:start w:val="1"/>
    </w:lvl>
  </w:abstractNum>
  <w:abstractNum w:abstractNumId="71">
    <w:nsid w:val="4427069A"/>
    <w:multiLevelType w:val="hybridMultilevel"/>
    <w:lvl w:ilvl="0">
      <w:lvlJc w:val="left"/>
      <w:lvlText w:val="(%1)"/>
      <w:numFmt w:val="lowerLetter"/>
      <w:start w:val="3"/>
    </w:lvl>
    <w:lvl w:ilvl="1">
      <w:lvlJc w:val="left"/>
      <w:lvlText w:val="(%2)"/>
      <w:numFmt w:val="lowerRoman"/>
      <w:start w:val="1"/>
    </w:lvl>
  </w:abstractNum>
  <w:abstractNum w:abstractNumId="72">
    <w:nsid w:val="B37E80A"/>
    <w:multiLevelType w:val="hybridMultilevel"/>
    <w:lvl w:ilvl="0">
      <w:lvlJc w:val="left"/>
      <w:lvlText w:val="(%1)"/>
      <w:numFmt w:val="lowerRoman"/>
      <w:start w:val="3"/>
    </w:lvl>
  </w:abstractNum>
  <w:abstractNum w:abstractNumId="73">
    <w:nsid w:val="2157F6BC"/>
    <w:multiLevelType w:val="hybridMultilevel"/>
    <w:lvl w:ilvl="0">
      <w:lvlJc w:val="left"/>
      <w:lvlText w:val="(%1)"/>
      <w:numFmt w:val="lowerLetter"/>
      <w:start w:val="4"/>
    </w:lvl>
    <w:lvl w:ilvl="1">
      <w:lvlJc w:val="left"/>
      <w:lvlText w:val="(%2)"/>
      <w:numFmt w:val="lowerRoman"/>
      <w:start w:val="1"/>
    </w:lvl>
  </w:abstractNum>
  <w:abstractNum w:abstractNumId="74">
    <w:nsid w:val="704E1DD5"/>
    <w:multiLevelType w:val="hybridMultilevel"/>
    <w:lvl w:ilvl="0">
      <w:lvlJc w:val="left"/>
      <w:lvlText w:val="(%1)"/>
      <w:numFmt w:val="lowerLetter"/>
      <w:start w:val="5"/>
    </w:lvl>
    <w:lvl w:ilvl="1">
      <w:lvlJc w:val="left"/>
      <w:lvlText w:val="(%2)"/>
      <w:numFmt w:val="lowerRoman"/>
      <w:start w:val="1"/>
    </w:lvl>
  </w:abstractNum>
  <w:abstractNum w:abstractNumId="75">
    <w:nsid w:val="57D2F10E"/>
    <w:multiLevelType w:val="hybridMultilevel"/>
    <w:lvl w:ilvl="0">
      <w:lvlJc w:val="left"/>
      <w:lvlText w:val="(%1)"/>
      <w:numFmt w:val="lowerLetter"/>
      <w:start w:val="6"/>
    </w:lvl>
  </w:abstractNum>
  <w:abstractNum w:abstractNumId="76">
    <w:nsid w:val="BFFAE18"/>
    <w:multiLevelType w:val="hybridMultilevel"/>
    <w:lvl w:ilvl="0">
      <w:lvlJc w:val="left"/>
      <w:lvlText w:val="(%1)"/>
      <w:numFmt w:val="lowerLetter"/>
      <w:start w:val="1"/>
    </w:lvl>
    <w:lvl w:ilvl="1">
      <w:lvlJc w:val="left"/>
      <w:lvlText w:val="(%2)"/>
      <w:numFmt w:val="lowerRoman"/>
      <w:start w:val="1"/>
    </w:lvl>
  </w:abstractNum>
  <w:abstractNum w:abstractNumId="77">
    <w:nsid w:val="E3E47A8"/>
    <w:multiLevelType w:val="hybridMultilevel"/>
    <w:lvl w:ilvl="0">
      <w:lvlJc w:val="left"/>
      <w:lvlText w:val="(%1)"/>
      <w:numFmt w:val="lowerRoman"/>
      <w:start w:val="4"/>
    </w:lvl>
  </w:abstractNum>
  <w:abstractNum w:abstractNumId="78">
    <w:nsid w:val="2E48F044"/>
    <w:multiLevelType w:val="hybridMultilevel"/>
    <w:lvl w:ilvl="0">
      <w:lvlJc w:val="left"/>
      <w:lvlText w:val="(%1)"/>
      <w:numFmt w:val="lowerLetter"/>
      <w:start w:val="1"/>
    </w:lvl>
  </w:abstractNum>
  <w:abstractNum w:abstractNumId="79">
    <w:nsid w:val="49D0FEAC"/>
    <w:multiLevelType w:val="hybridMultilevel"/>
    <w:lvl w:ilvl="0">
      <w:lvlJc w:val="left"/>
      <w:lvlText w:val="(%1)"/>
      <w:numFmt w:val="lowerLetter"/>
      <w:start w:val="2"/>
    </w:lvl>
  </w:abstractNum>
  <w:abstractNum w:abstractNumId="80">
    <w:nsid w:val="4BEE5A5B"/>
    <w:multiLevelType w:val="hybridMultilevel"/>
    <w:lvl w:ilvl="0">
      <w:lvlJc w:val="left"/>
      <w:lvlText w:val="(%1)"/>
      <w:numFmt w:val="lowerLetter"/>
      <w:start w:val="1"/>
    </w:lvl>
  </w:abstractNum>
  <w:abstractNum w:abstractNumId="81">
    <w:nsid w:val="5551B9F3"/>
    <w:multiLevelType w:val="hybridMultilevel"/>
    <w:lvl w:ilvl="0">
      <w:lvlJc w:val="left"/>
      <w:lvlText w:val="(%1)"/>
      <w:numFmt w:val="lowerRoman"/>
      <w:start w:val="1"/>
    </w:lvl>
  </w:abstractNum>
  <w:abstractNum w:abstractNumId="82">
    <w:nsid w:val="24F6AB8E"/>
    <w:multiLevelType w:val="hybridMultilevel"/>
    <w:lvl w:ilvl="0">
      <w:lvlJc w:val="left"/>
      <w:lvlText w:val="(%1)"/>
      <w:numFmt w:val="lowerLetter"/>
      <w:start w:val="2"/>
    </w:lvl>
    <w:lvl w:ilvl="1">
      <w:lvlJc w:val="left"/>
      <w:lvlText w:val="(%2)"/>
      <w:numFmt w:val="lowerRoman"/>
      <w:start w:val="1"/>
    </w:lvl>
  </w:abstractNum>
  <w:abstractNum w:abstractNumId="83">
    <w:nsid w:val="634C574C"/>
    <w:multiLevelType w:val="hybridMultilevel"/>
    <w:lvl w:ilvl="0">
      <w:lvlJc w:val="left"/>
      <w:lvlText w:val="(%1)"/>
      <w:numFmt w:val="lowerLetter"/>
      <w:start w:val="1"/>
    </w:lvl>
  </w:abstractNum>
  <w:abstractNum w:abstractNumId="84">
    <w:nsid w:val="24E99DD7"/>
    <w:multiLevelType w:val="hybridMultilevel"/>
    <w:lvl w:ilvl="0">
      <w:lvlJc w:val="left"/>
      <w:lvlText w:val="(%1)"/>
      <w:numFmt w:val="lowerLetter"/>
      <w:start w:val="1"/>
    </w:lvl>
  </w:abstractNum>
  <w:abstractNum w:abstractNumId="85">
    <w:nsid w:val="2A31B62D"/>
    <w:multiLevelType w:val="hybridMultilevel"/>
    <w:lvl w:ilvl="0">
      <w:lvlJc w:val="left"/>
      <w:lvlText w:val="(%1)"/>
      <w:numFmt w:val="lowerRoman"/>
      <w:start w:val="1"/>
    </w:lvl>
  </w:abstractNum>
  <w:abstractNum w:abstractNumId="86">
    <w:nsid w:val="1849C29B"/>
    <w:multiLevelType w:val="hybridMultilevel"/>
    <w:lvl w:ilvl="0">
      <w:lvlJc w:val="left"/>
      <w:lvlText w:val="(%1)"/>
      <w:numFmt w:val="lowerRoman"/>
      <w:start w:val="2"/>
    </w:lvl>
  </w:abstractNum>
  <w:abstractNum w:abstractNumId="87">
    <w:nsid w:val="7DFF9D09"/>
    <w:multiLevelType w:val="hybridMultilevel"/>
    <w:lvl w:ilvl="0">
      <w:lvlJc w:val="left"/>
      <w:lvlText w:val="(%1)"/>
      <w:numFmt w:val="lowerRoman"/>
      <w:start w:val="3"/>
    </w:lvl>
  </w:abstractNum>
  <w:abstractNum w:abstractNumId="88">
    <w:nsid w:val="75434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89">
    <w:nsid w:val="69E7F3E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90">
    <w:nsid w:val="2A6DE80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1">
    <w:nsid w:val="1816F8C4"/>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92">
    <w:nsid w:val="37DF2233"/>
    <w:multiLevelType w:val="hybridMultilevel"/>
    <w:lvl w:ilvl="0">
      <w:lvlJc w:val="left"/>
      <w:lvlText w:val="%1"/>
      <w:numFmt w:val="lowerRoman"/>
      <w:start w:val="1"/>
    </w:lvl>
    <w:lvl w:ilvl="1">
      <w:lvlJc w:val="left"/>
      <w:lvlText w:val="(%2)"/>
      <w:numFmt w:val="lowerLetter"/>
      <w:start w:val="1"/>
    </w:lvl>
  </w:abstractNum>
  <w:abstractNum w:abstractNumId="93">
    <w:nsid w:val="7AB49DAF"/>
    <w:multiLevelType w:val="hybridMultilevel"/>
    <w:lvl w:ilvl="0">
      <w:lvlJc w:val="left"/>
      <w:lvlText w:val="(%1)"/>
      <w:numFmt w:val="lowerRoman"/>
      <w:start w:val="6"/>
    </w:lvl>
    <w:lvl w:ilvl="1">
      <w:lvlJc w:val="left"/>
      <w:lvlText w:val="(%2)"/>
      <w:numFmt w:val="lowerLetter"/>
      <w:start w:val="4"/>
    </w:lvl>
  </w:abstractNum>
  <w:abstractNum w:abstractNumId="94">
    <w:nsid w:val="759F82CD"/>
    <w:multiLevelType w:val="hybridMultilevel"/>
    <w:lvl w:ilvl="0">
      <w:lvlJc w:val="left"/>
      <w:lvlText w:val="(%1)"/>
      <w:numFmt w:val="lowerLetter"/>
      <w:start w:val="6"/>
    </w:lvl>
  </w:abstractNum>
  <w:abstractNum w:abstractNumId="95">
    <w:nsid w:val="61E74EA3"/>
    <w:multiLevelType w:val="hybridMultilevel"/>
    <w:lvl w:ilvl="0">
      <w:lvlJc w:val="left"/>
      <w:lvlText w:val="(%1)"/>
      <w:numFmt w:val="lowerLetter"/>
      <w:start w:val="7"/>
    </w:lvl>
  </w:abstractNum>
  <w:abstractNum w:abstractNumId="96">
    <w:nsid w:val="597B4D84"/>
    <w:multiLevelType w:val="hybridMultilevel"/>
    <w:lvl w:ilvl="0">
      <w:lvlJc w:val="left"/>
      <w:lvlText w:val="(%1)"/>
      <w:numFmt w:val="lowerLetter"/>
      <w:start w:val="1"/>
    </w:lvl>
  </w:abstractNum>
  <w:abstractNum w:abstractNumId="97">
    <w:nsid w:val="F819E7F"/>
    <w:multiLevelType w:val="hybridMultilevel"/>
    <w:lvl w:ilvl="0">
      <w:lvlJc w:val="left"/>
      <w:lvlText w:val="%1."/>
      <w:numFmt w:val="decimal"/>
      <w:start w:val="1"/>
    </w:lvl>
  </w:abstractNum>
  <w:abstractNum w:abstractNumId="98">
    <w:nsid w:val="57C7D42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99">
    <w:nsid w:val="312167A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00">
    <w:nsid w:val="631B64D4"/>
    <w:multiLevelType w:val="hybridMultilevel"/>
    <w:lvl w:ilvl="0">
      <w:lvlJc w:val="left"/>
      <w:lvlText w:val="(%1)"/>
      <w:numFmt w:val="lowerLetter"/>
      <w:start w:val="8"/>
    </w:lvl>
    <w:lvl w:ilvl="1">
      <w:lvlJc w:val="left"/>
      <w:lvlText w:val="%2"/>
      <w:numFmt w:val="lowerLetter"/>
      <w:start w:val="1"/>
    </w:lvl>
    <w:lvl w:ilvl="2">
      <w:lvlJc w:val="left"/>
      <w:lvlText w:val="%3"/>
      <w:numFmt w:val="decimal"/>
      <w:start w:val="1"/>
    </w:lvl>
  </w:abstractNum>
  <w:abstractNum w:abstractNumId="101">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lvl w:ilvl="5">
      <w:lvlJc w:val="left"/>
      <w:lvlText w:val="%6"/>
      <w:numFmt w:val="lowerLetter"/>
      <w:start w:val="1"/>
    </w:lvl>
    <w:lvl w:ilvl="6">
      <w:lvlJc w:val="left"/>
      <w:lvlText w:val="(%7)"/>
      <w:numFmt w:val="lowerLetter"/>
      <w:start w:val="9"/>
    </w:lvl>
  </w:abstractNum>
  <w:abstractNum w:abstractNumId="102">
    <w:nsid w:val="75486E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lvl w:ilvl="5">
      <w:lvlJc w:val="left"/>
      <w:lvlText w:val="(%6)"/>
      <w:numFmt w:val="lowerLetter"/>
      <w:start w:val="9"/>
    </w:lvl>
    <w:lvl w:ilvl="6">
      <w:lvlJc w:val="left"/>
      <w:lvlText w:val="%7"/>
      <w:numFmt w:val="lowerLetter"/>
      <w:start w:val="1"/>
    </w:lvl>
  </w:abstractNum>
  <w:abstractNum w:abstractNumId="103">
    <w:nsid w:val="6E534C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2"/>
    </w:lvl>
    <w:lvl w:ilvl="5">
      <w:lvlJc w:val="left"/>
      <w:lvlText w:val="(%6)"/>
      <w:numFmt w:val="lowerLetter"/>
      <w:start w:val="61"/>
    </w:lvl>
    <w:lvl w:ilvl="6">
      <w:lvlJc w:val="left"/>
      <w:lvlText w:val="%7"/>
      <w:numFmt w:val="lowerLetter"/>
      <w:start w:val="1"/>
    </w:lvl>
  </w:abstractNum>
  <w:abstractNum w:abstractNumId="104">
    <w:nsid w:val="1A0DDE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lvl w:ilvl="3">
      <w:lvlJc w:val="left"/>
      <w:lvlText w:val="%4"/>
      <w:numFmt w:val="lowerLetter"/>
      <w:start w:val="1"/>
    </w:lvl>
    <w:lvl w:ilvl="4">
      <w:lvlJc w:val="left"/>
      <w:lvlText w:val="%5"/>
      <w:numFmt w:val="lowerRoman"/>
      <w:start w:val="1"/>
    </w:lvl>
    <w:lvl w:ilvl="5">
      <w:lvlJc w:val="left"/>
      <w:lvlText w:val="%6"/>
      <w:numFmt w:val="lowerLetter"/>
      <w:start w:val="1"/>
    </w:lvl>
    <w:lvl w:ilvl="6">
      <w:lvlJc w:val="left"/>
      <w:lvlText w:val="%7"/>
      <w:numFmt w:val="lowerLetter"/>
      <w:start w:val="1"/>
    </w:lvl>
  </w:abstractNum>
  <w:abstractNum w:abstractNumId="105">
    <w:nsid w:val="65968C1C"/>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5"/>
    </w:lvl>
    <w:lvl w:ilvl="3">
      <w:lvlJc w:val="left"/>
      <w:lvlText w:val="%4"/>
      <w:numFmt w:val="lowerLetter"/>
      <w:start w:val="1"/>
    </w:lvl>
    <w:lvl w:ilvl="4">
      <w:lvlJc w:val="left"/>
      <w:lvlText w:val="%5"/>
      <w:numFmt w:val="lowerRoman"/>
      <w:start w:val="1"/>
    </w:lvl>
    <w:lvl w:ilvl="5">
      <w:lvlJc w:val="left"/>
      <w:lvlText w:val="%6"/>
      <w:numFmt w:val="lowerLetter"/>
      <w:start w:val="1"/>
    </w:lvl>
    <w:lvl w:ilvl="6">
      <w:lvlJc w:val="left"/>
      <w:lvlText w:val="%7"/>
      <w:numFmt w:val="lowerLetter"/>
      <w:start w:val="1"/>
    </w:lvl>
  </w:abstractNum>
  <w:abstractNum w:abstractNumId="106">
    <w:nsid w:val="46263DE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9"/>
    </w:lvl>
    <w:lvl w:ilvl="4">
      <w:lvlJc w:val="left"/>
      <w:lvlText w:val="%5"/>
      <w:numFmt w:val="lowerRoman"/>
      <w:start w:val="1"/>
    </w:lvl>
    <w:lvl w:ilvl="5">
      <w:lvlJc w:val="left"/>
      <w:lvlText w:val="%6"/>
      <w:numFmt w:val="lowerLetter"/>
      <w:start w:val="1"/>
    </w:lvl>
    <w:lvl w:ilvl="6">
      <w:lvlJc w:val="left"/>
      <w:lvlText w:val="%7"/>
      <w:numFmt w:val="lowerLetter"/>
      <w:start w:val="1"/>
    </w:lvl>
  </w:abstractNum>
  <w:abstractNum w:abstractNumId="107">
    <w:nsid w:val="260D8C4A"/>
    <w:multiLevelType w:val="hybridMultilevel"/>
    <w:lvl w:ilvl="0">
      <w:lvlJc w:val="left"/>
      <w:lvlText w:val="(%1)"/>
      <w:numFmt w:val="lowerRoman"/>
      <w:start w:val="2"/>
    </w:lvl>
  </w:abstractNum>
  <w:abstractNum w:abstractNumId="108">
    <w:nsid w:val="73D4D3C4"/>
    <w:multiLevelType w:val="hybridMultilevel"/>
    <w:lvl w:ilvl="0">
      <w:lvlJc w:val="left"/>
      <w:lvlText w:val="(%1)"/>
      <w:numFmt w:val="lowerRoman"/>
      <w:start w:val="3"/>
    </w:lvl>
    <w:lvl w:ilvl="1">
      <w:lvlJc w:val="left"/>
      <w:lvlText w:val="(%2)"/>
      <w:numFmt w:val="lowerRoman"/>
      <w:start w:val="6"/>
    </w:lvl>
  </w:abstractNum>
  <w:abstractNum w:abstractNumId="109">
    <w:nsid w:val="746F2E30"/>
    <w:multiLevelType w:val="hybridMultilevel"/>
    <w:lvl w:ilvl="0">
      <w:lvlJc w:val="left"/>
      <w:lvlText w:val="(%1)"/>
      <w:numFmt w:val="lowerRoman"/>
      <w:start w:val="8"/>
    </w:lvl>
    <w:lvl w:ilvl="1">
      <w:lvlJc w:val="left"/>
      <w:lvlText w:val="(%2)"/>
      <w:numFmt w:val="lowerRoman"/>
      <w:start w:val="11"/>
    </w:lvl>
    <w:lvl w:ilvl="2">
      <w:lvlJc w:val="left"/>
      <w:lvlText w:val="(%3)"/>
      <w:numFmt w:val="upperLetter"/>
      <w:start w:val="1"/>
    </w:lvl>
  </w:abstractNum>
  <w:abstractNum w:abstractNumId="110">
    <w:nsid w:val="6FDE8AF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2"/>
    </w:lvl>
  </w:abstractNum>
  <w:abstractNum w:abstractNumId="111">
    <w:nsid w:val="3FC32E20"/>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lvl w:ilvl="3">
      <w:lvlJc w:val="left"/>
      <w:lvlText w:val="%4"/>
      <w:numFmt w:val="upperLetter"/>
      <w:start w:val="1"/>
    </w:lvl>
  </w:abstractNum>
  <w:abstractNum w:abstractNumId="112">
    <w:nsid w:val="49C0E8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3">
    <w:nsid w:val="14D5368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4">
    <w:nsid w:val="230F856C"/>
    <w:multiLevelType w:val="hybridMultilevel"/>
    <w:lvl w:ilvl="0">
      <w:lvlJc w:val="left"/>
      <w:lvlText w:val="%1."/>
      <w:numFmt w:val="decimal"/>
      <w:start w:val="7"/>
    </w:lvl>
  </w:abstractNum>
  <w:abstractNum w:abstractNumId="115">
    <w:nsid w:val="6EAA85FB"/>
    <w:multiLevelType w:val="hybridMultilevel"/>
    <w:lvl w:ilvl="0">
      <w:lvlJc w:val="left"/>
      <w:lvlText w:val="%1."/>
      <w:numFmt w:val="decimal"/>
      <w:start w:val="8"/>
    </w:lvl>
  </w:abstractNum>
  <w:abstractNum w:abstractNumId="116">
    <w:nsid w:val="3F06ECB2"/>
    <w:multiLevelType w:val="hybridMultilevel"/>
    <w:lvl w:ilvl="0">
      <w:lvlJc w:val="left"/>
      <w:lvlText w:val="1"/>
      <w:numFmt w:val="bullet"/>
      <w:start w:val="1"/>
    </w:lvl>
  </w:abstractNum>
  <w:abstractNum w:abstractNumId="117">
    <w:nsid w:val="3B594807"/>
    <w:multiLevelType w:val="hybridMultilevel"/>
    <w:lvl w:ilvl="0">
      <w:lvlJc w:val="left"/>
      <w:lvlText w:val="%1."/>
      <w:numFmt w:val="decimal"/>
      <w:start w:val="1"/>
    </w:lvl>
    <w:lvl w:ilvl="1">
      <w:lvlJc w:val="left"/>
      <w:lvlText w:val="(%2)"/>
      <w:numFmt w:val="lowerLetter"/>
      <w:start w:val="1"/>
    </w:lvl>
  </w:abstractNum>
  <w:abstractNum w:abstractNumId="118">
    <w:nsid w:val="6CAA230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119">
    <w:nsid w:val="3F7C2FF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0">
    <w:nsid w:val="25413BEC"/>
    <w:multiLevelType w:val="hybridMultilevel"/>
    <w:lvl w:ilvl="0">
      <w:lvlJc w:val="left"/>
      <w:lvlText w:val="(%1)"/>
      <w:numFmt w:val="upperLetter"/>
      <w:start w:val="2"/>
    </w:lvl>
    <w:lvl w:ilvl="1">
      <w:lvlJc w:val="left"/>
      <w:lvlText w:val="(%2)"/>
      <w:numFmt w:val="decimal"/>
      <w:start w:val="1"/>
    </w:lvl>
  </w:abstractNum>
  <w:abstractNum w:abstractNumId="121">
    <w:nsid w:val="17180B0B"/>
    <w:multiLevelType w:val="hybridMultilevel"/>
    <w:lvl w:ilvl="0">
      <w:lvlJc w:val="left"/>
      <w:lvlText w:val="(%1)"/>
      <w:numFmt w:val="upperLetter"/>
      <w:start w:val="3"/>
    </w:lvl>
    <w:lvl w:ilvl="1">
      <w:lvlJc w:val="left"/>
      <w:lvlText w:val="(%2)"/>
      <w:numFmt w:val="decimal"/>
      <w:start w:val="1"/>
    </w:lvl>
  </w:abstractNum>
  <w:abstractNum w:abstractNumId="122">
    <w:nsid w:val="579328B9"/>
    <w:multiLevelType w:val="hybridMultilevel"/>
    <w:lvl w:ilvl="0">
      <w:lvlJc w:val="left"/>
      <w:lvlText w:val="%1"/>
      <w:numFmt w:val="lowerLetter"/>
      <w:start w:val="1"/>
    </w:lvl>
    <w:lvl w:ilvl="1">
      <w:lvlJc w:val="left"/>
      <w:lvlText w:val="(%2)"/>
      <w:numFmt w:val="lowerLetter"/>
      <w:start w:val="35"/>
    </w:lvl>
  </w:abstractNum>
  <w:abstractNum w:abstractNumId="123">
    <w:nsid w:val="5D205E20"/>
    <w:multiLevelType w:val="hybridMultilevel"/>
    <w:lvl w:ilvl="0">
      <w:lvlJc w:val="left"/>
      <w:lvlText w:val="(%1)"/>
      <w:numFmt w:val="lowerLetter"/>
      <w:start w:val="7"/>
    </w:lvl>
    <w:lvl w:ilvl="1">
      <w:lvlJc w:val="left"/>
      <w:lvlText w:val="%2"/>
      <w:numFmt w:val="lowerLetter"/>
      <w:start w:val="1"/>
    </w:lvl>
  </w:abstractNum>
  <w:abstractNum w:abstractNumId="124">
    <w:nsid w:val="11CCA8BA"/>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25">
    <w:nsid w:val="4D32AB8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126">
    <w:nsid w:val="3F07ACC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27">
    <w:nsid w:val="6B47F63E"/>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128">
    <w:nsid w:val="5CB44A05"/>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129">
    <w:nsid w:val="16CF80F1"/>
    <w:multiLevelType w:val="hybridMultilevel"/>
    <w:lvl w:ilvl="0">
      <w:lvlJc w:val="left"/>
      <w:lvlText w:val="(%1)"/>
      <w:numFmt w:val="upperLetter"/>
      <w:start w:val="2"/>
    </w:lvl>
  </w:abstractNum>
  <w:abstractNum w:abstractNumId="130">
    <w:nsid w:val="1C695DEC"/>
    <w:multiLevelType w:val="hybridMultilevel"/>
    <w:lvl w:ilvl="0">
      <w:lvlJc w:val="left"/>
      <w:lvlText w:val="(%1)"/>
      <w:numFmt w:val="lowerLetter"/>
      <w:start w:val="20"/>
    </w:lvl>
    <w:lvl w:ilvl="1">
      <w:lvlJc w:val="left"/>
      <w:lvlText w:val="(%2)"/>
      <w:numFmt w:val="lowerRoman"/>
      <w:start w:val="1"/>
    </w:lvl>
  </w:abstractNum>
  <w:abstractNum w:abstractNumId="131">
    <w:nsid w:val="3FCFAED9"/>
    <w:multiLevelType w:val="hybridMultilevel"/>
    <w:lvl w:ilvl="0">
      <w:lvlJc w:val="left"/>
      <w:lvlText w:val="(%1)"/>
      <w:numFmt w:val="lowerLetter"/>
      <w:start w:val="25"/>
    </w:lvl>
    <w:lvl w:ilvl="1">
      <w:lvlJc w:val="left"/>
      <w:lvlText w:val="(%2)"/>
      <w:numFmt w:val="lowerRoman"/>
      <w:start w:val="1"/>
    </w:lvl>
  </w:abstractNum>
  <w:abstractNum w:abstractNumId="132">
    <w:nsid w:val="F856867"/>
    <w:multiLevelType w:val="hybridMultilevel"/>
    <w:lvl w:ilvl="0">
      <w:lvlJc w:val="left"/>
      <w:lvlText w:val="(%1)"/>
      <w:numFmt w:val="lowerLetter"/>
      <w:start w:val="27"/>
    </w:lvl>
  </w:abstractNum>
  <w:abstractNum w:abstractNumId="133">
    <w:nsid w:val="11B1CC33"/>
    <w:multiLevelType w:val="hybridMultilevel"/>
    <w:lvl w:ilvl="0">
      <w:lvlJc w:val="left"/>
      <w:lvlText w:val="(%1)"/>
      <w:numFmt w:val="lowerLetter"/>
      <w:start w:val="32"/>
    </w:lvl>
    <w:lvl w:ilvl="1">
      <w:lvlJc w:val="left"/>
      <w:lvlText w:val="(%2)"/>
      <w:numFmt w:val="lowerRoman"/>
      <w:start w:val="1"/>
    </w:lvl>
    <w:lvl w:ilvl="2">
      <w:lvlJc w:val="left"/>
      <w:lvlText w:val="(%3)"/>
      <w:numFmt w:val="upperLetter"/>
      <w:start w:val="1"/>
    </w:lvl>
  </w:abstractNum>
  <w:abstractNum w:abstractNumId="134">
    <w:nsid w:val="2E22FBB7"/>
    <w:multiLevelType w:val="hybridMultilevel"/>
    <w:lvl w:ilvl="0">
      <w:lvlJc w:val="left"/>
      <w:lvlText w:val="(%1)"/>
      <w:numFmt w:val="lowerLetter"/>
      <w:start w:val="33"/>
    </w:lvl>
    <w:lvl w:ilvl="1">
      <w:lvlJc w:val="left"/>
      <w:lvlText w:val="(%2)"/>
      <w:numFmt w:val="lowerRoman"/>
      <w:start w:val="1"/>
    </w:lvl>
  </w:abstractNum>
  <w:abstractNum w:abstractNumId="135">
    <w:nsid w:val="29934699"/>
    <w:multiLevelType w:val="hybridMultilevel"/>
    <w:lvl w:ilvl="0">
      <w:lvlJc w:val="left"/>
      <w:lvlText w:val="(%1)"/>
      <w:numFmt w:val="lowerRoman"/>
      <w:start w:val="2"/>
    </w:lvl>
  </w:abstractNum>
  <w:abstractNum w:abstractNumId="136">
    <w:nsid w:val="77485850"/>
    <w:multiLevelType w:val="hybridMultilevel"/>
    <w:lvl w:ilvl="0">
      <w:lvlJc w:val="left"/>
      <w:lvlText w:val="(%1)"/>
      <w:numFmt w:val="lowerLetter"/>
      <w:start w:val="36"/>
    </w:lvl>
    <w:lvl w:ilvl="1">
      <w:lvlJc w:val="left"/>
      <w:lvlText w:val="(%2)"/>
      <w:numFmt w:val="lowerLetter"/>
      <w:start w:val="9"/>
    </w:lvl>
  </w:abstractNum>
  <w:abstractNum w:abstractNumId="137">
    <w:nsid w:val="744939A3"/>
    <w:multiLevelType w:val="hybridMultilevel"/>
    <w:lvl w:ilvl="0">
      <w:lvlJc w:val="left"/>
      <w:lvlText w:val="%1"/>
      <w:numFmt w:val="lowerRoman"/>
      <w:start w:val="1"/>
    </w:lvl>
    <w:lvl w:ilvl="1">
      <w:lvlJc w:val="left"/>
      <w:lvlText w:val="(%2)"/>
      <w:numFmt w:val="upperLetter"/>
      <w:start w:val="1"/>
    </w:lvl>
  </w:abstractNum>
  <w:abstractNum w:abstractNumId="138">
    <w:nsid w:val="4FA0D2E3"/>
    <w:multiLevelType w:val="hybridMultilevel"/>
    <w:lvl w:ilvl="0">
      <w:lvlJc w:val="left"/>
      <w:lvlText w:val="(%1)"/>
      <w:numFmt w:val="lowerRoman"/>
      <w:start w:val="2"/>
    </w:lvl>
    <w:lvl w:ilvl="1">
      <w:lvlJc w:val="left"/>
      <w:lvlText w:val="(%2)"/>
      <w:numFmt w:val="upperLetter"/>
      <w:start w:val="1"/>
    </w:lvl>
  </w:abstractNum>
  <w:abstractNum w:abstractNumId="139">
    <w:nsid w:val="6B1D2C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40">
    <w:nsid w:val="68B867D3"/>
    <w:multiLevelType w:val="hybridMultilevel"/>
    <w:lvl w:ilvl="0">
      <w:lvlJc w:val="left"/>
      <w:lvlText w:val="(%1)"/>
      <w:numFmt w:val="lowerLetter"/>
      <w:start w:val="38"/>
    </w:lvl>
    <w:lvl w:ilvl="1">
      <w:lvlJc w:val="left"/>
      <w:lvlText w:val="(%2)"/>
      <w:numFmt w:val="lowerRoman"/>
      <w:start w:val="1"/>
    </w:lvl>
    <w:lvl w:ilvl="2">
      <w:lvlJc w:val="left"/>
      <w:lvlText w:val="%3"/>
      <w:numFmt w:val="upperLetter"/>
      <w:start w:val="1"/>
    </w:lvl>
  </w:abstractNum>
  <w:abstractNum w:abstractNumId="141">
    <w:nsid w:val="3F7F5DD9"/>
    <w:multiLevelType w:val="hybridMultilevel"/>
    <w:lvl w:ilvl="0">
      <w:lvlJc w:val="left"/>
      <w:lvlText w:val="(%1)"/>
      <w:numFmt w:val="upperLetter"/>
      <w:start w:val="1"/>
    </w:lvl>
    <w:lvl w:ilvl="1">
      <w:lvlJc w:val="left"/>
      <w:lvlText w:val="(%2)"/>
      <w:numFmt w:val="decimal"/>
      <w:start w:val="1"/>
    </w:lvl>
  </w:abstractNum>
  <w:abstractNum w:abstractNumId="142">
    <w:nsid w:val="2AE05A34"/>
    <w:multiLevelType w:val="hybridMultilevel"/>
    <w:lvl w:ilvl="0">
      <w:lvlJc w:val="left"/>
      <w:lvlText w:val="(%1)"/>
      <w:numFmt w:val="lowerLetter"/>
      <w:start w:val="41"/>
    </w:lvl>
  </w:abstractNum>
  <w:abstractNum w:abstractNumId="143">
    <w:nsid w:val="32794FF7"/>
    <w:multiLevelType w:val="hybridMultilevel"/>
    <w:lvl w:ilvl="0">
      <w:lvlJc w:val="left"/>
      <w:lvlText w:val="(%1)"/>
      <w:numFmt w:val="lowerLetter"/>
      <w:start w:val="42"/>
    </w:lvl>
  </w:abstractNum>
  <w:abstractNum w:abstractNumId="144">
    <w:nsid w:val="5454945E"/>
    <w:multiLevelType w:val="hybridMultilevel"/>
    <w:lvl w:ilvl="0">
      <w:lvlJc w:val="left"/>
      <w:lvlText w:val="(%1)"/>
      <w:numFmt w:val="lowerLetter"/>
      <w:start w:val="53"/>
    </w:lvl>
  </w:abstractNum>
  <w:abstractNum w:abstractNumId="145">
    <w:nsid w:val="4DEFDFA0"/>
    <w:multiLevelType w:val="hybridMultilevel"/>
    <w:lvl w:ilvl="0">
      <w:lvlJc w:val="left"/>
      <w:lvlText w:val="%1"/>
      <w:numFmt w:val="decimal"/>
      <w:start w:val="1"/>
    </w:lvl>
    <w:lvl w:ilvl="1">
      <w:lvlJc w:val="left"/>
      <w:lvlText w:val="(%2)"/>
      <w:numFmt w:val="lowerLetter"/>
      <w:start w:val="55"/>
    </w:lvl>
  </w:abstractNum>
  <w:abstractNum w:abstractNumId="146">
    <w:nsid w:val="2123D5F2"/>
    <w:multiLevelType w:val="hybridMultilevel"/>
    <w:lvl w:ilvl="0">
      <w:lvlJc w:val="left"/>
      <w:lvlText w:val="%1."/>
      <w:numFmt w:val="decimal"/>
      <w:start w:val="3"/>
    </w:lvl>
    <w:lvl w:ilvl="1">
      <w:lvlJc w:val="left"/>
      <w:lvlText w:val="(%2)"/>
      <w:numFmt w:val="lowerLetter"/>
      <w:start w:val="1"/>
    </w:lvl>
  </w:abstractNum>
  <w:abstractNum w:abstractNumId="147">
    <w:nsid w:val="135B8110"/>
    <w:multiLevelType w:val="hybridMultilevel"/>
    <w:lvl w:ilvl="0">
      <w:lvlJc w:val="left"/>
      <w:lvlText w:val="%1"/>
      <w:numFmt w:val="decimal"/>
      <w:start w:val="1"/>
    </w:lvl>
    <w:lvl w:ilvl="1">
      <w:lvlJc w:val="left"/>
      <w:lvlText w:val="(%2)"/>
      <w:numFmt w:val="lowerLetter"/>
      <w:start w:val="2"/>
    </w:lvl>
  </w:abstractNum>
  <w:abstractNum w:abstractNumId="148">
    <w:nsid w:val="94927A8"/>
    <w:multiLevelType w:val="hybridMultilevel"/>
    <w:lvl w:ilvl="0">
      <w:lvlJc w:val="left"/>
      <w:lvlText w:val="%1."/>
      <w:numFmt w:val="decimal"/>
      <w:start w:val="4"/>
    </w:lvl>
    <w:lvl w:ilvl="1">
      <w:lvlJc w:val="left"/>
      <w:lvlText w:val="(%2)"/>
      <w:numFmt w:val="lowerLetter"/>
      <w:start w:val="1"/>
    </w:lvl>
  </w:abstractNum>
  <w:abstractNum w:abstractNumId="149">
    <w:nsid w:val="DCDF8F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50">
    <w:nsid w:val="52D7B1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1">
    <w:nsid w:val="2E8A6394"/>
    <w:multiLevelType w:val="hybridMultilevel"/>
    <w:lvl w:ilvl="0">
      <w:lvlJc w:val="left"/>
      <w:lvlText w:val="(%1)"/>
      <w:numFmt w:val="lowerLetter"/>
      <w:start w:val="1"/>
    </w:lvl>
  </w:abstractNum>
  <w:abstractNum w:abstractNumId="152">
    <w:nsid w:val="24E60401"/>
    <w:multiLevelType w:val="hybridMultilevel"/>
    <w:lvl w:ilvl="0">
      <w:lvlJc w:val="left"/>
      <w:lvlText w:val="%1"/>
      <w:numFmt w:val="decimal"/>
      <w:start w:val="1"/>
    </w:lvl>
    <w:lvl w:ilvl="1">
      <w:lvlJc w:val="left"/>
      <w:lvlText w:val="(%2)"/>
      <w:numFmt w:val="lowerLetter"/>
      <w:start w:val="8"/>
    </w:lvl>
  </w:abstractNum>
  <w:abstractNum w:abstractNumId="153">
    <w:nsid w:val="2A6AD9BE"/>
    <w:multiLevelType w:val="hybridMultilevel"/>
    <w:lvl w:ilvl="0">
      <w:lvlJc w:val="left"/>
      <w:lvlText w:val="%1."/>
      <w:numFmt w:val="decimal"/>
      <w:start w:val="8"/>
    </w:lvl>
    <w:lvl w:ilvl="1">
      <w:lvlJc w:val="left"/>
      <w:lvlText w:val="%2"/>
      <w:numFmt w:val="lowerLetter"/>
      <w:start w:val="1"/>
    </w:lvl>
  </w:abstractNum>
  <w:abstractNum w:abstractNumId="154">
    <w:nsid w:val="BAAC1B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36B2ACB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56">
    <w:nsid w:val="779D854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57">
    <w:nsid w:val="4AB26E78"/>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58">
    <w:nsid w:val="21FAA2F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9">
    <w:nsid w:val="5451CF4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0">
    <w:nsid w:val="6181EF69"/>
    <w:multiLevelType w:val="hybridMultilevel"/>
    <w:lvl w:ilvl="0">
      <w:lvlJc w:val="left"/>
      <w:lvlText w:val="(%1)"/>
      <w:numFmt w:val="lowerRoman"/>
      <w:start w:val="2"/>
    </w:lvl>
  </w:abstractNum>
  <w:abstractNum w:abstractNumId="161">
    <w:nsid w:val="3E6400E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62">
    <w:nsid w:val="14217E23"/>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163">
    <w:nsid w:val="710757D0"/>
    <w:multiLevelType w:val="hybridMultilevel"/>
    <w:lvl w:ilvl="0">
      <w:lvlJc w:val="left"/>
      <w:lvlText w:val="(%1)"/>
      <w:numFmt w:val="lowerRoman"/>
      <w:start w:val="2"/>
    </w:lvl>
  </w:abstractNum>
  <w:abstractNum w:abstractNumId="164">
    <w:nsid w:val="5015CD1A"/>
    <w:multiLevelType w:val="hybridMultilevel"/>
    <w:lvl w:ilvl="0">
      <w:lvlJc w:val="left"/>
      <w:lvlText w:val="(%1)"/>
      <w:numFmt w:val="lowerLetter"/>
      <w:start w:val="6"/>
    </w:lvl>
    <w:lvl w:ilvl="1">
      <w:lvlJc w:val="left"/>
      <w:lvlText w:val="(%2)"/>
      <w:numFmt w:val="lowerRoman"/>
      <w:start w:val="1"/>
    </w:lvl>
  </w:abstractNum>
  <w:abstractNum w:abstractNumId="165">
    <w:nsid w:val="424479DA"/>
    <w:multiLevelType w:val="hybridMultilevel"/>
    <w:lvl w:ilvl="0">
      <w:lvlJc w:val="left"/>
      <w:lvlText w:val="%1"/>
      <w:numFmt w:val="lowerLetter"/>
      <w:start w:val="1"/>
    </w:lvl>
    <w:lvl w:ilvl="1">
      <w:lvlJc w:val="left"/>
      <w:lvlText w:val="(%2)"/>
      <w:numFmt w:val="lowerRoman"/>
      <w:start w:val="7"/>
    </w:lvl>
  </w:abstractNum>
  <w:abstractNum w:abstractNumId="166">
    <w:nsid w:val="1A9A9E69"/>
    <w:multiLevelType w:val="hybridMultilevel"/>
    <w:lvl w:ilvl="0">
      <w:lvlJc w:val="left"/>
      <w:lvlText w:val="(%1)"/>
      <w:numFmt w:val="lowerLetter"/>
      <w:start w:val="8"/>
    </w:lvl>
    <w:lvl w:ilvl="1">
      <w:lvlJc w:val="left"/>
      <w:lvlText w:val="(%2)"/>
      <w:numFmt w:val="lowerRoman"/>
      <w:start w:val="1"/>
    </w:lvl>
  </w:abstractNum>
  <w:abstractNum w:abstractNumId="167">
    <w:nsid w:val="475E256A"/>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68">
    <w:nsid w:val="368DB37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4"/>
    </w:lvl>
  </w:abstractNum>
  <w:abstractNum w:abstractNumId="169">
    <w:nsid w:val="6A3B714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lvl w:ilvl="3">
      <w:lvlJc w:val="left"/>
      <w:lvlText w:val="%4"/>
      <w:numFmt w:val="upperLetter"/>
      <w:start w:val="1"/>
    </w:lvl>
  </w:abstractNum>
  <w:abstractNum w:abstractNumId="170">
    <w:nsid w:val="327B517E"/>
    <w:multiLevelType w:val="hybridMultilevel"/>
    <w:lvl w:ilvl="0">
      <w:lvlJc w:val="left"/>
      <w:lvlText w:val="(%1)"/>
      <w:numFmt w:val="lowerLetter"/>
      <w:start w:val="11"/>
    </w:lvl>
    <w:lvl w:ilvl="1">
      <w:lvlJc w:val="left"/>
      <w:lvlText w:val="(%2)"/>
      <w:numFmt w:val="lowerLetter"/>
      <w:start w:val="9"/>
    </w:lvl>
    <w:lvl w:ilvl="2">
      <w:lvlJc w:val="left"/>
      <w:lvlText w:val="%3"/>
      <w:numFmt w:val="lowerLetter"/>
      <w:start w:val="1"/>
    </w:lvl>
    <w:lvl w:ilvl="3">
      <w:lvlJc w:val="left"/>
      <w:lvlText w:val="%4"/>
      <w:numFmt w:val="upperLetter"/>
      <w:start w:val="1"/>
    </w:lvl>
  </w:abstractNum>
  <w:abstractNum w:abstractNumId="171">
    <w:nsid w:val="1F461B51"/>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lvl w:ilvl="3">
      <w:lvlJc w:val="left"/>
      <w:lvlText w:val="%4"/>
      <w:numFmt w:val="upperLetter"/>
      <w:start w:val="1"/>
    </w:lvl>
  </w:abstractNum>
  <w:abstractNum w:abstractNumId="172">
    <w:nsid w:val="29BACF25"/>
    <w:multiLevelType w:val="hybridMultilevel"/>
    <w:lvl w:ilvl="0">
      <w:lvlJc w:val="left"/>
      <w:lvlText w:val="%1"/>
      <w:numFmt w:val="lowerLetter"/>
      <w:start w:val="1"/>
    </w:lvl>
    <w:lvl w:ilvl="1">
      <w:lvlJc w:val="left"/>
      <w:lvlText w:val="(%2)"/>
      <w:numFmt w:val="lowerRoman"/>
      <w:start w:val="3"/>
    </w:lvl>
  </w:abstractNum>
  <w:abstractNum w:abstractNumId="173">
    <w:nsid w:val="5D5BABB3"/>
    <w:multiLevelType w:val="hybridMultilevel"/>
    <w:lvl w:ilvl="0">
      <w:lvlJc w:val="left"/>
      <w:lvlText w:val="(%1)"/>
      <w:numFmt w:val="lowerLetter"/>
      <w:start w:val="12"/>
    </w:lvl>
    <w:lvl w:ilvl="1">
      <w:lvlJc w:val="left"/>
      <w:lvlText w:val="%2"/>
      <w:numFmt w:val="lowerRoman"/>
      <w:start w:val="1"/>
    </w:lvl>
  </w:abstractNum>
  <w:abstractNum w:abstractNumId="174">
    <w:nsid w:val="51BF6B48"/>
    <w:multiLevelType w:val="hybridMultilevel"/>
    <w:lvl w:ilvl="0">
      <w:lvlJc w:val="left"/>
      <w:lvlText w:val="%1"/>
      <w:numFmt w:val="decimal"/>
      <w:start w:val="1"/>
    </w:lvl>
    <w:lvl w:ilvl="1">
      <w:lvlJc w:val="left"/>
      <w:lvlText w:val="(%2)"/>
      <w:numFmt w:val="lowerLetter"/>
      <w:start w:val="13"/>
    </w:lvl>
  </w:abstractNum>
  <w:abstractNum w:abstractNumId="175">
    <w:nsid w:val="7E0F6384"/>
    <w:multiLevelType w:val="hybridMultilevel"/>
    <w:lvl w:ilvl="0">
      <w:lvlJc w:val="left"/>
      <w:lvlText w:val="%1."/>
      <w:numFmt w:val="decimal"/>
      <w:start w:val="9"/>
    </w:lvl>
    <w:lvl w:ilvl="1">
      <w:lvlJc w:val="left"/>
      <w:lvlText w:val="(%2)"/>
      <w:numFmt w:val="lowerLetter"/>
      <w:start w:val="1"/>
    </w:lvl>
  </w:abstractNum>
  <w:abstractNum w:abstractNumId="176">
    <w:nsid w:val="2B4B8B5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7">
    <w:nsid w:val="72E3413A"/>
    <w:multiLevelType w:val="hybridMultilevel"/>
    <w:lvl w:ilvl="0">
      <w:lvlJc w:val="left"/>
      <w:lvlText w:val="(%1)"/>
      <w:numFmt w:val="upperLetter"/>
      <w:start w:val="3"/>
    </w:lvl>
  </w:abstractNum>
  <w:abstractNum w:abstractNumId="178">
    <w:nsid w:val="116AE494"/>
    <w:multiLevelType w:val="hybridMultilevel"/>
    <w:lvl w:ilvl="0">
      <w:lvlJc w:val="left"/>
      <w:lvlText w:val="(%1)"/>
      <w:numFmt w:val="lowerRoman"/>
      <w:start w:val="3"/>
    </w:lvl>
  </w:abstractNum>
  <w:abstractNum w:abstractNumId="179">
    <w:nsid w:val="3494B2FB"/>
    <w:multiLevelType w:val="hybridMultilevel"/>
    <w:lvl w:ilvl="0">
      <w:lvlJc w:val="left"/>
      <w:lvlText w:val="%1."/>
      <w:numFmt w:val="decimal"/>
      <w:start w:val="10"/>
    </w:lvl>
  </w:abstractNum>
  <w:abstractNum w:abstractNumId="180">
    <w:nsid w:val="B13A31"/>
    <w:multiLevelType w:val="hybridMultilevel"/>
    <w:lvl w:ilvl="0">
      <w:lvlJc w:val="left"/>
      <w:lvlText w:val="%1."/>
      <w:numFmt w:val="decimal"/>
      <w:start w:val="11"/>
    </w:lvl>
    <w:lvl w:ilvl="1">
      <w:lvlJc w:val="left"/>
      <w:lvlText w:val="(%2)"/>
      <w:numFmt w:val="lowerLetter"/>
      <w:start w:val="1"/>
    </w:lvl>
  </w:abstractNum>
  <w:abstractNum w:abstractNumId="181">
    <w:nsid w:val="64429599"/>
    <w:multiLevelType w:val="hybridMultilevel"/>
    <w:lvl w:ilvl="0">
      <w:lvlJc w:val="left"/>
      <w:lvlText w:val="%1"/>
      <w:numFmt w:val="decimal"/>
      <w:start w:val="1"/>
    </w:lvl>
    <w:lvl w:ilvl="1">
      <w:lvlJc w:val="left"/>
      <w:lvlText w:val="(%2)"/>
      <w:numFmt w:val="lowerLetter"/>
      <w:start w:val="2"/>
    </w:lvl>
  </w:abstractNum>
  <w:abstractNum w:abstractNumId="182">
    <w:nsid w:val="631F1690"/>
    <w:multiLevelType w:val="hybridMultilevel"/>
    <w:lvl w:ilvl="0">
      <w:lvlJc w:val="left"/>
      <w:lvlText w:val="%1."/>
      <w:numFmt w:val="decimal"/>
      <w:start w:val="12"/>
    </w:lvl>
    <w:lvl w:ilvl="1">
      <w:lvlJc w:val="left"/>
      <w:lvlText w:val="%2"/>
      <w:numFmt w:val="lowerLetter"/>
      <w:start w:val="1"/>
    </w:lvl>
  </w:abstractNum>
  <w:abstractNum w:abstractNumId="183">
    <w:nsid w:val="25973E32"/>
    <w:multiLevelType w:val="hybridMultilevel"/>
    <w:lvl w:ilvl="0">
      <w:lvlJc w:val="left"/>
      <w:lvlText w:val="(%1)"/>
      <w:numFmt w:val="lowerLetter"/>
      <w:start w:val="1"/>
    </w:lvl>
  </w:abstractNum>
  <w:abstractNum w:abstractNumId="184">
    <w:nsid w:val="EAD6F57"/>
    <w:multiLevelType w:val="hybridMultilevel"/>
    <w:lvl w:ilvl="0">
      <w:lvlJc w:val="left"/>
      <w:lvlText w:val="%1."/>
      <w:numFmt w:val="decimal"/>
      <w:start w:val="13"/>
    </w:lvl>
  </w:abstractNum>
  <w:abstractNum w:abstractNumId="185">
    <w:nsid w:val="6EC9D844"/>
    <w:multiLevelType w:val="hybridMultilevel"/>
    <w:lvl w:ilvl="0">
      <w:lvlJc w:val="left"/>
      <w:lvlText w:val="(%1)"/>
      <w:numFmt w:val="lowerRoman"/>
      <w:start w:val="2"/>
    </w:lvl>
  </w:abstractNum>
  <w:abstractNum w:abstractNumId="186">
    <w:nsid w:val="5C49EAEE"/>
    <w:multiLevelType w:val="hybridMultilevel"/>
    <w:lvl w:ilvl="0">
      <w:lvlJc w:val="left"/>
      <w:lvlText w:val="%1."/>
      <w:numFmt w:val="decimal"/>
      <w:start w:val="14"/>
    </w:lvl>
  </w:abstractNum>
  <w:abstractNum w:abstractNumId="187">
    <w:nsid w:val="64AF49B"/>
    <w:multiLevelType w:val="hybridMultilevel"/>
    <w:lvl w:ilvl="0">
      <w:lvlJc w:val="left"/>
      <w:lvlText w:val="%1."/>
      <w:numFmt w:val="decimal"/>
      <w:start w:val="15"/>
    </w:lvl>
  </w:abstractNum>
  <w:abstractNum w:abstractNumId="188">
    <w:nsid w:val="397C46BC"/>
    <w:multiLevelType w:val="hybridMultilevel"/>
    <w:lvl w:ilvl="0">
      <w:lvlJc w:val="left"/>
      <w:lvlText w:val="%1."/>
      <w:numFmt w:val="decimal"/>
      <w:start w:val="16"/>
    </w:lvl>
  </w:abstractNum>
  <w:abstractNum w:abstractNumId="189">
    <w:nsid w:val="7E448DE9"/>
    <w:multiLevelType w:val="hybridMultilevel"/>
    <w:lvl w:ilvl="0">
      <w:lvlJc w:val="left"/>
      <w:lvlText w:val="%1."/>
      <w:numFmt w:val="decimal"/>
      <w:start w:val="17"/>
    </w:lvl>
  </w:abstractNum>
  <w:abstractNum w:abstractNumId="190">
    <w:nsid w:val="5A9CC3E5"/>
    <w:multiLevelType w:val="hybridMultilevel"/>
    <w:lvl w:ilvl="0">
      <w:lvlJc w:val="left"/>
      <w:lvlText w:val="%1."/>
      <w:numFmt w:val="decimal"/>
      <w:start w:val="1"/>
    </w:lvl>
    <w:lvl w:ilvl="1">
      <w:lvlJc w:val="left"/>
      <w:lvlText w:val="%2)"/>
      <w:numFmt w:val="lowerLetter"/>
      <w:start w:val="1"/>
    </w:lvl>
  </w:abstractNum>
  <w:abstractNum w:abstractNumId="191">
    <w:nsid w:val="1AFE3625"/>
    <w:multiLevelType w:val="hybridMultilevel"/>
    <w:lvl w:ilvl="0">
      <w:lvlJc w:val="left"/>
      <w:lvlText w:val="%1."/>
      <w:numFmt w:val="decimal"/>
      <w:start w:val="1"/>
    </w:lvl>
    <w:lvl w:ilvl="1">
      <w:lvlJc w:val="left"/>
      <w:lvlText w:val="%2)"/>
      <w:numFmt w:val="lowerLetter"/>
      <w:start w:val="1"/>
    </w:lvl>
  </w:abstractNum>
  <w:abstractNum w:abstractNumId="192">
    <w:nsid w:val="3CA88E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2020-10-29T14:06:29Z</dcterms:created>
  <dcterms:modified xsi:type="dcterms:W3CDTF">2020-10-29T14:06:29Z</dcterms:modified>
</cp:coreProperties>
</file>