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76" w:lineRule="exact"/>
        <w:rPr>
          <w:sz w:val="24"/>
          <w:szCs w:val="24"/>
          <w:color w:val="auto"/>
        </w:rPr>
      </w:pPr>
    </w:p>
    <w:tbl>
      <w:tblPr>
        <w:tblLayout w:type="fixed"/>
        <w:tblInd w:w="820" w:type="dxa"/>
        <w:tblCellMar>
          <w:top w:w="0" w:type="dxa"/>
          <w:left w:w="0" w:type="dxa"/>
          <w:bottom w:w="0" w:type="dxa"/>
          <w:right w:w="0" w:type="dxa"/>
        </w:tblCellMar>
      </w:tblPr>
      <w:tr>
        <w:trPr>
          <w:trHeight w:val="429"/>
        </w:trPr>
        <w:tc>
          <w:tcPr>
            <w:tcW w:w="2300" w:type="dxa"/>
            <w:vAlign w:val="bottom"/>
          </w:tcPr>
          <w:p>
            <w:pPr>
              <w:spacing w:after="0"/>
              <w:rPr>
                <w:sz w:val="24"/>
                <w:szCs w:val="24"/>
                <w:color w:val="auto"/>
              </w:rPr>
            </w:pPr>
          </w:p>
        </w:tc>
        <w:tc>
          <w:tcPr>
            <w:tcW w:w="7580" w:type="dxa"/>
            <w:vAlign w:val="bottom"/>
          </w:tcPr>
          <w:p>
            <w:pPr>
              <w:jc w:val="center"/>
              <w:ind w:right="2466"/>
              <w:spacing w:after="0"/>
              <w:rPr>
                <w:sz w:val="20"/>
                <w:szCs w:val="20"/>
                <w:color w:val="auto"/>
              </w:rPr>
            </w:pPr>
            <w:r>
              <w:rPr>
                <w:rFonts w:ascii="Times New Roman" w:cs="Times New Roman" w:eastAsia="Times New Roman" w:hAnsi="Times New Roman"/>
                <w:sz w:val="32"/>
                <w:szCs w:val="32"/>
                <w:b w:val="1"/>
                <w:bCs w:val="1"/>
                <w:color w:val="auto"/>
              </w:rPr>
              <w:t>FORM 8-K</w:t>
            </w:r>
          </w:p>
        </w:tc>
      </w:tr>
      <w:tr>
        <w:trPr>
          <w:trHeight w:val="467"/>
        </w:trPr>
        <w:tc>
          <w:tcPr>
            <w:tcW w:w="2300" w:type="dxa"/>
            <w:vAlign w:val="bottom"/>
          </w:tcPr>
          <w:p>
            <w:pPr>
              <w:spacing w:after="0"/>
              <w:rPr>
                <w:sz w:val="24"/>
                <w:szCs w:val="24"/>
                <w:color w:val="auto"/>
              </w:rPr>
            </w:pPr>
          </w:p>
        </w:tc>
        <w:tc>
          <w:tcPr>
            <w:tcW w:w="7580" w:type="dxa"/>
            <w:vAlign w:val="bottom"/>
          </w:tcPr>
          <w:p>
            <w:pPr>
              <w:jc w:val="center"/>
              <w:ind w:right="2466"/>
              <w:spacing w:after="0"/>
              <w:rPr>
                <w:sz w:val="20"/>
                <w:szCs w:val="20"/>
                <w:color w:val="auto"/>
              </w:rPr>
            </w:pPr>
            <w:r>
              <w:rPr>
                <w:rFonts w:ascii="Times New Roman" w:cs="Times New Roman" w:eastAsia="Times New Roman" w:hAnsi="Times New Roman"/>
                <w:sz w:val="25"/>
                <w:szCs w:val="25"/>
                <w:b w:val="1"/>
                <w:bCs w:val="1"/>
                <w:color w:val="auto"/>
              </w:rPr>
              <w:t>CURRENT REPORT</w:t>
            </w:r>
          </w:p>
        </w:tc>
      </w:tr>
      <w:tr>
        <w:trPr>
          <w:trHeight w:val="297"/>
        </w:trPr>
        <w:tc>
          <w:tcPr>
            <w:tcW w:w="2300" w:type="dxa"/>
            <w:vAlign w:val="bottom"/>
          </w:tcPr>
          <w:p>
            <w:pPr>
              <w:spacing w:after="0"/>
              <w:rPr>
                <w:sz w:val="24"/>
                <w:szCs w:val="24"/>
                <w:color w:val="auto"/>
              </w:rPr>
            </w:pPr>
          </w:p>
        </w:tc>
        <w:tc>
          <w:tcPr>
            <w:tcW w:w="7580" w:type="dxa"/>
            <w:vAlign w:val="bottom"/>
          </w:tcPr>
          <w:p>
            <w:pPr>
              <w:jc w:val="center"/>
              <w:ind w:right="2446"/>
              <w:spacing w:after="0"/>
              <w:rPr>
                <w:sz w:val="20"/>
                <w:szCs w:val="20"/>
                <w:color w:val="auto"/>
              </w:rPr>
            </w:pPr>
            <w:r>
              <w:rPr>
                <w:rFonts w:ascii="Times New Roman" w:cs="Times New Roman" w:eastAsia="Times New Roman" w:hAnsi="Times New Roman"/>
                <w:sz w:val="25"/>
                <w:szCs w:val="25"/>
                <w:b w:val="1"/>
                <w:bCs w:val="1"/>
                <w:color w:val="auto"/>
              </w:rPr>
              <w:t>Pursuant to Section 13 or 15(d) of</w:t>
            </w:r>
          </w:p>
        </w:tc>
      </w:tr>
      <w:tr>
        <w:trPr>
          <w:trHeight w:val="334"/>
        </w:trPr>
        <w:tc>
          <w:tcPr>
            <w:tcW w:w="2300" w:type="dxa"/>
            <w:vAlign w:val="bottom"/>
          </w:tcPr>
          <w:p>
            <w:pPr>
              <w:spacing w:after="0"/>
              <w:rPr>
                <w:sz w:val="24"/>
                <w:szCs w:val="24"/>
                <w:color w:val="auto"/>
              </w:rPr>
            </w:pPr>
          </w:p>
        </w:tc>
        <w:tc>
          <w:tcPr>
            <w:tcW w:w="7580" w:type="dxa"/>
            <w:vAlign w:val="bottom"/>
          </w:tcPr>
          <w:p>
            <w:pPr>
              <w:jc w:val="center"/>
              <w:ind w:right="2466"/>
              <w:spacing w:after="0"/>
              <w:rPr>
                <w:sz w:val="20"/>
                <w:szCs w:val="20"/>
                <w:color w:val="auto"/>
              </w:rPr>
            </w:pPr>
            <w:r>
              <w:rPr>
                <w:rFonts w:ascii="Times New Roman" w:cs="Times New Roman" w:eastAsia="Times New Roman" w:hAnsi="Times New Roman"/>
                <w:sz w:val="25"/>
                <w:szCs w:val="25"/>
                <w:b w:val="1"/>
                <w:bCs w:val="1"/>
                <w:color w:val="auto"/>
              </w:rPr>
              <w:t>The Securities Exchange Act of 1934</w:t>
            </w:r>
          </w:p>
        </w:tc>
      </w:tr>
      <w:tr>
        <w:trPr>
          <w:trHeight w:val="505"/>
        </w:trPr>
        <w:tc>
          <w:tcPr>
            <w:tcW w:w="2300" w:type="dxa"/>
            <w:vAlign w:val="bottom"/>
          </w:tcPr>
          <w:p>
            <w:pPr>
              <w:spacing w:after="0"/>
              <w:rPr>
                <w:sz w:val="24"/>
                <w:szCs w:val="24"/>
                <w:color w:val="auto"/>
              </w:rPr>
            </w:pPr>
          </w:p>
        </w:tc>
        <w:tc>
          <w:tcPr>
            <w:tcW w:w="7580" w:type="dxa"/>
            <w:vAlign w:val="bottom"/>
          </w:tcPr>
          <w:p>
            <w:pPr>
              <w:jc w:val="center"/>
              <w:ind w:right="2446"/>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May 5, 2023</w:t>
            </w:r>
          </w:p>
        </w:tc>
      </w:tr>
      <w:tr>
        <w:trPr>
          <w:trHeight w:val="693"/>
        </w:trPr>
        <w:tc>
          <w:tcPr>
            <w:tcW w:w="2300" w:type="dxa"/>
            <w:vAlign w:val="bottom"/>
          </w:tcPr>
          <w:p>
            <w:pPr>
              <w:spacing w:after="0"/>
              <w:rPr>
                <w:sz w:val="24"/>
                <w:szCs w:val="24"/>
                <w:color w:val="auto"/>
              </w:rPr>
            </w:pPr>
          </w:p>
        </w:tc>
        <w:tc>
          <w:tcPr>
            <w:tcW w:w="7580" w:type="dxa"/>
            <w:vAlign w:val="bottom"/>
          </w:tcPr>
          <w:p>
            <w:pPr>
              <w:jc w:val="center"/>
              <w:ind w:right="2446"/>
              <w:spacing w:after="0"/>
              <w:rPr>
                <w:sz w:val="20"/>
                <w:szCs w:val="20"/>
                <w:color w:val="auto"/>
              </w:rPr>
            </w:pPr>
            <w:r>
              <w:rPr>
                <w:rFonts w:ascii="Times New Roman" w:cs="Times New Roman" w:eastAsia="Times New Roman" w:hAnsi="Times New Roman"/>
                <w:sz w:val="43"/>
                <w:szCs w:val="43"/>
                <w:b w:val="1"/>
                <w:bCs w:val="1"/>
                <w:color w:val="auto"/>
              </w:rPr>
              <w:t>Comcast Corporation</w:t>
            </w:r>
          </w:p>
        </w:tc>
      </w:tr>
      <w:tr>
        <w:trPr>
          <w:trHeight w:val="238"/>
        </w:trPr>
        <w:tc>
          <w:tcPr>
            <w:tcW w:w="2300" w:type="dxa"/>
            <w:vAlign w:val="bottom"/>
          </w:tcPr>
          <w:p>
            <w:pPr>
              <w:spacing w:after="0"/>
              <w:rPr>
                <w:sz w:val="20"/>
                <w:szCs w:val="20"/>
                <w:color w:val="auto"/>
              </w:rPr>
            </w:pPr>
          </w:p>
        </w:tc>
        <w:tc>
          <w:tcPr>
            <w:tcW w:w="7580" w:type="dxa"/>
            <w:vAlign w:val="bottom"/>
          </w:tcPr>
          <w:p>
            <w:pPr>
              <w:jc w:val="center"/>
              <w:ind w:right="246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tc>
      </w:tr>
      <w:tr>
        <w:trPr>
          <w:trHeight w:val="410"/>
        </w:trPr>
        <w:tc>
          <w:tcPr>
            <w:tcW w:w="2300" w:type="dxa"/>
            <w:vAlign w:val="bottom"/>
          </w:tcPr>
          <w:p>
            <w:pPr>
              <w:spacing w:after="0"/>
              <w:rPr>
                <w:sz w:val="24"/>
                <w:szCs w:val="24"/>
                <w:color w:val="auto"/>
              </w:rPr>
            </w:pPr>
          </w:p>
        </w:tc>
        <w:tc>
          <w:tcPr>
            <w:tcW w:w="7580" w:type="dxa"/>
            <w:vAlign w:val="bottom"/>
          </w:tcPr>
          <w:p>
            <w:pPr>
              <w:jc w:val="center"/>
              <w:ind w:right="2446"/>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216"/>
        </w:trPr>
        <w:tc>
          <w:tcPr>
            <w:tcW w:w="2300" w:type="dxa"/>
            <w:vAlign w:val="bottom"/>
          </w:tcPr>
          <w:p>
            <w:pPr>
              <w:spacing w:after="0"/>
              <w:rPr>
                <w:sz w:val="18"/>
                <w:szCs w:val="18"/>
                <w:color w:val="auto"/>
              </w:rPr>
            </w:pPr>
          </w:p>
        </w:tc>
        <w:tc>
          <w:tcPr>
            <w:tcW w:w="7580" w:type="dxa"/>
            <w:vAlign w:val="bottom"/>
          </w:tcPr>
          <w:p>
            <w:pPr>
              <w:jc w:val="center"/>
              <w:ind w:right="2486"/>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216"/>
        </w:trPr>
        <w:tc>
          <w:tcPr>
            <w:tcW w:w="2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7580" w:type="dxa"/>
            <w:vAlign w:val="bottom"/>
          </w:tcPr>
          <w:p>
            <w:pPr>
              <w:jc w:val="center"/>
              <w:ind w:left="4846"/>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8"/>
        </w:trPr>
        <w:tc>
          <w:tcPr>
            <w:tcW w:w="2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7580" w:type="dxa"/>
            <w:vAlign w:val="bottom"/>
          </w:tcPr>
          <w:p>
            <w:pPr>
              <w:jc w:val="center"/>
              <w:ind w:left="4846"/>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626"/>
        </w:trPr>
        <w:tc>
          <w:tcPr>
            <w:tcW w:w="2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7580" w:type="dxa"/>
            <w:vAlign w:val="bottom"/>
          </w:tcPr>
          <w:p>
            <w:pPr>
              <w:jc w:val="center"/>
              <w:ind w:left="4846"/>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8"/>
        </w:trPr>
        <w:tc>
          <w:tcPr>
            <w:tcW w:w="2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7580" w:type="dxa"/>
            <w:vAlign w:val="bottom"/>
          </w:tcPr>
          <w:p>
            <w:pPr>
              <w:jc w:val="center"/>
              <w:ind w:left="4846"/>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ind w:left="3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34"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CMCS26</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CMCS27</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CMCS29</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CMCS29A</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CMCS32</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CMCS36</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CMCS40</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0"/>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CCGBP29</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09"/>
        </w:trPr>
        <w:tc>
          <w:tcPr>
            <w:tcW w:w="4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86" w:right="339" w:bottom="107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May 5, 2023, Comcast Corporation (“Comcast”) announced the pricing terms of its previously announced cash tender offers (together with the Floating Rate Offer (as defined below), the “Comcast Offers”) to purchase any and all of its outstanding 3.700% Notes due 2024 (the “3.700% Notes”) and any and all of its outstanding 3.375% Notes due 2025 (the “3.375% Notes”), and Sky Limited, a subsidiary of Comcast (“Sky” and, together with Comcast, the “Issuers”), announced the pricing terms of its previously announced cash tender offer (the “Sky Offer” and, together with the Comcast Offers, the “Offers”) to purchase any and all of its outstanding 3.750% Senior Unsecured Notes due 2024 (the “3.750% Notes” and, together with the 3.375% Notes and the 3.700% Notes, the “Fixed Rate Notes”).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Comcast previously announced the consideration for its outstanding Floating Rate Notes due 2024 (the “Floating Rate Notes” and, together with the Fixed Rate Notes, the “Notes”) validly tendered and accepted for purchase pursuant to Comcast’s cash tender offer (the “Floating Rate Offer”) to purchase any and all of its outstanding Floating Rate Notes.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Offers were announced on May 1, 2023, and were made pursuant to the Offer to Purchase and the related Notice of Guaranteed Delivery, each dated May 1, 2023 (the “Tender Offer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2023, the Issuers announced the results of the Offers.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Copies of Comcast’s press releases relating to the pricing and results of the Offers are attached as Exhibits 99.1 and 99.2 hereto and are incorporated herein by reference.</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is neither an offer to sell nor a solicitation of offers to buy any securities. The Offers were made only pursuant to the Tender Offer Documents. The Offers were not made to holders of securities in any jurisdiction in which the making or acceptance thereof would not be in compliance with the securities, blue sky or other laws of such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r>
      <w:tr>
        <w:trPr>
          <w:trHeight w:val="238"/>
        </w:trPr>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60" w:type="dxa"/>
            <w:vAlign w:val="bottom"/>
          </w:tcPr>
          <w:p>
            <w:pPr>
              <w:spacing w:after="0"/>
              <w:rPr>
                <w:sz w:val="20"/>
                <w:szCs w:val="20"/>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70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Comcast press release dated May 5, 2023 announcing the pricing of the Offers.</w:t>
            </w:r>
          </w:p>
        </w:tc>
        <w:tc>
          <w:tcPr>
            <w:tcW w:w="4400" w:type="dxa"/>
            <w:vAlign w:val="bottom"/>
          </w:tcPr>
          <w:p>
            <w:pPr>
              <w:spacing w:after="0"/>
              <w:rPr>
                <w:sz w:val="14"/>
                <w:szCs w:val="1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Comcast press release dated May 8, 2023 announcing the results of the Offers.</w:t>
            </w:r>
          </w:p>
        </w:tc>
        <w:tc>
          <w:tcPr>
            <w:tcW w:w="4440" w:type="dxa"/>
            <w:vAlign w:val="bottom"/>
            <w:gridSpan w:val="2"/>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26"/>
        </w:trPr>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64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2023</w:t>
            </w: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Elizabeth Wideman</w:t>
            </w:r>
          </w:p>
        </w:tc>
      </w:tr>
      <w:tr>
        <w:trPr>
          <w:trHeight w:val="191"/>
        </w:trPr>
        <w:tc>
          <w:tcPr>
            <w:tcW w:w="3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Elizabeth Wideman</w:t>
            </w:r>
          </w:p>
        </w:tc>
      </w:tr>
      <w:tr>
        <w:trPr>
          <w:trHeight w:val="216"/>
        </w:trPr>
        <w:tc>
          <w:tcPr>
            <w:tcW w:w="35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tc>
      </w:tr>
      <w:tr>
        <w:trPr>
          <w:trHeight w:val="234"/>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311"/>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294005</wp:posOffset>
            </wp:positionV>
            <wp:extent cx="141414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Comcast Corporation and Sky Limited Announce Pricing Terms of Offers to Purchase Certain of their Outstanding Senior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2023 12:00 PM Eastern Daylight Time</w:t>
      </w:r>
    </w:p>
    <w:p>
      <w:pPr>
        <w:spacing w:after="0" w:line="221"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color w:val="auto"/>
        </w:rPr>
        <w:t>PHILADELPHIA--(BUSINESS WIRE)--Comcast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today announced the pricing terms of its previously announced cash tender offers to purchase any and all of its outstanding 3.700% Notes due 2024 (the “</w:t>
      </w:r>
      <w:r>
        <w:rPr>
          <w:rFonts w:ascii="Times New Roman" w:cs="Times New Roman" w:eastAsia="Times New Roman" w:hAnsi="Times New Roman"/>
          <w:sz w:val="18"/>
          <w:szCs w:val="18"/>
          <w:b w:val="1"/>
          <w:bCs w:val="1"/>
          <w:color w:val="auto"/>
        </w:rPr>
        <w:t>3.700% Notes</w:t>
      </w:r>
      <w:r>
        <w:rPr>
          <w:rFonts w:ascii="Times New Roman" w:cs="Times New Roman" w:eastAsia="Times New Roman" w:hAnsi="Times New Roman"/>
          <w:sz w:val="18"/>
          <w:szCs w:val="18"/>
          <w:color w:val="auto"/>
        </w:rPr>
        <w:t>”) and any and all of its outstanding 3.375% Notes due 2025 (the “</w:t>
      </w:r>
      <w:r>
        <w:rPr>
          <w:rFonts w:ascii="Times New Roman" w:cs="Times New Roman" w:eastAsia="Times New Roman" w:hAnsi="Times New Roman"/>
          <w:sz w:val="18"/>
          <w:szCs w:val="18"/>
          <w:b w:val="1"/>
          <w:bCs w:val="1"/>
          <w:color w:val="auto"/>
        </w:rPr>
        <w:t>3.375% Notes</w:t>
      </w:r>
      <w:r>
        <w:rPr>
          <w:rFonts w:ascii="Times New Roman" w:cs="Times New Roman" w:eastAsia="Times New Roman" w:hAnsi="Times New Roman"/>
          <w:sz w:val="18"/>
          <w:szCs w:val="18"/>
          <w:color w:val="auto"/>
        </w:rPr>
        <w:t>”) and Sky Limited, a subsidiary of Comcast (“</w:t>
      </w:r>
      <w:r>
        <w:rPr>
          <w:rFonts w:ascii="Times New Roman" w:cs="Times New Roman" w:eastAsia="Times New Roman" w:hAnsi="Times New Roman"/>
          <w:sz w:val="18"/>
          <w:szCs w:val="18"/>
          <w:b w:val="1"/>
          <w:bCs w:val="1"/>
          <w:color w:val="auto"/>
        </w:rPr>
        <w:t>Sky</w:t>
      </w:r>
      <w:r>
        <w:rPr>
          <w:rFonts w:ascii="Times New Roman" w:cs="Times New Roman" w:eastAsia="Times New Roman" w:hAnsi="Times New Roman"/>
          <w:sz w:val="18"/>
          <w:szCs w:val="18"/>
          <w:color w:val="auto"/>
        </w:rPr>
        <w:t>” and, together with Comcast,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today announced the pricing terms of its previously announced cash tender offer to purchase any and all of its outstanding 3.750% Senior Unsecured Notes due 2024 (the “</w:t>
      </w:r>
      <w:r>
        <w:rPr>
          <w:rFonts w:ascii="Times New Roman" w:cs="Times New Roman" w:eastAsia="Times New Roman" w:hAnsi="Times New Roman"/>
          <w:sz w:val="18"/>
          <w:szCs w:val="18"/>
          <w:b w:val="1"/>
          <w:bCs w:val="1"/>
          <w:color w:val="auto"/>
        </w:rPr>
        <w:t>3.750% Notes</w:t>
      </w:r>
      <w:r>
        <w:rPr>
          <w:rFonts w:ascii="Times New Roman" w:cs="Times New Roman" w:eastAsia="Times New Roman" w:hAnsi="Times New Roman"/>
          <w:sz w:val="18"/>
          <w:szCs w:val="18"/>
          <w:color w:val="auto"/>
        </w:rPr>
        <w:t>” and, together with the 3.375% Notes and the 3.700% Notes, the “</w:t>
      </w:r>
      <w:r>
        <w:rPr>
          <w:rFonts w:ascii="Times New Roman" w:cs="Times New Roman" w:eastAsia="Times New Roman" w:hAnsi="Times New Roman"/>
          <w:sz w:val="18"/>
          <w:szCs w:val="18"/>
          <w:b w:val="1"/>
          <w:bCs w:val="1"/>
          <w:color w:val="auto"/>
        </w:rPr>
        <w:t>Fixed Rate Notes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As previously announced, Comcast is also offering $1,006 per $1,000 principal amount of its outstanding Floating Rate Notes due 2024 (the “</w:t>
      </w:r>
      <w:r>
        <w:rPr>
          <w:rFonts w:ascii="Times New Roman" w:cs="Times New Roman" w:eastAsia="Times New Roman" w:hAnsi="Times New Roman"/>
          <w:sz w:val="18"/>
          <w:szCs w:val="18"/>
          <w:b w:val="1"/>
          <w:bCs w:val="1"/>
          <w:color w:val="auto"/>
        </w:rPr>
        <w:t>Floating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Rate Notes</w:t>
      </w:r>
      <w:r>
        <w:rPr>
          <w:rFonts w:ascii="Times New Roman" w:cs="Times New Roman" w:eastAsia="Times New Roman" w:hAnsi="Times New Roman"/>
          <w:sz w:val="18"/>
          <w:szCs w:val="18"/>
          <w:color w:val="auto"/>
        </w:rPr>
        <w:t>” and, together with the Fixed Rate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validly tendered and accepted for purchase pursuant to Comcast’s cash tender offer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any and all of its outstanding Floating Rate Notes.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consideration offered per $1,000 principal amount of Notes validly tendered and accepted for purchase pursuant to the applicable offers is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Bloomberg</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20"/>
                <w:szCs w:val="20"/>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 Security</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6"/>
        </w:trPr>
        <w:tc>
          <w:tcPr>
            <w:tcW w:w="2080" w:type="dxa"/>
            <w:vAlign w:val="bottom"/>
            <w:tcBorders>
              <w:bottom w:val="single" w:sz="8" w:color="auto"/>
            </w:tcBorders>
          </w:tcPr>
          <w:p>
            <w:pPr>
              <w:ind w:left="420"/>
              <w:spacing w:after="0" w:line="196" w:lineRule="exact"/>
              <w:rPr>
                <w:sz w:val="20"/>
                <w:szCs w:val="20"/>
                <w:color w:val="auto"/>
              </w:rPr>
            </w:pPr>
            <w:r>
              <w:rPr>
                <w:rFonts w:ascii="Times New Roman" w:cs="Times New Roman" w:eastAsia="Times New Roman" w:hAnsi="Times New Roman"/>
                <w:sz w:val="18"/>
                <w:szCs w:val="18"/>
                <w:b w:val="1"/>
                <w:bCs w:val="1"/>
                <w:color w:val="auto"/>
              </w:rPr>
              <w:t>Title of Security</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CUSIP</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Page</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Spread</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Consideration(1)</w:t>
            </w:r>
          </w:p>
        </w:tc>
      </w:t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3.700% Notes due 2024</w:t>
            </w:r>
          </w:p>
        </w:tc>
        <w:tc>
          <w:tcPr>
            <w:tcW w:w="80" w:type="dxa"/>
            <w:vAlign w:val="bottom"/>
          </w:tcPr>
          <w:p>
            <w:pPr>
              <w:spacing w:after="0"/>
              <w:rPr>
                <w:sz w:val="21"/>
                <w:szCs w:val="21"/>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20030NCR0 $2,500,000,000</w:t>
            </w:r>
          </w:p>
        </w:tc>
        <w:tc>
          <w:tcPr>
            <w:tcW w:w="40" w:type="dxa"/>
            <w:vAlign w:val="bottom"/>
          </w:tcPr>
          <w:p>
            <w:pPr>
              <w:spacing w:after="0"/>
              <w:rPr>
                <w:sz w:val="21"/>
                <w:szCs w:val="2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15,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0.375% due April</w:t>
            </w:r>
          </w:p>
        </w:tc>
        <w:tc>
          <w:tcPr>
            <w:tcW w:w="8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FIT3</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4.790%</w:t>
            </w: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bps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$990.17</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issued by Comcast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15, 2024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22"/>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Notes due</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9"/>
              </w:rPr>
              <w:t>20030NCX7</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$500,000,000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April 15,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3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$1,006.00</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2024 issued by Comcast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22"/>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3.750% Senior Unsecured</w:t>
            </w:r>
          </w:p>
        </w:tc>
        <w:tc>
          <w:tcPr>
            <w:tcW w:w="80" w:type="dxa"/>
            <w:vAlign w:val="bottom"/>
          </w:tcPr>
          <w:p>
            <w:pPr>
              <w:spacing w:after="0"/>
              <w:rPr>
                <w:sz w:val="24"/>
                <w:szCs w:val="24"/>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111013AL2</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$1,250,000,000</w:t>
            </w:r>
          </w:p>
        </w:tc>
        <w:tc>
          <w:tcPr>
            <w:tcW w:w="4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September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0.375% due</w:t>
            </w: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4.389%</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bps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$988.45</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Notes due 2024 issued by</w:t>
            </w:r>
          </w:p>
        </w:tc>
        <w:tc>
          <w:tcPr>
            <w:tcW w:w="80" w:type="dxa"/>
            <w:vAlign w:val="bottom"/>
          </w:tcPr>
          <w:p>
            <w:pPr>
              <w:spacing w:after="0"/>
              <w:rPr>
                <w:sz w:val="18"/>
                <w:szCs w:val="18"/>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and</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16, 2024   September 15, 2024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Sky Limited</w:t>
            </w:r>
          </w:p>
        </w:tc>
        <w:tc>
          <w:tcPr>
            <w:tcW w:w="8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G15632AP0</w:t>
            </w: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22"/>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3.375% Notes due 2025</w:t>
            </w:r>
          </w:p>
        </w:tc>
        <w:tc>
          <w:tcPr>
            <w:tcW w:w="8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20030NBL4</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$993,400,000</w:t>
            </w:r>
          </w:p>
        </w:tc>
        <w:tc>
          <w:tcPr>
            <w:tcW w:w="40" w:type="dxa"/>
            <w:vAlign w:val="bottom"/>
          </w:tcPr>
          <w:p>
            <w:pPr>
              <w:spacing w:after="0"/>
              <w:rPr>
                <w:sz w:val="24"/>
                <w:szCs w:val="24"/>
                <w:color w:val="auto"/>
              </w:rPr>
            </w:pP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February 15,</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 due</w:t>
            </w:r>
          </w:p>
        </w:tc>
        <w:tc>
          <w:tcPr>
            <w:tcW w:w="8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FIT4</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4.085%</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bps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$987.16</w:t>
            </w: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issued by Comcast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15, 2025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380" w:hanging="652"/>
        <w:spacing w:after="0" w:line="289"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$1,000 principal amount of Notes validly tendered before the Expiration Time (as defined below), not validly withdrawn and accepted for purchase. In addition to the applicable consideration, all holders whose Notes are accepted for purchase will also receive accrued and unpaid interest on such Notes from, and including, the last interest payment date up to, but excluding, the Settlement Date (as defined below).</w:t>
      </w:r>
    </w:p>
    <w:p>
      <w:pPr>
        <w:spacing w:after="0" w:line="15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consideration offered per $1,000 principal amount of Fixed Rate Notes validly tendered and accepted for purchase pursuant to the applicable offers was determined by the Joint Dealer Managers referred to below in the manner described in the Offer to Purchase (as defined below) by reference to the applicable fixed spread specified above for such series of Fixed Rate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right="220"/>
        <w:spacing w:after="0" w:line="282" w:lineRule="auto"/>
        <w:rPr>
          <w:sz w:val="20"/>
          <w:szCs w:val="20"/>
          <w:color w:val="auto"/>
        </w:rPr>
      </w:pPr>
      <w:r>
        <w:rPr>
          <w:rFonts w:ascii="Times New Roman" w:cs="Times New Roman" w:eastAsia="Times New Roman" w:hAnsi="Times New Roman"/>
          <w:sz w:val="18"/>
          <w:szCs w:val="18"/>
          <w:color w:val="auto"/>
        </w:rPr>
        <w:t>plus the yield based on the applicable bid-side price of the Treasury Reference Security specified above for such series of Fixed Rate Notes as quoted on the Bloomberg Reference Page specified above for such series of Fixed Rate Notes as of 11:00 a.m., New York City time today.</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The tender offers will expire at 5:00 p.m., New York City time, on May 5, 2023, unless extended or earlier terminated (the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Holders who have validly tendered their Notes may withdraw such Notes at any time at or prior to the Expiration Time. The Guaranteed Delivery Date is May 9, 2023. The Issuers expect to pay the applicable consideration for Notes validly tendered and not validly withdrawn at or prior to the Expiration Time on May 10, 2023, the third business day following the Expiration Time (the “</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The tender offers are conditioned upon satisfaction of certain conditions, but are not conditioned upon any minimum amount of Notes being tendered.</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complete terms and conditions of the tender offers are set forth in the Offer to Purchase, dated May 1, 2023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Notice of Guaranteed Delivery, along with any amendments and supplements thereto, which holders are urged to read carefully before making any decision with respect to the tender offers. The Issuers have retained Deutsche Bank Securities Inc. and TD Securities (USA) LLC to act as Joint Dealer Managers in connection with the tender offers. Copies of the Offer to Purchase and the related Notice of Guaranteed Delivery may be obtained from D.F. King &amp; Co., Inc., the Tender and Information Agent for the tender offers, by phone at +1 (212) 269-5550 (banks and brokers) or +1 (877) 487-5045 (all others), by email at cmcsa@dfking.com or online at https://www.dfking.com/cmcsa. Questions regarding the tender offers may also be directed to the Joint Dealer Managers as set forth below:</w:t>
      </w:r>
    </w:p>
    <w:p>
      <w:pPr>
        <w:spacing w:after="0" w:line="183" w:lineRule="exact"/>
        <w:rPr>
          <w:sz w:val="20"/>
          <w:szCs w:val="20"/>
          <w:color w:val="auto"/>
        </w:rPr>
      </w:pPr>
    </w:p>
    <w:tbl>
      <w:tblPr>
        <w:tblLayout w:type="fixed"/>
        <w:tblInd w:w="1380" w:type="dxa"/>
        <w:tblCellMar>
          <w:top w:w="0" w:type="dxa"/>
          <w:left w:w="0" w:type="dxa"/>
          <w:bottom w:w="0" w:type="dxa"/>
          <w:right w:w="0" w:type="dxa"/>
        </w:tblCellMar>
      </w:tblPr>
      <w:tr>
        <w:trPr>
          <w:trHeight w:val="220"/>
        </w:trPr>
        <w:tc>
          <w:tcPr>
            <w:tcW w:w="4240" w:type="dxa"/>
            <w:vAlign w:val="bottom"/>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Deutsche Bank Securities Inc.</w:t>
            </w:r>
          </w:p>
        </w:tc>
        <w:tc>
          <w:tcPr>
            <w:tcW w:w="426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TD Securities (USA) LLC</w:t>
            </w:r>
          </w:p>
        </w:tc>
      </w:tr>
      <w:tr>
        <w:trPr>
          <w:trHeight w:val="216"/>
        </w:trPr>
        <w:tc>
          <w:tcPr>
            <w:tcW w:w="42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1 Columbus Circle</w:t>
            </w:r>
          </w:p>
        </w:tc>
        <w:tc>
          <w:tcPr>
            <w:tcW w:w="42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7"/>
              </w:rPr>
              <w:t>1 Vanderbilt Avenue, 11th Floor</w:t>
            </w:r>
          </w:p>
        </w:tc>
      </w:tr>
      <w:tr>
        <w:trPr>
          <w:trHeight w:val="216"/>
        </w:trPr>
        <w:tc>
          <w:tcPr>
            <w:tcW w:w="42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w w:val="98"/>
              </w:rPr>
              <w:t>New York, NY 10019</w:t>
            </w:r>
          </w:p>
        </w:tc>
        <w:tc>
          <w:tcPr>
            <w:tcW w:w="42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New York, NY 10017</w:t>
            </w:r>
          </w:p>
        </w:tc>
      </w:tr>
      <w:tr>
        <w:trPr>
          <w:trHeight w:val="216"/>
        </w:trPr>
        <w:tc>
          <w:tcPr>
            <w:tcW w:w="42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c>
          <w:tcPr>
            <w:tcW w:w="426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Attention: Liability Management Group</w:t>
            </w:r>
          </w:p>
        </w:tc>
      </w:tr>
      <w:tr>
        <w:trPr>
          <w:trHeight w:val="216"/>
        </w:trPr>
        <w:tc>
          <w:tcPr>
            <w:tcW w:w="42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w w:val="99"/>
              </w:rPr>
              <w:t>Toll-Free: +1 (866) 627-0391</w:t>
            </w:r>
          </w:p>
        </w:tc>
        <w:tc>
          <w:tcPr>
            <w:tcW w:w="42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w w:val="98"/>
              </w:rPr>
              <w:t>Toll Free: +1 (866) 584-2096</w:t>
            </w:r>
          </w:p>
        </w:tc>
      </w:tr>
      <w:tr>
        <w:trPr>
          <w:trHeight w:val="216"/>
        </w:trPr>
        <w:tc>
          <w:tcPr>
            <w:tcW w:w="42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Collect: +1 (212) 250-2955</w:t>
            </w:r>
          </w:p>
        </w:tc>
        <w:tc>
          <w:tcPr>
            <w:tcW w:w="42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Collect: +1 (212) 827-2842</w:t>
            </w:r>
          </w:p>
        </w:tc>
      </w:tr>
      <w:tr>
        <w:trPr>
          <w:trHeight w:val="234"/>
        </w:trPr>
        <w:tc>
          <w:tcPr>
            <w:tcW w:w="4240" w:type="dxa"/>
            <w:vAlign w:val="bottom"/>
          </w:tcPr>
          <w:p>
            <w:pPr>
              <w:spacing w:after="0"/>
              <w:rPr>
                <w:sz w:val="20"/>
                <w:szCs w:val="20"/>
                <w:color w:val="auto"/>
              </w:rPr>
            </w:pPr>
          </w:p>
        </w:tc>
        <w:tc>
          <w:tcPr>
            <w:tcW w:w="4260" w:type="dxa"/>
            <w:vAlign w:val="bottom"/>
          </w:tcPr>
          <w:p>
            <w:pPr>
              <w:jc w:val="center"/>
              <w:ind w:left="1270"/>
              <w:spacing w:after="0"/>
              <w:rPr>
                <w:sz w:val="20"/>
                <w:szCs w:val="20"/>
                <w:color w:val="auto"/>
              </w:rPr>
            </w:pPr>
            <w:r>
              <w:rPr>
                <w:rFonts w:ascii="Times New Roman" w:cs="Times New Roman" w:eastAsia="Times New Roman" w:hAnsi="Times New Roman"/>
                <w:sz w:val="18"/>
                <w:szCs w:val="18"/>
                <w:color w:val="auto"/>
              </w:rPr>
              <w:t>Email: LM@tdsecurities.com</w:t>
            </w:r>
          </w:p>
        </w:tc>
      </w:tr>
    </w:tbl>
    <w:p>
      <w:pPr>
        <w:spacing w:after="0" w:line="1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news release is neither an offer to purchase nor a solicitation of an offer to sell any securities. The tender offers are being made only by, and pursuant to the terms of, the Offer to Purchase and the related Notice of Guaranteed Delivery. The tender offers are not being made in any jurisdiction in which the making or acceptance thereof would not be in compliance with the securities, blue sky or other laws of such jurisdiction. In any jurisdiction where the laws require the tender offers to be made by a licensed broker or dealer, the tender offers will be made by the Joint Dealer Managers on behalf of the Issuers. None of the Issuers, the Tender and Information Agent or the Joint Dealer Managers, nor any of their affiliates, makes any recommendation as to whether holders should tender or refrain from tendering all or any portion of their Notes in response to the tender offers.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Comcast Corporation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Comcast Corporation (Nasdaq: CMCSA) is a global media and technology company. From the connectivity and platforms we provide, to the content and experiences we create, our businesses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t>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+1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+1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+1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+1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+1 (215) 286-8011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Louise Eich +1 (215) 286-8857</w:t>
      </w: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294005</wp:posOffset>
            </wp:positionV>
            <wp:extent cx="141414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14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Comcast Corporation and Sky Limited Announce Results of Tender Offers for Certain of their Outstanding Senior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2023</w:t>
      </w:r>
    </w:p>
    <w:p>
      <w:pPr>
        <w:spacing w:after="0" w:line="22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PHILADELPHIA--(BUSINESS WIRE)--Comcast Corporation (“</w:t>
      </w:r>
      <w:r>
        <w:rPr>
          <w:rFonts w:ascii="Times New Roman" w:cs="Times New Roman" w:eastAsia="Times New Roman" w:hAnsi="Times New Roman"/>
          <w:sz w:val="17"/>
          <w:szCs w:val="17"/>
          <w:b w:val="1"/>
          <w:bCs w:val="1"/>
          <w:color w:val="auto"/>
        </w:rPr>
        <w:t>Comcast</w:t>
      </w:r>
      <w:r>
        <w:rPr>
          <w:rFonts w:ascii="Times New Roman" w:cs="Times New Roman" w:eastAsia="Times New Roman" w:hAnsi="Times New Roman"/>
          <w:sz w:val="17"/>
          <w:szCs w:val="17"/>
          <w:color w:val="auto"/>
        </w:rPr>
        <w:t>”) announced the results, as of 5:00 p.m., New York City time, on May 5, 2023 (the “</w:t>
      </w:r>
      <w:r>
        <w:rPr>
          <w:rFonts w:ascii="Times New Roman" w:cs="Times New Roman" w:eastAsia="Times New Roman" w:hAnsi="Times New Roman"/>
          <w:sz w:val="17"/>
          <w:szCs w:val="17"/>
          <w:b w:val="1"/>
          <w:bCs w:val="1"/>
          <w:color w:val="auto"/>
        </w:rPr>
        <w:t>Expiration Time</w:t>
      </w:r>
      <w:r>
        <w:rPr>
          <w:rFonts w:ascii="Times New Roman" w:cs="Times New Roman" w:eastAsia="Times New Roman" w:hAnsi="Times New Roman"/>
          <w:sz w:val="17"/>
          <w:szCs w:val="17"/>
          <w:color w:val="auto"/>
        </w:rPr>
        <w:t>”), of its previously announced cash tender offers for its outstanding 3.700% Notes due 2024 (the “</w:t>
      </w:r>
      <w:r>
        <w:rPr>
          <w:rFonts w:ascii="Times New Roman" w:cs="Times New Roman" w:eastAsia="Times New Roman" w:hAnsi="Times New Roman"/>
          <w:sz w:val="17"/>
          <w:szCs w:val="17"/>
          <w:b w:val="1"/>
          <w:bCs w:val="1"/>
          <w:color w:val="auto"/>
        </w:rPr>
        <w:t>3.700% Notes</w:t>
      </w:r>
      <w:r>
        <w:rPr>
          <w:rFonts w:ascii="Times New Roman" w:cs="Times New Roman" w:eastAsia="Times New Roman" w:hAnsi="Times New Roman"/>
          <w:sz w:val="17"/>
          <w:szCs w:val="17"/>
          <w:color w:val="auto"/>
        </w:rPr>
        <w:t>”), its outstanding Floating Rate Notes due 2024 (the “</w:t>
      </w:r>
      <w:r>
        <w:rPr>
          <w:rFonts w:ascii="Times New Roman" w:cs="Times New Roman" w:eastAsia="Times New Roman" w:hAnsi="Times New Roman"/>
          <w:sz w:val="17"/>
          <w:szCs w:val="17"/>
          <w:b w:val="1"/>
          <w:bCs w:val="1"/>
          <w:color w:val="auto"/>
        </w:rPr>
        <w:t>Floating Rate Notes</w:t>
      </w:r>
      <w:r>
        <w:rPr>
          <w:rFonts w:ascii="Times New Roman" w:cs="Times New Roman" w:eastAsia="Times New Roman" w:hAnsi="Times New Roman"/>
          <w:sz w:val="17"/>
          <w:szCs w:val="17"/>
          <w:color w:val="auto"/>
        </w:rPr>
        <w:t>”) and its outstanding 3.375% Notes due 2025 (the “</w:t>
      </w:r>
      <w:r>
        <w:rPr>
          <w:rFonts w:ascii="Times New Roman" w:cs="Times New Roman" w:eastAsia="Times New Roman" w:hAnsi="Times New Roman"/>
          <w:sz w:val="17"/>
          <w:szCs w:val="17"/>
          <w:b w:val="1"/>
          <w:bCs w:val="1"/>
          <w:color w:val="auto"/>
        </w:rPr>
        <w:t>3.375% Notes</w:t>
      </w:r>
      <w:r>
        <w:rPr>
          <w:rFonts w:ascii="Times New Roman" w:cs="Times New Roman" w:eastAsia="Times New Roman" w:hAnsi="Times New Roman"/>
          <w:sz w:val="17"/>
          <w:szCs w:val="17"/>
          <w:color w:val="auto"/>
        </w:rPr>
        <w:t>” and, together with the 3.700% Notes and the Floating Rate Notes, the “</w:t>
      </w:r>
      <w:r>
        <w:rPr>
          <w:rFonts w:ascii="Times New Roman" w:cs="Times New Roman" w:eastAsia="Times New Roman" w:hAnsi="Times New Roman"/>
          <w:sz w:val="17"/>
          <w:szCs w:val="17"/>
          <w:b w:val="1"/>
          <w:bCs w:val="1"/>
          <w:color w:val="auto"/>
        </w:rPr>
        <w:t>Comcast Notes</w:t>
      </w:r>
      <w:r>
        <w:rPr>
          <w:rFonts w:ascii="Times New Roman" w:cs="Times New Roman" w:eastAsia="Times New Roman" w:hAnsi="Times New Roman"/>
          <w:sz w:val="17"/>
          <w:szCs w:val="17"/>
          <w:color w:val="auto"/>
        </w:rPr>
        <w:t>”) and Sky Limited, a subsidiary of Comcast (“</w:t>
      </w:r>
      <w:r>
        <w:rPr>
          <w:rFonts w:ascii="Times New Roman" w:cs="Times New Roman" w:eastAsia="Times New Roman" w:hAnsi="Times New Roman"/>
          <w:sz w:val="17"/>
          <w:szCs w:val="17"/>
          <w:b w:val="1"/>
          <w:bCs w:val="1"/>
          <w:color w:val="auto"/>
        </w:rPr>
        <w:t>Sky</w:t>
      </w:r>
      <w:r>
        <w:rPr>
          <w:rFonts w:ascii="Times New Roman" w:cs="Times New Roman" w:eastAsia="Times New Roman" w:hAnsi="Times New Roman"/>
          <w:sz w:val="17"/>
          <w:szCs w:val="17"/>
          <w:color w:val="auto"/>
        </w:rPr>
        <w:t>” and, together with Comcast, the</w:t>
      </w:r>
    </w:p>
    <w:p>
      <w:pPr>
        <w:ind w:right="28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Issuers</w:t>
      </w:r>
      <w:r>
        <w:rPr>
          <w:rFonts w:ascii="Times New Roman" w:cs="Times New Roman" w:eastAsia="Times New Roman" w:hAnsi="Times New Roman"/>
          <w:sz w:val="17"/>
          <w:szCs w:val="17"/>
          <w:color w:val="auto"/>
        </w:rPr>
        <w:t>”), announced the results, as of the Expiration Time, of its previously announced cash tender offer for its outstanding 3.750% Senior Unsecured Notes due 2024 (the “</w:t>
      </w:r>
      <w:r>
        <w:rPr>
          <w:rFonts w:ascii="Times New Roman" w:cs="Times New Roman" w:eastAsia="Times New Roman" w:hAnsi="Times New Roman"/>
          <w:sz w:val="17"/>
          <w:szCs w:val="17"/>
          <w:b w:val="1"/>
          <w:bCs w:val="1"/>
          <w:color w:val="auto"/>
        </w:rPr>
        <w:t>3.750% Notes</w:t>
      </w:r>
      <w:r>
        <w:rPr>
          <w:rFonts w:ascii="Times New Roman" w:cs="Times New Roman" w:eastAsia="Times New Roman" w:hAnsi="Times New Roman"/>
          <w:sz w:val="17"/>
          <w:szCs w:val="17"/>
          <w:color w:val="auto"/>
        </w:rPr>
        <w:t>” and, together with the Comcast Notes,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The cash tender offers were announced on May 1, 2023 and were made pursuant to the Offer to Purchase and the related Notice of Guaranteed Delivery, each dated May 1, 2023 (the “</w:t>
      </w:r>
      <w:r>
        <w:rPr>
          <w:rFonts w:ascii="Times New Roman" w:cs="Times New Roman" w:eastAsia="Times New Roman" w:hAnsi="Times New Roman"/>
          <w:sz w:val="17"/>
          <w:szCs w:val="17"/>
          <w:b w:val="1"/>
          <w:bCs w:val="1"/>
          <w:color w:val="auto"/>
        </w:rPr>
        <w:t>Tender Offer Documents</w:t>
      </w:r>
      <w:r>
        <w:rPr>
          <w:rFonts w:ascii="Times New Roman" w:cs="Times New Roman" w:eastAsia="Times New Roman" w:hAnsi="Times New Roman"/>
          <w:sz w:val="17"/>
          <w:szCs w:val="17"/>
          <w:color w:val="auto"/>
        </w:rPr>
        <w:t>”).</w:t>
      </w:r>
    </w:p>
    <w:p>
      <w:pPr>
        <w:ind w:right="18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aggregate principal amount of the Notes tendered and not validly withdrawn as of the Expiration Time and the aggregate principal amount of the Notes tendered pursuant to the guaranteed delivery procedures described in the Tender Offer Documents.</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0" w:type="dxa"/>
            <w:vAlign w:val="bottom"/>
          </w:tcPr>
          <w:p>
            <w:pPr>
              <w:spacing w:after="0"/>
              <w:rPr>
                <w:sz w:val="1"/>
                <w:szCs w:val="1"/>
                <w:color w:val="auto"/>
              </w:rPr>
            </w:pPr>
          </w:p>
        </w:tc>
      </w:tr>
      <w:tr>
        <w:trPr>
          <w:trHeight w:val="184"/>
        </w:trPr>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Tendered pursuant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Tendered as of</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Guaranteed</w:t>
            </w:r>
          </w:p>
        </w:tc>
        <w:tc>
          <w:tcPr>
            <w:tcW w:w="0" w:type="dxa"/>
            <w:vAlign w:val="bottom"/>
          </w:tcPr>
          <w:p>
            <w:pPr>
              <w:spacing w:after="0"/>
              <w:rPr>
                <w:sz w:val="1"/>
                <w:szCs w:val="1"/>
                <w:color w:val="auto"/>
              </w:rPr>
            </w:pPr>
          </w:p>
        </w:tc>
      </w:tr>
      <w:tr>
        <w:trPr>
          <w:trHeight w:val="270"/>
        </w:trPr>
        <w:tc>
          <w:tcPr>
            <w:tcW w:w="23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Title of Security</w:t>
            </w:r>
          </w:p>
        </w:tc>
        <w:tc>
          <w:tcPr>
            <w:tcW w:w="60" w:type="dxa"/>
            <w:vAlign w:val="bottom"/>
          </w:tcPr>
          <w:p>
            <w:pPr>
              <w:spacing w:after="0"/>
              <w:rPr>
                <w:sz w:val="23"/>
                <w:szCs w:val="23"/>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w:t>
            </w:r>
          </w:p>
        </w:tc>
        <w:tc>
          <w:tcPr>
            <w:tcW w:w="60" w:type="dxa"/>
            <w:vAlign w:val="bottom"/>
          </w:tcPr>
          <w:p>
            <w:pPr>
              <w:spacing w:after="0"/>
              <w:rPr>
                <w:sz w:val="23"/>
                <w:szCs w:val="2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60" w:type="dxa"/>
            <w:vAlign w:val="bottom"/>
          </w:tcPr>
          <w:p>
            <w:pPr>
              <w:spacing w:after="0"/>
              <w:rPr>
                <w:sz w:val="23"/>
                <w:szCs w:val="23"/>
                <w:color w:val="auto"/>
              </w:rPr>
            </w:pPr>
          </w:p>
        </w:tc>
        <w:tc>
          <w:tcPr>
            <w:tcW w:w="164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Expiration Time</w:t>
            </w:r>
            <w:r>
              <w:rPr>
                <w:rFonts w:ascii="Times New Roman" w:cs="Times New Roman" w:eastAsia="Times New Roman" w:hAnsi="Times New Roman"/>
                <w:sz w:val="29"/>
                <w:szCs w:val="29"/>
                <w:b w:val="1"/>
                <w:bCs w:val="1"/>
                <w:color w:val="auto"/>
                <w:w w:val="95"/>
                <w:vertAlign w:val="superscript"/>
              </w:rPr>
              <w:t>(1)</w:t>
            </w:r>
          </w:p>
        </w:tc>
        <w:tc>
          <w:tcPr>
            <w:tcW w:w="60" w:type="dxa"/>
            <w:vAlign w:val="bottom"/>
          </w:tcPr>
          <w:p>
            <w:pPr>
              <w:spacing w:after="0"/>
              <w:rPr>
                <w:sz w:val="23"/>
                <w:szCs w:val="2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Delivery</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3.700% Notes due 2024 issued</w:t>
            </w:r>
          </w:p>
        </w:tc>
        <w:tc>
          <w:tcPr>
            <w:tcW w:w="6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20030NCR0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$2,500,000,000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$1,285,159,000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$863,000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by Comcast Corporation</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Floating Rate Notes due 2024</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20030NCX7</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$500,000,000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$260,121,000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$468,000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issued by Comcast Corporation</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3.750% Senior Unsecured Notes</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111013AL2 and</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$1,250,000,000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$755,181,000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$6,533,000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due 2024 issued by Sky Limited</w:t>
            </w:r>
          </w:p>
        </w:tc>
        <w:tc>
          <w:tcPr>
            <w:tcW w:w="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G15632AP0</w:t>
            </w: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3.375% Notes due 2025 issued</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20030NBL4</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$993,400,000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$574,109,000</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$5,924,000</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by Comcast Corporation</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160" w:hanging="652"/>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do not include the principal amount of the Notes tendered pursuant to the guaranteed delivery procedures described in the Tender Offer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right="140"/>
        <w:spacing w:after="0" w:line="258" w:lineRule="auto"/>
        <w:rPr>
          <w:sz w:val="20"/>
          <w:szCs w:val="20"/>
          <w:color w:val="auto"/>
        </w:rPr>
      </w:pPr>
      <w:r>
        <w:rPr>
          <w:rFonts w:ascii="Times New Roman" w:cs="Times New Roman" w:eastAsia="Times New Roman" w:hAnsi="Times New Roman"/>
          <w:sz w:val="18"/>
          <w:szCs w:val="18"/>
          <w:color w:val="auto"/>
        </w:rPr>
        <w:t>Comcast has accepted for purchase all Comcast Notes validly tendered and not validly withdrawn at or prior to the Expiration Time and Sky has accepted for purchase all 3.750% Notes validly tendered and not validly withdrawn at or prior to the Expiration Time. Holders whose Notes have been accepted for purchase will also receive accrued and unpaid interest on the purchased Notes from, and including, the last interest payment date for such Notes up to, but excluding, the Settlement Date (as defined below). The Issuers also expect to accept Notes validly tendered and delivered pursuant to the guaranteed delivery procedures described in the Tender Offer Documents. The Issuers will not accept any further tenders.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date for Notes validly tendered and not validly withdrawn at or prior to the Expiration Time is expected to be May 10, 2023 (the</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On May 1, 2023, Comcast priced an offering of $5.0 billion aggregate principal amount of new notes (the “</w:t>
      </w:r>
      <w:r>
        <w:rPr>
          <w:rFonts w:ascii="Times New Roman" w:cs="Times New Roman" w:eastAsia="Times New Roman" w:hAnsi="Times New Roman"/>
          <w:sz w:val="18"/>
          <w:szCs w:val="18"/>
          <w:b w:val="1"/>
          <w:bCs w:val="1"/>
          <w:color w:val="auto"/>
        </w:rPr>
        <w:t>New Notes Offering</w:t>
      </w:r>
      <w:r>
        <w:rPr>
          <w:rFonts w:ascii="Times New Roman" w:cs="Times New Roman" w:eastAsia="Times New Roman" w:hAnsi="Times New Roman"/>
          <w:sz w:val="18"/>
          <w:szCs w:val="18"/>
          <w:color w:val="auto"/>
        </w:rPr>
        <w:t>”). The New Notes Offering is expected to close on May 9, 2023, subject to customary closing conditions. Comcast intends to use all or a portion of the net proceeds from the New Notes Offering to fund the purchase of the Comcast Notes. Sky intends to fund the purchase of the 3.750% Notes with cash on hand.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 and TD Securities (USA) LLC served as Joint Dealer Managers for the tender offer.</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news release is neither an offer to purchase nor a solicitation of an offer to sell any securities. The tender offers were made only by, and pursuant to the terms of, the Tender Offer Documents. The tender offers were not made in any jurisdiction in which the making or acceptance thereof would not be in compliance with the securities, blue sky or other laws of such jurisdiction. In any jurisdiction where the laws require the tender offers to be made by a licensed broker or dealer, the tender offers were made by the Joint Dealer Managers on behalf of the Issuers. None of the Issuers, the Tender and Information Agent or the Joint Dealer Managers, nor any of their affiliates, has made any recommendation as to whether holders should tender or refrain from tendering all or any portion of their Notes in response to the tender offers.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Comcast Corporation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+1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+1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+1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+1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+1 (215) 286-8011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Louise Eich +1 (215) 286-8857</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2023-05-08T07:11:10Z</dcterms:created>
  <dcterms:modified xsi:type="dcterms:W3CDTF">2023-05-08T07:11:10Z</dcterms:modified>
</cp:coreProperties>
</file>