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23, 2015</w:t>
      </w:r>
    </w:p>
    <w:p>
      <w:pPr>
        <w:spacing w:after="0" w:line="207" w:lineRule="exact"/>
        <w:rPr>
          <w:sz w:val="24"/>
          <w:szCs w:val="24"/>
          <w:color w:val="auto"/>
        </w:rPr>
      </w:pPr>
    </w:p>
    <w:tbl>
      <w:tblPr>
        <w:tblLayout w:type="fixed"/>
        <w:tblInd w:w="1120" w:type="dxa"/>
        <w:tblCellMar>
          <w:top w:w="0" w:type="dxa"/>
          <w:left w:w="0" w:type="dxa"/>
          <w:bottom w:w="0" w:type="dxa"/>
          <w:right w:w="0" w:type="dxa"/>
        </w:tblCellMar>
      </w:tblPr>
      <w:tr>
        <w:trPr>
          <w:trHeight w:val="351"/>
        </w:trPr>
        <w:tc>
          <w:tcPr>
            <w:tcW w:w="2800" w:type="dxa"/>
            <w:vAlign w:val="bottom"/>
          </w:tcPr>
          <w:p>
            <w:pPr>
              <w:spacing w:after="0"/>
              <w:rPr>
                <w:sz w:val="24"/>
                <w:szCs w:val="24"/>
                <w:color w:val="auto"/>
              </w:rPr>
            </w:pPr>
          </w:p>
        </w:tc>
        <w:tc>
          <w:tcPr>
            <w:tcW w:w="6200" w:type="dxa"/>
            <w:vAlign w:val="bottom"/>
          </w:tcPr>
          <w:p>
            <w:pPr>
              <w:jc w:val="center"/>
              <w:ind w:right="2514"/>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800" w:type="dxa"/>
            <w:vAlign w:val="bottom"/>
          </w:tcPr>
          <w:p>
            <w:pPr>
              <w:spacing w:after="0"/>
              <w:rPr>
                <w:sz w:val="12"/>
                <w:szCs w:val="12"/>
                <w:color w:val="auto"/>
              </w:rPr>
            </w:pPr>
          </w:p>
        </w:tc>
        <w:tc>
          <w:tcPr>
            <w:tcW w:w="6200" w:type="dxa"/>
            <w:vAlign w:val="bottom"/>
          </w:tcPr>
          <w:p>
            <w:pPr>
              <w:jc w:val="center"/>
              <w:ind w:right="2534"/>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800" w:type="dxa"/>
            <w:vAlign w:val="bottom"/>
          </w:tcPr>
          <w:p>
            <w:pPr>
              <w:spacing w:after="0"/>
              <w:rPr>
                <w:sz w:val="15"/>
                <w:szCs w:val="15"/>
                <w:color w:val="auto"/>
              </w:rPr>
            </w:pPr>
          </w:p>
        </w:tc>
        <w:tc>
          <w:tcPr>
            <w:tcW w:w="620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800" w:type="dxa"/>
            <w:vAlign w:val="bottom"/>
          </w:tcPr>
          <w:p>
            <w:pPr>
              <w:spacing w:after="0"/>
              <w:rPr>
                <w:sz w:val="24"/>
                <w:szCs w:val="24"/>
                <w:color w:val="auto"/>
              </w:rPr>
            </w:pPr>
          </w:p>
        </w:tc>
        <w:tc>
          <w:tcPr>
            <w:tcW w:w="6200" w:type="dxa"/>
            <w:vAlign w:val="bottom"/>
          </w:tcPr>
          <w:p>
            <w:pPr>
              <w:jc w:val="center"/>
              <w:ind w:right="2534"/>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800" w:type="dxa"/>
            <w:vAlign w:val="bottom"/>
          </w:tcPr>
          <w:p>
            <w:pPr>
              <w:spacing w:after="0"/>
              <w:rPr>
                <w:sz w:val="15"/>
                <w:szCs w:val="15"/>
                <w:color w:val="auto"/>
              </w:rPr>
            </w:pPr>
          </w:p>
        </w:tc>
        <w:tc>
          <w:tcPr>
            <w:tcW w:w="620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98"/>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0"/>
              </w:rPr>
              <w:t>001-32871</w:t>
            </w:r>
          </w:p>
        </w:tc>
        <w:tc>
          <w:tcPr>
            <w:tcW w:w="6200" w:type="dxa"/>
            <w:vAlign w:val="bottom"/>
          </w:tcPr>
          <w:p>
            <w:pPr>
              <w:jc w:val="center"/>
              <w:ind w:left="4154"/>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800" w:type="dxa"/>
            <w:vAlign w:val="bottom"/>
          </w:tcPr>
          <w:p>
            <w:pPr>
              <w:jc w:val="center"/>
              <w:ind w:right="377"/>
              <w:spacing w:after="0"/>
              <w:rPr>
                <w:sz w:val="20"/>
                <w:szCs w:val="20"/>
                <w:color w:val="auto"/>
              </w:rPr>
            </w:pPr>
            <w:r>
              <w:rPr>
                <w:rFonts w:ascii="Arial" w:cs="Arial" w:eastAsia="Arial" w:hAnsi="Arial"/>
                <w:sz w:val="14"/>
                <w:szCs w:val="14"/>
                <w:color w:val="auto"/>
                <w:w w:val="94"/>
              </w:rPr>
              <w:t>(Commission File Number)</w:t>
            </w:r>
          </w:p>
        </w:tc>
        <w:tc>
          <w:tcPr>
            <w:tcW w:w="6200" w:type="dxa"/>
            <w:vAlign w:val="bottom"/>
          </w:tcPr>
          <w:p>
            <w:pPr>
              <w:jc w:val="center"/>
              <w:ind w:left="4134"/>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0"/>
              </w:rPr>
              <w:t>One Comcast Center</w:t>
            </w:r>
          </w:p>
        </w:tc>
        <w:tc>
          <w:tcPr>
            <w:tcW w:w="6200" w:type="dxa"/>
            <w:vAlign w:val="bottom"/>
          </w:tcPr>
          <w:p>
            <w:pPr>
              <w:spacing w:after="0"/>
              <w:rPr>
                <w:sz w:val="24"/>
                <w:szCs w:val="24"/>
                <w:color w:val="auto"/>
              </w:rPr>
            </w:pPr>
          </w:p>
        </w:tc>
      </w:tr>
      <w:tr>
        <w:trPr>
          <w:trHeight w:val="216"/>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2"/>
              </w:rPr>
              <w:t>Philadelphia, PA</w:t>
            </w:r>
          </w:p>
        </w:tc>
        <w:tc>
          <w:tcPr>
            <w:tcW w:w="6200" w:type="dxa"/>
            <w:vAlign w:val="bottom"/>
          </w:tcPr>
          <w:p>
            <w:pPr>
              <w:jc w:val="center"/>
              <w:ind w:left="4154"/>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800" w:type="dxa"/>
            <w:vAlign w:val="bottom"/>
          </w:tcPr>
          <w:p>
            <w:pPr>
              <w:jc w:val="center"/>
              <w:ind w:right="377"/>
              <w:spacing w:after="0"/>
              <w:rPr>
                <w:sz w:val="20"/>
                <w:szCs w:val="20"/>
                <w:color w:val="auto"/>
              </w:rPr>
            </w:pPr>
            <w:r>
              <w:rPr>
                <w:rFonts w:ascii="Arial" w:cs="Arial" w:eastAsia="Arial" w:hAnsi="Arial"/>
                <w:sz w:val="14"/>
                <w:szCs w:val="14"/>
                <w:color w:val="auto"/>
                <w:w w:val="95"/>
              </w:rPr>
              <w:t>(Address of Principal Executive Offices)</w:t>
            </w:r>
          </w:p>
        </w:tc>
        <w:tc>
          <w:tcPr>
            <w:tcW w:w="620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5"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July 23, 2015, Comcast Corporation (“Comcast”) issued a press release reporting the results of its operations for the three and six months ended June 30, 2015.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33"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94"/>
        </w:trPr>
        <w:tc>
          <w:tcPr>
            <w:tcW w:w="64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1"/>
              </w:rPr>
              <w:t>Number</w:t>
            </w:r>
          </w:p>
        </w:tc>
        <w:tc>
          <w:tcPr>
            <w:tcW w:w="600" w:type="dxa"/>
            <w:vAlign w:val="bottom"/>
          </w:tcPr>
          <w:p>
            <w:pPr>
              <w:spacing w:after="0"/>
              <w:rPr>
                <w:sz w:val="16"/>
                <w:szCs w:val="16"/>
                <w:color w:val="auto"/>
              </w:rPr>
            </w:pPr>
          </w:p>
        </w:tc>
        <w:tc>
          <w:tcPr>
            <w:tcW w:w="42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38"/>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3"/>
              </w:rPr>
              <w:t>Comcast Corporation press release dated July 23, 2015.</w:t>
            </w:r>
          </w:p>
        </w:tc>
      </w:tr>
      <w:tr>
        <w:trPr>
          <w:trHeight w:val="230"/>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99.2</w:t>
            </w:r>
          </w:p>
        </w:tc>
        <w:tc>
          <w:tcPr>
            <w:tcW w:w="6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1"/>
              </w:rPr>
              <w:t>Explanation of Non-GAAP and Other Financial Measures.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July 23, 2015</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c>
          <w:tcPr>
            <w:tcW w:w="4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62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ind w:left="10420"/>
        <w:spacing w:after="0"/>
        <w:rPr>
          <w:sz w:val="20"/>
          <w:szCs w:val="20"/>
          <w:color w:val="auto"/>
        </w:rPr>
      </w:pPr>
      <w:r>
        <w:rPr>
          <w:rFonts w:ascii="Arial" w:cs="Arial" w:eastAsia="Arial" w:hAnsi="Arial"/>
          <w:sz w:val="17"/>
          <w:szCs w:val="17"/>
          <w:b w:val="1"/>
          <w:bCs w:val="1"/>
          <w:color w:val="auto"/>
        </w:rPr>
        <w:t>Exhibit 99.1</w:t>
      </w:r>
    </w:p>
    <w:p>
      <w:pPr>
        <w:spacing w:after="0" w:line="204" w:lineRule="exact"/>
        <w:rPr>
          <w:sz w:val="20"/>
          <w:szCs w:val="20"/>
          <w:color w:val="auto"/>
        </w:rPr>
      </w:pPr>
    </w:p>
    <w:p>
      <w:pPr>
        <w:ind w:left="902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COMCAST REPORTS 2nd QUARTER 2015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14605</wp:posOffset>
            </wp:positionV>
            <wp:extent cx="4648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48200" cy="1714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2nd Quarter 2015 Highlights:</w:t>
      </w:r>
    </w:p>
    <w:p>
      <w:pPr>
        <w:spacing w:after="0" w:line="220"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11.3%, Operating Cash Flow Increased 8.0%, and Operating Income Increased 7.9%</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Increased 30.0%</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10.5% to $0.84; Excluding Adjustments, EPS Increased 12.0%</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Dividends and Quarterly Share Repurchases Increased $878 Million, or 65.8%, to $2.2 Billion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2nd Quarter 2015 Highlights:</w:t>
      </w:r>
    </w:p>
    <w:p>
      <w:pPr>
        <w:spacing w:after="0" w:line="139"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6.3% and Operating Cash Flow Increased 5.1%</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Relationships Increased by 31,000, a 56,000 Improvement from the Second Quarter of 2014</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per Customer Relationship Increased 4.5%</w:t>
      </w:r>
    </w:p>
    <w:p>
      <w:pPr>
        <w:spacing w:after="0" w:line="130" w:lineRule="exact"/>
        <w:rPr>
          <w:rFonts w:ascii="Arial" w:cs="Arial" w:eastAsia="Arial" w:hAnsi="Arial"/>
          <w:sz w:val="18"/>
          <w:szCs w:val="18"/>
          <w:color w:val="auto"/>
        </w:rPr>
      </w:pPr>
    </w:p>
    <w:p>
      <w:pPr>
        <w:ind w:left="660" w:right="120" w:hanging="328"/>
        <w:spacing w:after="0" w:line="262"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Customer Net Losses Declined to 69,000, a 52% Improvement from the Second Quarter of 2014, and The Best Second Quarter Result in Nine Years</w:t>
      </w:r>
    </w:p>
    <w:p>
      <w:pPr>
        <w:spacing w:after="0" w:line="88"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X1 Deployments Continue to Accelerate; Nearly One-Third of Triple Play Customers Now Have X1</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Customers Increased by 180,000 and Revenue Grew 10.0%</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Services Revenue Increased 20.4%; Second Largest Contributor to Cable Revenue Growth for 17 of the Last 18 Quarters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2nd Quarter 2015 Highlights:</w:t>
      </w:r>
    </w:p>
    <w:p>
      <w:pPr>
        <w:spacing w:after="0" w:line="139"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Increased 20.2% and Operating Cash Flow Increased 19.4%</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 Ended the Broadcast Season Ranked #1 Among Adults 18-49 for the Second Year in a Row</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Pictures is #1 in Domestic and International Box Office Receipts This Year</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Filmed Entertainment Revenue Increased 92.7% and Operating Cash Flow More Than Doubled</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Theme Parks Revenue Increased 25.7% and Operating Cash Flow Increased 44.9%</w:t>
      </w:r>
    </w:p>
    <w:p>
      <w:pPr>
        <w:spacing w:after="0" w:line="13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PHILADELPHIA – July 23, 2015… Comcast Corporation (NASDAQ: CMCSA, CMCSK) today reported results for the quarter ended June 30, 2015.</w:t>
      </w:r>
    </w:p>
    <w:p>
      <w:pPr>
        <w:spacing w:after="0" w:line="1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Brian L. Roberts, Chairman and Chief Executive Officer of Comcast Corporation, said, “Our second quarter results, including 11.3% revenue growth and 8.0% operating cash flow growth, demonstrate the strength and momentum we are seeing across our businesses. In Cable, high-speed Internet and business services continued to perform extremely well, and, significantly, this was the best second quarter video customer results we’ve had in nine years. Our focus on accelerating the deployment of our transformative X1 platform, as well as efforts to improve customer service, are clearly making a difference, with lower churn across all product categories. NBCUniversal had an exceptional quarter, led by the record-breaking box office performances of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and continued strong momentum in our theme parks. In addition, NBC won the 2014-2015 broadcast season for adults 18-49. Our teams are executing incredibly well across our strong and diversified portfolio, and I am excited for what we can deliver in the rest of 2015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jc w:val="right"/>
              <w:ind w:right="588"/>
              <w:spacing w:after="0"/>
              <w:rPr>
                <w:sz w:val="20"/>
                <w:szCs w:val="20"/>
                <w:color w:val="auto"/>
              </w:rPr>
            </w:pPr>
            <w:r>
              <w:rPr>
                <w:rFonts w:ascii="Arial" w:cs="Arial" w:eastAsia="Arial" w:hAnsi="Arial"/>
                <w:sz w:val="14"/>
                <w:szCs w:val="14"/>
                <w:color w:val="auto"/>
              </w:rPr>
              <w:t>2nd Quarter</w:t>
            </w: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jc w:val="right"/>
              <w:ind w:right="548"/>
              <w:spacing w:after="0"/>
              <w:rPr>
                <w:sz w:val="20"/>
                <w:szCs w:val="20"/>
                <w:color w:val="auto"/>
              </w:rPr>
            </w:pPr>
            <w:r>
              <w:rPr>
                <w:rFonts w:ascii="Arial" w:cs="Arial" w:eastAsia="Arial" w:hAnsi="Arial"/>
                <w:sz w:val="14"/>
                <w:szCs w:val="14"/>
                <w:color w:val="auto"/>
              </w:rPr>
              <w:t>Year to Date</w:t>
            </w:r>
          </w:p>
        </w:tc>
        <w:tc>
          <w:tcPr>
            <w:tcW w:w="800" w:type="dxa"/>
            <w:vAlign w:val="bottom"/>
          </w:tcPr>
          <w:p>
            <w:pPr>
              <w:spacing w:after="0"/>
              <w:rPr>
                <w:sz w:val="14"/>
                <w:szCs w:val="14"/>
                <w:color w:val="auto"/>
              </w:rPr>
            </w:pPr>
          </w:p>
        </w:tc>
      </w:tr>
      <w:tr>
        <w:trPr>
          <w:trHeight w:val="188"/>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1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2015</w:t>
            </w:r>
          </w:p>
        </w:tc>
        <w:tc>
          <w:tcPr>
            <w:tcW w:w="15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Growth</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11"/>
        </w:trPr>
        <w:tc>
          <w:tcPr>
            <w:tcW w:w="3140" w:type="dxa"/>
            <w:vAlign w:val="bottom"/>
          </w:tcPr>
          <w:p>
            <w:pPr>
              <w:ind w:left="40"/>
              <w:spacing w:after="0"/>
              <w:rPr>
                <w:sz w:val="20"/>
                <w:szCs w:val="20"/>
                <w:color w:val="auto"/>
              </w:rPr>
            </w:pPr>
            <w:r>
              <w:rPr>
                <w:rFonts w:ascii="Arial" w:cs="Arial" w:eastAsia="Arial" w:hAnsi="Arial"/>
                <w:sz w:val="14"/>
                <w:szCs w:val="14"/>
                <w:color w:val="auto"/>
              </w:rPr>
              <w:t>Revenue</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$16,844</w:t>
            </w:r>
          </w:p>
        </w:tc>
        <w:tc>
          <w:tcPr>
            <w:tcW w:w="1660" w:type="dxa"/>
            <w:vAlign w:val="bottom"/>
          </w:tcPr>
          <w:p>
            <w:pPr>
              <w:jc w:val="right"/>
              <w:ind w:right="408"/>
              <w:spacing w:after="0"/>
              <w:rPr>
                <w:sz w:val="20"/>
                <w:szCs w:val="20"/>
                <w:color w:val="auto"/>
              </w:rPr>
            </w:pPr>
            <w:r>
              <w:rPr>
                <w:rFonts w:ascii="Arial" w:cs="Arial" w:eastAsia="Arial" w:hAnsi="Arial"/>
                <w:sz w:val="14"/>
                <w:szCs w:val="14"/>
                <w:color w:val="auto"/>
              </w:rPr>
              <w:t>$18,743</w:t>
            </w:r>
          </w:p>
        </w:tc>
        <w:tc>
          <w:tcPr>
            <w:tcW w:w="1540" w:type="dxa"/>
            <w:vAlign w:val="bottom"/>
          </w:tcPr>
          <w:p>
            <w:pPr>
              <w:jc w:val="right"/>
              <w:ind w:right="528"/>
              <w:spacing w:after="0"/>
              <w:rPr>
                <w:sz w:val="20"/>
                <w:szCs w:val="20"/>
                <w:color w:val="auto"/>
              </w:rPr>
            </w:pPr>
            <w:r>
              <w:rPr>
                <w:rFonts w:ascii="Arial" w:cs="Arial" w:eastAsia="Arial" w:hAnsi="Arial"/>
                <w:sz w:val="14"/>
                <w:szCs w:val="14"/>
                <w:color w:val="auto"/>
              </w:rPr>
              <w:t>11.3%</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$34,252</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$36,596</w:t>
            </w: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8"/>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w:t>
            </w:r>
          </w:p>
        </w:tc>
        <w:tc>
          <w:tcPr>
            <w:tcW w:w="1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$33,149</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$36,220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9.3%</w:t>
            </w:r>
          </w:p>
        </w:tc>
      </w:tr>
      <w:tr>
        <w:trPr>
          <w:trHeight w:val="219"/>
        </w:trPr>
        <w:tc>
          <w:tcPr>
            <w:tcW w:w="3140" w:type="dxa"/>
            <w:vAlign w:val="bottom"/>
          </w:tcPr>
          <w:p>
            <w:pPr>
              <w:ind w:left="40"/>
              <w:spacing w:after="0"/>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$5,804</w:t>
            </w:r>
          </w:p>
        </w:tc>
        <w:tc>
          <w:tcPr>
            <w:tcW w:w="1660" w:type="dxa"/>
            <w:vAlign w:val="bottom"/>
          </w:tcPr>
          <w:p>
            <w:pPr>
              <w:jc w:val="right"/>
              <w:ind w:right="408"/>
              <w:spacing w:after="0"/>
              <w:rPr>
                <w:sz w:val="20"/>
                <w:szCs w:val="20"/>
                <w:color w:val="auto"/>
              </w:rPr>
            </w:pPr>
            <w:r>
              <w:rPr>
                <w:rFonts w:ascii="Arial" w:cs="Arial" w:eastAsia="Arial" w:hAnsi="Arial"/>
                <w:sz w:val="14"/>
                <w:szCs w:val="14"/>
                <w:color w:val="auto"/>
              </w:rPr>
              <w:t>$6,266</w:t>
            </w:r>
          </w:p>
        </w:tc>
        <w:tc>
          <w:tcPr>
            <w:tcW w:w="1540" w:type="dxa"/>
            <w:vAlign w:val="bottom"/>
          </w:tcPr>
          <w:p>
            <w:pPr>
              <w:jc w:val="right"/>
              <w:ind w:right="528"/>
              <w:spacing w:after="0"/>
              <w:rPr>
                <w:sz w:val="20"/>
                <w:szCs w:val="20"/>
                <w:color w:val="auto"/>
              </w:rPr>
            </w:pPr>
            <w:r>
              <w:rPr>
                <w:rFonts w:ascii="Arial" w:cs="Arial" w:eastAsia="Arial" w:hAnsi="Arial"/>
                <w:sz w:val="14"/>
                <w:szCs w:val="14"/>
                <w:color w:val="auto"/>
              </w:rPr>
              <w:t>8.0%</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$11,342</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$12,222</w:t>
            </w:r>
          </w:p>
        </w:tc>
        <w:tc>
          <w:tcPr>
            <w:tcW w:w="80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79"/>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$5,848</w:t>
            </w:r>
          </w:p>
        </w:tc>
        <w:tc>
          <w:tcPr>
            <w:tcW w:w="1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i w:val="1"/>
                <w:iCs w:val="1"/>
                <w:color w:val="auto"/>
              </w:rPr>
              <w:t>$6,345</w:t>
            </w:r>
          </w:p>
        </w:tc>
        <w:tc>
          <w:tcPr>
            <w:tcW w:w="15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i w:val="1"/>
                <w:iCs w:val="1"/>
                <w:color w:val="auto"/>
              </w:rPr>
              <w:t>8.5%</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$11,403</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$12,400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8.7%</w:t>
            </w:r>
          </w:p>
        </w:tc>
      </w:tr>
      <w:tr>
        <w:trPr>
          <w:trHeight w:val="196"/>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$3,804</w:t>
            </w:r>
          </w:p>
        </w:tc>
        <w:tc>
          <w:tcPr>
            <w:tcW w:w="1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$4,105</w:t>
            </w:r>
          </w:p>
        </w:tc>
        <w:tc>
          <w:tcPr>
            <w:tcW w:w="15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7.9%</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$7,372</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$7,995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219"/>
        </w:trPr>
        <w:tc>
          <w:tcPr>
            <w:tcW w:w="314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$0.76</w:t>
            </w:r>
          </w:p>
        </w:tc>
        <w:tc>
          <w:tcPr>
            <w:tcW w:w="1660" w:type="dxa"/>
            <w:vAlign w:val="bottom"/>
          </w:tcPr>
          <w:p>
            <w:pPr>
              <w:jc w:val="right"/>
              <w:ind w:right="408"/>
              <w:spacing w:after="0"/>
              <w:rPr>
                <w:sz w:val="20"/>
                <w:szCs w:val="20"/>
                <w:color w:val="auto"/>
              </w:rPr>
            </w:pPr>
            <w:r>
              <w:rPr>
                <w:rFonts w:ascii="Arial" w:cs="Arial" w:eastAsia="Arial" w:hAnsi="Arial"/>
                <w:sz w:val="14"/>
                <w:szCs w:val="14"/>
                <w:color w:val="auto"/>
              </w:rPr>
              <w:t>$0.84</w:t>
            </w:r>
          </w:p>
        </w:tc>
        <w:tc>
          <w:tcPr>
            <w:tcW w:w="1540" w:type="dxa"/>
            <w:vAlign w:val="bottom"/>
          </w:tcPr>
          <w:p>
            <w:pPr>
              <w:jc w:val="right"/>
              <w:ind w:right="528"/>
              <w:spacing w:after="0"/>
              <w:rPr>
                <w:sz w:val="20"/>
                <w:szCs w:val="20"/>
                <w:color w:val="auto"/>
              </w:rPr>
            </w:pPr>
            <w:r>
              <w:rPr>
                <w:rFonts w:ascii="Arial" w:cs="Arial" w:eastAsia="Arial" w:hAnsi="Arial"/>
                <w:sz w:val="14"/>
                <w:szCs w:val="14"/>
                <w:color w:val="auto"/>
              </w:rPr>
              <w:t>10.5%</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$1.65</w:t>
            </w:r>
          </w:p>
        </w:tc>
        <w:tc>
          <w:tcPr>
            <w:tcW w:w="80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79"/>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$0.75</w:t>
            </w:r>
          </w:p>
        </w:tc>
        <w:tc>
          <w:tcPr>
            <w:tcW w:w="1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i w:val="1"/>
                <w:iCs w:val="1"/>
                <w:color w:val="auto"/>
              </w:rPr>
              <w:t>$0.84</w:t>
            </w:r>
          </w:p>
        </w:tc>
        <w:tc>
          <w:tcPr>
            <w:tcW w:w="15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i w:val="1"/>
                <w:iCs w:val="1"/>
                <w:color w:val="auto"/>
              </w:rPr>
              <w:t>12.0%</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$1.43</w:t>
            </w: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$1.63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14.0%</w:t>
            </w:r>
          </w:p>
        </w:tc>
      </w:tr>
      <w:tr>
        <w:trPr>
          <w:trHeight w:val="219"/>
        </w:trPr>
        <w:tc>
          <w:tcPr>
            <w:tcW w:w="314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$1,155</w:t>
            </w:r>
          </w:p>
        </w:tc>
        <w:tc>
          <w:tcPr>
            <w:tcW w:w="1660" w:type="dxa"/>
            <w:vAlign w:val="bottom"/>
          </w:tcPr>
          <w:p>
            <w:pPr>
              <w:jc w:val="right"/>
              <w:ind w:right="408"/>
              <w:spacing w:after="0"/>
              <w:rPr>
                <w:sz w:val="20"/>
                <w:szCs w:val="20"/>
                <w:color w:val="auto"/>
              </w:rPr>
            </w:pPr>
            <w:r>
              <w:rPr>
                <w:rFonts w:ascii="Arial" w:cs="Arial" w:eastAsia="Arial" w:hAnsi="Arial"/>
                <w:sz w:val="14"/>
                <w:szCs w:val="14"/>
                <w:color w:val="auto"/>
              </w:rPr>
              <w:t>$1,501</w:t>
            </w:r>
          </w:p>
        </w:tc>
        <w:tc>
          <w:tcPr>
            <w:tcW w:w="1540" w:type="dxa"/>
            <w:vAlign w:val="bottom"/>
          </w:tcPr>
          <w:p>
            <w:pPr>
              <w:jc w:val="right"/>
              <w:ind w:right="528"/>
              <w:spacing w:after="0"/>
              <w:rPr>
                <w:sz w:val="20"/>
                <w:szCs w:val="20"/>
                <w:color w:val="auto"/>
              </w:rPr>
            </w:pPr>
            <w:r>
              <w:rPr>
                <w:rFonts w:ascii="Arial" w:cs="Arial" w:eastAsia="Arial" w:hAnsi="Arial"/>
                <w:sz w:val="14"/>
                <w:szCs w:val="14"/>
                <w:color w:val="auto"/>
              </w:rPr>
              <w:t>30.0%</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$3,979</w:t>
            </w:r>
          </w:p>
        </w:tc>
        <w:tc>
          <w:tcPr>
            <w:tcW w:w="1540" w:type="dxa"/>
            <w:vAlign w:val="bottom"/>
          </w:tcPr>
          <w:p>
            <w:pPr>
              <w:jc w:val="right"/>
              <w:ind w:right="188"/>
              <w:spacing w:after="0"/>
              <w:rPr>
                <w:sz w:val="20"/>
                <w:szCs w:val="20"/>
                <w:color w:val="auto"/>
              </w:rPr>
            </w:pPr>
            <w:r>
              <w:rPr>
                <w:rFonts w:ascii="Arial" w:cs="Arial" w:eastAsia="Arial" w:hAnsi="Arial"/>
                <w:sz w:val="14"/>
                <w:szCs w:val="14"/>
                <w:color w:val="auto"/>
              </w:rPr>
              <w:t>$4,684</w:t>
            </w:r>
          </w:p>
        </w:tc>
        <w:tc>
          <w:tcPr>
            <w:tcW w:w="800" w:type="dxa"/>
            <w:vAlign w:val="bottom"/>
          </w:tcPr>
          <w:p>
            <w:pPr>
              <w:jc w:val="right"/>
              <w:spacing w:after="0"/>
              <w:rPr>
                <w:sz w:val="20"/>
                <w:szCs w:val="20"/>
                <w:color w:val="auto"/>
              </w:rPr>
            </w:pPr>
            <w:r>
              <w:rPr>
                <w:rFonts w:ascii="Arial" w:cs="Arial" w:eastAsia="Arial" w:hAnsi="Arial"/>
                <w:sz w:val="14"/>
                <w:szCs w:val="14"/>
                <w:color w:val="auto"/>
              </w:rPr>
              <w:t>17.7%</w:t>
            </w:r>
          </w:p>
        </w:tc>
      </w:tr>
    </w:tbl>
    <w:p>
      <w:pPr>
        <w:spacing w:after="0" w:line="144"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3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second quarter of 2015 increased 11.3% to $18.7 billion.</w:t>
      </w:r>
      <w:r>
        <w:rPr>
          <w:rFonts w:ascii="Arial" w:cs="Arial" w:eastAsia="Arial" w:hAnsi="Arial"/>
          <w:sz w:val="18"/>
          <w:szCs w:val="18"/>
          <w:b w:val="1"/>
          <w:bCs w:val="1"/>
          <w:i w:val="1"/>
          <w:iCs w:val="1"/>
          <w:color w:val="auto"/>
        </w:rPr>
        <w:t xml:space="preserve"> Consolidated Operating Cash Flow </w:t>
      </w:r>
      <w:r>
        <w:rPr>
          <w:rFonts w:ascii="Arial" w:cs="Arial" w:eastAsia="Arial" w:hAnsi="Arial"/>
          <w:sz w:val="18"/>
          <w:szCs w:val="18"/>
          <w:color w:val="auto"/>
        </w:rPr>
        <w:t>increased 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$6.3 billion. Excluding $79 million of Time Warner Cable and Charter transaction-related costs in the second quarter of 2015 and $44 million in the second quarter of 2014, consolidated operating cash flow increased 8.5% (See Table 5).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7.9% to $4.1 billion.</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2015, consolidated revenue increased 6.8% to $36.6 billion. Consolidated operating cash flow increased 7.8% to $12.2 billion. Excluding $178 million of transaction-related costs in the first six months of 2015 and $61 million in the first six months of 2014, consolidated operating cash flow increased 8.7% (See Table 5). Consolidated operating income increased 8.4% to $8.0 billion.</w:t>
      </w:r>
    </w:p>
    <w:p>
      <w:pPr>
        <w:sectPr>
          <w:pgSz w:w="11900" w:h="16838" w:orient="portrait"/>
          <w:cols w:equalWidth="0" w:num="1">
            <w:col w:w="11420"/>
          </w:cols>
          <w:pgMar w:left="240" w:top="118" w:right="239" w:bottom="0" w:gutter="0" w:footer="0" w:header="0"/>
        </w:sectPr>
      </w:pPr>
    </w:p>
    <w:bookmarkStart w:id="3" w:name="page4"/>
    <w:bookmarkEnd w:id="3"/>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2015 was $ 0.84, a 10.5% increase from the $0.76 reported in the second quarter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a gain on the settlement of a contingent consideration liability with General Electric Company, a gain on the sale of an investment, a loss resulting from the early redemption of debt, transaction-related costs, and a loss on an investment in the second quarter of 2015, as well as a gain on the sale of an investment and transaction-related costs in the second quarter of 2014, EPS increased 12.0% to $0.84 (See Table 4).</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EPS for the six months ended June 30, 2015 was $1.65, a 12.2% increase from the $1.47 reported in the prior year. Excluding a gain on the settlement of a contingent consideration liability with General Electric Company, gains on the sale of an investment and business, a loss resulting from the early redemption of debt, transaction-related costs, and a loss on an investment in the first six months of 2015, as well as gains on the sales of investments, a favorable resolution of a prior acquisition contingency and transaction-related costs in the first six months of 2014, EPS increased 14.0% to $1.63 (See Table 4).</w:t>
      </w:r>
    </w:p>
    <w:p>
      <w:pPr>
        <w:spacing w:after="0" w:line="37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9.6% to $2.0 billion in the second quarter of 2015 compared to the second quarter of 2014.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capital expenditures increased 12.3% to $1.7 billion in the second quarter of 2015, primarily reflecting increased spending on customer premise equipment related to the deployment of the X1 platform and wireless gateways, our ongoing investment in network infrastructure to increase network capacity, and increased investment in support capital as we expand our cloud based initiatives. Cable capital expenditures represented 14.3% of Cable revenue in the second quarter of 2015 compared to 13.5% in last year’s second quarter. NBCUniversal’s capital expenditures decreased 8.5% to $272 million in the second quarter of 2015, primarily reflecting decreased investments in facilities, partially offset by increased spending at our Theme Parks.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2015, capital expenditures increased 13.9% to $3.7 billion compared to the prior year. Cable Communications capital expenditures increased $483 million, or 18.3%, to $3.1 billion and represented 13.5% of Cable revenue compared to 12.1% in 2014. NBCUniversal’s capital expenditures decreased $49 million, or 8.2%, to $540 million for the first six months of 2015.</w:t>
      </w:r>
    </w:p>
    <w:p>
      <w:pPr>
        <w:spacing w:after="0" w:line="3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increased 30.0% to $ 1.5 billion in the second quarter of 2015 compared to $1.2 billion in the second quarter of 2014,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in consolidated operating cash flow and improvements in working capital, partially offset by higher capital expenditures and cash taxes. Free cash flow for the six months ended June 30, 2015 increased 17.7% to $4.7 billion compared to $4.0 billion in 2014.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2nd Quarter</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Year to Date</w:t>
            </w:r>
          </w:p>
        </w:tc>
        <w:tc>
          <w:tcPr>
            <w:tcW w:w="740" w:type="dxa"/>
            <w:vAlign w:val="bottom"/>
          </w:tcPr>
          <w:p>
            <w:pPr>
              <w:spacing w:after="0"/>
              <w:rPr>
                <w:sz w:val="14"/>
                <w:szCs w:val="14"/>
                <w:color w:val="auto"/>
              </w:rPr>
            </w:pPr>
          </w:p>
        </w:tc>
      </w:tr>
      <w:tr>
        <w:trPr>
          <w:trHeight w:val="188"/>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2014</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Growth</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$5,804</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$6,266</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8.0%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$11,342</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$12,222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(1,798)</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(1,971)</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9.6%</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(3,246)</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(3,697)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(327)</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25.8%</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(550)</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1.7%</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(1,164)</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(1,241)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 on Operating Items (Including Economic Stimulus Packages)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(1,891)</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(2,025)</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7.1%</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(2,159)</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(2,289)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(638)</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(377)</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(40.9%)</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(905)</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(304)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Noncash Share-Based Compensation</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159</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8.2%</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01"/>
        </w:trPr>
        <w:tc>
          <w:tcPr>
            <w:tcW w:w="528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(52)</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2.0%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(114)</w:t>
            </w: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57"/>
        </w:trPr>
        <w:tc>
          <w:tcPr>
            <w:tcW w:w="528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Redeemable Subsidiary Preferred Stock</w:t>
            </w:r>
          </w:p>
        </w:tc>
        <w:tc>
          <w:tcPr>
            <w:tcW w:w="1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(29.0%)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Free Cash Flow (Including Economic Stimulus Packages)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$834</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$1,167</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39.9%</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$3,658</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Economic Stimulus Packages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334</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4.1%</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4"/>
                <w:szCs w:val="14"/>
                <w:b w:val="1"/>
                <w:bCs w:val="1"/>
                <w:color w:val="auto"/>
                <w:vertAlign w:val="superscript"/>
              </w:rPr>
              <w:t>3</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$1,155</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$1,501</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$3,979</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$4,684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w:t>
            </w:r>
          </w:p>
        </w:tc>
      </w:tr>
    </w:tbl>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second quarter of 2015, Comcast paid dividends totaling $628 million and repurchased 27.4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$1.6 billion. In the first six months of 2015, Comcast has repurchased 62.5 million of its common shares for $3.6 billion. As of June 30, 2015, Comcast had $6.4 billion available under its share repurchase authorization.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2nd Quarter</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Year to Date</w:t>
            </w:r>
          </w:p>
        </w:tc>
        <w:tc>
          <w:tcPr>
            <w:tcW w:w="820" w:type="dxa"/>
            <w:vAlign w:val="bottom"/>
          </w:tcPr>
          <w:p>
            <w:pPr>
              <w:spacing w:after="0"/>
              <w:rPr>
                <w:sz w:val="14"/>
                <w:szCs w:val="14"/>
                <w:color w:val="auto"/>
              </w:rPr>
            </w:pPr>
          </w:p>
        </w:tc>
      </w:tr>
      <w:tr>
        <w:trPr>
          <w:trHeight w:val="195"/>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2014</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2015</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Growth</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$5,239</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$5,431</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3.7%</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$10,417</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$10,762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2,819</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3,101</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10.0%</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5,569</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6,145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922</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903</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(2.1%)</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1,842</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965</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1,161</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20.4%</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1,882</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2,275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587</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582</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(0.9%)</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1,094</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1,086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203"/>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497</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551</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10.9%</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982</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1,082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218"/>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00" w:type="dxa"/>
            <w:vAlign w:val="bottom"/>
          </w:tcPr>
          <w:p>
            <w:pPr>
              <w:jc w:val="right"/>
              <w:ind w:right="88"/>
              <w:spacing w:after="0"/>
              <w:rPr>
                <w:sz w:val="20"/>
                <w:szCs w:val="20"/>
                <w:color w:val="auto"/>
              </w:rPr>
            </w:pPr>
            <w:r>
              <w:rPr>
                <w:rFonts w:ascii="Arial" w:cs="Arial" w:eastAsia="Arial" w:hAnsi="Arial"/>
                <w:sz w:val="14"/>
                <w:szCs w:val="14"/>
                <w:b w:val="1"/>
                <w:bCs w:val="1"/>
                <w:color w:val="auto"/>
              </w:rPr>
              <w:t>$11,029</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$11,729</w:t>
            </w: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6.3%</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$21,786</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$23,159</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181"/>
        </w:trPr>
        <w:tc>
          <w:tcPr>
            <w:tcW w:w="4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203"/>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$4,564</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$4,798</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5.1%</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$8,964</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$9,472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r>
      <w:tr>
        <w:trPr>
          <w:trHeight w:val="211"/>
        </w:trPr>
        <w:tc>
          <w:tcPr>
            <w:tcW w:w="404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1600" w:type="dxa"/>
            <w:vAlign w:val="bottom"/>
          </w:tcPr>
          <w:p>
            <w:pPr>
              <w:jc w:val="right"/>
              <w:ind w:right="88"/>
              <w:spacing w:after="0"/>
              <w:rPr>
                <w:sz w:val="20"/>
                <w:szCs w:val="20"/>
                <w:color w:val="auto"/>
              </w:rPr>
            </w:pPr>
            <w:r>
              <w:rPr>
                <w:rFonts w:ascii="Arial" w:cs="Arial" w:eastAsia="Arial" w:hAnsi="Arial"/>
                <w:sz w:val="14"/>
                <w:szCs w:val="14"/>
                <w:i w:val="1"/>
                <w:iCs w:val="1"/>
                <w:color w:val="auto"/>
              </w:rPr>
              <w:t>41.4%</w:t>
            </w:r>
          </w:p>
        </w:tc>
        <w:tc>
          <w:tcPr>
            <w:tcW w:w="1320" w:type="dxa"/>
            <w:vAlign w:val="bottom"/>
          </w:tcPr>
          <w:p>
            <w:pPr>
              <w:jc w:val="right"/>
              <w:ind w:right="248"/>
              <w:spacing w:after="0"/>
              <w:rPr>
                <w:sz w:val="20"/>
                <w:szCs w:val="20"/>
                <w:color w:val="auto"/>
              </w:rPr>
            </w:pPr>
            <w:r>
              <w:rPr>
                <w:rFonts w:ascii="Arial" w:cs="Arial" w:eastAsia="Arial" w:hAnsi="Arial"/>
                <w:sz w:val="14"/>
                <w:szCs w:val="14"/>
                <w:i w:val="1"/>
                <w:iCs w:val="1"/>
                <w:color w:val="auto"/>
              </w:rPr>
              <w:t>40.9%</w:t>
            </w:r>
          </w:p>
        </w:tc>
        <w:tc>
          <w:tcPr>
            <w:tcW w:w="12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i w:val="1"/>
                <w:iCs w:val="1"/>
                <w:color w:val="auto"/>
              </w:rPr>
              <w:t>41.1%</w:t>
            </w:r>
          </w:p>
        </w:tc>
        <w:tc>
          <w:tcPr>
            <w:tcW w:w="1280" w:type="dxa"/>
            <w:vAlign w:val="bottom"/>
          </w:tcPr>
          <w:p>
            <w:pPr>
              <w:jc w:val="right"/>
              <w:ind w:right="228"/>
              <w:spacing w:after="0"/>
              <w:rPr>
                <w:sz w:val="20"/>
                <w:szCs w:val="20"/>
                <w:color w:val="auto"/>
              </w:rPr>
            </w:pPr>
            <w:r>
              <w:rPr>
                <w:rFonts w:ascii="Arial" w:cs="Arial" w:eastAsia="Arial" w:hAnsi="Arial"/>
                <w:sz w:val="14"/>
                <w:szCs w:val="14"/>
                <w:i w:val="1"/>
                <w:iCs w:val="1"/>
                <w:color w:val="auto"/>
              </w:rPr>
              <w:t>40.9%</w:t>
            </w:r>
          </w:p>
        </w:tc>
        <w:tc>
          <w:tcPr>
            <w:tcW w:w="820" w:type="dxa"/>
            <w:vAlign w:val="bottom"/>
          </w:tcPr>
          <w:p>
            <w:pPr>
              <w:spacing w:after="0"/>
              <w:rPr>
                <w:sz w:val="18"/>
                <w:szCs w:val="18"/>
                <w:color w:val="auto"/>
              </w:rPr>
            </w:pPr>
          </w:p>
        </w:tc>
      </w:tr>
      <w:tr>
        <w:trPr>
          <w:trHeight w:val="181"/>
        </w:trPr>
        <w:tc>
          <w:tcPr>
            <w:tcW w:w="4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203"/>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$1,493</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$1,676</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12.3%</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$2,638</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$3,121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13.5%</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14.3%</w:t>
            </w: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12.1%</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13.5%</w:t>
            </w:r>
          </w:p>
        </w:tc>
        <w:tc>
          <w:tcPr>
            <w:tcW w:w="8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6.3% to $11.7 billion in the second quarter of 2015 compared to $11.0 billion in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2014, driven by increases of 10.0% in high-speed Internet, 20.4% in business services and 3.7% in video. The increase in Cable revenue reflects increased customer relationships (See below), customers receiving higher levels of service and customers taking additional services, as well as rate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2015, Cable revenue increased 6.3% to $23.2 billion compared to $21.8 billion in 2014.</w:t>
      </w:r>
    </w:p>
    <w:p>
      <w:pPr>
        <w:sectPr>
          <w:pgSz w:w="11900" w:h="16838" w:orient="portrait"/>
          <w:cols w:equalWidth="0" w:num="1">
            <w:col w:w="11420"/>
          </w:cols>
          <w:pgMar w:left="240" w:top="118"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31,000 to 27.3 million in the second quarter of 2015, a 56,000 improvement compared to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2014 and driven by increases in double and triple product relationships. At the end of the second quarter, our double and triple product customers increased to 69% of our total customer relationships compared to 68% in the second quarter of 2014. Video net losses improved 52% year-over-year to 69,000 and were the best result for a second quarter in nine years, while High-Speed Internet customers grew by 180,000 and Voice net additions were 49,000.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2980" w:type="dxa"/>
            <w:vAlign w:val="bottom"/>
          </w:tcPr>
          <w:p>
            <w:pPr>
              <w:jc w:val="right"/>
              <w:ind w:right="308"/>
              <w:spacing w:after="0"/>
              <w:rPr>
                <w:sz w:val="20"/>
                <w:szCs w:val="20"/>
                <w:color w:val="auto"/>
              </w:rPr>
            </w:pPr>
            <w:r>
              <w:rPr>
                <w:rFonts w:ascii="Arial" w:cs="Arial" w:eastAsia="Arial" w:hAnsi="Arial"/>
                <w:sz w:val="14"/>
                <w:szCs w:val="14"/>
                <w:color w:val="auto"/>
              </w:rPr>
              <w:t>Customers</w:t>
            </w:r>
          </w:p>
        </w:tc>
        <w:tc>
          <w:tcPr>
            <w:tcW w:w="1820" w:type="dxa"/>
            <w:vAlign w:val="bottom"/>
          </w:tcPr>
          <w:p>
            <w:pPr>
              <w:spacing w:after="0"/>
              <w:rPr>
                <w:sz w:val="14"/>
                <w:szCs w:val="14"/>
                <w:color w:val="auto"/>
              </w:rPr>
            </w:pPr>
          </w:p>
        </w:tc>
        <w:tc>
          <w:tcPr>
            <w:tcW w:w="2320" w:type="dxa"/>
            <w:vAlign w:val="bottom"/>
          </w:tcPr>
          <w:p>
            <w:pPr>
              <w:jc w:val="right"/>
              <w:ind w:right="48"/>
              <w:spacing w:after="0"/>
              <w:rPr>
                <w:sz w:val="20"/>
                <w:szCs w:val="20"/>
                <w:color w:val="auto"/>
              </w:rPr>
            </w:pPr>
            <w:r>
              <w:rPr>
                <w:rFonts w:ascii="Arial" w:cs="Arial" w:eastAsia="Arial" w:hAnsi="Arial"/>
                <w:sz w:val="14"/>
                <w:szCs w:val="14"/>
                <w:color w:val="auto"/>
              </w:rPr>
              <w:t>Net Additions</w:t>
            </w:r>
          </w:p>
        </w:tc>
        <w:tc>
          <w:tcPr>
            <w:tcW w:w="560" w:type="dxa"/>
            <w:vAlign w:val="bottom"/>
          </w:tcPr>
          <w:p>
            <w:pPr>
              <w:spacing w:after="0"/>
              <w:rPr>
                <w:sz w:val="14"/>
                <w:szCs w:val="14"/>
                <w:color w:val="auto"/>
              </w:rPr>
            </w:pPr>
          </w:p>
        </w:tc>
      </w:tr>
      <w:tr>
        <w:trPr>
          <w:trHeight w:val="249"/>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9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2Q14</w:t>
            </w:r>
          </w:p>
        </w:tc>
        <w:tc>
          <w:tcPr>
            <w:tcW w:w="18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2Q15</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2Q14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2Q15</w:t>
            </w:r>
          </w:p>
        </w:tc>
      </w:tr>
      <w:tr>
        <w:trPr>
          <w:trHeight w:val="16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29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22,457</w:t>
            </w:r>
          </w:p>
        </w:tc>
        <w:tc>
          <w:tcPr>
            <w:tcW w:w="18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22,306</w:t>
            </w:r>
          </w:p>
        </w:tc>
        <w:tc>
          <w:tcPr>
            <w:tcW w:w="23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(144)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156"/>
        </w:trPr>
        <w:tc>
          <w:tcPr>
            <w:tcW w:w="37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High-Speed Internet Customers</w:t>
            </w:r>
          </w:p>
        </w:tc>
        <w:tc>
          <w:tcPr>
            <w:tcW w:w="298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21,271</w:t>
            </w:r>
          </w:p>
        </w:tc>
        <w:tc>
          <w:tcPr>
            <w:tcW w:w="182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22,548</w:t>
            </w:r>
          </w:p>
        </w:tc>
        <w:tc>
          <w:tcPr>
            <w:tcW w:w="232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rPr>
              <w:t>203</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w:t>
            </w:r>
          </w:p>
        </w:tc>
      </w:tr>
      <w:tr>
        <w:trPr>
          <w:trHeight w:val="156"/>
        </w:trPr>
        <w:tc>
          <w:tcPr>
            <w:tcW w:w="37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Voice Customers</w:t>
            </w:r>
          </w:p>
        </w:tc>
        <w:tc>
          <w:tcPr>
            <w:tcW w:w="298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11,003</w:t>
            </w:r>
          </w:p>
        </w:tc>
        <w:tc>
          <w:tcPr>
            <w:tcW w:w="182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11,319</w:t>
            </w:r>
          </w:p>
        </w:tc>
        <w:tc>
          <w:tcPr>
            <w:tcW w:w="232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rPr>
              <w:t>137</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w:t>
            </w:r>
          </w:p>
        </w:tc>
      </w:tr>
      <w:tr>
        <w:trPr>
          <w:trHeight w:val="142"/>
        </w:trPr>
        <w:tc>
          <w:tcPr>
            <w:tcW w:w="374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r>
      <w:tr>
        <w:trPr>
          <w:trHeight w:val="156"/>
        </w:trPr>
        <w:tc>
          <w:tcPr>
            <w:tcW w:w="37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Single Product Customers</w:t>
            </w:r>
          </w:p>
        </w:tc>
        <w:tc>
          <w:tcPr>
            <w:tcW w:w="298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8,510</w:t>
            </w:r>
          </w:p>
        </w:tc>
        <w:tc>
          <w:tcPr>
            <w:tcW w:w="182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8,343</w:t>
            </w:r>
          </w:p>
        </w:tc>
        <w:tc>
          <w:tcPr>
            <w:tcW w:w="232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rPr>
              <w:t>(95)</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r>
      <w:tr>
        <w:trPr>
          <w:trHeight w:val="156"/>
        </w:trPr>
        <w:tc>
          <w:tcPr>
            <w:tcW w:w="37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Double Product Customers</w:t>
            </w:r>
          </w:p>
        </w:tc>
        <w:tc>
          <w:tcPr>
            <w:tcW w:w="298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8,574</w:t>
            </w:r>
          </w:p>
        </w:tc>
        <w:tc>
          <w:tcPr>
            <w:tcW w:w="182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8,936</w:t>
            </w:r>
          </w:p>
        </w:tc>
        <w:tc>
          <w:tcPr>
            <w:tcW w:w="232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rPr>
              <w:t>(82)</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r>
      <w:tr>
        <w:trPr>
          <w:trHeight w:val="163"/>
        </w:trPr>
        <w:tc>
          <w:tcPr>
            <w:tcW w:w="37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Triple Product Customers</w:t>
            </w:r>
          </w:p>
        </w:tc>
        <w:tc>
          <w:tcPr>
            <w:tcW w:w="2980" w:type="dxa"/>
            <w:vAlign w:val="bottom"/>
            <w:tcBorders>
              <w:bottom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rPr>
              <w:t>9,691</w:t>
            </w:r>
          </w:p>
        </w:tc>
        <w:tc>
          <w:tcPr>
            <w:tcW w:w="182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rPr>
              <w:t>9,987</w:t>
            </w:r>
          </w:p>
        </w:tc>
        <w:tc>
          <w:tcPr>
            <w:tcW w:w="232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rPr>
              <w:t>152</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w:t>
            </w:r>
          </w:p>
        </w:tc>
      </w:tr>
      <w:tr>
        <w:trPr>
          <w:trHeight w:val="190"/>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2980" w:type="dxa"/>
            <w:vAlign w:val="bottom"/>
          </w:tcPr>
          <w:p>
            <w:pPr>
              <w:jc w:val="right"/>
              <w:ind w:right="788"/>
              <w:spacing w:after="0"/>
              <w:rPr>
                <w:sz w:val="20"/>
                <w:szCs w:val="20"/>
                <w:color w:val="auto"/>
              </w:rPr>
            </w:pPr>
            <w:r>
              <w:rPr>
                <w:rFonts w:ascii="Arial" w:cs="Arial" w:eastAsia="Arial" w:hAnsi="Arial"/>
                <w:sz w:val="14"/>
                <w:szCs w:val="14"/>
                <w:b w:val="1"/>
                <w:bCs w:val="1"/>
                <w:color w:val="auto"/>
              </w:rPr>
              <w:t>26,775</w:t>
            </w:r>
          </w:p>
        </w:tc>
        <w:tc>
          <w:tcPr>
            <w:tcW w:w="1820" w:type="dxa"/>
            <w:vAlign w:val="bottom"/>
          </w:tcPr>
          <w:p>
            <w:pPr>
              <w:jc w:val="right"/>
              <w:ind w:right="948"/>
              <w:spacing w:after="0"/>
              <w:rPr>
                <w:sz w:val="20"/>
                <w:szCs w:val="20"/>
                <w:color w:val="auto"/>
              </w:rPr>
            </w:pPr>
            <w:r>
              <w:rPr>
                <w:rFonts w:ascii="Arial" w:cs="Arial" w:eastAsia="Arial" w:hAnsi="Arial"/>
                <w:sz w:val="14"/>
                <w:szCs w:val="14"/>
                <w:b w:val="1"/>
                <w:bCs w:val="1"/>
                <w:color w:val="auto"/>
              </w:rPr>
              <w:t>27,265</w:t>
            </w:r>
          </w:p>
        </w:tc>
        <w:tc>
          <w:tcPr>
            <w:tcW w:w="2320" w:type="dxa"/>
            <w:vAlign w:val="bottom"/>
          </w:tcPr>
          <w:p>
            <w:pPr>
              <w:jc w:val="right"/>
              <w:ind w:right="848"/>
              <w:spacing w:after="0"/>
              <w:rPr>
                <w:sz w:val="20"/>
                <w:szCs w:val="20"/>
                <w:color w:val="auto"/>
              </w:rPr>
            </w:pPr>
            <w:r>
              <w:rPr>
                <w:rFonts w:ascii="Arial" w:cs="Arial" w:eastAsia="Arial" w:hAnsi="Arial"/>
                <w:sz w:val="14"/>
                <w:szCs w:val="14"/>
                <w:b w:val="1"/>
                <w:bCs w:val="1"/>
                <w:color w:val="auto"/>
              </w:rPr>
              <w:t>(25)</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bl>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5.1% to $ 4.8 billion in the second quarter of 2015 compared to $ 4.6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2014, reflecting higher revenue, partially offset by a 7.2% increase in operating expenses primarily related to higher video programming costs, as well as an increase in technical and product support expenses driven by an acceleration in the deployment of X1 and investments to improve the customer experience. As a result, this quarter’s operating cash flow margin was 40.9% compared to 41.4% in the prior year period.</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2015, Cable operating cash flow increased 5.7% to $9.5 billion compared to $9.0 billion in 2014. Year-to-date operating cash flow margin was 40.9% compared to 41.1% in 2014.</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2nd Quarter</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Year to Date</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8"/>
        </w:trPr>
        <w:tc>
          <w:tcPr>
            <w:tcW w:w="3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Excluding</w:t>
            </w:r>
          </w:p>
        </w:tc>
      </w:tr>
      <w:tr>
        <w:trPr>
          <w:trHeight w:val="162"/>
        </w:trPr>
        <w:tc>
          <w:tcPr>
            <w:tcW w:w="3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Olympics</w:t>
            </w:r>
          </w:p>
        </w:tc>
      </w:tr>
      <w:tr>
        <w:trPr>
          <w:trHeight w:val="162"/>
        </w:trPr>
        <w:tc>
          <w:tcPr>
            <w:tcW w:w="3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&amp; Super</w:t>
            </w:r>
          </w:p>
        </w:tc>
      </w:tr>
      <w:tr>
        <w:trPr>
          <w:trHeight w:val="178"/>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Growth</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Growth</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Bowl</w:t>
            </w:r>
          </w:p>
        </w:tc>
      </w:tr>
      <w:tr>
        <w:trPr>
          <w:trHeight w:val="203"/>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NBCUniversal Revenue</w:t>
            </w:r>
          </w:p>
        </w:tc>
        <w:tc>
          <w:tcPr>
            <w:tcW w:w="1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$2,476</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$2,450</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$4,981</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$4,809</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1,816</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1,813</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(0.2%)</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4,437</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4,061</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1,176</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2,266</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92.7%</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2,527</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3,712</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46.9%</w:t>
            </w:r>
          </w:p>
        </w:tc>
        <w:tc>
          <w:tcPr>
            <w:tcW w:w="920" w:type="dxa"/>
            <w:vAlign w:val="bottom"/>
            <w:tcBorders>
              <w:bottom w:val="single" w:sz="8" w:color="auto"/>
            </w:tcBorders>
          </w:tcPr>
          <w:p>
            <w:pPr>
              <w:spacing w:after="0"/>
              <w:rPr>
                <w:sz w:val="17"/>
                <w:szCs w:val="17"/>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615</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773</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25.7%</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1,102</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1,424</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29.2%</w:t>
            </w:r>
          </w:p>
        </w:tc>
        <w:tc>
          <w:tcPr>
            <w:tcW w:w="920" w:type="dxa"/>
            <w:vAlign w:val="bottom"/>
            <w:tcBorders>
              <w:bottom w:val="single" w:sz="8" w:color="auto"/>
            </w:tcBorders>
          </w:tcPr>
          <w:p>
            <w:pPr>
              <w:spacing w:after="0"/>
              <w:rPr>
                <w:sz w:val="17"/>
                <w:szCs w:val="17"/>
                <w:color w:val="auto"/>
              </w:rPr>
            </w:pPr>
          </w:p>
        </w:tc>
      </w:tr>
      <w:tr>
        <w:trPr>
          <w:trHeight w:val="203"/>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(72)</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NM</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(172)</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c>
          <w:tcPr>
            <w:tcW w:w="920" w:type="dxa"/>
            <w:vAlign w:val="bottom"/>
            <w:tcBorders>
              <w:bottom w:val="single" w:sz="8" w:color="auto"/>
            </w:tcBorders>
          </w:tcPr>
          <w:p>
            <w:pPr>
              <w:spacing w:after="0"/>
              <w:rPr>
                <w:sz w:val="17"/>
                <w:szCs w:val="17"/>
                <w:color w:val="auto"/>
              </w:rPr>
            </w:pPr>
          </w:p>
        </w:tc>
      </w:tr>
      <w:tr>
        <w:trPr>
          <w:trHeight w:val="218"/>
        </w:trPr>
        <w:tc>
          <w:tcPr>
            <w:tcW w:w="308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$6,016</w:t>
            </w: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$7,230</w:t>
            </w:r>
          </w:p>
        </w:tc>
        <w:tc>
          <w:tcPr>
            <w:tcW w:w="12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$12,892</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$13,834</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7.3%</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14.2%</w:t>
            </w:r>
          </w:p>
        </w:tc>
      </w:tr>
      <w:tr>
        <w:trPr>
          <w:trHeight w:val="174"/>
        </w:trPr>
        <w:tc>
          <w:tcPr>
            <w:tcW w:w="30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NBCUniversal Operating Cash Flow</w:t>
            </w:r>
          </w:p>
        </w:tc>
        <w:tc>
          <w:tcPr>
            <w:tcW w:w="1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$914</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$872</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(4.6%)</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$1,809</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$1,770</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w:t>
            </w:r>
          </w:p>
        </w:tc>
        <w:tc>
          <w:tcPr>
            <w:tcW w:w="920" w:type="dxa"/>
            <w:vAlign w:val="bottom"/>
            <w:tcBorders>
              <w:bottom w:val="single" w:sz="8" w:color="auto"/>
            </w:tcBorders>
          </w:tcPr>
          <w:p>
            <w:pPr>
              <w:spacing w:after="0"/>
              <w:rPr>
                <w:sz w:val="17"/>
                <w:szCs w:val="17"/>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240</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231</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(3.7%)</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362</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413</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14.0%</w:t>
            </w:r>
          </w:p>
        </w:tc>
        <w:tc>
          <w:tcPr>
            <w:tcW w:w="920" w:type="dxa"/>
            <w:vAlign w:val="bottom"/>
            <w:tcBorders>
              <w:bottom w:val="single" w:sz="8" w:color="auto"/>
            </w:tcBorders>
          </w:tcPr>
          <w:p>
            <w:pPr>
              <w:spacing w:after="0"/>
              <w:rPr>
                <w:sz w:val="17"/>
                <w:szCs w:val="17"/>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422</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116.6%</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483</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715</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48.1%</w:t>
            </w:r>
          </w:p>
        </w:tc>
        <w:tc>
          <w:tcPr>
            <w:tcW w:w="920" w:type="dxa"/>
            <w:vAlign w:val="bottom"/>
            <w:tcBorders>
              <w:bottom w:val="single" w:sz="8" w:color="auto"/>
            </w:tcBorders>
          </w:tcPr>
          <w:p>
            <w:pPr>
              <w:spacing w:after="0"/>
              <w:rPr>
                <w:sz w:val="17"/>
                <w:szCs w:val="17"/>
                <w:color w:val="auto"/>
              </w:rPr>
            </w:pP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244</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354</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44.9%</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414</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617</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48.9%</w:t>
            </w:r>
          </w:p>
        </w:tc>
        <w:tc>
          <w:tcPr>
            <w:tcW w:w="920" w:type="dxa"/>
            <w:vAlign w:val="bottom"/>
            <w:tcBorders>
              <w:bottom w:val="single" w:sz="8" w:color="auto"/>
            </w:tcBorders>
          </w:tcPr>
          <w:p>
            <w:pPr>
              <w:spacing w:after="0"/>
              <w:rPr>
                <w:sz w:val="17"/>
                <w:szCs w:val="17"/>
                <w:color w:val="auto"/>
              </w:rPr>
            </w:pPr>
          </w:p>
        </w:tc>
      </w:tr>
      <w:tr>
        <w:trPr>
          <w:trHeight w:val="203"/>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(167)</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NM</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(323)</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(309)</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c>
          <w:tcPr>
            <w:tcW w:w="920" w:type="dxa"/>
            <w:vAlign w:val="bottom"/>
            <w:tcBorders>
              <w:bottom w:val="single" w:sz="8" w:color="auto"/>
            </w:tcBorders>
          </w:tcPr>
          <w:p>
            <w:pPr>
              <w:spacing w:after="0"/>
              <w:rPr>
                <w:sz w:val="17"/>
                <w:szCs w:val="17"/>
                <w:color w:val="auto"/>
              </w:rPr>
            </w:pPr>
          </w:p>
        </w:tc>
      </w:tr>
      <w:tr>
        <w:trPr>
          <w:trHeight w:val="218"/>
        </w:trPr>
        <w:tc>
          <w:tcPr>
            <w:tcW w:w="308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$1,434</w:t>
            </w: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$1,712</w:t>
            </w:r>
          </w:p>
        </w:tc>
        <w:tc>
          <w:tcPr>
            <w:tcW w:w="1260" w:type="dxa"/>
            <w:vAlign w:val="bottom"/>
          </w:tcPr>
          <w:p>
            <w:pPr>
              <w:jc w:val="right"/>
              <w:ind w:right="348"/>
              <w:spacing w:after="0"/>
              <w:rPr>
                <w:sz w:val="20"/>
                <w:szCs w:val="20"/>
                <w:color w:val="auto"/>
              </w:rPr>
            </w:pPr>
            <w:r>
              <w:rPr>
                <w:rFonts w:ascii="Arial" w:cs="Arial" w:eastAsia="Arial" w:hAnsi="Arial"/>
                <w:sz w:val="14"/>
                <w:szCs w:val="14"/>
                <w:b w:val="1"/>
                <w:bCs w:val="1"/>
                <w:color w:val="auto"/>
              </w:rPr>
              <w:t>19.4%</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$2,745</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$3,206</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16.8%</w:t>
            </w:r>
          </w:p>
        </w:tc>
        <w:tc>
          <w:tcPr>
            <w:tcW w:w="920" w:type="dxa"/>
            <w:vAlign w:val="bottom"/>
          </w:tcPr>
          <w:p>
            <w:pPr>
              <w:spacing w:after="0"/>
              <w:rPr>
                <w:sz w:val="18"/>
                <w:szCs w:val="18"/>
                <w:color w:val="auto"/>
              </w:rPr>
            </w:pPr>
          </w:p>
        </w:tc>
      </w:tr>
    </w:tbl>
    <w:p>
      <w:pPr>
        <w:spacing w:after="0" w:line="1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NM=comparison not meaningful.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20.2% to $7.2 billion in the second quarter of 2015 compared to $ 6.0 billion in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2014.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19.4% to $1.7 billion compared to $1.4 billion in the second quarter of 2014, driven by strong results at Filmed Entertainment and Theme Parks.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2015, NBCUniversal revenue increased 7.3% to $13.8 billion compared to $12.9 billion in 2014. Excluding $376 million of revenue generated by the broadcast of the NFL’s Super Bowl in the first quarter of 2015 and $1.1 billion of revenue generated by the Sochi Olympics in the first quarter of 2014, revenue increased 14.2% (See Table 5). Operating cash flow increased 16.8% to $3.2 billion compared to $2.7 billion in the first six months of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second quarter of 2015, revenue from the Cable Networks segment decreased 1.0% to $2.5 billion, reflecting a 26.3% decrease in content licensing and other revenue due to the timing of content provided under our licensing agreements and a 3.0% decline in advertising revenue, partially offset by a 5.6% increase in distribution revenue. Operating cash flow decreased 4.6% to $872 million compared to $914 million in the second quarter of 2014, reflecting lower revenue and modest increases in other operating and administrative expenses.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2015, revenue from the Cable Networks segment decreased 3.5% to $4.8 billion compared to $5.0 billion in 2014. Excluding $257 million of revenue generated by the Sochi Olympics in the first quarter of 2014, revenue increased 1.8% (See Table 5). Operating cash flow decreased 2.2% to $1.8 billion in the first six months of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ectPr>
          <w:pgSz w:w="11900" w:h="16838" w:orient="portrait"/>
          <w:cols w:equalWidth="0" w:num="1">
            <w:col w:w="11420"/>
          </w:cols>
          <w:pgMar w:left="240" w:top="347" w:right="239" w:bottom="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8"/>
          <w:szCs w:val="18"/>
          <w:color w:val="auto"/>
        </w:rPr>
        <w:t>For the second quarter of 2015, revenue from the Broadcast Television segment remained flat at $1.8 billion, reflecting a slight increase in advertising revenue and higher retransmission consent fees, which were offset by lower content licensing revenue. Operating cash flow decreased 3.7% to $231 million compared to the second quarter of 2014, primarily reflecting increases in other operating and administrative expenses, which were largely offset by a decrease in programming and production costs associated with the timing of the airing of certain shows in our primetime schedule.</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2015, revenue from the Broadcast Television segment decreased 8.5% to $4.1 billion compared to $4.4 billion in 2014. Excluding $376 million of revenue generated by the NFL’s Super Bowl in the first quarter of 2015, as well as $846 million of revenue generated by the Sochi Olympics in the first quarter of 2014, revenue increased 2.6% (See Table 5). Operating cash flow increased 14.0% to $413 million compared to $362 million in the first six months of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second quarter of 2015, revenue from the Filmed Entertainment segment increased 92.7% to $2.3 billion, driven by higher theatrical revenue from the record performances of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 World</w:t>
      </w:r>
      <w:r>
        <w:rPr>
          <w:rFonts w:ascii="Arial" w:cs="Arial" w:eastAsia="Arial" w:hAnsi="Arial"/>
          <w:sz w:val="18"/>
          <w:szCs w:val="18"/>
          <w:color w:val="auto"/>
        </w:rPr>
        <w:t>. Operating cash flow increased $227 million to $422 million, reflecting higher revenue, partially offset by an increase in the amortization of film costs and higher advertising, marketing and promotion expense due to a larger film slate.</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2015, revenue from the Filmed Entertainment segment increased 46.9% to $3.7 billion compared to $2.5 billion in 2014. Operating cash flow increased 48.1% to $715 million compared to $483 million in the first six months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second quarter of 2015, revenue from the Theme Parks segment increased 25.7% to $773 million compared to $615 million in the second quarter of 2014, reflecting higher guest attendance and per capita spending, driven by the continued success of Orlando’s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Wizarding World of Harry Potter</w:t>
      </w:r>
      <w:r>
        <w:rPr>
          <w:rFonts w:ascii="Arial" w:cs="Arial" w:eastAsia="Arial" w:hAnsi="Arial"/>
          <w:sz w:val="18"/>
          <w:szCs w:val="18"/>
          <w:color w:val="auto"/>
        </w:rPr>
        <w:t>™</w:t>
      </w:r>
      <w:r>
        <w:rPr>
          <w:rFonts w:ascii="Arial" w:cs="Arial" w:eastAsia="Arial" w:hAnsi="Arial"/>
          <w:sz w:val="18"/>
          <w:szCs w:val="18"/>
          <w:i w:val="1"/>
          <w:iCs w:val="1"/>
          <w:color w:val="auto"/>
        </w:rPr>
        <w:t xml:space="preserve"> – Diagon Alley</w:t>
      </w:r>
      <w:r>
        <w:rPr>
          <w:rFonts w:ascii="Arial" w:cs="Arial" w:eastAsia="Arial" w:hAnsi="Arial"/>
          <w:sz w:val="18"/>
          <w:szCs w:val="18"/>
          <w:color w:val="auto"/>
        </w:rPr>
        <w:t>™. Second quarter operating cash flow increased 44.9% to $354 million compared to $244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last year, reflecting higher revenue, partially offset by an increase in operating costs to support the new attractions.</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six months ended June 30, 2015, revenue from the Theme Parks segment increased 29.2% to $1.4 billion compared to $1.1 billion in 2014. Operating cash flow increased 48.9% to $617 million compared to $414 million in the first six months of 2014.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June 30, 2015, NBCUniversal Headquarters, Other and Eliminations operating cash flow loss was $167 million compared to a loss of $159 million in the second quarter of 2014.</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2015, NBCUniversal Headquarters, Other and Eliminations operating cash flow loss was $309 million compared to a loss of $323 million in 2014.</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Comcast-Spectacor and eliminations among Comcast’s businesses. For the quarter ended June 30, 2015, Corporate, Other and Eliminations revenue was ($216) million compared to ($201) million in 2014. The operating cash flow loss was $244 million, including $79 million of transaction-related costs, compared to a loss of $194 million in the second quarter of 2014, which included $44 million of transaction-related costs.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2015, Corporate, Other and Eliminations revenue was ($397) million compared to ($426) million in 2014. The operating cash flow loss was $ 456 million, including $178 million of transaction-related costs, compared to a loss of $367 million in the first six months of 2014, which included $61 million of transaction-related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 w:lineRule="exact"/>
        <w:rPr>
          <w:sz w:val="20"/>
          <w:szCs w:val="20"/>
          <w:color w:val="auto"/>
        </w:rPr>
      </w:pPr>
    </w:p>
    <w:p>
      <w:pPr>
        <w:jc w:val="both"/>
        <w:ind w:left="180" w:right="20" w:hanging="161"/>
        <w:spacing w:after="0" w:line="246" w:lineRule="auto"/>
        <w:rPr>
          <w:sz w:val="20"/>
          <w:szCs w:val="20"/>
          <w:color w:val="auto"/>
        </w:rPr>
      </w:pPr>
      <w:r>
        <w:rPr>
          <w:rFonts w:ascii="Arial" w:cs="Arial" w:eastAsia="Arial" w:hAnsi="Arial"/>
          <w:sz w:val="18"/>
          <w:szCs w:val="18"/>
          <w:color w:val="auto"/>
        </w:rPr>
        <w:t>1 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1"/>
        <w:spacing w:after="0" w:line="238" w:lineRule="auto"/>
        <w:rPr>
          <w:sz w:val="20"/>
          <w:szCs w:val="20"/>
          <w:color w:val="auto"/>
        </w:rPr>
      </w:pPr>
      <w:r>
        <w:rPr>
          <w:rFonts w:ascii="Arial" w:cs="Arial" w:eastAsia="Arial" w:hAnsi="Arial"/>
          <w:sz w:val="18"/>
          <w:szCs w:val="18"/>
          <w:color w:val="auto"/>
        </w:rPr>
        <w:t>3 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23, 2015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Those parties interested in participating via telephone should dial (800) 263-8495 with the conference ID number 60425188. A replay of the call will be available starting at 12:30 p.m. ET on July 23, 2015, on the Investor Relations website or by telephone. To access the telephone replay, which will be available until Friday, July 31, 2015 at midnight ET, please dial (855) 859-2056 and enter the conference ID number 60425188.</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subscribe to email alerts.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5186680</wp:posOffset>
            </wp:positionH>
            <wp:positionV relativeFrom="paragraph">
              <wp:posOffset>-267335</wp:posOffset>
            </wp:positionV>
            <wp:extent cx="28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220" w:type="dxa"/>
            <w:vAlign w:val="bottom"/>
          </w:tcPr>
          <w:p>
            <w:pPr>
              <w:jc w:val="right"/>
              <w:ind w:right="1661"/>
              <w:spacing w:after="0"/>
              <w:rPr>
                <w:sz w:val="20"/>
                <w:szCs w:val="20"/>
                <w:color w:val="auto"/>
              </w:rPr>
            </w:pPr>
            <w:r>
              <w:rPr>
                <w:rFonts w:ascii="Arial" w:cs="Arial" w:eastAsia="Arial" w:hAnsi="Arial"/>
                <w:sz w:val="16"/>
                <w:szCs w:val="16"/>
                <w:color w:val="auto"/>
              </w:rPr>
              <w:t>###</w:t>
            </w:r>
          </w:p>
        </w:tc>
        <w:tc>
          <w:tcPr>
            <w:tcW w:w="3880" w:type="dxa"/>
            <w:vAlign w:val="bottom"/>
          </w:tcPr>
          <w:p>
            <w:pPr>
              <w:spacing w:after="0"/>
              <w:rPr>
                <w:sz w:val="16"/>
                <w:szCs w:val="16"/>
                <w:color w:val="auto"/>
              </w:rPr>
            </w:pPr>
          </w:p>
        </w:tc>
      </w:tr>
      <w:tr>
        <w:trPr>
          <w:trHeight w:val="575"/>
        </w:trPr>
        <w:tc>
          <w:tcPr>
            <w:tcW w:w="174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20" w:type="dxa"/>
            <w:vAlign w:val="bottom"/>
          </w:tcPr>
          <w:p>
            <w:pPr>
              <w:spacing w:after="0"/>
              <w:rPr>
                <w:sz w:val="24"/>
                <w:szCs w:val="24"/>
                <w:color w:val="auto"/>
              </w:rPr>
            </w:pPr>
          </w:p>
        </w:tc>
        <w:tc>
          <w:tcPr>
            <w:tcW w:w="3220" w:type="dxa"/>
            <w:vAlign w:val="bottom"/>
          </w:tcPr>
          <w:p>
            <w:pPr>
              <w:ind w:left="1700"/>
              <w:spacing w:after="0"/>
              <w:rPr>
                <w:sz w:val="20"/>
                <w:szCs w:val="20"/>
                <w:color w:val="auto"/>
              </w:rPr>
            </w:pPr>
            <w:r>
              <w:rPr>
                <w:rFonts w:ascii="Arial" w:cs="Arial" w:eastAsia="Arial" w:hAnsi="Arial"/>
                <w:sz w:val="16"/>
                <w:szCs w:val="16"/>
                <w:b w:val="1"/>
                <w:bCs w:val="1"/>
                <w:color w:val="auto"/>
              </w:rPr>
              <w:t>Press Contacts:</w:t>
            </w:r>
          </w:p>
        </w:tc>
        <w:tc>
          <w:tcPr>
            <w:tcW w:w="3880" w:type="dxa"/>
            <w:vAlign w:val="bottom"/>
          </w:tcPr>
          <w:p>
            <w:pPr>
              <w:spacing w:after="0"/>
              <w:rPr>
                <w:sz w:val="24"/>
                <w:szCs w:val="24"/>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6"/>
                <w:szCs w:val="16"/>
                <w:color w:val="auto"/>
              </w:rPr>
              <w:t>Jason Armstrong</w:t>
            </w:r>
          </w:p>
        </w:tc>
        <w:tc>
          <w:tcPr>
            <w:tcW w:w="2620" w:type="dxa"/>
            <w:vAlign w:val="bottom"/>
          </w:tcPr>
          <w:p>
            <w:pPr>
              <w:jc w:val="right"/>
              <w:ind w:right="1119"/>
              <w:spacing w:after="0"/>
              <w:rPr>
                <w:sz w:val="20"/>
                <w:szCs w:val="20"/>
                <w:color w:val="auto"/>
              </w:rPr>
            </w:pPr>
            <w:r>
              <w:rPr>
                <w:rFonts w:ascii="Arial" w:cs="Arial" w:eastAsia="Arial" w:hAnsi="Arial"/>
                <w:sz w:val="16"/>
                <w:szCs w:val="16"/>
                <w:color w:val="auto"/>
              </w:rPr>
              <w:t>(215) 286-7972</w:t>
            </w:r>
          </w:p>
        </w:tc>
        <w:tc>
          <w:tcPr>
            <w:tcW w:w="3220" w:type="dxa"/>
            <w:vAlign w:val="bottom"/>
          </w:tcPr>
          <w:p>
            <w:pPr>
              <w:ind w:left="1700"/>
              <w:spacing w:after="0"/>
              <w:rPr>
                <w:sz w:val="20"/>
                <w:szCs w:val="20"/>
                <w:color w:val="auto"/>
              </w:rPr>
            </w:pPr>
            <w:r>
              <w:rPr>
                <w:rFonts w:ascii="Arial" w:cs="Arial" w:eastAsia="Arial" w:hAnsi="Arial"/>
                <w:sz w:val="16"/>
                <w:szCs w:val="16"/>
                <w:color w:val="auto"/>
              </w:rPr>
              <w:t>D’Arcy Rudnay</w:t>
            </w:r>
          </w:p>
        </w:tc>
        <w:tc>
          <w:tcPr>
            <w:tcW w:w="3880" w:type="dxa"/>
            <w:vAlign w:val="bottom"/>
          </w:tcPr>
          <w:p>
            <w:pPr>
              <w:jc w:val="right"/>
              <w:ind w:right="2419"/>
              <w:spacing w:after="0"/>
              <w:rPr>
                <w:sz w:val="20"/>
                <w:szCs w:val="20"/>
                <w:color w:val="auto"/>
              </w:rPr>
            </w:pPr>
            <w:r>
              <w:rPr>
                <w:rFonts w:ascii="Arial" w:cs="Arial" w:eastAsia="Arial" w:hAnsi="Arial"/>
                <w:sz w:val="16"/>
                <w:szCs w:val="16"/>
                <w:color w:val="auto"/>
              </w:rPr>
              <w:t>(215) 286-8582</w:t>
            </w:r>
          </w:p>
        </w:tc>
      </w:tr>
      <w:tr>
        <w:trPr>
          <w:trHeight w:val="195"/>
        </w:trPr>
        <w:tc>
          <w:tcPr>
            <w:tcW w:w="1740" w:type="dxa"/>
            <w:vAlign w:val="bottom"/>
          </w:tcPr>
          <w:p>
            <w:pPr>
              <w:spacing w:after="0"/>
              <w:rPr>
                <w:sz w:val="20"/>
                <w:szCs w:val="20"/>
                <w:color w:val="auto"/>
              </w:rPr>
            </w:pPr>
            <w:r>
              <w:rPr>
                <w:rFonts w:ascii="Arial" w:cs="Arial" w:eastAsia="Arial" w:hAnsi="Arial"/>
                <w:sz w:val="16"/>
                <w:szCs w:val="16"/>
                <w:color w:val="auto"/>
              </w:rPr>
              <w:t>Jane Kearns</w:t>
            </w:r>
          </w:p>
        </w:tc>
        <w:tc>
          <w:tcPr>
            <w:tcW w:w="2620" w:type="dxa"/>
            <w:vAlign w:val="bottom"/>
          </w:tcPr>
          <w:p>
            <w:pPr>
              <w:jc w:val="right"/>
              <w:ind w:right="1119"/>
              <w:spacing w:after="0"/>
              <w:rPr>
                <w:sz w:val="20"/>
                <w:szCs w:val="20"/>
                <w:color w:val="auto"/>
              </w:rPr>
            </w:pPr>
            <w:r>
              <w:rPr>
                <w:rFonts w:ascii="Arial" w:cs="Arial" w:eastAsia="Arial" w:hAnsi="Arial"/>
                <w:sz w:val="16"/>
                <w:szCs w:val="16"/>
                <w:color w:val="auto"/>
              </w:rPr>
              <w:t>(215) 286-4794</w:t>
            </w:r>
          </w:p>
        </w:tc>
        <w:tc>
          <w:tcPr>
            <w:tcW w:w="3220" w:type="dxa"/>
            <w:vAlign w:val="bottom"/>
          </w:tcPr>
          <w:p>
            <w:pPr>
              <w:ind w:left="1700"/>
              <w:spacing w:after="0"/>
              <w:rPr>
                <w:sz w:val="20"/>
                <w:szCs w:val="20"/>
                <w:color w:val="auto"/>
              </w:rPr>
            </w:pPr>
            <w:r>
              <w:rPr>
                <w:rFonts w:ascii="Arial" w:cs="Arial" w:eastAsia="Arial" w:hAnsi="Arial"/>
                <w:sz w:val="16"/>
                <w:szCs w:val="16"/>
                <w:color w:val="auto"/>
              </w:rPr>
              <w:t>John Demming</w:t>
            </w:r>
          </w:p>
        </w:tc>
        <w:tc>
          <w:tcPr>
            <w:tcW w:w="3880" w:type="dxa"/>
            <w:vAlign w:val="bottom"/>
          </w:tcPr>
          <w:p>
            <w:pPr>
              <w:jc w:val="right"/>
              <w:ind w:right="2419"/>
              <w:spacing w:after="0"/>
              <w:rPr>
                <w:sz w:val="20"/>
                <w:szCs w:val="20"/>
                <w:color w:val="auto"/>
              </w:rPr>
            </w:pPr>
            <w:r>
              <w:rPr>
                <w:rFonts w:ascii="Arial" w:cs="Arial" w:eastAsia="Arial" w:hAnsi="Arial"/>
                <w:sz w:val="16"/>
                <w:szCs w:val="16"/>
                <w:color w:val="auto"/>
              </w:rPr>
              <w:t>(215) 286-8011</w:t>
            </w:r>
          </w:p>
        </w:tc>
      </w:tr>
      <w:tr>
        <w:trPr>
          <w:trHeight w:val="372"/>
        </w:trPr>
        <w:tc>
          <w:tcPr>
            <w:tcW w:w="1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20" w:type="dxa"/>
            <w:vAlign w:val="bottom"/>
          </w:tcPr>
          <w:p>
            <w:pPr>
              <w:jc w:val="right"/>
              <w:ind w:right="1741"/>
              <w:spacing w:after="0"/>
              <w:rPr>
                <w:sz w:val="20"/>
                <w:szCs w:val="20"/>
                <w:color w:val="auto"/>
              </w:rPr>
            </w:pPr>
            <w:r>
              <w:rPr>
                <w:rFonts w:ascii="Arial" w:cs="Arial" w:eastAsia="Arial" w:hAnsi="Arial"/>
                <w:sz w:val="14"/>
                <w:szCs w:val="14"/>
                <w:color w:val="auto"/>
              </w:rPr>
              <w:t>6</w:t>
            </w:r>
          </w:p>
        </w:tc>
        <w:tc>
          <w:tcPr>
            <w:tcW w:w="3880" w:type="dxa"/>
            <w:vAlign w:val="bottom"/>
          </w:tcPr>
          <w:p>
            <w:pPr>
              <w:spacing w:after="0"/>
              <w:rPr>
                <w:sz w:val="24"/>
                <w:szCs w:val="24"/>
                <w:color w:val="auto"/>
              </w:rPr>
            </w:pPr>
          </w:p>
        </w:tc>
      </w:tr>
      <w:tr>
        <w:trPr>
          <w:trHeight w:val="117"/>
        </w:trPr>
        <w:tc>
          <w:tcPr>
            <w:tcW w:w="174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443865</wp:posOffset>
            </wp:positionV>
            <wp:extent cx="960755"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Three Months Ended</w:t>
            </w:r>
          </w:p>
        </w:tc>
        <w:tc>
          <w:tcPr>
            <w:tcW w:w="2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7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9"/>
              </w:rPr>
              <w:t>June 30,</w:t>
            </w: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17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3"/>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2014</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2014</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880" w:type="dxa"/>
            <w:vAlign w:val="bottom"/>
            <w:vMerge w:val="continue"/>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$16,844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$18,743</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$34,252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$36,596</w:t>
            </w:r>
          </w:p>
        </w:tc>
        <w:tc>
          <w:tcPr>
            <w:tcW w:w="0" w:type="dxa"/>
            <w:vAlign w:val="bottom"/>
          </w:tcPr>
          <w:p>
            <w:pPr>
              <w:spacing w:after="0"/>
              <w:rPr>
                <w:sz w:val="1"/>
                <w:szCs w:val="1"/>
                <w:color w:val="auto"/>
              </w:rPr>
            </w:pPr>
          </w:p>
        </w:tc>
      </w:tr>
      <w:tr>
        <w:trPr>
          <w:trHeight w:val="346"/>
        </w:trPr>
        <w:tc>
          <w:tcPr>
            <w:tcW w:w="58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5,669</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10,782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11,132</w:t>
            </w: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4,922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5,280</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9,671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10,359</w:t>
            </w:r>
          </w:p>
        </w:tc>
        <w:tc>
          <w:tcPr>
            <w:tcW w:w="0" w:type="dxa"/>
            <w:vAlign w:val="bottom"/>
          </w:tcPr>
          <w:p>
            <w:pPr>
              <w:spacing w:after="0"/>
              <w:rPr>
                <w:sz w:val="1"/>
                <w:szCs w:val="1"/>
                <w:color w:val="auto"/>
              </w:rPr>
            </w:pPr>
          </w:p>
        </w:tc>
      </w:tr>
      <w:tr>
        <w:trPr>
          <w:trHeight w:val="225"/>
        </w:trPr>
        <w:tc>
          <w:tcPr>
            <w:tcW w:w="588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1,244</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1,528</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2,883</w:t>
            </w: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11,040</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12,477</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22,910</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24,374</w:t>
            </w:r>
          </w:p>
        </w:tc>
        <w:tc>
          <w:tcPr>
            <w:tcW w:w="0" w:type="dxa"/>
            <w:vAlign w:val="bottom"/>
          </w:tcPr>
          <w:p>
            <w:pPr>
              <w:spacing w:after="0"/>
              <w:rPr>
                <w:sz w:val="1"/>
                <w:szCs w:val="1"/>
                <w:color w:val="auto"/>
              </w:rPr>
            </w:pPr>
          </w:p>
        </w:tc>
      </w:tr>
      <w:tr>
        <w:trPr>
          <w:trHeight w:val="412"/>
        </w:trPr>
        <w:tc>
          <w:tcPr>
            <w:tcW w:w="588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5,804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6,266</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11,342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12,222</w:t>
            </w:r>
          </w:p>
        </w:tc>
        <w:tc>
          <w:tcPr>
            <w:tcW w:w="0" w:type="dxa"/>
            <w:vAlign w:val="bottom"/>
          </w:tcPr>
          <w:p>
            <w:pPr>
              <w:spacing w:after="0"/>
              <w:rPr>
                <w:sz w:val="1"/>
                <w:szCs w:val="1"/>
                <w:color w:val="auto"/>
              </w:rPr>
            </w:pPr>
          </w:p>
        </w:tc>
      </w:tr>
      <w:tr>
        <w:trPr>
          <w:trHeight w:val="369"/>
        </w:trPr>
        <w:tc>
          <w:tcPr>
            <w:tcW w:w="58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1,674</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3,308</w:t>
            </w:r>
          </w:p>
        </w:tc>
        <w:tc>
          <w:tcPr>
            <w:tcW w:w="0" w:type="dxa"/>
            <w:vAlign w:val="bottom"/>
          </w:tcPr>
          <w:p>
            <w:pPr>
              <w:spacing w:after="0"/>
              <w:rPr>
                <w:sz w:val="1"/>
                <w:szCs w:val="1"/>
                <w:color w:val="auto"/>
              </w:rPr>
            </w:pPr>
          </w:p>
        </w:tc>
      </w:tr>
      <w:tr>
        <w:trPr>
          <w:trHeight w:val="225"/>
        </w:trPr>
        <w:tc>
          <w:tcPr>
            <w:tcW w:w="588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487</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919</w:t>
            </w:r>
          </w:p>
        </w:tc>
        <w:tc>
          <w:tcPr>
            <w:tcW w:w="0" w:type="dxa"/>
            <w:vAlign w:val="bottom"/>
          </w:tcPr>
          <w:p>
            <w:pPr>
              <w:spacing w:after="0"/>
              <w:rPr>
                <w:sz w:val="1"/>
                <w:szCs w:val="1"/>
                <w:color w:val="auto"/>
              </w:rPr>
            </w:pPr>
          </w:p>
        </w:tc>
      </w:tr>
      <w:tr>
        <w:trPr>
          <w:trHeight w:val="196"/>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2,000</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2,161</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3,970</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4,227</w:t>
            </w:r>
          </w:p>
        </w:tc>
        <w:tc>
          <w:tcPr>
            <w:tcW w:w="0" w:type="dxa"/>
            <w:vAlign w:val="bottom"/>
          </w:tcPr>
          <w:p>
            <w:pPr>
              <w:spacing w:after="0"/>
              <w:rPr>
                <w:sz w:val="1"/>
                <w:szCs w:val="1"/>
                <w:color w:val="auto"/>
              </w:rPr>
            </w:pPr>
          </w:p>
        </w:tc>
      </w:tr>
      <w:tr>
        <w:trPr>
          <w:trHeight w:val="232"/>
        </w:trPr>
        <w:tc>
          <w:tcPr>
            <w:tcW w:w="5880" w:type="dxa"/>
            <w:vAlign w:val="bottom"/>
            <w:vMerge w:val="continue"/>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3,804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4,105</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7,995</w:t>
            </w:r>
          </w:p>
        </w:tc>
        <w:tc>
          <w:tcPr>
            <w:tcW w:w="0" w:type="dxa"/>
            <w:vAlign w:val="bottom"/>
          </w:tcPr>
          <w:p>
            <w:pPr>
              <w:spacing w:after="0"/>
              <w:rPr>
                <w:sz w:val="1"/>
                <w:szCs w:val="1"/>
                <w:color w:val="auto"/>
              </w:rPr>
            </w:pPr>
          </w:p>
        </w:tc>
      </w:tr>
      <w:tr>
        <w:trPr>
          <w:trHeight w:val="368"/>
        </w:trPr>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(713)</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(1,369)</w:t>
            </w:r>
          </w:p>
        </w:tc>
        <w:tc>
          <w:tcPr>
            <w:tcW w:w="0" w:type="dxa"/>
            <w:vAlign w:val="bottom"/>
          </w:tcPr>
          <w:p>
            <w:pPr>
              <w:spacing w:after="0"/>
              <w:rPr>
                <w:sz w:val="1"/>
                <w:szCs w:val="1"/>
                <w:color w:val="auto"/>
              </w:rPr>
            </w:pPr>
          </w:p>
        </w:tc>
      </w:tr>
      <w:tr>
        <w:trPr>
          <w:trHeight w:val="181"/>
        </w:trPr>
        <w:tc>
          <w:tcPr>
            <w:tcW w:w="588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(648)</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(1,290)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3"/>
        </w:trPr>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(236)</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25"/>
        </w:trPr>
        <w:tc>
          <w:tcPr>
            <w:tcW w:w="58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315</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417</w:t>
            </w: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(617)</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(1,057)</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(1,105)</w:t>
            </w:r>
          </w:p>
        </w:tc>
        <w:tc>
          <w:tcPr>
            <w:tcW w:w="0" w:type="dxa"/>
            <w:vAlign w:val="bottom"/>
          </w:tcPr>
          <w:p>
            <w:pPr>
              <w:spacing w:after="0"/>
              <w:rPr>
                <w:sz w:val="1"/>
                <w:szCs w:val="1"/>
                <w:color w:val="auto"/>
              </w:rPr>
            </w:pPr>
          </w:p>
        </w:tc>
      </w:tr>
      <w:tr>
        <w:trPr>
          <w:trHeight w:val="412"/>
        </w:trPr>
        <w:tc>
          <w:tcPr>
            <w:tcW w:w="5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3,488</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6,315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6,890</w:t>
            </w:r>
          </w:p>
        </w:tc>
        <w:tc>
          <w:tcPr>
            <w:tcW w:w="0" w:type="dxa"/>
            <w:vAlign w:val="bottom"/>
          </w:tcPr>
          <w:p>
            <w:pPr>
              <w:spacing w:after="0"/>
              <w:rPr>
                <w:sz w:val="1"/>
                <w:szCs w:val="1"/>
                <w:color w:val="auto"/>
              </w:rPr>
            </w:pPr>
          </w:p>
        </w:tc>
      </w:tr>
      <w:tr>
        <w:trPr>
          <w:trHeight w:val="392"/>
        </w:trPr>
        <w:tc>
          <w:tcPr>
            <w:tcW w:w="5880" w:type="dxa"/>
            <w:vAlign w:val="bottom"/>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(2,574)</w:t>
            </w:r>
          </w:p>
        </w:tc>
        <w:tc>
          <w:tcPr>
            <w:tcW w:w="0" w:type="dxa"/>
            <w:vAlign w:val="bottom"/>
          </w:tcPr>
          <w:p>
            <w:pPr>
              <w:spacing w:after="0"/>
              <w:rPr>
                <w:sz w:val="1"/>
                <w:szCs w:val="1"/>
                <w:color w:val="auto"/>
              </w:rPr>
            </w:pPr>
          </w:p>
        </w:tc>
      </w:tr>
      <w:tr>
        <w:trPr>
          <w:trHeight w:val="412"/>
        </w:trPr>
        <w:tc>
          <w:tcPr>
            <w:tcW w:w="58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2,175</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4,316</w:t>
            </w:r>
          </w:p>
        </w:tc>
        <w:tc>
          <w:tcPr>
            <w:tcW w:w="0" w:type="dxa"/>
            <w:vAlign w:val="bottom"/>
          </w:tcPr>
          <w:p>
            <w:pPr>
              <w:spacing w:after="0"/>
              <w:rPr>
                <w:sz w:val="1"/>
                <w:szCs w:val="1"/>
                <w:color w:val="auto"/>
              </w:rPr>
            </w:pPr>
          </w:p>
        </w:tc>
      </w:tr>
      <w:tr>
        <w:trPr>
          <w:trHeight w:val="391"/>
        </w:trPr>
        <w:tc>
          <w:tcPr>
            <w:tcW w:w="588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7"/>
        </w:trPr>
        <w:tc>
          <w:tcPr>
            <w:tcW w:w="5880" w:type="dxa"/>
            <w:vAlign w:val="bottom"/>
          </w:tcPr>
          <w:p>
            <w:pPr>
              <w:ind w:left="360"/>
              <w:spacing w:after="0"/>
              <w:rPr>
                <w:sz w:val="20"/>
                <w:szCs w:val="20"/>
                <w:color w:val="auto"/>
              </w:rPr>
            </w:pPr>
            <w:r>
              <w:rPr>
                <w:rFonts w:ascii="Arial" w:cs="Arial" w:eastAsia="Arial" w:hAnsi="Arial"/>
                <w:sz w:val="18"/>
                <w:szCs w:val="18"/>
                <w:color w:val="auto"/>
              </w:rPr>
              <w:t>redeemable subsidiary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$1,992</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$2,137</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$3,863</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$4,196</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$0.84</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r>
        <w:trPr>
          <w:trHeight w:val="212"/>
        </w:trPr>
        <w:tc>
          <w:tcPr>
            <w:tcW w:w="588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$0.76</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330"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 attributable to Comcast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$0.25</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$0.225</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2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2,628</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2,531</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2,636</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2,544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60" w:type="dxa"/>
            <w:vAlign w:val="bottom"/>
            <w:vMerge w:val="restart"/>
          </w:tcPr>
          <w:p>
            <w:pPr>
              <w:jc w:val="right"/>
              <w:ind w:right="39"/>
              <w:spacing w:after="0"/>
              <w:rPr>
                <w:sz w:val="20"/>
                <w:szCs w:val="20"/>
                <w:color w:val="auto"/>
              </w:rPr>
            </w:pPr>
            <w:r>
              <w:rPr>
                <w:rFonts w:ascii="Arial" w:cs="Arial" w:eastAsia="Arial" w:hAnsi="Arial"/>
                <w:sz w:val="14"/>
                <w:szCs w:val="14"/>
                <w:color w:val="auto"/>
              </w:rPr>
              <w:t>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5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358140</wp:posOffset>
            </wp:positionV>
            <wp:extent cx="995045" cy="43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20"/>
                <w:szCs w:val="20"/>
                <w:color w:val="auto"/>
              </w:rPr>
            </w:pPr>
            <w:r>
              <w:rPr>
                <w:rFonts w:ascii="Arial" w:cs="Arial" w:eastAsia="Arial" w:hAnsi="Arial"/>
                <w:sz w:val="18"/>
                <w:szCs w:val="18"/>
                <w:color w:val="auto"/>
              </w:rPr>
              <w:t>(in millions)</w:t>
            </w: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December 31,</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3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$3,486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360"/>
              <w:spacing w:after="0" w:line="181" w:lineRule="exact"/>
              <w:rPr>
                <w:sz w:val="20"/>
                <w:szCs w:val="20"/>
                <w:color w:val="auto"/>
              </w:rPr>
            </w:pPr>
            <w:r>
              <w:rPr>
                <w:rFonts w:ascii="Arial" w:cs="Arial" w:eastAsia="Arial" w:hAnsi="Arial"/>
                <w:sz w:val="18"/>
                <w:szCs w:val="18"/>
                <w:color w:val="auto"/>
              </w:rPr>
              <w:t>Cash and cash equivalents</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$3,910</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Investments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602</w:t>
            </w:r>
          </w:p>
        </w:tc>
        <w:tc>
          <w:tcPr>
            <w:tcW w:w="28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Receivables,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6,321</w:t>
            </w:r>
          </w:p>
        </w:tc>
        <w:tc>
          <w:tcPr>
            <w:tcW w:w="28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Programming rights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839</w:t>
            </w:r>
          </w:p>
        </w:tc>
        <w:tc>
          <w:tcPr>
            <w:tcW w:w="28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1,859</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540"/>
              <w:spacing w:after="0" w:line="197" w:lineRule="exact"/>
              <w:rPr>
                <w:sz w:val="20"/>
                <w:szCs w:val="20"/>
                <w:color w:val="auto"/>
              </w:rPr>
            </w:pPr>
            <w:r>
              <w:rPr>
                <w:rFonts w:ascii="Arial" w:cs="Arial" w:eastAsia="Arial" w:hAnsi="Arial"/>
                <w:sz w:val="18"/>
                <w:szCs w:val="18"/>
                <w:color w:val="auto"/>
              </w:rPr>
              <w:t>Total current assets</w:t>
            </w:r>
          </w:p>
        </w:tc>
        <w:tc>
          <w:tcPr>
            <w:tcW w:w="136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13,531</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13,319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00" w:type="dxa"/>
            <w:vAlign w:val="bottom"/>
          </w:tcPr>
          <w:p>
            <w:pPr>
              <w:ind w:left="180"/>
              <w:spacing w:after="0"/>
              <w:rPr>
                <w:sz w:val="20"/>
                <w:szCs w:val="20"/>
                <w:color w:val="auto"/>
              </w:rPr>
            </w:pPr>
            <w:r>
              <w:rPr>
                <w:rFonts w:ascii="Arial" w:cs="Arial" w:eastAsia="Arial" w:hAnsi="Arial"/>
                <w:sz w:val="18"/>
                <w:szCs w:val="18"/>
                <w:color w:val="auto"/>
              </w:rPr>
              <w:t>Film and television costs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5,727</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5,751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3,135</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2,999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30,953</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31,572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59,364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27,316</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27,422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16,980</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16,802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0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2,333</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0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$159,339</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$159,674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$5,880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36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$5,638</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Accrued participations and residuals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1,347</w:t>
            </w:r>
          </w:p>
        </w:tc>
        <w:tc>
          <w:tcPr>
            <w:tcW w:w="28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915</w:t>
            </w:r>
          </w:p>
        </w:tc>
        <w:tc>
          <w:tcPr>
            <w:tcW w:w="28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1,122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5,293</w:t>
            </w:r>
          </w:p>
        </w:tc>
        <w:tc>
          <w:tcPr>
            <w:tcW w:w="280" w:type="dxa"/>
            <w:vAlign w:val="bottom"/>
          </w:tcPr>
          <w:p>
            <w:pPr>
              <w:spacing w:after="0"/>
              <w:rPr>
                <w:sz w:val="17"/>
                <w:szCs w:val="17"/>
                <w:color w:val="auto"/>
              </w:rPr>
            </w:pP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5,093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4,217</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540"/>
              <w:spacing w:after="0" w:line="197" w:lineRule="exact"/>
              <w:rPr>
                <w:sz w:val="20"/>
                <w:szCs w:val="20"/>
                <w:color w:val="auto"/>
              </w:rPr>
            </w:pPr>
            <w:r>
              <w:rPr>
                <w:rFonts w:ascii="Arial" w:cs="Arial" w:eastAsia="Arial" w:hAnsi="Arial"/>
                <w:sz w:val="18"/>
                <w:szCs w:val="18"/>
                <w:color w:val="auto"/>
              </w:rPr>
              <w:t>Total current liabilities</w:t>
            </w:r>
          </w:p>
        </w:tc>
        <w:tc>
          <w:tcPr>
            <w:tcW w:w="136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17,410</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17,565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00" w:type="dxa"/>
            <w:vAlign w:val="bottom"/>
          </w:tcPr>
          <w:p>
            <w:pPr>
              <w:ind w:left="180"/>
              <w:spacing w:after="0"/>
              <w:rPr>
                <w:sz w:val="20"/>
                <w:szCs w:val="20"/>
                <w:color w:val="auto"/>
              </w:rPr>
            </w:pPr>
            <w:r>
              <w:rPr>
                <w:rFonts w:ascii="Arial" w:cs="Arial" w:eastAsia="Arial" w:hAnsi="Arial"/>
                <w:sz w:val="18"/>
                <w:szCs w:val="18"/>
                <w:color w:val="auto"/>
              </w:rPr>
              <w:t>Long-term debt, less current portion</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44,017</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44,636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32,959</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33,198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10,819</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10,438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ind w:left="18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1,108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00" w:type="dxa"/>
            <w:vAlign w:val="bottom"/>
          </w:tcPr>
          <w:p>
            <w:pPr>
              <w:ind w:left="180"/>
              <w:spacing w:after="0"/>
              <w:rPr>
                <w:sz w:val="20"/>
                <w:szCs w:val="20"/>
                <w:color w:val="auto"/>
              </w:rPr>
            </w:pPr>
            <w:r>
              <w:rPr>
                <w:rFonts w:ascii="Arial" w:cs="Arial" w:eastAsia="Arial" w:hAnsi="Arial"/>
                <w:sz w:val="18"/>
                <w:szCs w:val="18"/>
                <w:color w:val="auto"/>
              </w:rPr>
              <w:t>Equity</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52,400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360"/>
              <w:spacing w:after="0" w:line="181" w:lineRule="exact"/>
              <w:rPr>
                <w:sz w:val="20"/>
                <w:szCs w:val="20"/>
                <w:color w:val="auto"/>
              </w:rPr>
            </w:pPr>
            <w:r>
              <w:rPr>
                <w:rFonts w:ascii="Arial" w:cs="Arial" w:eastAsia="Arial" w:hAnsi="Arial"/>
                <w:sz w:val="18"/>
                <w:szCs w:val="18"/>
                <w:color w:val="auto"/>
              </w:rPr>
              <w:t>Comcast Corporation shareholders’ equity</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52,711</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540"/>
              <w:spacing w:after="0" w:line="197" w:lineRule="exact"/>
              <w:rPr>
                <w:sz w:val="20"/>
                <w:szCs w:val="20"/>
                <w:color w:val="auto"/>
              </w:rPr>
            </w:pPr>
            <w:r>
              <w:rPr>
                <w:rFonts w:ascii="Arial" w:cs="Arial" w:eastAsia="Arial" w:hAnsi="Arial"/>
                <w:sz w:val="18"/>
                <w:szCs w:val="18"/>
                <w:color w:val="auto"/>
              </w:rPr>
              <w:t>Total equity</w:t>
            </w:r>
          </w:p>
        </w:tc>
        <w:tc>
          <w:tcPr>
            <w:tcW w:w="136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53,068</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52,729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30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$159,339</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$159,674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 w:lineRule="exact"/>
        <w:rPr>
          <w:sz w:val="20"/>
          <w:szCs w:val="20"/>
          <w:color w:val="auto"/>
        </w:rPr>
      </w:pPr>
    </w:p>
    <w:p>
      <w:pPr>
        <w:sectPr>
          <w:pgSz w:w="11900" w:h="16838" w:orient="portrait"/>
          <w:cols w:equalWidth="0" w:num="1">
            <w:col w:w="11460"/>
          </w:cols>
          <w:pgMar w:left="240" w:top="315" w:right="199" w:bottom="113"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20"/>
                <w:szCs w:val="20"/>
                <w:color w:val="auto"/>
              </w:rPr>
            </w:pPr>
            <w:r>
              <w:rPr>
                <w:rFonts w:ascii="Arial" w:cs="Arial" w:eastAsia="Arial" w:hAnsi="Arial"/>
                <w:sz w:val="18"/>
                <w:szCs w:val="18"/>
                <w:color w:val="auto"/>
              </w:rPr>
              <w:t>(in millions)</w:t>
            </w:r>
          </w:p>
        </w:tc>
        <w:tc>
          <w:tcPr>
            <w:tcW w:w="31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9"/>
              </w:rPr>
              <w:t>Six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spacing w:after="0"/>
              <w:rPr>
                <w:sz w:val="19"/>
                <w:szCs w:val="19"/>
                <w:color w:val="auto"/>
              </w:rPr>
            </w:pPr>
          </w:p>
        </w:tc>
        <w:tc>
          <w:tcPr>
            <w:tcW w:w="20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9"/>
              </w:rPr>
              <w:t>June 30,</w:t>
            </w:r>
          </w:p>
        </w:tc>
        <w:tc>
          <w:tcPr>
            <w:tcW w:w="11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rPr>
                <w:sz w:val="17"/>
                <w:szCs w:val="17"/>
                <w:color w:val="auto"/>
              </w:rPr>
            </w:pPr>
          </w:p>
        </w:tc>
        <w:tc>
          <w:tcPr>
            <w:tcW w:w="150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2014</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$3,963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$4,316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3,970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4,227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294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Noncash interest expense (income),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Equity in net (income) losses of investees,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203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Cash received from investees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Net (gain) loss on investment activity and other</w:t>
            </w:r>
          </w:p>
        </w:tc>
        <w:tc>
          <w:tcPr>
            <w:tcW w:w="150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111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Current and noncurrent receivables,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(707)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Film and television costs, net</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176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109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60"/>
              <w:spacing w:after="0"/>
              <w:rPr>
                <w:sz w:val="20"/>
                <w:szCs w:val="20"/>
                <w:color w:val="auto"/>
              </w:rPr>
            </w:pPr>
            <w:r>
              <w:rPr>
                <w:rFonts w:ascii="Arial" w:cs="Arial" w:eastAsia="Arial" w:hAnsi="Arial"/>
                <w:sz w:val="18"/>
                <w:szCs w:val="18"/>
                <w:color w:val="auto"/>
              </w:rPr>
              <w:t>Other operating assets and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7,547</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8,834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(3,246)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(3,697)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(600)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and construction of real estate properties</w:t>
            </w: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net of cash acquired</w:t>
            </w:r>
          </w:p>
        </w:tc>
        <w:tc>
          <w:tcPr>
            <w:tcW w:w="1500" w:type="dxa"/>
            <w:vAlign w:val="bottom"/>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sales of businesses and investments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395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(repayments of) short-term borrowings, net</w:t>
            </w:r>
          </w:p>
        </w:tc>
        <w:tc>
          <w:tcPr>
            <w:tcW w:w="150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2,187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3,996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repayments of debt</w:t>
            </w:r>
          </w:p>
        </w:tc>
        <w:tc>
          <w:tcPr>
            <w:tcW w:w="1500" w:type="dxa"/>
            <w:vAlign w:val="bottom"/>
          </w:tcPr>
          <w:p>
            <w:pPr>
              <w:jc w:val="right"/>
              <w:spacing w:after="0"/>
              <w:rPr>
                <w:sz w:val="20"/>
                <w:szCs w:val="20"/>
                <w:color w:val="auto"/>
              </w:rPr>
            </w:pPr>
            <w:r>
              <w:rPr>
                <w:rFonts w:ascii="Arial" w:cs="Arial" w:eastAsia="Arial" w:hAnsi="Arial"/>
                <w:sz w:val="18"/>
                <w:szCs w:val="18"/>
                <w:color w:val="auto"/>
              </w:rPr>
              <w:t>(3,163)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(3,666)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retirements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(3,585)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(1,200)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Issuances of common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50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3,910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$3,486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82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39" w:lineRule="exact"/>
        <w:rPr>
          <w:sz w:val="20"/>
          <w:szCs w:val="20"/>
          <w:color w:val="auto"/>
        </w:rPr>
      </w:pPr>
    </w:p>
    <w:p>
      <w:pPr>
        <w:ind w:right="2940"/>
        <w:spacing w:after="0" w:line="261"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9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2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Borders>
              <w:right w:val="single" w:sz="8" w:color="auto"/>
            </w:tcBorders>
            <w:gridSpan w:val="3"/>
          </w:tcPr>
          <w:p>
            <w:pPr>
              <w:jc w:val="center"/>
              <w:ind w:right="12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4"/>
                <w:szCs w:val="14"/>
                <w:color w:val="auto"/>
              </w:rPr>
            </w:pPr>
          </w:p>
        </w:tc>
      </w:tr>
      <w:tr>
        <w:trPr>
          <w:trHeight w:val="175"/>
        </w:trPr>
        <w:tc>
          <w:tcPr>
            <w:tcW w:w="4720" w:type="dxa"/>
            <w:vAlign w:val="bottom"/>
          </w:tcPr>
          <w:p>
            <w:pPr>
              <w:spacing w:after="0"/>
              <w:rPr>
                <w:sz w:val="20"/>
                <w:szCs w:val="20"/>
                <w:color w:val="auto"/>
              </w:rPr>
            </w:pPr>
            <w:r>
              <w:rPr>
                <w:rFonts w:ascii="Arial" w:cs="Arial" w:eastAsia="Arial" w:hAnsi="Arial"/>
                <w:sz w:val="14"/>
                <w:szCs w:val="14"/>
                <w:color w:val="auto"/>
              </w:rPr>
              <w:t>(in millions)</w:t>
            </w:r>
          </w:p>
        </w:tc>
        <w:tc>
          <w:tcPr>
            <w:tcW w:w="102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176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142"/>
        </w:trPr>
        <w:tc>
          <w:tcPr>
            <w:tcW w:w="4720" w:type="dxa"/>
            <w:vAlign w:val="bottom"/>
          </w:tcPr>
          <w:p>
            <w:pPr>
              <w:spacing w:after="0" w:line="143" w:lineRule="exact"/>
              <w:rPr>
                <w:sz w:val="20"/>
                <w:szCs w:val="20"/>
                <w:color w:val="auto"/>
              </w:rPr>
            </w:pPr>
            <w:r>
              <w:rPr>
                <w:rFonts w:ascii="Arial" w:cs="Arial" w:eastAsia="Arial" w:hAnsi="Arial"/>
                <w:sz w:val="14"/>
                <w:szCs w:val="14"/>
                <w:color w:val="auto"/>
              </w:rPr>
              <w:t>Operating income</w:t>
            </w:r>
          </w:p>
        </w:tc>
        <w:tc>
          <w:tcPr>
            <w:tcW w:w="10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$3,804</w:t>
            </w:r>
          </w:p>
        </w:tc>
        <w:tc>
          <w:tcPr>
            <w:tcW w:w="800" w:type="dxa"/>
            <w:vAlign w:val="bottom"/>
          </w:tcPr>
          <w:p>
            <w:pPr>
              <w:spacing w:after="0"/>
              <w:rPr>
                <w:sz w:val="12"/>
                <w:szCs w:val="12"/>
                <w:color w:val="auto"/>
              </w:rPr>
            </w:pPr>
          </w:p>
        </w:tc>
        <w:tc>
          <w:tcPr>
            <w:tcW w:w="96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$4,105</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$7,372</w:t>
            </w:r>
          </w:p>
        </w:tc>
        <w:tc>
          <w:tcPr>
            <w:tcW w:w="7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b w:val="1"/>
                <w:bCs w:val="1"/>
                <w:color w:val="auto"/>
              </w:rPr>
              <w:t>$7,995</w:t>
            </w:r>
          </w:p>
        </w:tc>
      </w:tr>
      <w:tr>
        <w:trPr>
          <w:trHeight w:val="175"/>
        </w:trPr>
        <w:tc>
          <w:tcPr>
            <w:tcW w:w="47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17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2,161</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3,970</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4,227</w:t>
            </w:r>
          </w:p>
        </w:tc>
      </w:tr>
      <w:tr>
        <w:trPr>
          <w:trHeight w:val="142"/>
        </w:trPr>
        <w:tc>
          <w:tcPr>
            <w:tcW w:w="4720" w:type="dxa"/>
            <w:vAlign w:val="bottom"/>
          </w:tcPr>
          <w:p>
            <w:pPr>
              <w:spacing w:after="0" w:line="143" w:lineRule="exact"/>
              <w:rPr>
                <w:sz w:val="20"/>
                <w:szCs w:val="20"/>
                <w:color w:val="auto"/>
              </w:rPr>
            </w:pPr>
            <w:r>
              <w:rPr>
                <w:rFonts w:ascii="Arial" w:cs="Arial" w:eastAsia="Arial" w:hAnsi="Arial"/>
                <w:sz w:val="14"/>
                <w:szCs w:val="14"/>
                <w:color w:val="auto"/>
              </w:rPr>
              <w:t>Operating income before depreciation and amortization</w:t>
            </w:r>
          </w:p>
        </w:tc>
        <w:tc>
          <w:tcPr>
            <w:tcW w:w="10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5,804</w:t>
            </w:r>
          </w:p>
        </w:tc>
        <w:tc>
          <w:tcPr>
            <w:tcW w:w="800" w:type="dxa"/>
            <w:vAlign w:val="bottom"/>
          </w:tcPr>
          <w:p>
            <w:pPr>
              <w:spacing w:after="0"/>
              <w:rPr>
                <w:sz w:val="12"/>
                <w:szCs w:val="12"/>
                <w:color w:val="auto"/>
              </w:rPr>
            </w:pPr>
          </w:p>
        </w:tc>
        <w:tc>
          <w:tcPr>
            <w:tcW w:w="96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6,266</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11,342</w:t>
            </w:r>
          </w:p>
        </w:tc>
        <w:tc>
          <w:tcPr>
            <w:tcW w:w="7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b w:val="1"/>
                <w:bCs w:val="1"/>
                <w:color w:val="auto"/>
              </w:rPr>
              <w:t>12,222</w:t>
            </w: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147</w:t>
            </w:r>
          </w:p>
        </w:tc>
        <w:tc>
          <w:tcPr>
            <w:tcW w:w="17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159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266</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294</w:t>
            </w:r>
          </w:p>
        </w:tc>
      </w:tr>
      <w:tr>
        <w:trPr>
          <w:trHeight w:val="175"/>
        </w:trPr>
        <w:tc>
          <w:tcPr>
            <w:tcW w:w="47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(377)</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(905)</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(304)</w:t>
            </w:r>
          </w:p>
        </w:tc>
      </w:tr>
      <w:tr>
        <w:trPr>
          <w:trHeight w:val="142"/>
        </w:trPr>
        <w:tc>
          <w:tcPr>
            <w:tcW w:w="4720" w:type="dxa"/>
            <w:vAlign w:val="bottom"/>
          </w:tcPr>
          <w:p>
            <w:pPr>
              <w:spacing w:after="0" w:line="143" w:lineRule="exact"/>
              <w:rPr>
                <w:sz w:val="20"/>
                <w:szCs w:val="20"/>
                <w:color w:val="auto"/>
              </w:rPr>
            </w:pPr>
            <w:r>
              <w:rPr>
                <w:rFonts w:ascii="Arial" w:cs="Arial" w:eastAsia="Arial" w:hAnsi="Arial"/>
                <w:sz w:val="14"/>
                <w:szCs w:val="14"/>
                <w:color w:val="auto"/>
              </w:rPr>
              <w:t>Cash basis operating income</w:t>
            </w:r>
          </w:p>
        </w:tc>
        <w:tc>
          <w:tcPr>
            <w:tcW w:w="10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5,313</w:t>
            </w:r>
          </w:p>
        </w:tc>
        <w:tc>
          <w:tcPr>
            <w:tcW w:w="800" w:type="dxa"/>
            <w:vAlign w:val="bottom"/>
          </w:tcPr>
          <w:p>
            <w:pPr>
              <w:spacing w:after="0"/>
              <w:rPr>
                <w:sz w:val="12"/>
                <w:szCs w:val="12"/>
                <w:color w:val="auto"/>
              </w:rPr>
            </w:pPr>
          </w:p>
        </w:tc>
        <w:tc>
          <w:tcPr>
            <w:tcW w:w="96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6,048</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10,703</w:t>
            </w:r>
          </w:p>
        </w:tc>
        <w:tc>
          <w:tcPr>
            <w:tcW w:w="7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b w:val="1"/>
                <w:bCs w:val="1"/>
                <w:color w:val="auto"/>
              </w:rPr>
              <w:t>12,212</w:t>
            </w: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Payments of interest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(541)</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(550)</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(1,164)</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(1,241)</w:t>
            </w: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(1,718)</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(1,881)</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(1,904)</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(1,999)</w:t>
            </w: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(74)</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(220)</w:t>
            </w:r>
          </w:p>
        </w:tc>
      </w:tr>
      <w:tr>
        <w:trPr>
          <w:trHeight w:val="175"/>
        </w:trPr>
        <w:tc>
          <w:tcPr>
            <w:tcW w:w="4720" w:type="dxa"/>
            <w:vAlign w:val="bottom"/>
          </w:tcPr>
          <w:p>
            <w:pPr>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w:t>
            </w:r>
          </w:p>
        </w:tc>
        <w:tc>
          <w:tcPr>
            <w:tcW w:w="800" w:type="dxa"/>
            <w:vAlign w:val="bottom"/>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118</w:t>
            </w:r>
          </w:p>
        </w:tc>
        <w:tc>
          <w:tcPr>
            <w:tcW w:w="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82</w:t>
            </w:r>
          </w:p>
        </w:tc>
      </w:tr>
    </w:tbl>
    <w:p>
      <w:pPr>
        <w:sectPr>
          <w:pgSz w:w="11900" w:h="16900" w:orient="portrait"/>
          <w:cols w:equalWidth="0" w:num="1">
            <w:col w:w="11460"/>
          </w:cols>
          <w:pgMar w:left="240" w:top="328" w:right="199" w:bottom="0" w:gutter="0" w:footer="0" w:header="0"/>
        </w:sectPr>
      </w:pPr>
    </w:p>
    <w:bookmarkStart w:id="9" w:name="page10"/>
    <w:bookmarkEnd w:id="9"/>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7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$3,061</w:t>
            </w:r>
          </w:p>
        </w:tc>
        <w:tc>
          <w:tcPr>
            <w:tcW w:w="800" w:type="dxa"/>
            <w:vAlign w:val="bottom"/>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$3,589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$7,547</w:t>
            </w:r>
          </w:p>
        </w:tc>
        <w:tc>
          <w:tcPr>
            <w:tcW w:w="780" w:type="dxa"/>
            <w:vAlign w:val="bottom"/>
          </w:tcPr>
          <w:p>
            <w:pPr>
              <w:spacing w:after="0"/>
              <w:rPr>
                <w:sz w:val="14"/>
                <w:szCs w:val="1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$8,834</w:t>
            </w:r>
          </w:p>
        </w:tc>
        <w:tc>
          <w:tcPr>
            <w:tcW w:w="0" w:type="dxa"/>
            <w:vAlign w:val="bottom"/>
          </w:tcPr>
          <w:p>
            <w:pPr>
              <w:spacing w:after="0"/>
              <w:rPr>
                <w:sz w:val="1"/>
                <w:szCs w:val="1"/>
                <w:color w:val="auto"/>
              </w:rPr>
            </w:pPr>
          </w:p>
        </w:tc>
      </w:tr>
      <w:tr>
        <w:trPr>
          <w:trHeight w:val="142"/>
        </w:trPr>
        <w:tc>
          <w:tcPr>
            <w:tcW w:w="4720" w:type="dxa"/>
            <w:vAlign w:val="bottom"/>
          </w:tcPr>
          <w:p>
            <w:pPr>
              <w:spacing w:after="0" w:line="143" w:lineRule="exact"/>
              <w:rPr>
                <w:sz w:val="20"/>
                <w:szCs w:val="20"/>
                <w:color w:val="auto"/>
              </w:rPr>
            </w:pPr>
            <w:r>
              <w:rPr>
                <w:rFonts w:ascii="Arial" w:cs="Arial" w:eastAsia="Arial" w:hAnsi="Arial"/>
                <w:sz w:val="14"/>
                <w:szCs w:val="14"/>
                <w:color w:val="auto"/>
              </w:rPr>
              <w:t>Capital expenditures</w:t>
            </w:r>
          </w:p>
        </w:tc>
        <w:tc>
          <w:tcPr>
            <w:tcW w:w="1020" w:type="dxa"/>
            <w:vAlign w:val="bottom"/>
          </w:tcPr>
          <w:p>
            <w:pPr>
              <w:jc w:val="right"/>
              <w:ind w:right="48"/>
              <w:spacing w:after="0" w:line="143" w:lineRule="exact"/>
              <w:rPr>
                <w:sz w:val="20"/>
                <w:szCs w:val="20"/>
                <w:color w:val="auto"/>
              </w:rPr>
            </w:pPr>
            <w:r>
              <w:rPr>
                <w:rFonts w:ascii="Arial" w:cs="Arial" w:eastAsia="Arial" w:hAnsi="Arial"/>
                <w:sz w:val="14"/>
                <w:szCs w:val="14"/>
                <w:color w:val="auto"/>
              </w:rPr>
              <w:t>(1,798)</w:t>
            </w:r>
          </w:p>
        </w:tc>
        <w:tc>
          <w:tcPr>
            <w:tcW w:w="80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(1,971)</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(3,246)</w:t>
            </w:r>
          </w:p>
        </w:tc>
        <w:tc>
          <w:tcPr>
            <w:tcW w:w="780" w:type="dxa"/>
            <w:vAlign w:val="bottom"/>
          </w:tcPr>
          <w:p>
            <w:pPr>
              <w:spacing w:after="0"/>
              <w:rPr>
                <w:sz w:val="12"/>
                <w:szCs w:val="12"/>
                <w:color w:val="auto"/>
              </w:rPr>
            </w:pPr>
          </w:p>
        </w:tc>
        <w:tc>
          <w:tcPr>
            <w:tcW w:w="1000" w:type="dxa"/>
            <w:vAlign w:val="bottom"/>
          </w:tcPr>
          <w:p>
            <w:pPr>
              <w:jc w:val="right"/>
              <w:ind w:right="48"/>
              <w:spacing w:after="0" w:line="143" w:lineRule="exact"/>
              <w:rPr>
                <w:sz w:val="20"/>
                <w:szCs w:val="20"/>
                <w:color w:val="auto"/>
              </w:rPr>
            </w:pPr>
            <w:r>
              <w:rPr>
                <w:rFonts w:ascii="Arial" w:cs="Arial" w:eastAsia="Arial" w:hAnsi="Arial"/>
                <w:sz w:val="14"/>
                <w:szCs w:val="14"/>
                <w:b w:val="1"/>
                <w:bCs w:val="1"/>
                <w:color w:val="auto"/>
              </w:rPr>
              <w:t>(3,697)</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8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(327)</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7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(600)</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 redeemable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(52)</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(114)</w:t>
            </w:r>
          </w:p>
        </w:tc>
        <w:tc>
          <w:tcPr>
            <w:tcW w:w="0" w:type="dxa"/>
            <w:vAlign w:val="bottom"/>
          </w:tcPr>
          <w:p>
            <w:pPr>
              <w:spacing w:after="0"/>
              <w:rPr>
                <w:sz w:val="1"/>
                <w:szCs w:val="1"/>
                <w:color w:val="auto"/>
              </w:rPr>
            </w:pPr>
          </w:p>
        </w:tc>
      </w:tr>
      <w:tr>
        <w:trPr>
          <w:trHeight w:val="144"/>
        </w:trPr>
        <w:tc>
          <w:tcPr>
            <w:tcW w:w="4720" w:type="dxa"/>
            <w:vAlign w:val="bottom"/>
          </w:tcPr>
          <w:p>
            <w:pPr>
              <w:ind w:left="180"/>
              <w:spacing w:after="0" w:line="144" w:lineRule="exact"/>
              <w:rPr>
                <w:sz w:val="20"/>
                <w:szCs w:val="20"/>
                <w:color w:val="auto"/>
              </w:rPr>
            </w:pPr>
            <w:r>
              <w:rPr>
                <w:rFonts w:ascii="Arial" w:cs="Arial" w:eastAsia="Arial" w:hAnsi="Arial"/>
                <w:sz w:val="14"/>
                <w:szCs w:val="14"/>
                <w:color w:val="auto"/>
              </w:rPr>
              <w:t>subsidiary preferred stock</w:t>
            </w:r>
          </w:p>
        </w:tc>
        <w:tc>
          <w:tcPr>
            <w:tcW w:w="1020" w:type="dxa"/>
            <w:vAlign w:val="bottom"/>
          </w:tcPr>
          <w:p>
            <w:pPr>
              <w:jc w:val="right"/>
              <w:ind w:right="48"/>
              <w:spacing w:after="0" w:line="144" w:lineRule="exact"/>
              <w:rPr>
                <w:sz w:val="20"/>
                <w:szCs w:val="20"/>
                <w:color w:val="auto"/>
              </w:rPr>
            </w:pPr>
            <w:r>
              <w:rPr>
                <w:rFonts w:ascii="Arial" w:cs="Arial" w:eastAsia="Arial" w:hAnsi="Arial"/>
                <w:sz w:val="14"/>
                <w:szCs w:val="14"/>
                <w:color w:val="auto"/>
              </w:rPr>
              <w:t>(51)</w:t>
            </w:r>
          </w:p>
        </w:tc>
        <w:tc>
          <w:tcPr>
            <w:tcW w:w="8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8"/>
              <w:spacing w:after="0" w:line="144" w:lineRule="exact"/>
              <w:rPr>
                <w:sz w:val="20"/>
                <w:szCs w:val="20"/>
                <w:color w:val="auto"/>
              </w:rPr>
            </w:pPr>
            <w:r>
              <w:rPr>
                <w:rFonts w:ascii="Arial" w:cs="Arial" w:eastAsia="Arial" w:hAnsi="Arial"/>
                <w:sz w:val="14"/>
                <w:szCs w:val="14"/>
                <w:color w:val="auto"/>
              </w:rPr>
              <w:t>(117)</w:t>
            </w:r>
          </w:p>
        </w:tc>
        <w:tc>
          <w:tcPr>
            <w:tcW w:w="7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line="176" w:lineRule="exact"/>
              <w:rPr>
                <w:sz w:val="20"/>
                <w:szCs w:val="20"/>
                <w:color w:val="auto"/>
              </w:rPr>
            </w:pPr>
            <w:r>
              <w:rPr>
                <w:rFonts w:ascii="Arial" w:cs="Arial" w:eastAsia="Arial" w:hAnsi="Arial"/>
                <w:sz w:val="14"/>
                <w:szCs w:val="14"/>
                <w:color w:val="auto"/>
              </w:rPr>
              <w:t>Nonoperating items</w:t>
            </w:r>
            <w:r>
              <w:rPr>
                <w:rFonts w:ascii="Arial" w:cs="Arial" w:eastAsia="Arial" w:hAnsi="Arial"/>
                <w:sz w:val="17"/>
                <w:szCs w:val="17"/>
                <w:color w:val="auto"/>
                <w:vertAlign w:val="superscript"/>
              </w:rPr>
              <w:t>(1)</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203</w:t>
            </w:r>
          </w:p>
        </w:tc>
        <w:tc>
          <w:tcPr>
            <w:tcW w:w="800" w:type="dxa"/>
            <w:vAlign w:val="bottom"/>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264</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272</w:t>
            </w:r>
          </w:p>
        </w:tc>
        <w:tc>
          <w:tcPr>
            <w:tcW w:w="780" w:type="dxa"/>
            <w:vAlign w:val="bottom"/>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264</w:t>
            </w:r>
          </w:p>
        </w:tc>
        <w:tc>
          <w:tcPr>
            <w:tcW w:w="0" w:type="dxa"/>
            <w:vAlign w:val="bottom"/>
          </w:tcPr>
          <w:p>
            <w:pPr>
              <w:spacing w:after="0"/>
              <w:rPr>
                <w:sz w:val="1"/>
                <w:szCs w:val="1"/>
                <w:color w:val="auto"/>
              </w:rPr>
            </w:pPr>
          </w:p>
        </w:tc>
      </w:tr>
      <w:tr>
        <w:trPr>
          <w:trHeight w:val="156"/>
        </w:trPr>
        <w:tc>
          <w:tcPr>
            <w:tcW w:w="472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$1,155</w:t>
            </w:r>
          </w:p>
        </w:tc>
        <w:tc>
          <w:tcPr>
            <w:tcW w:w="800" w:type="dxa"/>
            <w:vAlign w:val="bottom"/>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$1,501</w:t>
            </w: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$3,979</w:t>
            </w:r>
          </w:p>
        </w:tc>
        <w:tc>
          <w:tcPr>
            <w:tcW w:w="780" w:type="dxa"/>
            <w:vAlign w:val="bottom"/>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$4,684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980"/>
        <w:spacing w:after="0" w:line="261" w:lineRule="auto"/>
        <w:rPr>
          <w:sz w:val="20"/>
          <w:szCs w:val="20"/>
          <w:color w:val="auto"/>
        </w:rPr>
      </w:pPr>
      <w:r>
        <w:rPr>
          <w:rFonts w:ascii="Arial" w:cs="Arial" w:eastAsia="Arial" w:hAnsi="Arial"/>
          <w:sz w:val="22"/>
          <w:szCs w:val="22"/>
          <w:b w:val="1"/>
          <w:bCs w:val="1"/>
          <w:color w:val="C9C9C9"/>
        </w:rPr>
        <w:t>Reconciliation of EPS Excluding Gains on Sales, Acquisition-Related Items and Losses on Early Debt Redemption and Investment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700" w:type="dxa"/>
            <w:vAlign w:val="bottom"/>
            <w:gridSpan w:val="5"/>
          </w:tcPr>
          <w:p>
            <w:pPr>
              <w:jc w:val="center"/>
              <w:ind w:left="52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90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7"/>
        </w:trPr>
        <w:tc>
          <w:tcPr>
            <w:tcW w:w="3900" w:type="dxa"/>
            <w:vAlign w:val="bottom"/>
            <w:vMerge w:val="continue"/>
          </w:tcPr>
          <w:p>
            <w:pPr>
              <w:spacing w:after="0"/>
              <w:rPr>
                <w:sz w:val="13"/>
                <w:szCs w:val="13"/>
                <w:color w:val="auto"/>
              </w:rPr>
            </w:pPr>
          </w:p>
        </w:tc>
        <w:tc>
          <w:tcPr>
            <w:tcW w:w="9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7"/>
                <w:szCs w:val="17"/>
                <w:color w:val="auto"/>
                <w:vertAlign w:val="superscript"/>
              </w:rPr>
              <w:t>(2)</w:t>
            </w:r>
          </w:p>
        </w:tc>
        <w:tc>
          <w:tcPr>
            <w:tcW w:w="76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7"/>
                <w:szCs w:val="17"/>
                <w:b w:val="1"/>
                <w:bCs w:val="1"/>
                <w:color w:val="auto"/>
                <w:vertAlign w:val="superscript"/>
              </w:rPr>
              <w:t>(2)</w:t>
            </w:r>
          </w:p>
        </w:tc>
        <w:tc>
          <w:tcPr>
            <w:tcW w:w="160" w:type="dxa"/>
            <w:vAlign w:val="bottom"/>
          </w:tcPr>
          <w:p>
            <w:pPr>
              <w:spacing w:after="0"/>
              <w:rPr>
                <w:sz w:val="13"/>
                <w:szCs w:val="13"/>
                <w:color w:val="auto"/>
              </w:rPr>
            </w:pPr>
          </w:p>
        </w:tc>
        <w:tc>
          <w:tcPr>
            <w:tcW w:w="94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w w:val="96"/>
              </w:rPr>
              <w:t xml:space="preserve">EPS </w:t>
            </w:r>
            <w:r>
              <w:rPr>
                <w:rFonts w:ascii="Arial" w:cs="Arial" w:eastAsia="Arial" w:hAnsi="Arial"/>
                <w:sz w:val="17"/>
                <w:szCs w:val="17"/>
                <w:color w:val="auto"/>
                <w:w w:val="96"/>
                <w:vertAlign w:val="superscript"/>
              </w:rPr>
              <w:t>(2)</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39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$1,992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$0.76</w:t>
            </w: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7"/>
              </w:rPr>
              <w:t>$2,137</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$0.84</w:t>
            </w:r>
          </w:p>
        </w:tc>
        <w:tc>
          <w:tcPr>
            <w:tcW w:w="1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$3,863</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8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$4,196</w:t>
            </w:r>
          </w:p>
        </w:tc>
        <w:tc>
          <w:tcPr>
            <w:tcW w:w="10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i w:val="1"/>
                <w:iCs w:val="1"/>
                <w:color w:val="auto"/>
              </w:rPr>
              <w:t>7.3%</w:t>
            </w:r>
          </w:p>
        </w:tc>
        <w:tc>
          <w:tcPr>
            <w:tcW w:w="7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10.5%</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8.6%</w:t>
            </w:r>
          </w:p>
        </w:tc>
        <w:tc>
          <w:tcPr>
            <w:tcW w:w="1020" w:type="dxa"/>
            <w:vAlign w:val="bottom"/>
          </w:tcPr>
          <w:p>
            <w:pPr>
              <w:jc w:val="center"/>
              <w:ind w:left="188"/>
              <w:spacing w:after="0"/>
              <w:rPr>
                <w:sz w:val="20"/>
                <w:szCs w:val="20"/>
                <w:color w:val="auto"/>
              </w:rPr>
            </w:pPr>
            <w:r>
              <w:rPr>
                <w:rFonts w:ascii="Arial" w:cs="Arial" w:eastAsia="Arial" w:hAnsi="Arial"/>
                <w:sz w:val="14"/>
                <w:szCs w:val="14"/>
                <w:i w:val="1"/>
                <w:iCs w:val="1"/>
                <w:color w:val="auto"/>
              </w:rPr>
              <w:t>12.2%</w:t>
            </w:r>
          </w:p>
        </w:tc>
        <w:tc>
          <w:tcPr>
            <w:tcW w:w="0" w:type="dxa"/>
            <w:vAlign w:val="bottom"/>
          </w:tcPr>
          <w:p>
            <w:pPr>
              <w:spacing w:after="0"/>
              <w:rPr>
                <w:sz w:val="1"/>
                <w:szCs w:val="1"/>
                <w:color w:val="auto"/>
              </w:rPr>
            </w:pPr>
          </w:p>
        </w:tc>
      </w:tr>
      <w:tr>
        <w:trPr>
          <w:trHeight w:val="300"/>
        </w:trPr>
        <w:tc>
          <w:tcPr>
            <w:tcW w:w="3900" w:type="dxa"/>
            <w:vAlign w:val="bottom"/>
          </w:tcPr>
          <w:p>
            <w:pPr>
              <w:ind w:left="260"/>
              <w:spacing w:after="0"/>
              <w:rPr>
                <w:sz w:val="20"/>
                <w:szCs w:val="20"/>
                <w:color w:val="auto"/>
              </w:rPr>
            </w:pPr>
            <w:r>
              <w:rPr>
                <w:rFonts w:ascii="Arial" w:cs="Arial" w:eastAsia="Arial" w:hAnsi="Arial"/>
                <w:sz w:val="14"/>
                <w:szCs w:val="14"/>
                <w:color w:val="auto"/>
              </w:rPr>
              <w:t>Gains on sales of businesses and investments</w:t>
            </w:r>
            <w:r>
              <w:rPr>
                <w:rFonts w:ascii="Arial" w:cs="Arial" w:eastAsia="Arial" w:hAnsi="Arial"/>
                <w:sz w:val="17"/>
                <w:szCs w:val="17"/>
                <w:color w:val="auto"/>
                <w:vertAlign w:val="superscript"/>
              </w:rPr>
              <w:t>(3)</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(47)</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(0.02)</w:t>
            </w:r>
          </w:p>
        </w:tc>
        <w:tc>
          <w:tcPr>
            <w:tcW w:w="18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(107)</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(0.04)</w:t>
            </w:r>
          </w:p>
        </w:tc>
        <w:tc>
          <w:tcPr>
            <w:tcW w:w="16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(97)</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(0.04)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(0.08)</w:t>
            </w:r>
          </w:p>
        </w:tc>
        <w:tc>
          <w:tcPr>
            <w:tcW w:w="0" w:type="dxa"/>
            <w:vAlign w:val="bottom"/>
          </w:tcPr>
          <w:p>
            <w:pPr>
              <w:spacing w:after="0"/>
              <w:rPr>
                <w:sz w:val="1"/>
                <w:szCs w:val="1"/>
                <w:color w:val="auto"/>
              </w:rPr>
            </w:pPr>
          </w:p>
        </w:tc>
      </w:tr>
      <w:tr>
        <w:trPr>
          <w:trHeight w:val="157"/>
        </w:trPr>
        <w:tc>
          <w:tcPr>
            <w:tcW w:w="3900" w:type="dxa"/>
            <w:vAlign w:val="bottom"/>
          </w:tcPr>
          <w:p>
            <w:pPr>
              <w:ind w:left="260"/>
              <w:spacing w:after="0" w:line="157" w:lineRule="exact"/>
              <w:rPr>
                <w:sz w:val="20"/>
                <w:szCs w:val="20"/>
                <w:color w:val="auto"/>
              </w:rPr>
            </w:pPr>
            <w:r>
              <w:rPr>
                <w:rFonts w:ascii="Arial" w:cs="Arial" w:eastAsia="Arial" w:hAnsi="Arial"/>
                <w:sz w:val="14"/>
                <w:szCs w:val="14"/>
                <w:color w:val="auto"/>
              </w:rPr>
              <w:t>Gain on settlement of contingent consideration</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(150)</w:t>
            </w: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(0.06)</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(0.06)</w:t>
            </w:r>
          </w:p>
        </w:tc>
        <w:tc>
          <w:tcPr>
            <w:tcW w:w="0" w:type="dxa"/>
            <w:vAlign w:val="bottom"/>
          </w:tcPr>
          <w:p>
            <w:pPr>
              <w:spacing w:after="0"/>
              <w:rPr>
                <w:sz w:val="1"/>
                <w:szCs w:val="1"/>
                <w:color w:val="auto"/>
              </w:rPr>
            </w:pPr>
          </w:p>
        </w:tc>
      </w:tr>
      <w:tr>
        <w:trPr>
          <w:trHeight w:val="149"/>
        </w:trPr>
        <w:tc>
          <w:tcPr>
            <w:tcW w:w="3900" w:type="dxa"/>
            <w:vAlign w:val="bottom"/>
          </w:tcPr>
          <w:p>
            <w:pPr>
              <w:ind w:left="440"/>
              <w:spacing w:after="0" w:line="150" w:lineRule="exact"/>
              <w:rPr>
                <w:sz w:val="20"/>
                <w:szCs w:val="20"/>
                <w:color w:val="auto"/>
              </w:rPr>
            </w:pPr>
            <w:r>
              <w:rPr>
                <w:rFonts w:ascii="Arial" w:cs="Arial" w:eastAsia="Arial" w:hAnsi="Arial"/>
                <w:sz w:val="14"/>
                <w:szCs w:val="14"/>
                <w:color w:val="auto"/>
              </w:rPr>
              <w:t>liability</w:t>
            </w:r>
            <w:r>
              <w:rPr>
                <w:rFonts w:ascii="Arial" w:cs="Arial" w:eastAsia="Arial" w:hAnsi="Arial"/>
                <w:sz w:val="17"/>
                <w:szCs w:val="17"/>
                <w:color w:val="auto"/>
                <w:vertAlign w:val="superscript"/>
              </w:rPr>
              <w:t>(4)</w:t>
            </w:r>
          </w:p>
        </w:tc>
        <w:tc>
          <w:tcPr>
            <w:tcW w:w="9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60"/>
              <w:spacing w:after="0" w:line="180" w:lineRule="exact"/>
              <w:rPr>
                <w:sz w:val="20"/>
                <w:szCs w:val="20"/>
                <w:color w:val="auto"/>
              </w:rPr>
            </w:pPr>
            <w:r>
              <w:rPr>
                <w:rFonts w:ascii="Arial" w:cs="Arial" w:eastAsia="Arial" w:hAnsi="Arial"/>
                <w:sz w:val="14"/>
                <w:szCs w:val="14"/>
                <w:color w:val="auto"/>
              </w:rPr>
              <w:t>Loss on early redemption of debt</w:t>
            </w:r>
            <w:r>
              <w:rPr>
                <w:rFonts w:ascii="Arial" w:cs="Arial" w:eastAsia="Arial" w:hAnsi="Arial"/>
                <w:sz w:val="17"/>
                <w:szCs w:val="17"/>
                <w:color w:val="auto"/>
                <w:vertAlign w:val="superscript"/>
              </w:rPr>
              <w:t>(5)</w:t>
            </w: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29</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57"/>
        </w:trPr>
        <w:tc>
          <w:tcPr>
            <w:tcW w:w="3900" w:type="dxa"/>
            <w:vAlign w:val="bottom"/>
          </w:tcPr>
          <w:p>
            <w:pPr>
              <w:ind w:left="260"/>
              <w:spacing w:after="0" w:line="157" w:lineRule="exact"/>
              <w:rPr>
                <w:sz w:val="20"/>
                <w:szCs w:val="20"/>
                <w:color w:val="auto"/>
              </w:rPr>
            </w:pPr>
            <w:r>
              <w:rPr>
                <w:rFonts w:ascii="Arial" w:cs="Arial" w:eastAsia="Arial" w:hAnsi="Arial"/>
                <w:sz w:val="14"/>
                <w:szCs w:val="14"/>
                <w:color w:val="auto"/>
              </w:rPr>
              <w:t>Costs related to Time Warner Cable and Charter</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62</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0.03</w:t>
            </w: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123</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0.05</w:t>
            </w:r>
          </w:p>
        </w:tc>
        <w:tc>
          <w:tcPr>
            <w:tcW w:w="0" w:type="dxa"/>
            <w:vAlign w:val="bottom"/>
          </w:tcPr>
          <w:p>
            <w:pPr>
              <w:spacing w:after="0"/>
              <w:rPr>
                <w:sz w:val="1"/>
                <w:szCs w:val="1"/>
                <w:color w:val="auto"/>
              </w:rPr>
            </w:pPr>
          </w:p>
        </w:tc>
      </w:tr>
      <w:tr>
        <w:trPr>
          <w:trHeight w:val="149"/>
        </w:trPr>
        <w:tc>
          <w:tcPr>
            <w:tcW w:w="3900" w:type="dxa"/>
            <w:vAlign w:val="bottom"/>
          </w:tcPr>
          <w:p>
            <w:pPr>
              <w:ind w:left="440"/>
              <w:spacing w:after="0" w:line="150" w:lineRule="exact"/>
              <w:rPr>
                <w:sz w:val="20"/>
                <w:szCs w:val="20"/>
                <w:color w:val="auto"/>
              </w:rPr>
            </w:pPr>
            <w:r>
              <w:rPr>
                <w:rFonts w:ascii="Arial" w:cs="Arial" w:eastAsia="Arial" w:hAnsi="Arial"/>
                <w:sz w:val="14"/>
                <w:szCs w:val="14"/>
                <w:color w:val="auto"/>
              </w:rPr>
              <w:t>transactions</w:t>
            </w:r>
            <w:r>
              <w:rPr>
                <w:rFonts w:ascii="Arial" w:cs="Arial" w:eastAsia="Arial" w:hAnsi="Arial"/>
                <w:sz w:val="17"/>
                <w:szCs w:val="17"/>
                <w:color w:val="auto"/>
                <w:vertAlign w:val="superscript"/>
              </w:rPr>
              <w:t>(6)</w:t>
            </w: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60"/>
              <w:spacing w:after="0" w:line="180" w:lineRule="exact"/>
              <w:rPr>
                <w:sz w:val="20"/>
                <w:szCs w:val="20"/>
                <w:color w:val="auto"/>
              </w:rPr>
            </w:pPr>
            <w:r>
              <w:rPr>
                <w:rFonts w:ascii="Arial" w:cs="Arial" w:eastAsia="Arial" w:hAnsi="Arial"/>
                <w:sz w:val="14"/>
                <w:szCs w:val="14"/>
                <w:color w:val="auto"/>
              </w:rPr>
              <w:t>Loss on investment</w:t>
            </w:r>
            <w:r>
              <w:rPr>
                <w:rFonts w:ascii="Arial" w:cs="Arial" w:eastAsia="Arial" w:hAnsi="Arial"/>
                <w:sz w:val="17"/>
                <w:szCs w:val="17"/>
                <w:color w:val="auto"/>
                <w:vertAlign w:val="superscript"/>
              </w:rPr>
              <w:t>(7)</w:t>
            </w: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158</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158</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0.06</w:t>
            </w:r>
          </w:p>
        </w:tc>
        <w:tc>
          <w:tcPr>
            <w:tcW w:w="0" w:type="dxa"/>
            <w:vAlign w:val="bottom"/>
          </w:tcPr>
          <w:p>
            <w:pPr>
              <w:spacing w:after="0"/>
              <w:rPr>
                <w:sz w:val="1"/>
                <w:szCs w:val="1"/>
                <w:color w:val="auto"/>
              </w:rPr>
            </w:pPr>
          </w:p>
        </w:tc>
      </w:tr>
      <w:tr>
        <w:trPr>
          <w:trHeight w:val="157"/>
        </w:trPr>
        <w:tc>
          <w:tcPr>
            <w:tcW w:w="3900" w:type="dxa"/>
            <w:vAlign w:val="bottom"/>
          </w:tcPr>
          <w:p>
            <w:pPr>
              <w:ind w:left="260"/>
              <w:spacing w:after="0" w:line="157" w:lineRule="exact"/>
              <w:rPr>
                <w:sz w:val="20"/>
                <w:szCs w:val="20"/>
                <w:color w:val="auto"/>
              </w:rPr>
            </w:pPr>
            <w:r>
              <w:rPr>
                <w:rFonts w:ascii="Arial" w:cs="Arial" w:eastAsia="Arial" w:hAnsi="Arial"/>
                <w:sz w:val="14"/>
                <w:szCs w:val="14"/>
                <w:color w:val="auto"/>
              </w:rPr>
              <w:t>Favorable resolution of a contingency of an acquired</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3900" w:type="dxa"/>
            <w:vAlign w:val="bottom"/>
          </w:tcPr>
          <w:p>
            <w:pPr>
              <w:ind w:left="440"/>
              <w:spacing w:after="0" w:line="167" w:lineRule="exact"/>
              <w:rPr>
                <w:sz w:val="20"/>
                <w:szCs w:val="20"/>
                <w:color w:val="auto"/>
              </w:rPr>
            </w:pPr>
            <w:r>
              <w:rPr>
                <w:rFonts w:ascii="Arial" w:cs="Arial" w:eastAsia="Arial" w:hAnsi="Arial"/>
                <w:sz w:val="14"/>
                <w:szCs w:val="14"/>
                <w:color w:val="auto"/>
              </w:rPr>
              <w:t>company</w:t>
            </w:r>
            <w:r>
              <w:rPr>
                <w:rFonts w:ascii="Arial" w:cs="Arial" w:eastAsia="Arial" w:hAnsi="Arial"/>
                <w:sz w:val="17"/>
                <w:szCs w:val="17"/>
                <w:color w:val="auto"/>
                <w:vertAlign w:val="superscript"/>
              </w:rPr>
              <w:t>(8)</w:t>
            </w: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(27)</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(0.01)</w:t>
            </w:r>
          </w:p>
        </w:tc>
        <w:tc>
          <w:tcPr>
            <w:tcW w:w="6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line="157" w:lineRule="exact"/>
              <w:rPr>
                <w:sz w:val="20"/>
                <w:szCs w:val="20"/>
                <w:color w:val="auto"/>
              </w:rPr>
            </w:pPr>
            <w:r>
              <w:rPr>
                <w:rFonts w:ascii="Arial" w:cs="Arial" w:eastAsia="Arial" w:hAnsi="Arial"/>
                <w:sz w:val="14"/>
                <w:szCs w:val="14"/>
                <w:color w:val="auto"/>
              </w:rPr>
              <w:t>Net income attributable to Comcast Corporation</w:t>
            </w: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900" w:type="dxa"/>
            <w:vAlign w:val="bottom"/>
          </w:tcPr>
          <w:p>
            <w:pPr>
              <w:ind w:left="120"/>
              <w:spacing w:after="0" w:line="147" w:lineRule="exact"/>
              <w:rPr>
                <w:sz w:val="20"/>
                <w:szCs w:val="20"/>
                <w:color w:val="auto"/>
              </w:rPr>
            </w:pPr>
            <w:r>
              <w:rPr>
                <w:rFonts w:ascii="Arial" w:cs="Arial" w:eastAsia="Arial" w:hAnsi="Arial"/>
                <w:sz w:val="14"/>
                <w:szCs w:val="14"/>
                <w:color w:val="auto"/>
              </w:rPr>
              <w:t>(excluding gains on sales, acquisition-related items and</w:t>
            </w: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color w:val="auto"/>
              </w:rPr>
              <w:t>$1,972</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$0.75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7"/>
              </w:rPr>
              <w:t>$2,129</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$0.84</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color w:val="auto"/>
              </w:rPr>
              <w:t>$3,777</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$4,154</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$1.63</w:t>
            </w:r>
          </w:p>
        </w:tc>
        <w:tc>
          <w:tcPr>
            <w:tcW w:w="0" w:type="dxa"/>
            <w:vAlign w:val="bottom"/>
          </w:tcPr>
          <w:p>
            <w:pPr>
              <w:spacing w:after="0"/>
              <w:rPr>
                <w:sz w:val="1"/>
                <w:szCs w:val="1"/>
                <w:color w:val="auto"/>
              </w:rPr>
            </w:pPr>
          </w:p>
        </w:tc>
      </w:tr>
      <w:tr>
        <w:trPr>
          <w:trHeight w:val="144"/>
        </w:trPr>
        <w:tc>
          <w:tcPr>
            <w:tcW w:w="3900" w:type="dxa"/>
            <w:vAlign w:val="bottom"/>
          </w:tcPr>
          <w:p>
            <w:pPr>
              <w:ind w:left="120"/>
              <w:spacing w:after="0" w:line="144" w:lineRule="exact"/>
              <w:rPr>
                <w:sz w:val="20"/>
                <w:szCs w:val="20"/>
                <w:color w:val="auto"/>
              </w:rPr>
            </w:pPr>
            <w:r>
              <w:rPr>
                <w:rFonts w:ascii="Arial" w:cs="Arial" w:eastAsia="Arial" w:hAnsi="Arial"/>
                <w:sz w:val="14"/>
                <w:szCs w:val="14"/>
                <w:color w:val="auto"/>
              </w:rPr>
              <w:t>losses on early debt redemption and investment)</w:t>
            </w:r>
          </w:p>
        </w:tc>
        <w:tc>
          <w:tcPr>
            <w:tcW w:w="9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i w:val="1"/>
                <w:iCs w:val="1"/>
                <w:color w:val="auto"/>
              </w:rPr>
              <w:t>7.9%</w:t>
            </w:r>
          </w:p>
        </w:tc>
        <w:tc>
          <w:tcPr>
            <w:tcW w:w="600" w:type="dxa"/>
            <w:vAlign w:val="bottom"/>
          </w:tcPr>
          <w:p>
            <w:pPr>
              <w:jc w:val="center"/>
              <w:ind w:left="108"/>
              <w:spacing w:after="0"/>
              <w:rPr>
                <w:sz w:val="20"/>
                <w:szCs w:val="20"/>
                <w:color w:val="auto"/>
              </w:rPr>
            </w:pPr>
            <w:r>
              <w:rPr>
                <w:rFonts w:ascii="Arial" w:cs="Arial" w:eastAsia="Arial" w:hAnsi="Arial"/>
                <w:sz w:val="14"/>
                <w:szCs w:val="14"/>
                <w:i w:val="1"/>
                <w:iCs w:val="1"/>
                <w:color w:val="auto"/>
              </w:rPr>
              <w:t>12.0%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020" w:type="dxa"/>
            <w:vAlign w:val="bottom"/>
          </w:tcPr>
          <w:p>
            <w:pPr>
              <w:jc w:val="center"/>
              <w:ind w:left="188"/>
              <w:spacing w:after="0"/>
              <w:rPr>
                <w:sz w:val="20"/>
                <w:szCs w:val="20"/>
                <w:color w:val="auto"/>
              </w:rPr>
            </w:pPr>
            <w:r>
              <w:rPr>
                <w:rFonts w:ascii="Arial" w:cs="Arial" w:eastAsia="Arial" w:hAnsi="Arial"/>
                <w:sz w:val="14"/>
                <w:szCs w:val="14"/>
                <w:i w:val="1"/>
                <w:iCs w:val="1"/>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400" w:hanging="392"/>
        <w:spacing w:after="0" w:line="251"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Nonoperating items include adjustments for cash taxes paid related to certain investing and financing transactions, to reflect cash taxes paid in the year of the related taxable income and to exclude the impacts of Economic Stimulus packages.</w:t>
      </w:r>
    </w:p>
    <w:p>
      <w:pPr>
        <w:ind w:left="400" w:hanging="392"/>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4" w:lineRule="exact"/>
        <w:rPr>
          <w:rFonts w:ascii="Arial" w:cs="Arial" w:eastAsia="Arial" w:hAnsi="Arial"/>
          <w:sz w:val="14"/>
          <w:szCs w:val="14"/>
          <w:color w:val="auto"/>
        </w:rPr>
      </w:pPr>
    </w:p>
    <w:p>
      <w:pPr>
        <w:jc w:val="both"/>
        <w:ind w:left="400" w:hanging="392"/>
        <w:spacing w:after="0" w:line="245"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2nd quarter 2015 net income attributable to Comcast Corporation includes $171 million of other income, $107 million net of tax, resulting from the sale of an investment. 2nd quarter 2014 net income attributable to Comcast Corporation includes $74 million of investment income, $47 million net of tax, resulting from the sale of an investment. 2015 year to date net income attributable to Comcast Corporation includes $335 million of other income, $202 million net of tax and noncontrolling interests, resulting from sales of an investment and a business. 2014 year to date net income attributable to Comcast Corporation includes $154 million of investment income, $97 million net of tax, resulting from sales of investments.</w:t>
      </w:r>
    </w:p>
    <w:p>
      <w:pPr>
        <w:spacing w:after="0" w:line="2" w:lineRule="exact"/>
        <w:rPr>
          <w:rFonts w:ascii="Arial" w:cs="Arial" w:eastAsia="Arial" w:hAnsi="Arial"/>
          <w:sz w:val="14"/>
          <w:szCs w:val="14"/>
          <w:color w:val="auto"/>
        </w:rPr>
      </w:pPr>
    </w:p>
    <w:p>
      <w:pPr>
        <w:ind w:left="400" w:right="80" w:hanging="392"/>
        <w:spacing w:after="0" w:line="251"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2nd quarter 2015 net income attributable to Comcast Corporation includes $240 million of other income, $150 million net of tax, resulting from the settlement of a contingent consideration liability with General Electric Company related to the acquisition of NBCUniversal.</w:t>
      </w:r>
    </w:p>
    <w:p>
      <w:pPr>
        <w:ind w:left="400" w:hanging="392"/>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2nd quarter 2015 net income attributable to Comcast Corporation includes $47 million of interest expense, $29 million net of tax, resulting from the early redemption of debt.</w:t>
      </w:r>
    </w:p>
    <w:p>
      <w:pPr>
        <w:spacing w:after="0" w:line="14" w:lineRule="exact"/>
        <w:rPr>
          <w:rFonts w:ascii="Arial" w:cs="Arial" w:eastAsia="Arial" w:hAnsi="Arial"/>
          <w:sz w:val="14"/>
          <w:szCs w:val="14"/>
          <w:color w:val="auto"/>
        </w:rPr>
      </w:pPr>
    </w:p>
    <w:p>
      <w:pPr>
        <w:ind w:left="400" w:right="40" w:hanging="392"/>
        <w:spacing w:after="0" w:line="244"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2nd quarter 2015 net income attributable to Comcast Corporation includes $99 million of expense ($79 million of operating costs and expenses and $20 million of depreciation and amortization expense), $62 million net of tax, related to the Time Warner Cable and Charter transactions. 2nd quarter 2014 net income attributable to Comcast Corporation includes $44 million of operating costs and expenses, $27 million net of tax, related to the Time Warner Cable and Charter transactions. 2015 year to date net income attributable to Comcast Corporation includes $198 million of expense ($178 million of operating costs and expenses and $20 million of depreciation and amortization expense), $123 million net of tax, related to the Time Warner Cable and Charter transactions. 2014 year to date net income attributable to Comcast Corporation includes $61 million of operating costs and expenses, $38 million net of tax, related to the Time Warner Cable and Charter transactions.</w:t>
      </w:r>
    </w:p>
    <w:p>
      <w:pPr>
        <w:spacing w:after="0" w:line="3" w:lineRule="exact"/>
        <w:rPr>
          <w:rFonts w:ascii="Arial" w:cs="Arial" w:eastAsia="Arial" w:hAnsi="Arial"/>
          <w:sz w:val="14"/>
          <w:szCs w:val="14"/>
          <w:color w:val="auto"/>
        </w:rPr>
      </w:pPr>
    </w:p>
    <w:p>
      <w:pPr>
        <w:ind w:left="400" w:right="560" w:hanging="392"/>
        <w:spacing w:after="0" w:line="251"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2nd quarter 2015 net income attributable to Comcast Corporation includes $252 million of equity in net losses of investees, $158 million net of tax, resulting from our proportionate share of an impairment loss recorded at The Weather Channel.</w:t>
      </w:r>
    </w:p>
    <w:p>
      <w:pPr>
        <w:ind w:left="400" w:right="40" w:hanging="392"/>
        <w:spacing w:after="0" w:line="258"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2014 year to date net income attributable to Comcast Corporation includes $27 million of other income, resulting from the favorable resolution of a contingency related to the AT&amp;T Broadband transaction.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454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 w:lineRule="exact"/>
        <w:rPr>
          <w:sz w:val="20"/>
          <w:szCs w:val="20"/>
          <w:color w:val="auto"/>
        </w:rPr>
      </w:pPr>
    </w:p>
    <w:p>
      <w:pPr>
        <w:ind w:right="2600"/>
        <w:spacing w:after="0" w:line="246" w:lineRule="auto"/>
        <w:rPr>
          <w:sz w:val="20"/>
          <w:szCs w:val="20"/>
          <w:color w:val="auto"/>
        </w:rPr>
      </w:pPr>
      <w:r>
        <w:rPr>
          <w:rFonts w:ascii="Arial" w:cs="Arial" w:eastAsia="Arial" w:hAnsi="Arial"/>
          <w:sz w:val="18"/>
          <w:szCs w:val="18"/>
          <w:b w:val="1"/>
          <w:bCs w:val="1"/>
          <w:color w:val="C9C9C9"/>
        </w:rPr>
        <w:t>Reconciliation of Consolidated Revenue Excluding 2015 Super Bowl and 2014 Olympics and Operating Cash Flow Excluding Costs Related to Time Warner Cable and Charter Transactions (Unaudited)</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080" w:type="dxa"/>
            <w:vAlign w:val="bottom"/>
            <w:tcBorders>
              <w:right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5"/>
          </w:tcPr>
          <w:p>
            <w:pPr>
              <w:jc w:val="center"/>
              <w:ind w:left="668"/>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100" w:type="dxa"/>
            <w:vAlign w:val="bottom"/>
          </w:tcPr>
          <w:p>
            <w:pPr>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333"/>
        </w:trPr>
        <w:tc>
          <w:tcPr>
            <w:tcW w:w="51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$16,844</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$18,743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$34,252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$36,596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96"/>
        </w:trPr>
        <w:tc>
          <w:tcPr>
            <w:tcW w:w="5100" w:type="dxa"/>
            <w:vAlign w:val="bottom"/>
          </w:tcPr>
          <w:p>
            <w:pPr>
              <w:spacing w:after="0"/>
              <w:rPr>
                <w:sz w:val="20"/>
                <w:szCs w:val="20"/>
                <w:color w:val="auto"/>
              </w:rPr>
            </w:pPr>
            <w:r>
              <w:rPr>
                <w:rFonts w:ascii="Arial" w:cs="Arial" w:eastAsia="Arial" w:hAnsi="Arial"/>
                <w:sz w:val="14"/>
                <w:szCs w:val="14"/>
                <w:color w:val="auto"/>
              </w:rPr>
              <w:t>2015 Super Bowl</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color w:val="auto"/>
              </w:rPr>
              <w:t>2014 Olympics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100" w:type="dxa"/>
            <w:vAlign w:val="bottom"/>
          </w:tcPr>
          <w:p>
            <w:pPr>
              <w:spacing w:after="0"/>
              <w:rPr>
                <w:sz w:val="20"/>
                <w:szCs w:val="20"/>
                <w:color w:val="auto"/>
              </w:rPr>
            </w:pPr>
            <w:r>
              <w:rPr>
                <w:rFonts w:ascii="Arial" w:cs="Arial" w:eastAsia="Arial" w:hAnsi="Arial"/>
                <w:sz w:val="14"/>
                <w:szCs w:val="14"/>
                <w:color w:val="auto"/>
              </w:rPr>
              <w:t>Revenue excluding 2015 Super Bowl and 2014 Olympics</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$16,844</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$33,149</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602"/>
        </w:trPr>
        <w:tc>
          <w:tcPr>
            <w:tcW w:w="5100" w:type="dxa"/>
            <w:vAlign w:val="bottom"/>
          </w:tcPr>
          <w:p>
            <w:pPr>
              <w:spacing w:after="0"/>
              <w:rPr>
                <w:sz w:val="24"/>
                <w:szCs w:val="2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333"/>
        </w:trPr>
        <w:tc>
          <w:tcPr>
            <w:tcW w:w="5100" w:type="dxa"/>
            <w:vAlign w:val="bottom"/>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$5,804</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$6,266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$11,342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$12,222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09"/>
        </w:trPr>
        <w:tc>
          <w:tcPr>
            <w:tcW w:w="5100" w:type="dxa"/>
            <w:vAlign w:val="bottom"/>
          </w:tcPr>
          <w:p>
            <w:pPr>
              <w:ind w:left="20"/>
              <w:spacing w:after="0"/>
              <w:rPr>
                <w:sz w:val="20"/>
                <w:szCs w:val="20"/>
                <w:color w:val="auto"/>
              </w:rPr>
            </w:pPr>
            <w:r>
              <w:rPr>
                <w:rFonts w:ascii="Arial" w:cs="Arial" w:eastAsia="Arial" w:hAnsi="Arial"/>
                <w:sz w:val="14"/>
                <w:szCs w:val="14"/>
                <w:color w:val="auto"/>
              </w:rPr>
              <w:t>Costs related to Time Warner Cable and Charter transactions</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100" w:type="dxa"/>
            <w:vAlign w:val="bottom"/>
          </w:tcPr>
          <w:p>
            <w:pPr>
              <w:ind w:left="20"/>
              <w:spacing w:after="0"/>
              <w:rPr>
                <w:sz w:val="20"/>
                <w:szCs w:val="20"/>
                <w:color w:val="auto"/>
              </w:rPr>
            </w:pPr>
            <w:r>
              <w:rPr>
                <w:rFonts w:ascii="Arial" w:cs="Arial" w:eastAsia="Arial" w:hAnsi="Arial"/>
                <w:sz w:val="14"/>
                <w:szCs w:val="14"/>
                <w:color w:val="auto"/>
              </w:rPr>
              <w:t>Operating Cash Flow excluding costs related to Time Warner Cable and</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$5,848</w:t>
            </w:r>
          </w:p>
        </w:tc>
        <w:tc>
          <w:tcPr>
            <w:tcW w:w="1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$6,345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$11,403</w:t>
            </w:r>
          </w:p>
        </w:tc>
        <w:tc>
          <w:tcPr>
            <w:tcW w:w="1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$12,400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200"/>
              <w:spacing w:after="0" w:line="144" w:lineRule="exact"/>
              <w:rPr>
                <w:sz w:val="20"/>
                <w:szCs w:val="20"/>
                <w:color w:val="auto"/>
              </w:rPr>
            </w:pPr>
            <w:r>
              <w:rPr>
                <w:rFonts w:ascii="Arial" w:cs="Arial" w:eastAsia="Arial" w:hAnsi="Arial"/>
                <w:sz w:val="14"/>
                <w:szCs w:val="14"/>
                <w:color w:val="auto"/>
              </w:rPr>
              <w:t>Charter transactions</w:t>
            </w:r>
          </w:p>
        </w:tc>
        <w:tc>
          <w:tcPr>
            <w:tcW w:w="880" w:type="dxa"/>
            <w:vAlign w:val="bottom"/>
            <w:tcBorders>
              <w:bottom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9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8.5%</w:t>
            </w: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400"/>
          </w:cols>
          <w:pgMar w:left="240" w:top="140" w:right="259" w:bottom="144"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C9C9C9"/>
        </w:rPr>
        <w:t>Reconciliation of Consolidated NBCUniversal Revenue Excluding 2015 Super Bowl and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80" w:type="dxa"/>
            <w:vAlign w:val="bottom"/>
            <w:tcBorders>
              <w:right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5"/>
          </w:tcPr>
          <w:p>
            <w:pPr>
              <w:jc w:val="center"/>
              <w:ind w:left="668"/>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r>
      <w:tr>
        <w:trPr>
          <w:trHeight w:val="190"/>
        </w:trPr>
        <w:tc>
          <w:tcPr>
            <w:tcW w:w="3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Pr>
          <w:p>
            <w:pPr>
              <w:spacing w:after="0"/>
              <w:rPr>
                <w:sz w:val="16"/>
                <w:szCs w:val="16"/>
                <w:color w:val="auto"/>
              </w:rPr>
            </w:pPr>
          </w:p>
        </w:tc>
      </w:tr>
      <w:tr>
        <w:trPr>
          <w:trHeight w:val="309"/>
        </w:trPr>
        <w:tc>
          <w:tcPr>
            <w:tcW w:w="5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r>
      <w:tr>
        <w:trPr>
          <w:trHeight w:val="333"/>
        </w:trPr>
        <w:tc>
          <w:tcPr>
            <w:tcW w:w="50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$6,016</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$7,230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20.2%</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$12,892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$13,834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96"/>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74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880" w:type="dxa"/>
            <w:vAlign w:val="bottom"/>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2014</w:t>
            </w:r>
          </w:p>
        </w:tc>
        <w:tc>
          <w:tcPr>
            <w:tcW w:w="4740" w:type="dxa"/>
            <w:vAlign w:val="bottom"/>
          </w:tcPr>
          <w:p>
            <w:pPr>
              <w:ind w:left="20"/>
              <w:spacing w:after="0"/>
              <w:rPr>
                <w:sz w:val="20"/>
                <w:szCs w:val="20"/>
                <w:color w:val="auto"/>
              </w:rPr>
            </w:pPr>
            <w:r>
              <w:rPr>
                <w:rFonts w:ascii="Arial" w:cs="Arial" w:eastAsia="Arial" w:hAnsi="Arial"/>
                <w:sz w:val="14"/>
                <w:szCs w:val="14"/>
                <w:color w:val="auto"/>
              </w:rPr>
              <w:t>Olympics</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18"/>
        </w:trPr>
        <w:tc>
          <w:tcPr>
            <w:tcW w:w="5080" w:type="dxa"/>
            <w:vAlign w:val="bottom"/>
            <w:gridSpan w:val="2"/>
          </w:tcPr>
          <w:p>
            <w:pPr>
              <w:spacing w:after="0"/>
              <w:rPr>
                <w:sz w:val="20"/>
                <w:szCs w:val="20"/>
                <w:color w:val="auto"/>
              </w:rPr>
            </w:pPr>
            <w:r>
              <w:rPr>
                <w:rFonts w:ascii="Arial" w:cs="Arial" w:eastAsia="Arial" w:hAnsi="Arial"/>
                <w:sz w:val="14"/>
                <w:szCs w:val="14"/>
                <w:color w:val="auto"/>
              </w:rPr>
              <w:t>Revenue excluding 2015 Super Bowl and 2014 Olympics</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$6,016</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$7,230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20.2%</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$11,789</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$13,458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0"/>
        </w:trPr>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Cable Networks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8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5"/>
          </w:tcPr>
          <w:p>
            <w:pPr>
              <w:jc w:val="center"/>
              <w:ind w:left="668"/>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r>
      <w:tr>
        <w:trPr>
          <w:trHeight w:val="190"/>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Pr>
          <w:p>
            <w:pPr>
              <w:spacing w:after="0"/>
              <w:rPr>
                <w:sz w:val="16"/>
                <w:szCs w:val="16"/>
                <w:color w:val="auto"/>
              </w:rPr>
            </w:pPr>
          </w:p>
        </w:tc>
      </w:tr>
      <w:tr>
        <w:trPr>
          <w:trHeight w:val="309"/>
        </w:trPr>
        <w:tc>
          <w:tcPr>
            <w:tcW w:w="50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r>
      <w:tr>
        <w:trPr>
          <w:trHeight w:val="333"/>
        </w:trPr>
        <w:tc>
          <w:tcPr>
            <w:tcW w:w="50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$2,476</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$2,450</w:t>
            </w:r>
          </w:p>
        </w:tc>
        <w:tc>
          <w:tcPr>
            <w:tcW w:w="118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$4,981</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$4,809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09"/>
        </w:trPr>
        <w:tc>
          <w:tcPr>
            <w:tcW w:w="50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8"/>
        </w:trPr>
        <w:tc>
          <w:tcPr>
            <w:tcW w:w="50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$2,476</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$2,450</w:t>
            </w:r>
          </w:p>
        </w:tc>
        <w:tc>
          <w:tcPr>
            <w:tcW w:w="118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$4,809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Broadcast Television Revenue Excluding 2015 Super Bowl and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80" w:type="dxa"/>
            <w:vAlign w:val="bottom"/>
            <w:tcBorders>
              <w:right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5"/>
          </w:tcPr>
          <w:p>
            <w:pPr>
              <w:jc w:val="center"/>
              <w:ind w:left="668"/>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r>
      <w:tr>
        <w:trPr>
          <w:trHeight w:val="190"/>
        </w:trPr>
        <w:tc>
          <w:tcPr>
            <w:tcW w:w="3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Pr>
          <w:p>
            <w:pPr>
              <w:spacing w:after="0"/>
              <w:rPr>
                <w:sz w:val="16"/>
                <w:szCs w:val="16"/>
                <w:color w:val="auto"/>
              </w:rPr>
            </w:pPr>
          </w:p>
        </w:tc>
      </w:tr>
      <w:tr>
        <w:trPr>
          <w:trHeight w:val="309"/>
        </w:trPr>
        <w:tc>
          <w:tcPr>
            <w:tcW w:w="5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r>
      <w:tr>
        <w:trPr>
          <w:trHeight w:val="333"/>
        </w:trPr>
        <w:tc>
          <w:tcPr>
            <w:tcW w:w="50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$1,816</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$1,813</w:t>
            </w:r>
          </w:p>
        </w:tc>
        <w:tc>
          <w:tcPr>
            <w:tcW w:w="118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$4,437</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$4,061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96"/>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74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880" w:type="dxa"/>
            <w:vAlign w:val="bottom"/>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2014</w:t>
            </w:r>
          </w:p>
        </w:tc>
        <w:tc>
          <w:tcPr>
            <w:tcW w:w="4740" w:type="dxa"/>
            <w:vAlign w:val="bottom"/>
          </w:tcPr>
          <w:p>
            <w:pPr>
              <w:ind w:left="20"/>
              <w:spacing w:after="0"/>
              <w:rPr>
                <w:sz w:val="20"/>
                <w:szCs w:val="20"/>
                <w:color w:val="auto"/>
              </w:rPr>
            </w:pPr>
            <w:r>
              <w:rPr>
                <w:rFonts w:ascii="Arial" w:cs="Arial" w:eastAsia="Arial" w:hAnsi="Arial"/>
                <w:sz w:val="14"/>
                <w:szCs w:val="14"/>
                <w:color w:val="auto"/>
              </w:rPr>
              <w:t>Olympics</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18"/>
        </w:trPr>
        <w:tc>
          <w:tcPr>
            <w:tcW w:w="5080" w:type="dxa"/>
            <w:vAlign w:val="bottom"/>
            <w:gridSpan w:val="2"/>
          </w:tcPr>
          <w:p>
            <w:pPr>
              <w:spacing w:after="0"/>
              <w:rPr>
                <w:sz w:val="20"/>
                <w:szCs w:val="20"/>
                <w:color w:val="auto"/>
              </w:rPr>
            </w:pPr>
            <w:r>
              <w:rPr>
                <w:rFonts w:ascii="Arial" w:cs="Arial" w:eastAsia="Arial" w:hAnsi="Arial"/>
                <w:sz w:val="14"/>
                <w:szCs w:val="14"/>
                <w:color w:val="auto"/>
              </w:rPr>
              <w:t>Revenue excluding 2015 Super Bowl and 2014 Olympics</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$1,816</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$1,813</w:t>
            </w:r>
          </w:p>
        </w:tc>
        <w:tc>
          <w:tcPr>
            <w:tcW w:w="118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$3,591</w:t>
            </w:r>
          </w:p>
        </w:tc>
        <w:tc>
          <w:tcPr>
            <w:tcW w:w="1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$3,685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2019-12-07T23:57:03Z</dcterms:created>
  <dcterms:modified xsi:type="dcterms:W3CDTF">2019-12-07T23:57:03Z</dcterms:modified>
</cp:coreProperties>
</file>