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June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2840" w:type="dxa"/>
            <w:vAlign w:val="bottom"/>
          </w:tcPr>
          <w:p>
            <w:pPr>
              <w:spacing w:after="0"/>
              <w:rPr>
                <w:sz w:val="18"/>
                <w:szCs w:val="18"/>
                <w:color w:val="auto"/>
              </w:rPr>
            </w:pPr>
          </w:p>
        </w:tc>
        <w:tc>
          <w:tcPr>
            <w:tcW w:w="4720" w:type="dxa"/>
            <w:vAlign w:val="bottom"/>
          </w:tcPr>
          <w:p>
            <w:pPr>
              <w:jc w:val="center"/>
              <w:ind w:right="2221"/>
              <w:spacing w:after="0"/>
              <w:rPr>
                <w:sz w:val="20"/>
                <w:szCs w:val="20"/>
                <w:color w:val="auto"/>
              </w:rPr>
            </w:pPr>
            <w:r>
              <w:rPr>
                <w:rFonts w:ascii="Arial" w:cs="Arial" w:eastAsia="Arial" w:hAnsi="Arial"/>
                <w:sz w:val="18"/>
                <w:szCs w:val="18"/>
                <w:b w:val="1"/>
                <w:bCs w:val="1"/>
                <w:color w:val="auto"/>
                <w:w w:val="88"/>
              </w:rPr>
              <w:t>Pennsylvania</w:t>
            </w:r>
          </w:p>
        </w:tc>
      </w:tr>
      <w:tr>
        <w:trPr>
          <w:trHeight w:val="149"/>
        </w:trPr>
        <w:tc>
          <w:tcPr>
            <w:tcW w:w="2840" w:type="dxa"/>
            <w:vAlign w:val="bottom"/>
          </w:tcPr>
          <w:p>
            <w:pPr>
              <w:spacing w:after="0"/>
              <w:rPr>
                <w:sz w:val="12"/>
                <w:szCs w:val="12"/>
                <w:color w:val="auto"/>
              </w:rPr>
            </w:pPr>
          </w:p>
        </w:tc>
        <w:tc>
          <w:tcPr>
            <w:tcW w:w="4720" w:type="dxa"/>
            <w:vAlign w:val="bottom"/>
          </w:tcPr>
          <w:p>
            <w:pPr>
              <w:jc w:val="center"/>
              <w:ind w:right="22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r>
      <w:tr>
        <w:trPr>
          <w:trHeight w:val="186"/>
        </w:trPr>
        <w:tc>
          <w:tcPr>
            <w:tcW w:w="2840" w:type="dxa"/>
            <w:vAlign w:val="bottom"/>
          </w:tcPr>
          <w:p>
            <w:pPr>
              <w:spacing w:after="0"/>
              <w:rPr>
                <w:sz w:val="16"/>
                <w:szCs w:val="16"/>
                <w:color w:val="auto"/>
              </w:rPr>
            </w:pPr>
          </w:p>
        </w:tc>
        <w:tc>
          <w:tcPr>
            <w:tcW w:w="4720" w:type="dxa"/>
            <w:vAlign w:val="bottom"/>
          </w:tcPr>
          <w:p>
            <w:pPr>
              <w:jc w:val="center"/>
              <w:ind w:right="2221"/>
              <w:spacing w:after="0"/>
              <w:rPr>
                <w:sz w:val="20"/>
                <w:szCs w:val="20"/>
                <w:color w:val="auto"/>
              </w:rPr>
            </w:pPr>
            <w:r>
              <w:rPr>
                <w:rFonts w:ascii="Arial" w:cs="Arial" w:eastAsia="Arial" w:hAnsi="Arial"/>
                <w:sz w:val="14"/>
                <w:szCs w:val="14"/>
                <w:b w:val="1"/>
                <w:bCs w:val="1"/>
                <w:color w:val="auto"/>
                <w:w w:val="94"/>
              </w:rPr>
              <w:t>of Incorporation)</w:t>
            </w:r>
          </w:p>
        </w:tc>
      </w:tr>
      <w:tr>
        <w:trPr>
          <w:trHeight w:val="421"/>
        </w:trPr>
        <w:tc>
          <w:tcPr>
            <w:tcW w:w="2840" w:type="dxa"/>
            <w:vAlign w:val="bottom"/>
          </w:tcPr>
          <w:p>
            <w:pPr>
              <w:jc w:val="center"/>
              <w:ind w:right="299"/>
              <w:spacing w:after="0"/>
              <w:rPr>
                <w:sz w:val="20"/>
                <w:szCs w:val="20"/>
                <w:color w:val="auto"/>
              </w:rPr>
            </w:pPr>
            <w:r>
              <w:rPr>
                <w:rFonts w:ascii="Arial" w:cs="Arial" w:eastAsia="Arial" w:hAnsi="Arial"/>
                <w:sz w:val="18"/>
                <w:szCs w:val="18"/>
                <w:b w:val="1"/>
                <w:bCs w:val="1"/>
                <w:color w:val="auto"/>
                <w:w w:val="90"/>
              </w:rPr>
              <w:t>001-32871</w:t>
            </w:r>
          </w:p>
        </w:tc>
        <w:tc>
          <w:tcPr>
            <w:tcW w:w="4720" w:type="dxa"/>
            <w:vAlign w:val="bottom"/>
          </w:tcPr>
          <w:p>
            <w:pPr>
              <w:jc w:val="center"/>
              <w:ind w:left="3501"/>
              <w:spacing w:after="0"/>
              <w:rPr>
                <w:sz w:val="20"/>
                <w:szCs w:val="20"/>
                <w:color w:val="auto"/>
              </w:rPr>
            </w:pPr>
            <w:r>
              <w:rPr>
                <w:rFonts w:ascii="Arial" w:cs="Arial" w:eastAsia="Arial" w:hAnsi="Arial"/>
                <w:sz w:val="18"/>
                <w:szCs w:val="18"/>
                <w:b w:val="1"/>
                <w:bCs w:val="1"/>
                <w:color w:val="auto"/>
                <w:w w:val="89"/>
              </w:rPr>
              <w:t>27-0000798</w:t>
            </w:r>
          </w:p>
        </w:tc>
      </w:tr>
      <w:tr>
        <w:trPr>
          <w:trHeight w:val="149"/>
        </w:trPr>
        <w:tc>
          <w:tcPr>
            <w:tcW w:w="284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2"/>
              </w:rPr>
              <w:t>(Commission</w:t>
            </w:r>
          </w:p>
        </w:tc>
        <w:tc>
          <w:tcPr>
            <w:tcW w:w="4720" w:type="dxa"/>
            <w:vAlign w:val="bottom"/>
          </w:tcPr>
          <w:p>
            <w:pPr>
              <w:jc w:val="center"/>
              <w:ind w:left="35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840" w:type="dxa"/>
            <w:vAlign w:val="bottom"/>
          </w:tcPr>
          <w:p>
            <w:pPr>
              <w:jc w:val="center"/>
              <w:ind w:right="299"/>
              <w:spacing w:after="0"/>
              <w:rPr>
                <w:sz w:val="20"/>
                <w:szCs w:val="20"/>
                <w:color w:val="auto"/>
              </w:rPr>
            </w:pPr>
            <w:r>
              <w:rPr>
                <w:rFonts w:ascii="Arial" w:cs="Arial" w:eastAsia="Arial" w:hAnsi="Arial"/>
                <w:sz w:val="14"/>
                <w:szCs w:val="14"/>
                <w:b w:val="1"/>
                <w:bCs w:val="1"/>
                <w:color w:val="auto"/>
                <w:w w:val="95"/>
              </w:rPr>
              <w:t>File Number)</w:t>
            </w:r>
          </w:p>
        </w:tc>
        <w:tc>
          <w:tcPr>
            <w:tcW w:w="4720" w:type="dxa"/>
            <w:vAlign w:val="bottom"/>
          </w:tcPr>
          <w:p>
            <w:pPr>
              <w:jc w:val="center"/>
              <w:ind w:left="35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840" w:type="dxa"/>
            <w:vAlign w:val="bottom"/>
          </w:tcPr>
          <w:p>
            <w:pPr>
              <w:jc w:val="center"/>
              <w:ind w:right="299"/>
              <w:spacing w:after="0"/>
              <w:rPr>
                <w:sz w:val="20"/>
                <w:szCs w:val="20"/>
                <w:color w:val="auto"/>
              </w:rPr>
            </w:pPr>
            <w:r>
              <w:rPr>
                <w:rFonts w:ascii="Arial" w:cs="Arial" w:eastAsia="Arial" w:hAnsi="Arial"/>
                <w:sz w:val="18"/>
                <w:szCs w:val="18"/>
                <w:b w:val="1"/>
                <w:bCs w:val="1"/>
                <w:color w:val="auto"/>
                <w:w w:val="90"/>
              </w:rPr>
              <w:t>One Comcast Center</w:t>
            </w:r>
          </w:p>
        </w:tc>
        <w:tc>
          <w:tcPr>
            <w:tcW w:w="4720" w:type="dxa"/>
            <w:vAlign w:val="bottom"/>
          </w:tcPr>
          <w:p>
            <w:pPr>
              <w:spacing w:after="0"/>
              <w:rPr>
                <w:sz w:val="24"/>
                <w:szCs w:val="24"/>
                <w:color w:val="auto"/>
              </w:rPr>
            </w:pPr>
          </w:p>
        </w:tc>
      </w:tr>
      <w:tr>
        <w:trPr>
          <w:trHeight w:val="212"/>
        </w:trPr>
        <w:tc>
          <w:tcPr>
            <w:tcW w:w="2840" w:type="dxa"/>
            <w:vAlign w:val="bottom"/>
          </w:tcPr>
          <w:p>
            <w:pPr>
              <w:jc w:val="center"/>
              <w:ind w:right="299"/>
              <w:spacing w:after="0"/>
              <w:rPr>
                <w:sz w:val="20"/>
                <w:szCs w:val="20"/>
                <w:color w:val="auto"/>
              </w:rPr>
            </w:pPr>
            <w:r>
              <w:rPr>
                <w:rFonts w:ascii="Arial" w:cs="Arial" w:eastAsia="Arial" w:hAnsi="Arial"/>
                <w:sz w:val="18"/>
                <w:szCs w:val="18"/>
                <w:b w:val="1"/>
                <w:bCs w:val="1"/>
                <w:color w:val="auto"/>
                <w:w w:val="92"/>
              </w:rPr>
              <w:t>Philadelphia, PA</w:t>
            </w:r>
          </w:p>
        </w:tc>
        <w:tc>
          <w:tcPr>
            <w:tcW w:w="4720" w:type="dxa"/>
            <w:vAlign w:val="bottom"/>
          </w:tcPr>
          <w:p>
            <w:pPr>
              <w:jc w:val="center"/>
              <w:ind w:left="3501"/>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840" w:type="dxa"/>
            <w:vAlign w:val="bottom"/>
          </w:tcPr>
          <w:p>
            <w:pPr>
              <w:jc w:val="center"/>
              <w:ind w:right="2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720" w:type="dxa"/>
            <w:vAlign w:val="bottom"/>
          </w:tcPr>
          <w:p>
            <w:pPr>
              <w:jc w:val="center"/>
              <w:ind w:left="3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30, 2015, the employment agreement of Brian L. Roberts, Chairman and Chief Executive Officer of Comcast Corporation, was amended solely to extend its term to June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Amendment No. 14 to Employment Agreement with Brian L. Roberts</w:t>
      </w:r>
    </w:p>
    <w:p>
      <w:pPr>
        <w:sectPr>
          <w:pgSz w:w="11900" w:h="16838" w:orient="portrait"/>
          <w:cols w:equalWidth="0" w:num="1">
            <w:col w:w="11160"/>
          </w:cols>
          <w:pgMar w:left="240" w:top="270" w:right="4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40" w:val="left"/>
          <w:tab w:leader="none" w:pos="6020" w:val="left"/>
        </w:tabs>
        <w:rPr>
          <w:sz w:val="20"/>
          <w:szCs w:val="20"/>
          <w:color w:val="auto"/>
        </w:rPr>
      </w:pPr>
      <w:r>
        <w:rPr>
          <w:rFonts w:ascii="Arial" w:cs="Arial" w:eastAsia="Arial" w:hAnsi="Arial"/>
          <w:sz w:val="18"/>
          <w:szCs w:val="18"/>
          <w:color w:val="auto"/>
        </w:rPr>
        <w:t>Date:</w:t>
        <w:tab/>
        <w:t>July 7, 2015</w:t>
      </w:r>
      <w:r>
        <w:rPr>
          <w:sz w:val="20"/>
          <w:szCs w:val="20"/>
          <w:color w:val="auto"/>
        </w:rPr>
        <w:tab/>
      </w:r>
      <w:r>
        <w:rPr>
          <w:rFonts w:ascii="Arial" w:cs="Arial" w:eastAsia="Arial" w:hAnsi="Arial"/>
          <w:sz w:val="17"/>
          <w:szCs w:val="17"/>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Executive Vice President, General Counsel and Secretary</w:t>
      </w:r>
    </w:p>
    <w:p>
      <w:pPr>
        <w:spacing w:after="0" w:line="18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14 TO EMPLOYMENT AGREEMENT</w:t>
      </w:r>
    </w:p>
    <w:p>
      <w:pPr>
        <w:spacing w:after="0" w:line="22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This AMENDMENT NO. 14 TO EMPLOYMENT AGREEMENT is entered as of 5:00 p.m. on the 30</w:t>
      </w:r>
      <w:r>
        <w:rPr>
          <w:rFonts w:ascii="Arial" w:cs="Arial" w:eastAsia="Arial" w:hAnsi="Arial"/>
          <w:sz w:val="14"/>
          <w:szCs w:val="14"/>
          <w:color w:val="auto"/>
        </w:rPr>
        <w:t>th</w:t>
      </w:r>
      <w:r>
        <w:rPr>
          <w:rFonts w:ascii="Arial" w:cs="Arial" w:eastAsia="Arial" w:hAnsi="Arial"/>
          <w:sz w:val="17"/>
          <w:szCs w:val="17"/>
          <w:color w:val="auto"/>
        </w:rPr>
        <w:t xml:space="preserve"> day of June, 2015, between COMCAST CORPORATION, a Pennsylvania corporation (together with its subsidiaries, the “Company”), and BRIAN L. ROBERTS (“Employee”).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the parties entered into an Employment Agreement dated as of June 1, 2005, as amended (the “Agreement”), that sets forth the terms and conditions of Employee’s employment with the Company,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5"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Subparagraph 2(ii) of the Agreement is hereby deleted and replaced in its entirety by the following: “(ii) June 30, 2016.”</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parties hereto have executed and delivered this Amendment No. 14 as of the time and date first-above written.</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Arthur R. Block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6/30/15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 Roberts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6/30/15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2019-12-08T00:40:19Z</dcterms:created>
  <dcterms:modified xsi:type="dcterms:W3CDTF">2019-12-08T00:40:19Z</dcterms:modified>
</cp:coreProperties>
</file>