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February 14, 1995</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AMENDMENT NO. 19</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740" w:type="dxa"/>
            <w:vAlign w:val="bottom"/>
          </w:tcPr>
          <w:p>
            <w:pPr>
              <w:jc w:val="center"/>
              <w:ind w:left="892"/>
              <w:spacing w:after="0"/>
              <w:rPr>
                <w:sz w:val="20"/>
                <w:szCs w:val="20"/>
                <w:color w:val="auto"/>
              </w:rPr>
            </w:pPr>
            <w:r>
              <w:rPr>
                <w:rFonts w:ascii="Courier New" w:cs="Courier New" w:eastAsia="Courier New" w:hAnsi="Courier New"/>
                <w:sz w:val="18"/>
                <w:szCs w:val="18"/>
                <w:color w:val="auto"/>
                <w:w w:val="98"/>
              </w:rPr>
              <w:t>747262</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73"/>
              </w:rPr>
              <w:t>3</w:t>
            </w:r>
          </w:p>
        </w:tc>
        <w:tc>
          <w:tcPr>
            <w:tcW w:w="2840" w:type="dxa"/>
            <w:vAlign w:val="bottom"/>
          </w:tcPr>
          <w:p>
            <w:pPr>
              <w:spacing w:after="0"/>
              <w:rPr>
                <w:sz w:val="17"/>
                <w:szCs w:val="17"/>
                <w:color w:val="auto"/>
              </w:rPr>
            </w:pPr>
          </w:p>
        </w:tc>
      </w:tr>
      <w:tr>
        <w:trPr>
          <w:trHeight w:val="203"/>
        </w:trPr>
        <w:tc>
          <w:tcPr>
            <w:tcW w:w="8120" w:type="dxa"/>
            <w:vAlign w:val="bottom"/>
            <w:gridSpan w:val="5"/>
          </w:tcPr>
          <w:p>
            <w:pPr>
              <w:ind w:left="2220"/>
              <w:spacing w:after="0" w:line="203" w:lineRule="exact"/>
              <w:rPr>
                <w:sz w:val="20"/>
                <w:szCs w:val="20"/>
                <w:color w:val="auto"/>
              </w:rPr>
            </w:pPr>
            <w:r>
              <w:rPr>
                <w:rFonts w:ascii="Courier New" w:cs="Courier New" w:eastAsia="Courier New" w:hAnsi="Courier New"/>
                <w:sz w:val="18"/>
                <w:szCs w:val="18"/>
                <w:color w:val="auto"/>
              </w:rPr>
              <w:t>(CUSIP Number of Class of Securities)</w:t>
            </w:r>
          </w:p>
        </w:tc>
      </w:tr>
      <w:tr>
        <w:trPr>
          <w:trHeight w:val="810"/>
        </w:trPr>
        <w:tc>
          <w:tcPr>
            <w:tcW w:w="2540" w:type="dxa"/>
            <w:vAlign w:val="bottom"/>
          </w:tcPr>
          <w:p>
            <w:pPr>
              <w:spacing w:after="0"/>
              <w:rPr>
                <w:sz w:val="24"/>
                <w:szCs w:val="24"/>
                <w:color w:val="auto"/>
              </w:rPr>
            </w:pPr>
          </w:p>
        </w:tc>
        <w:tc>
          <w:tcPr>
            <w:tcW w:w="274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24"/>
                <w:szCs w:val="24"/>
                <w:color w:val="auto"/>
              </w:rPr>
            </w:pPr>
          </w:p>
        </w:tc>
      </w:tr>
      <w:tr>
        <w:trPr>
          <w:trHeight w:val="608"/>
        </w:trPr>
        <w:tc>
          <w:tcPr>
            <w:tcW w:w="25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Neal S. Grabell</w:t>
            </w:r>
          </w:p>
        </w:tc>
        <w:tc>
          <w:tcPr>
            <w:tcW w:w="2100" w:type="dxa"/>
            <w:vAlign w:val="bottom"/>
            <w:gridSpan w:val="2"/>
          </w:tcPr>
          <w:p>
            <w:pPr>
              <w:jc w:val="center"/>
              <w:ind w:left="432"/>
              <w:spacing w:after="0"/>
              <w:rPr>
                <w:sz w:val="20"/>
                <w:szCs w:val="20"/>
                <w:color w:val="auto"/>
              </w:rPr>
            </w:pPr>
            <w:r>
              <w:rPr>
                <w:rFonts w:ascii="Courier New" w:cs="Courier New" w:eastAsia="Courier New" w:hAnsi="Courier New"/>
                <w:sz w:val="18"/>
                <w:szCs w:val="18"/>
                <w:color w:val="auto"/>
                <w:w w:val="97"/>
              </w:rPr>
              <w:t>Stanley L. Wang</w:t>
            </w:r>
          </w:p>
        </w:tc>
        <w:tc>
          <w:tcPr>
            <w:tcW w:w="640" w:type="dxa"/>
            <w:vAlign w:val="bottom"/>
          </w:tcPr>
          <w:p>
            <w:pPr>
              <w:spacing w:after="0"/>
              <w:rPr>
                <w:sz w:val="24"/>
                <w:szCs w:val="24"/>
                <w:color w:val="auto"/>
              </w:rPr>
            </w:pP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QVC, Inc.</w:t>
            </w:r>
          </w:p>
        </w:tc>
        <w:tc>
          <w:tcPr>
            <w:tcW w:w="274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1365 Enterprise Drive</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25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(610) 430-1000</w:t>
            </w:r>
          </w:p>
        </w:tc>
        <w:tc>
          <w:tcPr>
            <w:tcW w:w="21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6"/>
              </w:rPr>
              <w:t>(215) 665-1700</w:t>
            </w:r>
          </w:p>
        </w:tc>
        <w:tc>
          <w:tcPr>
            <w:tcW w:w="640" w:type="dxa"/>
            <w:vAlign w:val="bottom"/>
          </w:tcPr>
          <w:p>
            <w:pPr>
              <w:spacing w:after="0"/>
              <w:rPr>
                <w:sz w:val="17"/>
                <w:szCs w:val="17"/>
                <w:color w:val="auto"/>
              </w:rPr>
            </w:pP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0" w:lineRule="exact"/>
        <w:rPr>
          <w:sz w:val="24"/>
          <w:szCs w:val="24"/>
          <w:color w:val="auto"/>
        </w:rPr>
      </w:pPr>
    </w:p>
    <w:p>
      <w:pPr>
        <w:spacing w:after="0" w:line="209" w:lineRule="exact"/>
        <w:rPr>
          <w:sz w:val="24"/>
          <w:szCs w:val="24"/>
          <w:color w:val="auto"/>
        </w:rPr>
      </w:pPr>
    </w:p>
    <w:p>
      <w:pPr>
        <w:jc w:val="right"/>
        <w:ind w:left="540" w:right="25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540" w:type="dxa"/>
            <w:vAlign w:val="bottom"/>
          </w:tcPr>
          <w:p>
            <w:pPr>
              <w:ind w:left="260"/>
              <w:spacing w:after="0"/>
              <w:rPr>
                <w:sz w:val="20"/>
                <w:szCs w:val="20"/>
                <w:color w:val="auto"/>
              </w:rPr>
            </w:pPr>
            <w:r>
              <w:rPr>
                <w:rFonts w:ascii="Courier New" w:cs="Courier New" w:eastAsia="Courier New" w:hAnsi="Courier New"/>
                <w:sz w:val="18"/>
                <w:szCs w:val="18"/>
                <w:color w:val="auto"/>
              </w:rPr>
              <w:t>Copies to:</w:t>
            </w:r>
          </w:p>
        </w:tc>
        <w:tc>
          <w:tcPr>
            <w:tcW w:w="2360" w:type="dxa"/>
            <w:vAlign w:val="bottom"/>
          </w:tcPr>
          <w:p>
            <w:pPr>
              <w:spacing w:after="0"/>
              <w:rPr>
                <w:sz w:val="17"/>
                <w:szCs w:val="17"/>
                <w:color w:val="auto"/>
              </w:rPr>
            </w:pPr>
          </w:p>
        </w:tc>
      </w:tr>
      <w:tr>
        <w:trPr>
          <w:trHeight w:val="405"/>
        </w:trPr>
        <w:tc>
          <w:tcPr>
            <w:tcW w:w="3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Pamela S. Seymon</w:t>
            </w:r>
          </w:p>
        </w:tc>
        <w:tc>
          <w:tcPr>
            <w:tcW w:w="25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Dennis S. Hersch</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3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Wachtell, Lipton, Rosen &amp; Katz</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2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51 West 52nd Street</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450 Lexington Avenue</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3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New York, NY 10019</w:t>
            </w:r>
          </w:p>
        </w:tc>
        <w:tc>
          <w:tcPr>
            <w:tcW w:w="25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03"/>
        </w:trPr>
        <w:tc>
          <w:tcPr>
            <w:tcW w:w="3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(212) 403-1000</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(212) 450-4000</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705-5000</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186" w:lineRule="exact"/>
        <w:rPr>
          <w:sz w:val="24"/>
          <w:szCs w:val="24"/>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17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Capitalized terms used but not defined herein shall have the</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meaning assigned to them in the Schedule 13E-3.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19 to the Schedule 14D-1 is incorporated herein by reference.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Source and Amount of Funds and Other Consideration.</w:t>
      </w:r>
    </w:p>
    <w:p>
      <w:pPr>
        <w:spacing w:after="0" w:line="207"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The answer to Items 4(a) and 4(b) of Amendment No. 19 to the Schedule 14D-1 is incorporated herein by reference.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The answer to Items 6(a) and 6(b) of Amendment No. 19 to the Schedule 14D-1 is incorporated herein by reference.</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Item 11. Contracts, Arrangements or Understandings With Respect to the Issuer's Securities.</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The answer to Item 7 of Amendment No. 19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19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319" w:firstLine="1264"/>
        <w:spacing w:after="0" w:line="268" w:lineRule="auto"/>
        <w:rPr>
          <w:sz w:val="20"/>
          <w:szCs w:val="20"/>
          <w:color w:val="auto"/>
        </w:rPr>
      </w:pPr>
      <w:r>
        <w:rPr>
          <w:rFonts w:ascii="Courier New" w:cs="Courier New" w:eastAsia="Courier New" w:hAnsi="Courier New"/>
          <w:sz w:val="16"/>
          <w:szCs w:val="16"/>
          <w:color w:val="auto"/>
        </w:rPr>
        <w:t>(a)(5) -- Credit Agreement, dated as of February 9, 1995, among the Purchaser and the Banks listed on the signature pages thereto.(*)</w:t>
      </w:r>
    </w:p>
    <w:p>
      <w:pPr>
        <w:spacing w:after="0" w:line="233" w:lineRule="auto"/>
        <w:rPr>
          <w:sz w:val="20"/>
          <w:szCs w:val="20"/>
          <w:color w:val="auto"/>
        </w:rPr>
      </w:pPr>
      <w:r>
        <w:rPr>
          <w:rFonts w:ascii="Courier New" w:cs="Courier New" w:eastAsia="Courier New" w:hAnsi="Courier New"/>
          <w:sz w:val="18"/>
          <w:szCs w:val="18"/>
          <w:color w:val="auto"/>
        </w:rPr>
        <w:t>__________</w:t>
      </w:r>
    </w:p>
    <w:p>
      <w:pPr>
        <w:spacing w:after="0"/>
        <w:rPr>
          <w:sz w:val="20"/>
          <w:szCs w:val="20"/>
          <w:color w:val="auto"/>
        </w:rPr>
      </w:pPr>
      <w:r>
        <w:rPr>
          <w:rFonts w:ascii="Courier New" w:cs="Courier New" w:eastAsia="Courier New" w:hAnsi="Courier New"/>
          <w:sz w:val="18"/>
          <w:szCs w:val="18"/>
          <w:color w:val="auto"/>
        </w:rPr>
        <w:t>(*)Incorporated by reference to Amendment No. 19 to the Schedule 14D-1.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14,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pacing w:after="0" w:line="200" w:lineRule="exact"/>
        <w:rPr>
          <w:sz w:val="20"/>
          <w:szCs w:val="20"/>
          <w:color w:val="auto"/>
        </w:rPr>
      </w:pPr>
    </w:p>
    <w:p>
      <w:pPr>
        <w:spacing w:after="0" w:line="204" w:lineRule="exact"/>
        <w:rPr>
          <w:sz w:val="20"/>
          <w:szCs w:val="20"/>
          <w:color w:val="auto"/>
        </w:rPr>
      </w:pPr>
    </w:p>
    <w:p>
      <w:pPr>
        <w:jc w:val="center"/>
        <w:ind w:right="-120"/>
        <w:spacing w:after="0"/>
        <w:tabs>
          <w:tab w:leader="none" w:pos="3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4440"/>
        <w:spacing w:after="0"/>
        <w:rPr>
          <w:sz w:val="20"/>
          <w:szCs w:val="20"/>
          <w:color w:val="auto"/>
        </w:rPr>
      </w:pPr>
      <w:r>
        <w:rPr>
          <w:rFonts w:ascii="Courier New" w:cs="Courier New" w:eastAsia="Courier New" w:hAnsi="Courier New"/>
          <w:sz w:val="18"/>
          <w:szCs w:val="18"/>
          <w:color w:val="auto"/>
        </w:rPr>
        <w:t>Name: Neal S. Grabell</w:t>
      </w:r>
    </w:p>
    <w:p>
      <w:pPr>
        <w:ind w:left="444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5700"/>
        <w:spacing w:after="0" w:line="238" w:lineRule="auto"/>
        <w:rPr>
          <w:sz w:val="20"/>
          <w:szCs w:val="20"/>
          <w:color w:val="auto"/>
        </w:rPr>
      </w:pPr>
      <w:r>
        <w:rPr>
          <w:rFonts w:ascii="Courier New" w:cs="Courier New" w:eastAsia="Courier New" w:hAnsi="Courier New"/>
          <w:sz w:val="18"/>
          <w:szCs w:val="18"/>
          <w:color w:val="auto"/>
        </w:rPr>
        <w:t>General Counsel and</w:t>
      </w:r>
    </w:p>
    <w:p>
      <w:pPr>
        <w:ind w:left="570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4440"/>
        <w:spacing w:after="0"/>
        <w:rPr>
          <w:sz w:val="20"/>
          <w:szCs w:val="20"/>
          <w:color w:val="auto"/>
        </w:rPr>
      </w:pPr>
      <w:r>
        <w:rPr>
          <w:rFonts w:ascii="Courier New" w:cs="Courier New" w:eastAsia="Courier New" w:hAnsi="Courier New"/>
          <w:sz w:val="18"/>
          <w:szCs w:val="18"/>
          <w:color w:val="auto"/>
        </w:rPr>
        <w:t>Name: Julian A. Brodsky</w:t>
      </w:r>
    </w:p>
    <w:p>
      <w:pPr>
        <w:ind w:left="44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_________________________</w:t>
      </w:r>
    </w:p>
    <w:p>
      <w:pPr>
        <w:ind w:left="4440"/>
        <w:spacing w:after="0"/>
        <w:rPr>
          <w:sz w:val="20"/>
          <w:szCs w:val="20"/>
          <w:color w:val="auto"/>
        </w:rPr>
      </w:pPr>
      <w:r>
        <w:rPr>
          <w:rFonts w:ascii="Courier New" w:cs="Courier New" w:eastAsia="Courier New" w:hAnsi="Courier New"/>
          <w:sz w:val="18"/>
          <w:szCs w:val="18"/>
          <w:color w:val="auto"/>
        </w:rPr>
        <w:t>Name: Julian A. Brodsky</w:t>
      </w:r>
    </w:p>
    <w:p>
      <w:pPr>
        <w:ind w:left="4440"/>
        <w:spacing w:after="0" w:line="237" w:lineRule="auto"/>
        <w:rPr>
          <w:sz w:val="20"/>
          <w:szCs w:val="20"/>
          <w:color w:val="auto"/>
        </w:rPr>
      </w:pPr>
      <w:r>
        <w:rPr>
          <w:rFonts w:ascii="Courier New" w:cs="Courier New" w:eastAsia="Courier New" w:hAnsi="Courier New"/>
          <w:sz w:val="18"/>
          <w:szCs w:val="18"/>
          <w:color w:val="auto"/>
        </w:rPr>
        <w:t>Title: Vice Chairman</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TELE-COMMUNICATIONS, INC.</w:t>
      </w:r>
    </w:p>
    <w:p>
      <w:pPr>
        <w:sectPr>
          <w:pgSz w:w="11900" w:h="16838" w:orient="portrait"/>
          <w:cols w:equalWidth="0" w:num="1">
            <w:col w:w="10219"/>
          </w:cols>
          <w:pgMar w:left="240" w:top="136" w:right="1440" w:bottom="0" w:gutter="0" w:footer="0" w:header="0"/>
          <w:type w:val="continuous"/>
        </w:sectPr>
      </w:pPr>
    </w:p>
    <w:bookmarkStart w:id="2" w:name="page3"/>
    <w:bookmarkEnd w:id="2"/>
    <w:p>
      <w:pPr>
        <w:jc w:val="center"/>
        <w:ind w:right="-1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Stephen M. Brett</w:t>
      </w:r>
    </w:p>
    <w:p>
      <w:pPr>
        <w:jc w:val="right"/>
        <w:ind w:right="3579"/>
        <w:spacing w:after="0" w:line="238" w:lineRule="auto"/>
        <w:rPr>
          <w:sz w:val="20"/>
          <w:szCs w:val="20"/>
          <w:color w:val="auto"/>
        </w:rPr>
      </w:pPr>
      <w:r>
        <w:rPr>
          <w:rFonts w:ascii="Courier New" w:cs="Courier New" w:eastAsia="Courier New" w:hAnsi="Courier New"/>
          <w:sz w:val="18"/>
          <w:szCs w:val="18"/>
          <w:color w:val="auto"/>
        </w:rPr>
        <w:t>Title: Executive Vice</w:t>
      </w:r>
    </w:p>
    <w:p>
      <w:pPr>
        <w:jc w:val="right"/>
        <w:ind w:right="3579"/>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w:t>
      </w:r>
    </w:p>
    <w:p>
      <w:pPr>
        <w:spacing w:after="0" w:line="200" w:lineRule="exact"/>
        <w:rPr>
          <w:sz w:val="20"/>
          <w:szCs w:val="20"/>
          <w:color w:val="auto"/>
        </w:rPr>
      </w:pPr>
    </w:p>
    <w:p>
      <w:pPr>
        <w:sectPr>
          <w:pgSz w:w="11900" w:h="16838" w:orient="portrait"/>
          <w:cols w:equalWidth="0" w:num="3">
            <w:col w:w="2140" w:space="720"/>
            <w:col w:w="3060" w:space="720"/>
            <w:col w:w="3579"/>
          </w:cols>
          <w:pgMar w:left="240" w:top="541" w:right="1440" w:bottom="1440" w:gutter="0" w:footer="0" w:header="0"/>
          <w:type w:val="continuous"/>
        </w:sect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(a)(5)</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Agreement, dated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February 9, 1995,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among the Purchaser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 Banks listed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signature pages</w:t>
      </w:r>
    </w:p>
    <w:p>
      <w:pPr>
        <w:spacing w:after="0" w:line="238" w:lineRule="auto"/>
        <w:rPr>
          <w:sz w:val="20"/>
          <w:szCs w:val="20"/>
          <w:color w:val="auto"/>
        </w:rPr>
      </w:pPr>
      <w:r>
        <w:rPr>
          <w:rFonts w:ascii="Courier New" w:cs="Courier New" w:eastAsia="Courier New" w:hAnsi="Courier New"/>
          <w:sz w:val="18"/>
          <w:szCs w:val="18"/>
          <w:color w:val="auto"/>
        </w:rPr>
        <w:t>thereto.(*)</w:t>
      </w:r>
    </w:p>
    <w:p>
      <w:pPr>
        <w:spacing w:after="0" w:line="200" w:lineRule="exact"/>
        <w:rPr>
          <w:sz w:val="20"/>
          <w:szCs w:val="20"/>
          <w:color w:val="auto"/>
        </w:rPr>
      </w:pPr>
    </w:p>
    <w:p>
      <w:pPr>
        <w:sectPr>
          <w:pgSz w:w="11900" w:h="16838" w:orient="portrait"/>
          <w:cols w:equalWidth="0" w:num="2">
            <w:col w:w="1500" w:space="720"/>
            <w:col w:w="7999"/>
          </w:cols>
          <w:pgMar w:left="240" w:top="541"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by reference to Amendment No. 19 to the Schedule 14D-1.</w:t>
      </w:r>
    </w:p>
    <w:sectPr>
      <w:pgSz w:w="11900" w:h="16838" w:orient="portrait"/>
      <w:cols w:equalWidth="0" w:num="1">
        <w:col w:w="102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2019-12-16T12:15:31Z</dcterms:created>
  <dcterms:modified xsi:type="dcterms:W3CDTF">2019-12-16T12:15:31Z</dcterms:modified>
</cp:coreProperties>
</file>