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26, 2018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001-32871</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4"/>
              </w:rPr>
              <w:t>(Commission File Number)</w:t>
            </w:r>
          </w:p>
        </w:tc>
        <w:tc>
          <w:tcPr>
            <w:tcW w:w="3820" w:type="dxa"/>
            <w:vAlign w:val="bottom"/>
          </w:tcPr>
          <w:p>
            <w:pPr>
              <w:jc w:val="center"/>
              <w:ind w:left="175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One Comcast Center</w:t>
            </w:r>
          </w:p>
        </w:tc>
        <w:tc>
          <w:tcPr>
            <w:tcW w:w="3820" w:type="dxa"/>
            <w:vAlign w:val="bottom"/>
          </w:tcPr>
          <w:p>
            <w:pPr>
              <w:spacing w:after="0"/>
              <w:rPr>
                <w:sz w:val="24"/>
                <w:szCs w:val="24"/>
                <w:color w:val="auto"/>
              </w:rPr>
            </w:pPr>
          </w:p>
        </w:tc>
      </w:t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2"/>
              </w:rPr>
              <w:t>Philadelphia, PA</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5"/>
              </w:rPr>
              <w:t>(Address of Principal Executive Offices)</w:t>
            </w:r>
          </w:p>
        </w:tc>
        <w:tc>
          <w:tcPr>
            <w:tcW w:w="3820" w:type="dxa"/>
            <w:vAlign w:val="bottom"/>
          </w:tcPr>
          <w:p>
            <w:pPr>
              <w:jc w:val="center"/>
              <w:ind w:left="1739"/>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July 26, 2018, Comcast Corporation (“Comcast”) issued a press release reporting the results of its operations for the three and six months ended June 30, 2018.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ectPr>
          <w:pgSz w:w="11900" w:h="16838" w:orient="portrait"/>
          <w:cols w:equalWidth="0" w:num="1">
            <w:col w:w="11420"/>
          </w:cols>
          <w:pgMar w:left="240" w:top="553" w:right="239" w:bottom="9" w:gutter="0" w:footer="0" w:header="0"/>
        </w:sectPr>
      </w:pPr>
    </w:p>
    <w:bookmarkStart w:id="1" w:name="page2"/>
    <w:bookmarkEnd w:id="1"/>
    <w:p>
      <w:pPr>
        <w:ind w:left="500"/>
        <w:spacing w:after="0"/>
        <w:tabs>
          <w:tab w:leader="none" w:pos="14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Number</w:t>
      </w:r>
    </w:p>
    <w:p>
      <w:pPr>
        <w:spacing w:after="0" w:line="211" w:lineRule="exact"/>
        <w:rPr>
          <w:sz w:val="20"/>
          <w:szCs w:val="20"/>
          <w:color w:val="auto"/>
        </w:rPr>
      </w:pPr>
    </w:p>
    <w:p>
      <w:pPr>
        <w:ind w:left="640"/>
        <w:spacing w:after="0"/>
        <w:tabs>
          <w:tab w:leader="none" w:pos="14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Comcast Corporation press release dated July 26, 2018.</w:t>
        </w:r>
      </w:hyperlink>
    </w:p>
    <w:p>
      <w:pPr>
        <w:spacing w:after="0" w:line="23"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18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July 26, 2018</w:t>
            </w:r>
          </w:p>
        </w:tc>
        <w:tc>
          <w:tcPr>
            <w:tcW w:w="8020" w:type="dxa"/>
            <w:vAlign w:val="bottom"/>
            <w:gridSpan w:val="2"/>
          </w:tcPr>
          <w:p>
            <w:pPr>
              <w:ind w:left="180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191135</wp:posOffset>
            </wp:positionV>
            <wp:extent cx="137223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54038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480" w:firstLine="3472"/>
        <w:spacing w:after="0" w:line="470" w:lineRule="auto"/>
        <w:rPr>
          <w:sz w:val="20"/>
          <w:szCs w:val="20"/>
          <w:color w:val="auto"/>
        </w:rPr>
      </w:pPr>
      <w:r>
        <w:rPr>
          <w:rFonts w:ascii="Arial" w:cs="Arial" w:eastAsia="Arial" w:hAnsi="Arial"/>
          <w:sz w:val="18"/>
          <w:szCs w:val="18"/>
          <w:b w:val="1"/>
          <w:bCs w:val="1"/>
          <w:u w:val="single" w:color="auto"/>
          <w:color w:val="auto"/>
        </w:rPr>
        <w:t xml:space="preserve">COMCAST REPORTS 2nd QUARTER 2018 RESULTS </w:t>
      </w:r>
      <w:r>
        <w:rPr>
          <w:rFonts w:ascii="Arial" w:cs="Arial" w:eastAsia="Arial" w:hAnsi="Arial"/>
          <w:sz w:val="18"/>
          <w:szCs w:val="18"/>
          <w:b w:val="1"/>
          <w:bCs w:val="1"/>
          <w:color w:val="auto"/>
        </w:rPr>
        <w:t>Consolidated 2nd Quarter 2018 Highlights:</w:t>
      </w:r>
    </w:p>
    <w:p>
      <w:pPr>
        <w:spacing w:after="0" w:line="1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Revenue Increased 2.1%; Net Income Attributable to Comcast Increased 27.6%; Adjusted EBITDA Increased 4.8%</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Cash Provided by Operating Activities was $7.1 Billion; Free Cash Flow was $4.3 Billion</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Share Increased by 32.7% to $0.69; On an Adjusted Basis, Earnings per Share Increased 25.0% to $0.65</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Dividends Paid Totaled $878 Million and Share Repurchases were $1.3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2nd Quarter 2018 Highlights:</w:t>
      </w:r>
    </w:p>
    <w:p>
      <w:pPr>
        <w:spacing w:after="0" w:line="211"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Cable Communications Revenue Increased 3.4%; Adjusted EBITDA Increased 6.5%</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Customer Relationships Increased 2.8% Year-Over-Year to 29.8 Million, Including Net Additions of 182,000 in the Quarter</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Adjusted EBITDA per Customer Relationship Increased 3.7%</w:t>
      </w:r>
    </w:p>
    <w:p>
      <w:pPr>
        <w:spacing w:after="0" w:line="228" w:lineRule="exact"/>
        <w:rPr>
          <w:rFonts w:ascii="Arial" w:cs="Arial" w:eastAsia="Arial" w:hAnsi="Arial"/>
          <w:sz w:val="22"/>
          <w:szCs w:val="22"/>
          <w:color w:val="auto"/>
        </w:rPr>
      </w:pPr>
    </w:p>
    <w:p>
      <w:pPr>
        <w:ind w:left="660" w:hanging="328"/>
        <w:spacing w:after="0" w:line="225" w:lineRule="auto"/>
        <w:tabs>
          <w:tab w:leader="none" w:pos="782" w:val="left"/>
        </w:tabs>
        <w:numPr>
          <w:ilvl w:val="0"/>
          <w:numId w:val="3"/>
        </w:numPr>
        <w:rPr>
          <w:rFonts w:ascii="Arial" w:cs="Arial" w:eastAsia="Arial" w:hAnsi="Arial"/>
          <w:sz w:val="22"/>
          <w:szCs w:val="22"/>
          <w:color w:val="auto"/>
        </w:rPr>
      </w:pPr>
      <w:r>
        <w:rPr>
          <w:rFonts w:ascii="Arial" w:cs="Arial" w:eastAsia="Arial" w:hAnsi="Arial"/>
          <w:sz w:val="18"/>
          <w:szCs w:val="18"/>
          <w:color w:val="auto"/>
        </w:rPr>
        <w:t>High-Speed Internet Residential Revenue Increased 9.3%; Business Services Revenue Increased 11.1%; Total High-Speed Internet Customers Increased by 260,000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2nd Quarter 2018 Highlights:</w:t>
      </w:r>
    </w:p>
    <w:p>
      <w:pPr>
        <w:spacing w:after="0" w:line="21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NBCUniversal Revenue was Flat; Adjusted EBITDA Increased 4.2%</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Cable Networks and Broadcast Television Collectively Increased Adjusted EBITDA 9.0%</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 Remains Ranked #1 Among Adults 18-49</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Year-to-Date, Theme Parks Revenue Increased 8.6%; Adjusted EBITDA Increased 12.3%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26, 2018… Comcast Corporation (NASDAQ: CMCSA) today reported results for the quarter ended June 30, 2018.</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“We delivered fantastic results in the second quarter, including robust free cash flow of $4.3 billion. At Cable Communications, we added 182,000 customer relationships, largely driven by our addition of 260,000 broadband customers, which was the highest second quarter result in 10 years. These strong customer metrics were balanced with robust EBITDA growth, fueled by high-speed Internet and business services. NBCUniversal’s performance was highlighted by continued momentum in affiliate revenue at our cable networks business, and Telemundo presented its first ever FIFA World Cup</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which set multiple records for the network. Additionally, we are excited about the new attractions that we opened at each of our theme parks during the quarter, and pleased with the theatrical performance of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Overall, our successful results in the first half of 2018 underscore the strength we see across Comcast 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1900" w:type="dxa"/>
            <w:vAlign w:val="bottom"/>
            <w:vMerge w:val="restart"/>
          </w:tcPr>
          <w:p>
            <w:pPr>
              <w:jc w:val="right"/>
              <w:ind w:right="1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2nd Quarter</w:t>
            </w:r>
          </w:p>
        </w:tc>
        <w:tc>
          <w:tcPr>
            <w:tcW w:w="124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Year to Date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00" w:type="dxa"/>
            <w:vAlign w:val="bottom"/>
            <w:tcBorders>
              <w:bottom w:val="single" w:sz="8" w:color="auto"/>
            </w:tcBorders>
            <w:vMerge w:val="continue"/>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1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$21,286</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$21,735</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$41,873</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$44,526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Comcast</w:t>
            </w:r>
          </w:p>
        </w:tc>
        <w:tc>
          <w:tcPr>
            <w:tcW w:w="1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$2,521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$3,216</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27.6%</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$5,094</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$6,334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3"/>
                <w:szCs w:val="13"/>
                <w:color w:val="auto"/>
              </w:rPr>
              <w:t>Adjusted EBITDA</w:t>
            </w:r>
            <w:r>
              <w:rPr>
                <w:rFonts w:ascii="Arial" w:cs="Arial" w:eastAsia="Arial" w:hAnsi="Arial"/>
                <w:sz w:val="19"/>
                <w:szCs w:val="19"/>
                <w:color w:val="auto"/>
                <w:vertAlign w:val="superscript"/>
              </w:rPr>
              <w:t>1</w:t>
            </w:r>
          </w:p>
        </w:tc>
        <w:tc>
          <w:tcPr>
            <w:tcW w:w="1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$7,075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$7,417</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4.8%</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$14,085</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$14,661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0"/>
        </w:trPr>
        <w:tc>
          <w:tcPr>
            <w:tcW w:w="3500" w:type="dxa"/>
            <w:vAlign w:val="bottom"/>
          </w:tcPr>
          <w:p>
            <w:pPr>
              <w:ind w:left="40"/>
              <w:spacing w:after="0" w:line="160" w:lineRule="exact"/>
              <w:rPr>
                <w:sz w:val="20"/>
                <w:szCs w:val="20"/>
                <w:color w:val="auto"/>
              </w:rPr>
            </w:pPr>
            <w:r>
              <w:rPr>
                <w:rFonts w:ascii="Arial" w:cs="Arial" w:eastAsia="Arial" w:hAnsi="Arial"/>
                <w:sz w:val="13"/>
                <w:szCs w:val="13"/>
                <w:color w:val="auto"/>
              </w:rPr>
              <w:t>Earnings per Share</w:t>
            </w:r>
            <w:r>
              <w:rPr>
                <w:rFonts w:ascii="Arial" w:cs="Arial" w:eastAsia="Arial" w:hAnsi="Arial"/>
                <w:sz w:val="18"/>
                <w:szCs w:val="18"/>
                <w:color w:val="auto"/>
                <w:vertAlign w:val="superscript"/>
              </w:rPr>
              <w:t>2</w:t>
            </w:r>
          </w:p>
        </w:tc>
        <w:tc>
          <w:tcPr>
            <w:tcW w:w="1900" w:type="dxa"/>
            <w:vAlign w:val="bottom"/>
          </w:tcPr>
          <w:p>
            <w:pPr>
              <w:jc w:val="right"/>
              <w:ind w:right="168"/>
              <w:spacing w:after="0" w:line="160" w:lineRule="exact"/>
              <w:rPr>
                <w:sz w:val="20"/>
                <w:szCs w:val="20"/>
                <w:color w:val="auto"/>
              </w:rPr>
            </w:pPr>
            <w:r>
              <w:rPr>
                <w:rFonts w:ascii="Arial" w:cs="Arial" w:eastAsia="Arial" w:hAnsi="Arial"/>
                <w:sz w:val="14"/>
                <w:szCs w:val="14"/>
                <w:color w:val="auto"/>
              </w:rPr>
              <w:t>$0.52</w:t>
            </w:r>
          </w:p>
        </w:tc>
        <w:tc>
          <w:tcPr>
            <w:tcW w:w="1400" w:type="dxa"/>
            <w:vAlign w:val="bottom"/>
          </w:tcPr>
          <w:p>
            <w:pPr>
              <w:jc w:val="right"/>
              <w:ind w:right="328"/>
              <w:spacing w:after="0" w:line="160" w:lineRule="exact"/>
              <w:rPr>
                <w:sz w:val="20"/>
                <w:szCs w:val="20"/>
                <w:color w:val="auto"/>
              </w:rPr>
            </w:pPr>
            <w:r>
              <w:rPr>
                <w:rFonts w:ascii="Arial" w:cs="Arial" w:eastAsia="Arial" w:hAnsi="Arial"/>
                <w:sz w:val="14"/>
                <w:szCs w:val="14"/>
                <w:color w:val="auto"/>
              </w:rPr>
              <w:t>$0.69</w:t>
            </w:r>
          </w:p>
        </w:tc>
        <w:tc>
          <w:tcPr>
            <w:tcW w:w="1240" w:type="dxa"/>
            <w:vAlign w:val="bottom"/>
          </w:tcPr>
          <w:p>
            <w:pPr>
              <w:jc w:val="right"/>
              <w:ind w:right="308"/>
              <w:spacing w:after="0" w:line="160" w:lineRule="exact"/>
              <w:rPr>
                <w:sz w:val="20"/>
                <w:szCs w:val="20"/>
                <w:color w:val="auto"/>
              </w:rPr>
            </w:pPr>
            <w:r>
              <w:rPr>
                <w:rFonts w:ascii="Arial" w:cs="Arial" w:eastAsia="Arial" w:hAnsi="Arial"/>
                <w:sz w:val="14"/>
                <w:szCs w:val="14"/>
                <w:color w:val="auto"/>
              </w:rPr>
              <w:t>32.7%</w:t>
            </w:r>
          </w:p>
        </w:tc>
        <w:tc>
          <w:tcPr>
            <w:tcW w:w="1120" w:type="dxa"/>
            <w:vAlign w:val="bottom"/>
          </w:tcPr>
          <w:p>
            <w:pPr>
              <w:jc w:val="right"/>
              <w:ind w:right="168"/>
              <w:spacing w:after="0" w:line="160" w:lineRule="exact"/>
              <w:rPr>
                <w:sz w:val="20"/>
                <w:szCs w:val="20"/>
                <w:color w:val="auto"/>
              </w:rPr>
            </w:pPr>
            <w:r>
              <w:rPr>
                <w:rFonts w:ascii="Arial" w:cs="Arial" w:eastAsia="Arial" w:hAnsi="Arial"/>
                <w:sz w:val="14"/>
                <w:szCs w:val="14"/>
                <w:color w:val="auto"/>
              </w:rPr>
              <w:t>$1.06</w:t>
            </w:r>
          </w:p>
        </w:tc>
        <w:tc>
          <w:tcPr>
            <w:tcW w:w="1400" w:type="dxa"/>
            <w:vAlign w:val="bottom"/>
          </w:tcPr>
          <w:p>
            <w:pPr>
              <w:jc w:val="right"/>
              <w:ind w:right="308"/>
              <w:spacing w:after="0" w:line="160" w:lineRule="exact"/>
              <w:rPr>
                <w:sz w:val="20"/>
                <w:szCs w:val="20"/>
                <w:color w:val="auto"/>
              </w:rPr>
            </w:pPr>
            <w:r>
              <w:rPr>
                <w:rFonts w:ascii="Arial" w:cs="Arial" w:eastAsia="Arial" w:hAnsi="Arial"/>
                <w:sz w:val="14"/>
                <w:szCs w:val="14"/>
                <w:color w:val="auto"/>
              </w:rPr>
              <w:t>$1.36</w:t>
            </w:r>
          </w:p>
        </w:tc>
        <w:tc>
          <w:tcPr>
            <w:tcW w:w="860" w:type="dxa"/>
            <w:vAlign w:val="bottom"/>
          </w:tcPr>
          <w:p>
            <w:pPr>
              <w:jc w:val="right"/>
              <w:spacing w:after="0" w:line="160"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6"/>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1900" w:type="dxa"/>
            <w:vAlign w:val="bottom"/>
          </w:tcPr>
          <w:p>
            <w:pPr>
              <w:jc w:val="right"/>
              <w:ind w:right="168"/>
              <w:spacing w:after="0"/>
              <w:rPr>
                <w:sz w:val="20"/>
                <w:szCs w:val="20"/>
                <w:color w:val="auto"/>
              </w:rPr>
            </w:pPr>
            <w:r>
              <w:rPr>
                <w:rFonts w:ascii="Arial" w:cs="Arial" w:eastAsia="Arial" w:hAnsi="Arial"/>
                <w:sz w:val="14"/>
                <w:szCs w:val="14"/>
                <w:i w:val="1"/>
                <w:iCs w:val="1"/>
                <w:color w:val="auto"/>
              </w:rPr>
              <w:t>$0.52</w:t>
            </w:r>
          </w:p>
        </w:tc>
        <w:tc>
          <w:tcPr>
            <w:tcW w:w="1400" w:type="dxa"/>
            <w:vAlign w:val="bottom"/>
          </w:tcPr>
          <w:p>
            <w:pPr>
              <w:jc w:val="right"/>
              <w:ind w:right="328"/>
              <w:spacing w:after="0"/>
              <w:rPr>
                <w:sz w:val="20"/>
                <w:szCs w:val="20"/>
                <w:color w:val="auto"/>
              </w:rPr>
            </w:pPr>
            <w:r>
              <w:rPr>
                <w:rFonts w:ascii="Arial" w:cs="Arial" w:eastAsia="Arial" w:hAnsi="Arial"/>
                <w:sz w:val="14"/>
                <w:szCs w:val="14"/>
                <w:i w:val="1"/>
                <w:iCs w:val="1"/>
                <w:color w:val="auto"/>
              </w:rPr>
              <w:t>$0.65</w:t>
            </w:r>
          </w:p>
        </w:tc>
        <w:tc>
          <w:tcPr>
            <w:tcW w:w="1240" w:type="dxa"/>
            <w:vAlign w:val="bottom"/>
          </w:tcPr>
          <w:p>
            <w:pPr>
              <w:jc w:val="right"/>
              <w:ind w:right="308"/>
              <w:spacing w:after="0"/>
              <w:rPr>
                <w:sz w:val="20"/>
                <w:szCs w:val="20"/>
                <w:color w:val="auto"/>
              </w:rPr>
            </w:pPr>
            <w:r>
              <w:rPr>
                <w:rFonts w:ascii="Arial" w:cs="Arial" w:eastAsia="Arial" w:hAnsi="Arial"/>
                <w:sz w:val="14"/>
                <w:szCs w:val="14"/>
                <w:i w:val="1"/>
                <w:iCs w:val="1"/>
                <w:color w:val="auto"/>
              </w:rPr>
              <w:t>25.0%</w:t>
            </w:r>
          </w:p>
        </w:tc>
        <w:tc>
          <w:tcPr>
            <w:tcW w:w="1120" w:type="dxa"/>
            <w:vAlign w:val="bottom"/>
          </w:tcPr>
          <w:p>
            <w:pPr>
              <w:jc w:val="right"/>
              <w:ind w:right="168"/>
              <w:spacing w:after="0"/>
              <w:rPr>
                <w:sz w:val="20"/>
                <w:szCs w:val="20"/>
                <w:color w:val="auto"/>
              </w:rPr>
            </w:pPr>
            <w:r>
              <w:rPr>
                <w:rFonts w:ascii="Arial" w:cs="Arial" w:eastAsia="Arial" w:hAnsi="Arial"/>
                <w:sz w:val="14"/>
                <w:szCs w:val="14"/>
                <w:i w:val="1"/>
                <w:iCs w:val="1"/>
                <w:color w:val="auto"/>
              </w:rPr>
              <w:t>$1.05</w:t>
            </w:r>
          </w:p>
        </w:tc>
        <w:tc>
          <w:tcPr>
            <w:tcW w:w="1400" w:type="dxa"/>
            <w:vAlign w:val="bottom"/>
          </w:tcPr>
          <w:p>
            <w:pPr>
              <w:jc w:val="right"/>
              <w:ind w:right="308"/>
              <w:spacing w:after="0"/>
              <w:rPr>
                <w:sz w:val="20"/>
                <w:szCs w:val="20"/>
                <w:color w:val="auto"/>
              </w:rPr>
            </w:pPr>
            <w:r>
              <w:rPr>
                <w:rFonts w:ascii="Arial" w:cs="Arial" w:eastAsia="Arial" w:hAnsi="Arial"/>
                <w:sz w:val="14"/>
                <w:szCs w:val="14"/>
                <w:i w:val="1"/>
                <w:iCs w:val="1"/>
                <w:color w:val="auto"/>
              </w:rPr>
              <w:t>$1.26</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20.0%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second quarter of 2018 increased 2.1% to $21.7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27.6% to $3.2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4.8% to $7.4 billion.</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2018, consolidated revenue increased 6.3% to $44.5 billion compared to 2017. Consolidated net income attributable to Comcast increased 24.3% to $6.3 billion. Consolidated Adjusted EBITDA increased 4.1% to $14.7 billion.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2018 was $0.69, an increase of 32.7% compared to the second quarter of 2017.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basis, EPS increased 25.0% to $0.65 (see Table 4).</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2018, EPS was $1.36, a 28.3% increase compared to the prior year. On an adjusted basis, EPS increased 20.0% to $1.26 (see Table 4).</w:t>
      </w:r>
    </w:p>
    <w:p>
      <w:pPr>
        <w:sectPr>
          <w:pgSz w:w="11900" w:h="16838" w:orient="portrait"/>
          <w:cols w:equalWidth="0" w:num="1">
            <w:col w:w="11420"/>
          </w:cols>
          <w:pgMar w:left="240" w:top="118" w:right="239" w:bottom="0" w:gutter="0" w:footer="0" w:header="0"/>
        </w:sectPr>
      </w:pPr>
    </w:p>
    <w:bookmarkStart w:id="3" w:name="page4"/>
    <w:bookmarkEnd w:id="3"/>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3.3% to $2.3 billion in the second quarter of 2018.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9.7% to $1.8 billion in the second quarter of 2018, reflecting lower spending on customer premise equipment and support capital, partially offset by increased investments in scalable infrastructure and line extensions. Cable capital expenditures represented 12.9% of Cable revenue in the second quarter of 2018 compared to 14.8% in last year’s second quarter. NBCUniversal’s capital expenditures of $461 million increased 36.3%, reflecting continued investment at Theme Parks.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2018, capital expenditures decreased 4.1% to $ 4.2 billion compared to 2017. Cable Communications’ capital expenditures decreased 7.6% to $3.5 billion and represented 12.7% of Cable revenue compared to 14.2% in 2017. NBCUniversal’s capital expenditures increased 17.1% to $730 million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$7.1 billion in the second quarter of 2018.</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i w:val="1"/>
          <w:iCs w:val="1"/>
          <w:color w:val="auto"/>
          <w:vertAlign w:val="superscript"/>
        </w:rPr>
        <w:t>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$4.3 billion (see Table 5).</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2018, net cash provided by operating activities was $12.5 billion. Free cash flow was $7.4 billion (see Table 5).</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2018, Comcast paid dividends totaling $878 million and repurchased 38.3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$1.3 billion. In the first six months of 2018, Comcast repurchased 76.9 million of its common shares for $2.8 billion. As of June 30, 2018, Comcast had $4.25 billion available under its share repurchase authorization. Comcast expects to repurchase at least $5.0 billion of its Class A common stock during 2018, subject to market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2100" w:type="dxa"/>
            <w:vAlign w:val="bottom"/>
            <w:vMerge w:val="restart"/>
          </w:tcPr>
          <w:p>
            <w:pPr>
              <w:jc w:val="right"/>
              <w:ind w:right="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2nd Quarter</w:t>
            </w:r>
          </w:p>
        </w:tc>
        <w:tc>
          <w:tcPr>
            <w:tcW w:w="10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Year to Date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2018</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Growth</w:t>
            </w:r>
          </w:p>
        </w:tc>
        <w:tc>
          <w:tcPr>
            <w:tcW w:w="880" w:type="dxa"/>
            <w:vAlign w:val="bottom"/>
            <w:vMerge w:val="continue"/>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76"/>
        </w:trPr>
        <w:tc>
          <w:tcPr>
            <w:tcW w:w="4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$5,740</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$5,628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$11,287</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3,898</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4,262</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7,740</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1,034</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994</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2,000</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1,585</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1,761</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3,128</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3,487</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626</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666</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1,248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399</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787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100" w:type="dxa"/>
            <w:vAlign w:val="bottom"/>
          </w:tcPr>
          <w:p>
            <w:pPr>
              <w:jc w:val="right"/>
              <w:ind w:right="8"/>
              <w:spacing w:after="0"/>
              <w:rPr>
                <w:sz w:val="20"/>
                <w:szCs w:val="20"/>
                <w:color w:val="auto"/>
              </w:rPr>
            </w:pPr>
            <w:r>
              <w:rPr>
                <w:rFonts w:ascii="Arial" w:cs="Arial" w:eastAsia="Arial" w:hAnsi="Arial"/>
                <w:sz w:val="14"/>
                <w:szCs w:val="14"/>
                <w:b w:val="1"/>
                <w:bCs w:val="1"/>
                <w:color w:val="auto"/>
              </w:rPr>
              <w:t>$13,257</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$13,710</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3.4%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$26,307</w:t>
            </w: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$27,228</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$5,293</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$5,638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$10,467</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$11,053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2100" w:type="dxa"/>
            <w:vAlign w:val="bottom"/>
          </w:tcPr>
          <w:p>
            <w:pPr>
              <w:jc w:val="right"/>
              <w:ind w:right="8"/>
              <w:spacing w:after="0"/>
              <w:rPr>
                <w:sz w:val="20"/>
                <w:szCs w:val="20"/>
                <w:color w:val="auto"/>
              </w:rPr>
            </w:pPr>
            <w:r>
              <w:rPr>
                <w:rFonts w:ascii="Arial" w:cs="Arial" w:eastAsia="Arial" w:hAnsi="Arial"/>
                <w:sz w:val="14"/>
                <w:szCs w:val="14"/>
                <w:i w:val="1"/>
                <w:iCs w:val="1"/>
                <w:color w:val="auto"/>
              </w:rPr>
              <w:t>39.9%</w:t>
            </w:r>
          </w:p>
        </w:tc>
        <w:tc>
          <w:tcPr>
            <w:tcW w:w="1060" w:type="dxa"/>
            <w:vAlign w:val="bottom"/>
          </w:tcPr>
          <w:p>
            <w:pPr>
              <w:jc w:val="right"/>
              <w:ind w:right="148"/>
              <w:spacing w:after="0"/>
              <w:rPr>
                <w:sz w:val="20"/>
                <w:szCs w:val="20"/>
                <w:color w:val="auto"/>
              </w:rPr>
            </w:pPr>
            <w:r>
              <w:rPr>
                <w:rFonts w:ascii="Arial" w:cs="Arial" w:eastAsia="Arial" w:hAnsi="Arial"/>
                <w:sz w:val="14"/>
                <w:szCs w:val="14"/>
                <w:i w:val="1"/>
                <w:iCs w:val="1"/>
                <w:color w:val="auto"/>
              </w:rPr>
              <w:t>41.1%</w:t>
            </w:r>
          </w:p>
        </w:tc>
        <w:tc>
          <w:tcPr>
            <w:tcW w:w="10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39.8%</w:t>
            </w:r>
          </w:p>
        </w:tc>
        <w:tc>
          <w:tcPr>
            <w:tcW w:w="1080" w:type="dxa"/>
            <w:vAlign w:val="bottom"/>
          </w:tcPr>
          <w:p>
            <w:pPr>
              <w:jc w:val="right"/>
              <w:ind w:right="148"/>
              <w:spacing w:after="0"/>
              <w:rPr>
                <w:sz w:val="20"/>
                <w:szCs w:val="20"/>
                <w:color w:val="auto"/>
              </w:rPr>
            </w:pPr>
            <w:r>
              <w:rPr>
                <w:rFonts w:ascii="Arial" w:cs="Arial" w:eastAsia="Arial" w:hAnsi="Arial"/>
                <w:sz w:val="14"/>
                <w:szCs w:val="14"/>
                <w:i w:val="1"/>
                <w:iCs w:val="1"/>
                <w:color w:val="auto"/>
              </w:rPr>
              <w:t>40.6%</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$1,956</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$1,766</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$3,737</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$3,454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14.8%</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12.9%</w:t>
            </w:r>
          </w:p>
        </w:tc>
        <w:tc>
          <w:tcPr>
            <w:tcW w:w="10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14.2%</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12.7%</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3.4% to $13.7 billion in the second quarter of 2018,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advertising revenue. High-speed Internet revenue increased 9.3%, driven by an increase in the number of residential high-speed Internet customers and rate adjustments. Business services revenue increased 11.1%, primarily driven by increases in the number of customers receiving our small and medium-sized business services offerings. Advertising revenue increased 6.4%, primarily reflecting an increase in political advertising revenue. Excluding political advertising revenue, advertising revenue increased 1.3%. Other revenue increased 6.9%, driven by an increase in revenue from Xfinity Home and our X1 licensing agreements. Video revenue decreased 1.9%, primarily reflecting a decrease in the number of residential video customers. Voice revenue decreased 3.9%, primarily due to a decrease in the number of residential voice customers.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2018, Cable revenue increased 3.5% to $27.2 billion compared to 2017, driven by growth in high-speed Internet and business services revenue.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182,000 to 29.8 million in the second quarter of 2018.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147,000 and business customer relationships increased by 36,000. At the end of the second quarter, 68.7% of our residential customers received at least two Xfinity products. Total high-speed Internet customer net additions were 260,000, total video customer net losses were 140,000, total voice customer net losses were 16,000 and total security and automation customer net additions were 60,000.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1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52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2Q17</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2Q18</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2Q17</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2Q18</w:t>
            </w:r>
          </w:p>
        </w:tc>
      </w:tr>
      <w:tr>
        <w:trPr>
          <w:trHeight w:val="180"/>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8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Customer Relationships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26,874</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27,559</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77</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147</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2,115</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2,244</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37</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5"/>
                <w:szCs w:val="15"/>
                <w:color w:val="auto"/>
              </w:rPr>
            </w:pPr>
          </w:p>
        </w:tc>
      </w:tr>
      <w:tr>
        <w:trPr>
          <w:trHeight w:val="183"/>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28,989</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29,802</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114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w:t>
            </w:r>
          </w:p>
        </w:tc>
        <w:tc>
          <w:tcPr>
            <w:tcW w:w="20" w:type="dxa"/>
            <w:vAlign w:val="bottom"/>
          </w:tcPr>
          <w:p>
            <w:pPr>
              <w:spacing w:after="0"/>
              <w:rPr>
                <w:sz w:val="15"/>
                <w:szCs w:val="15"/>
                <w:color w:val="auto"/>
              </w:rPr>
            </w:pPr>
          </w:p>
        </w:tc>
      </w:tr>
      <w:tr>
        <w:trPr>
          <w:trHeight w:val="223"/>
        </w:trPr>
        <w:tc>
          <w:tcPr>
            <w:tcW w:w="5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Residential Customer Relationships Mix</w:t>
            </w:r>
          </w:p>
        </w:tc>
        <w:tc>
          <w:tcPr>
            <w:tcW w:w="2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Single Product Residential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7,931</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8,628</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70</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206</w:t>
            </w:r>
          </w:p>
        </w:tc>
      </w:tr>
      <w:tr>
        <w:trPr>
          <w:trHeight w:val="169"/>
        </w:trPr>
        <w:tc>
          <w:tcPr>
            <w:tcW w:w="5280" w:type="dxa"/>
            <w:vAlign w:val="bottom"/>
          </w:tcPr>
          <w:p>
            <w:pPr>
              <w:ind w:left="180"/>
              <w:spacing w:after="0"/>
              <w:rPr>
                <w:sz w:val="20"/>
                <w:szCs w:val="20"/>
                <w:color w:val="auto"/>
              </w:rPr>
            </w:pPr>
            <w:r>
              <w:rPr>
                <w:rFonts w:ascii="Arial" w:cs="Arial" w:eastAsia="Arial" w:hAnsi="Arial"/>
                <w:sz w:val="14"/>
                <w:szCs w:val="14"/>
                <w:color w:val="auto"/>
              </w:rPr>
              <w:t>Double Product Residential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8,945</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9,054</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(63)</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Triple and Quad Product Residential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9,998</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9,877</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r>
      <w:tr>
        <w:trPr>
          <w:trHeight w:val="223"/>
        </w:trPr>
        <w:tc>
          <w:tcPr>
            <w:tcW w:w="5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21,475</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21,074</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(45)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1,040</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1,047</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22,516</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22,121</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20" w:type="dxa"/>
            <w:vAlign w:val="bottom"/>
          </w:tcPr>
          <w:p>
            <w:pPr>
              <w:spacing w:after="0"/>
              <w:rPr>
                <w:sz w:val="15"/>
                <w:szCs w:val="15"/>
                <w:color w:val="auto"/>
              </w:rPr>
            </w:pPr>
          </w:p>
        </w:tc>
      </w:tr>
      <w:tr>
        <w:trPr>
          <w:trHeight w:val="169"/>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23,364</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24,440</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140</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226</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1,942</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2,069</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35</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5"/>
                <w:szCs w:val="15"/>
                <w:color w:val="auto"/>
              </w:rPr>
            </w:pPr>
          </w:p>
        </w:tc>
      </w:tr>
      <w:tr>
        <w:trPr>
          <w:trHeight w:val="19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880" w:type="dxa"/>
            <w:vAlign w:val="bottom"/>
          </w:tcPr>
          <w:p>
            <w:pPr>
              <w:jc w:val="right"/>
              <w:ind w:right="508"/>
              <w:spacing w:after="0"/>
              <w:rPr>
                <w:sz w:val="20"/>
                <w:szCs w:val="20"/>
                <w:color w:val="auto"/>
              </w:rPr>
            </w:pPr>
            <w:r>
              <w:rPr>
                <w:rFonts w:ascii="Arial" w:cs="Arial" w:eastAsia="Arial" w:hAnsi="Arial"/>
                <w:sz w:val="14"/>
                <w:szCs w:val="14"/>
                <w:b w:val="1"/>
                <w:bCs w:val="1"/>
                <w:color w:val="auto"/>
              </w:rPr>
              <w:t>25,306</w:t>
            </w:r>
          </w:p>
        </w:tc>
        <w:tc>
          <w:tcPr>
            <w:tcW w:w="1160" w:type="dxa"/>
            <w:vAlign w:val="bottom"/>
          </w:tcPr>
          <w:p>
            <w:pPr>
              <w:jc w:val="right"/>
              <w:ind w:right="628"/>
              <w:spacing w:after="0"/>
              <w:rPr>
                <w:sz w:val="20"/>
                <w:szCs w:val="20"/>
                <w:color w:val="auto"/>
              </w:rPr>
            </w:pPr>
            <w:r>
              <w:rPr>
                <w:rFonts w:ascii="Arial" w:cs="Arial" w:eastAsia="Arial" w:hAnsi="Arial"/>
                <w:sz w:val="14"/>
                <w:szCs w:val="14"/>
                <w:b w:val="1"/>
                <w:bCs w:val="1"/>
                <w:color w:val="auto"/>
              </w:rPr>
              <w:t>26,509</w:t>
            </w:r>
          </w:p>
        </w:tc>
        <w:tc>
          <w:tcPr>
            <w:tcW w:w="1740" w:type="dxa"/>
            <w:vAlign w:val="bottom"/>
          </w:tcPr>
          <w:p>
            <w:pPr>
              <w:jc w:val="right"/>
              <w:ind w:right="588"/>
              <w:spacing w:after="0"/>
              <w:rPr>
                <w:sz w:val="20"/>
                <w:szCs w:val="20"/>
                <w:color w:val="auto"/>
              </w:rPr>
            </w:pPr>
            <w:r>
              <w:rPr>
                <w:rFonts w:ascii="Arial" w:cs="Arial" w:eastAsia="Arial" w:hAnsi="Arial"/>
                <w:sz w:val="14"/>
                <w:szCs w:val="14"/>
                <w:b w:val="1"/>
                <w:bCs w:val="1"/>
                <w:color w:val="auto"/>
              </w:rPr>
              <w:t>175</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15" w:orient="portrait"/>
          <w:cols w:equalWidth="0" w:num="1">
            <w:col w:w="11420"/>
          </w:cols>
          <w:pgMar w:left="240" w:top="118" w:right="239" w:bottom="0" w:gutter="0" w:footer="0" w:header="0"/>
        </w:sectPr>
      </w:pPr>
    </w:p>
    <w:p>
      <w:pPr>
        <w:spacing w:after="0" w:line="4" w:lineRule="exact"/>
        <w:rPr>
          <w:sz w:val="20"/>
          <w:szCs w:val="20"/>
          <w:color w:val="auto"/>
        </w:rPr>
      </w:pPr>
    </w:p>
    <w:p>
      <w:pPr>
        <w:ind w:left="180"/>
        <w:spacing w:after="0"/>
        <w:tabs>
          <w:tab w:leader="none" w:pos="7120" w:val="left"/>
          <w:tab w:leader="none" w:pos="8160" w:val="left"/>
          <w:tab w:leader="none" w:pos="10120" w:val="left"/>
          <w:tab w:leader="none" w:pos="11140" w:val="left"/>
        </w:tabs>
        <w:rPr>
          <w:sz w:val="20"/>
          <w:szCs w:val="20"/>
          <w:color w:val="auto"/>
        </w:rPr>
      </w:pPr>
      <w:r>
        <w:rPr>
          <w:rFonts w:ascii="Arial" w:cs="Arial" w:eastAsia="Arial" w:hAnsi="Arial"/>
          <w:sz w:val="14"/>
          <w:szCs w:val="14"/>
          <w:color w:val="auto"/>
        </w:rPr>
        <w:t>Residential Voice Customers</w:t>
      </w:r>
      <w:r>
        <w:rPr>
          <w:sz w:val="20"/>
          <w:szCs w:val="20"/>
          <w:color w:val="auto"/>
        </w:rPr>
        <w:tab/>
      </w:r>
      <w:r>
        <w:rPr>
          <w:rFonts w:ascii="Arial" w:cs="Arial" w:eastAsia="Arial" w:hAnsi="Arial"/>
          <w:sz w:val="14"/>
          <w:szCs w:val="14"/>
          <w:color w:val="auto"/>
        </w:rPr>
        <w:t>10,470</w:t>
      </w:r>
      <w:r>
        <w:rPr>
          <w:sz w:val="20"/>
          <w:szCs w:val="20"/>
          <w:color w:val="auto"/>
        </w:rPr>
        <w:tab/>
      </w:r>
      <w:r>
        <w:rPr>
          <w:rFonts w:ascii="Arial" w:cs="Arial" w:eastAsia="Arial" w:hAnsi="Arial"/>
          <w:sz w:val="14"/>
          <w:szCs w:val="14"/>
          <w:color w:val="auto"/>
        </w:rPr>
        <w:t>10,213</w:t>
      </w:r>
      <w:r>
        <w:rPr>
          <w:sz w:val="20"/>
          <w:szCs w:val="20"/>
          <w:color w:val="auto"/>
        </w:rPr>
        <w:tab/>
      </w: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(32)</w:t>
      </w:r>
    </w:p>
    <w:p>
      <w:pPr>
        <w:sectPr>
          <w:pgSz w:w="11900" w:h="16915" w:orient="portrait"/>
          <w:cols w:equalWidth="0" w:num="1">
            <w:col w:w="11420"/>
          </w:cols>
          <w:pgMar w:left="240" w:top="118"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50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Voice Customers</w:t>
            </w:r>
          </w:p>
        </w:tc>
        <w:tc>
          <w:tcPr>
            <w:tcW w:w="28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1,189</w:t>
            </w:r>
          </w:p>
        </w:tc>
        <w:tc>
          <w:tcPr>
            <w:tcW w:w="15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1,269</w:t>
            </w:r>
          </w:p>
        </w:tc>
        <w:tc>
          <w:tcPr>
            <w:tcW w:w="14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7"/>
                <w:szCs w:val="17"/>
                <w:color w:val="auto"/>
              </w:rPr>
            </w:pPr>
          </w:p>
        </w:tc>
      </w:tr>
      <w:tr>
        <w:trPr>
          <w:trHeight w:val="183"/>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11,659</w:t>
            </w:r>
          </w:p>
        </w:tc>
        <w:tc>
          <w:tcPr>
            <w:tcW w:w="15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11,482</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20" w:type="dxa"/>
            <w:vAlign w:val="bottom"/>
          </w:tcPr>
          <w:p>
            <w:pPr>
              <w:spacing w:after="0"/>
              <w:rPr>
                <w:sz w:val="15"/>
                <w:szCs w:val="15"/>
                <w:color w:val="auto"/>
              </w:rPr>
            </w:pPr>
          </w:p>
        </w:tc>
      </w:tr>
      <w:tr>
        <w:trPr>
          <w:trHeight w:val="190"/>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2860" w:type="dxa"/>
            <w:vAlign w:val="bottom"/>
          </w:tcPr>
          <w:p>
            <w:pPr>
              <w:jc w:val="right"/>
              <w:ind w:right="228"/>
              <w:spacing w:after="0"/>
              <w:rPr>
                <w:sz w:val="20"/>
                <w:szCs w:val="20"/>
                <w:color w:val="auto"/>
              </w:rPr>
            </w:pPr>
            <w:r>
              <w:rPr>
                <w:rFonts w:ascii="Arial" w:cs="Arial" w:eastAsia="Arial" w:hAnsi="Arial"/>
                <w:sz w:val="14"/>
                <w:szCs w:val="14"/>
                <w:b w:val="1"/>
                <w:bCs w:val="1"/>
                <w:color w:val="auto"/>
              </w:rPr>
              <w:t>1,028</w:t>
            </w:r>
          </w:p>
        </w:tc>
        <w:tc>
          <w:tcPr>
            <w:tcW w:w="1500" w:type="dxa"/>
            <w:vAlign w:val="bottom"/>
          </w:tcPr>
          <w:p>
            <w:pPr>
              <w:jc w:val="right"/>
              <w:ind w:right="688"/>
              <w:spacing w:after="0"/>
              <w:rPr>
                <w:sz w:val="20"/>
                <w:szCs w:val="20"/>
                <w:color w:val="auto"/>
              </w:rPr>
            </w:pPr>
            <w:r>
              <w:rPr>
                <w:rFonts w:ascii="Arial" w:cs="Arial" w:eastAsia="Arial" w:hAnsi="Arial"/>
                <w:sz w:val="14"/>
                <w:szCs w:val="14"/>
                <w:b w:val="1"/>
                <w:bCs w:val="1"/>
                <w:color w:val="auto"/>
              </w:rPr>
              <w:t>1,236</w:t>
            </w:r>
          </w:p>
        </w:tc>
        <w:tc>
          <w:tcPr>
            <w:tcW w:w="1400" w:type="dxa"/>
            <w:vAlign w:val="bottom"/>
          </w:tcPr>
          <w:p>
            <w:pPr>
              <w:jc w:val="right"/>
              <w:ind w:right="308"/>
              <w:spacing w:after="0"/>
              <w:rPr>
                <w:sz w:val="20"/>
                <w:szCs w:val="20"/>
                <w:color w:val="auto"/>
              </w:rPr>
            </w:pPr>
            <w:r>
              <w:rPr>
                <w:rFonts w:ascii="Arial" w:cs="Arial" w:eastAsia="Arial" w:hAnsi="Arial"/>
                <w:sz w:val="14"/>
                <w:szCs w:val="14"/>
                <w:b w:val="1"/>
                <w:bCs w:val="1"/>
                <w:color w:val="auto"/>
              </w:rPr>
              <w:t>71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20" w:type="dxa"/>
            <w:vAlign w:val="bottom"/>
          </w:tcPr>
          <w:p>
            <w:pPr>
              <w:spacing w:after="0"/>
              <w:rPr>
                <w:sz w:val="16"/>
                <w:szCs w:val="16"/>
                <w:color w:val="auto"/>
              </w:rPr>
            </w:pPr>
          </w:p>
        </w:tc>
      </w:tr>
    </w:tbl>
    <w:p>
      <w:pPr>
        <w:spacing w:after="0" w:line="165"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6.5% to $5.6 billion in the second quarter of 2018,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1.4% increase in operating expenses. The higher expenses were due to a 3.3% increase in video programming costs, primarily reflecting higher retransmission consent fees and sports programming costs. Non-programming expenses were consistent with the prior year’s quarter, reflecting higher technical and product support expenses, offset by decreases in other operating costs, franchise and regulatory fees, customer service expenses, and advertising, marketing and promotional expenses. This quarter’s Adjusted EBITDA per customer relationship increased 3.7%, and Adjusted EBITDA margin was 41.1% compared to 39.9% in the second quarter of 2017.</w:t>
      </w:r>
    </w:p>
    <w:p>
      <w:pPr>
        <w:spacing w:after="0" w:line="18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six months ended June 30, 2018, Cable Adjusted EBITDA increased 5.6% to $11.1 billion compared to 2017, driven by higher revenue, partially offset by a 2.1% increase in operating expenses. The higher expenses were due to a 3.2% increase in video programming costs. Non-programming expenses increased 1.4%. For the six months ended June 30, 2018, Adjusted EBITDA margin was 40.6% compared to 39.8% in 2017.</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8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1420" w:type="dxa"/>
            <w:vAlign w:val="bottom"/>
            <w:vMerge w:val="restart"/>
          </w:tcPr>
          <w:p>
            <w:pPr>
              <w:jc w:val="right"/>
              <w:ind w:right="1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2nd Quarter</w:t>
            </w:r>
          </w:p>
        </w:tc>
        <w:tc>
          <w:tcPr>
            <w:tcW w:w="12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Year to Date</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$2,696</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$2,916</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8.2%</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$5,336</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$6,110</w:t>
            </w:r>
          </w:p>
        </w:tc>
        <w:tc>
          <w:tcPr>
            <w:tcW w:w="880" w:type="dxa"/>
            <w:vAlign w:val="bottom"/>
          </w:tcPr>
          <w:p>
            <w:pPr>
              <w:jc w:val="right"/>
              <w:spacing w:after="0"/>
              <w:rPr>
                <w:sz w:val="20"/>
                <w:szCs w:val="20"/>
                <w:color w:val="auto"/>
              </w:rPr>
            </w:pPr>
            <w:r>
              <w:rPr>
                <w:rFonts w:ascii="Arial" w:cs="Arial" w:eastAsia="Arial" w:hAnsi="Arial"/>
                <w:sz w:val="14"/>
                <w:szCs w:val="14"/>
                <w:color w:val="auto"/>
              </w:rPr>
              <w:t>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5,336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5,732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2,241</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2,391</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6.7%</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4,449</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5,888</w:t>
            </w:r>
          </w:p>
        </w:tc>
        <w:tc>
          <w:tcPr>
            <w:tcW w:w="880" w:type="dxa"/>
            <w:vAlign w:val="bottom"/>
          </w:tcPr>
          <w:p>
            <w:pPr>
              <w:jc w:val="right"/>
              <w:spacing w:after="0"/>
              <w:rPr>
                <w:sz w:val="20"/>
                <w:szCs w:val="20"/>
                <w:color w:val="auto"/>
              </w:rPr>
            </w:pPr>
            <w:r>
              <w:rPr>
                <w:rFonts w:ascii="Arial" w:cs="Arial" w:eastAsia="Arial" w:hAnsi="Arial"/>
                <w:sz w:val="14"/>
                <w:szCs w:val="14"/>
                <w:color w:val="auto"/>
              </w:rPr>
              <w:t>32.3%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1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4,449</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4,695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2,142</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1,710</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4,109</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3,357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1,314</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1,361</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3.6%</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2,432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2,642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(75)</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(65)</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NM</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(155)</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auto"/>
              </w:rPr>
              <w:t>$8,318</w:t>
            </w: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$8,313</w:t>
            </w: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(0.1%)</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$16,171</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$17,843</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$1,055</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$1,186</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12.5%</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$2,170</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$2,454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416</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417</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0.2%</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738</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924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287</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138</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(52.1%)</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658</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341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551</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569</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3.4%</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948</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1,064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(235)</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(150)</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NM</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(421)</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(338)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auto"/>
              </w:rPr>
              <w:t>$2,074</w:t>
            </w: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$2,160</w:t>
            </w: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4.2%</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$4,093</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$4,445</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jc w:val="right"/>
              <w:ind w:right="948"/>
              <w:spacing w:after="0"/>
              <w:rPr>
                <w:sz w:val="20"/>
                <w:szCs w:val="20"/>
                <w:color w:val="auto"/>
              </w:rPr>
            </w:pPr>
            <w:r>
              <w:rPr>
                <w:rFonts w:ascii="Arial" w:cs="Arial" w:eastAsia="Arial" w:hAnsi="Arial"/>
                <w:sz w:val="14"/>
                <w:szCs w:val="14"/>
                <w:color w:val="auto"/>
              </w:rPr>
              <w:t>4</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remained flat at $8.3 billion in the second quarter of 2018.</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4.2% to $2.2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increases at Cable Networks and Theme Parks, partially offset by a decline at Filmed Entertainment.</w:t>
      </w:r>
    </w:p>
    <w:p>
      <w:pPr>
        <w:spacing w:after="0" w:line="16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six months ended June 30, 2018, NBCUniversal revenue increased 10.3% to $17.8 billion compared to 2017. Adjusted EBITDA increased 8.6% to $4.4 billion, reflecting increases at Cable Networks, Broadcast Television and Theme Parks, partially offset by a decline at Filmed Entertainment.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Cable Networks revenue increased 8.2% to $2.9 billion in the second quarter of 2018, reflecting higher distribution, content licensing and other, and advertising revenue. Distribution revenue increased 8.7%, primarily due to contractual rate increases and the timing of contract renewals, partially offset by a moderating decline in subscribers at our cable networks. Content licensing and other revenue increased 22.5%, due to the timing of content provided under licensing agreements. Advertising revenue increased 3.6%, reflecting higher rates, partially offset by audience ratings declines. Adjusted EBITDA increased 12.5% to $1.2 billion in the second quarter of 2018, reflecting higher revenue, partially offset by higher operating costs.</w:t>
      </w:r>
    </w:p>
    <w:p>
      <w:pPr>
        <w:spacing w:after="0" w:line="19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For the six months ended June 30, 2018, revenue from the Cable Networks segment increased 14.5% to $6.1 billion compared to 2017, reflecting higher distribution, advertising, and content licensing and other revenue. Excluding $378 million of revenue generated by the broadcast of the 2018 PyeongChang Olympics in the first quarter of 2018, Cable Networks revenue increased 7.4% (see Table 6). Adjusted EBITDA increased 13.1% to $2.5 billion compared to 2017, reflecting higher revenue, partially offset by higher programming and production costs due to the broadcast of the 2018 PyeongChang Olympics.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Broadcast Television revenue increased 6.7% to $2.4 billion in the second quarter of 2018, reflecting increased advertising and distribution and other revenue, partially offset by lower content licensing revenue. Advertising revenue increased 9.2%, primarily driven by higher rates and revenue associated with Telemundo’s broadcast of the 2018 FIFA World Cup Russia</w:t>
      </w:r>
      <w:r>
        <w:rPr>
          <w:rFonts w:ascii="Arial" w:cs="Arial" w:eastAsia="Arial" w:hAnsi="Arial"/>
          <w:sz w:val="18"/>
          <w:szCs w:val="18"/>
          <w:color w:val="auto"/>
          <w:vertAlign w:val="superscript"/>
        </w:rPr>
        <w:t>TM</w:t>
      </w:r>
      <w:r>
        <w:rPr>
          <w:rFonts w:ascii="Arial" w:cs="Arial" w:eastAsia="Arial" w:hAnsi="Arial"/>
          <w:sz w:val="18"/>
          <w:szCs w:val="18"/>
          <w:color w:val="auto"/>
        </w:rPr>
        <w:t>, partially offset by audience ratings declines. Distribution and other revenue increased 16.8%, due to higher retransmission consent fees. Content licensing revenue decreased 8.1%, reflecting the timing of content provided under licensing agreements. Adjusted EBITDA was flat at $ 417 million in the second quarter of 2018, reflecting higher revenue, offset by increased programming and production costs associated with Telemundo’s broadcast of the 2018 FIFA World Cup Russia</w:t>
      </w:r>
      <w:r>
        <w:rPr>
          <w:rFonts w:ascii="Arial" w:cs="Arial" w:eastAsia="Arial" w:hAnsi="Arial"/>
          <w:sz w:val="18"/>
          <w:szCs w:val="18"/>
          <w:color w:val="auto"/>
          <w:vertAlign w:val="superscript"/>
        </w:rPr>
        <w:t>TM</w:t>
      </w:r>
      <w:r>
        <w:rPr>
          <w:rFonts w:ascii="Arial" w:cs="Arial" w:eastAsia="Arial" w:hAnsi="Arial"/>
          <w:sz w:val="18"/>
          <w:szCs w:val="18"/>
          <w:color w:val="auto"/>
        </w:rPr>
        <w:t>.</w:t>
      </w:r>
    </w:p>
    <w:p>
      <w:pPr>
        <w:spacing w:after="0" w:line="190"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six months ended June 30, 2018, revenue from the Broadcast Television segment increased 32.3% to $5.9 billion compared to 2017, reflecting an increase in advertising and distribution and other revenue, partially offset by lower content licensing revenue. Excluding $770 million of revenue generated by the broadcast of the 2018 PyeongChang Olympics in the first quarter of 2018 and $423 million of revenue generated by the broadcast of Super Bowl LII in the first quarter of 2018, Broadcast Television revenue increased 5.5% (see Table 6). Adjusted EBITDA increased 25.2% to $924 million compared to 2017, reflecting an increase in revenue, partially offset by an increase in programming and production costs, primarily due to increased sports programming costs associated with the broadcasts of the 2018 PyeongChang Olympics and Super Bowl LII.</w:t>
      </w:r>
    </w:p>
    <w:p>
      <w:pPr>
        <w:sectPr>
          <w:pgSz w:w="11900" w:h="16838" w:orient="portrait"/>
          <w:cols w:equalWidth="0" w:num="1">
            <w:col w:w="11460"/>
          </w:cols>
          <w:pgMar w:left="240" w:top="133" w:right="19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Filmed Entertainment</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decreased 20.2% to $1.7 billion in the second quarter of 2018, reflecting lower theatrical, home entertainment, and content licensing revenue. Theatrical revenue decreased 35.5%, primarily due to the strength of releases in last year’s second quarter, including </w:t>
      </w:r>
      <w:r>
        <w:rPr>
          <w:rFonts w:ascii="Arial" w:cs="Arial" w:eastAsia="Arial" w:hAnsi="Arial"/>
          <w:sz w:val="18"/>
          <w:szCs w:val="18"/>
          <w:i w:val="1"/>
          <w:iCs w:val="1"/>
          <w:color w:val="auto"/>
        </w:rPr>
        <w:t>Fate of the Furious</w:t>
      </w:r>
      <w:r>
        <w:rPr>
          <w:rFonts w:ascii="Arial" w:cs="Arial" w:eastAsia="Arial" w:hAnsi="Arial"/>
          <w:sz w:val="18"/>
          <w:szCs w:val="18"/>
          <w:color w:val="auto"/>
        </w:rPr>
        <w:t xml:space="preserve">, and timing of this quarter’s releases, including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xml:space="preserve">. Home Entertainment revenue decreased 32.8%, reflecting the success of several releases in the prior year period, including </w:t>
      </w:r>
      <w:r>
        <w:rPr>
          <w:rFonts w:ascii="Arial" w:cs="Arial" w:eastAsia="Arial" w:hAnsi="Arial"/>
          <w:sz w:val="18"/>
          <w:szCs w:val="18"/>
          <w:i w:val="1"/>
          <w:iCs w:val="1"/>
          <w:color w:val="auto"/>
        </w:rPr>
        <w:t>Fifty Shades Darker, Sing, Split</w:t>
      </w:r>
      <w:r>
        <w:rPr>
          <w:rFonts w:ascii="Arial" w:cs="Arial" w:eastAsia="Arial" w:hAnsi="Arial"/>
          <w:sz w:val="18"/>
          <w:szCs w:val="18"/>
          <w:color w:val="auto"/>
        </w:rPr>
        <w:t xml:space="preserve"> and </w:t>
      </w:r>
      <w:r>
        <w:rPr>
          <w:rFonts w:ascii="Arial" w:cs="Arial" w:eastAsia="Arial" w:hAnsi="Arial"/>
          <w:sz w:val="18"/>
          <w:szCs w:val="18"/>
          <w:i w:val="1"/>
          <w:iCs w:val="1"/>
          <w:color w:val="auto"/>
        </w:rPr>
        <w:t>Get Out</w:t>
      </w:r>
      <w:r>
        <w:rPr>
          <w:rFonts w:ascii="Arial" w:cs="Arial" w:eastAsia="Arial" w:hAnsi="Arial"/>
          <w:sz w:val="18"/>
          <w:szCs w:val="18"/>
          <w:color w:val="auto"/>
        </w:rPr>
        <w:t xml:space="preserve">, partially offset by </w:t>
      </w:r>
      <w:r>
        <w:rPr>
          <w:rFonts w:ascii="Arial" w:cs="Arial" w:eastAsia="Arial" w:hAnsi="Arial"/>
          <w:sz w:val="18"/>
          <w:szCs w:val="18"/>
          <w:i w:val="1"/>
          <w:iCs w:val="1"/>
          <w:color w:val="auto"/>
        </w:rPr>
        <w:t>Fifty Shades Freed</w:t>
      </w:r>
      <w:r>
        <w:rPr>
          <w:rFonts w:ascii="Arial" w:cs="Arial" w:eastAsia="Arial" w:hAnsi="Arial"/>
          <w:sz w:val="18"/>
          <w:szCs w:val="18"/>
          <w:color w:val="auto"/>
        </w:rPr>
        <w:t xml:space="preserve"> in this year’s second quarter</w:t>
      </w:r>
      <w:r>
        <w:rPr>
          <w:rFonts w:ascii="Arial" w:cs="Arial" w:eastAsia="Arial" w:hAnsi="Arial"/>
          <w:sz w:val="18"/>
          <w:szCs w:val="18"/>
          <w:i w:val="1"/>
          <w:iCs w:val="1"/>
          <w:color w:val="auto"/>
        </w:rPr>
        <w:t>.</w:t>
      </w:r>
      <w:r>
        <w:rPr>
          <w:rFonts w:ascii="Arial" w:cs="Arial" w:eastAsia="Arial" w:hAnsi="Arial"/>
          <w:sz w:val="18"/>
          <w:szCs w:val="18"/>
          <w:color w:val="auto"/>
        </w:rPr>
        <w:t xml:space="preserve"> Content licensing revenue decreased 5.3%, driven by the timing of when content was made available under licensing agreements. Adjusted EBITDA decreased by 52.1% to $138 million in the second quarter of 2018, reflecting lower revenue, partially offset by lower programming and production costs.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2018, revenue from the Filmed Entertainment segment decreased 18.3% to $3.4 billion compared to 2017, reflecting lower theatrical, home entertainment, content licensing and other revenue. Adjusted EBITDA decreased 48.2% to $341 million compared to 2017, reflecting lower revenue, partially offset by decreased programming and production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Theme Parks revenue increased 3.6% to $1.4 billion in the second quarter of 2018 reflecting higher per capita spending driven by the successful openings of several new attractions including </w:t>
      </w:r>
      <w:r>
        <w:rPr>
          <w:rFonts w:ascii="Arial" w:cs="Arial" w:eastAsia="Arial" w:hAnsi="Arial"/>
          <w:sz w:val="18"/>
          <w:szCs w:val="18"/>
          <w:i w:val="1"/>
          <w:iCs w:val="1"/>
          <w:color w:val="auto"/>
        </w:rPr>
        <w:t>Fast &amp; Furious - Supercharged</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Orlando, partially offset by the timing of spring holidays as compared to 2017. Adjusted EBITDA increased 3.4% to $569 million in the second quarter of 2018, reflecting higher revenue, partially offset by an increase in operating expenses, including costs to support new attractions.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2018, revenue from the Theme Parks segment increased 8.6% to $2.6 billion compared to 2017, reflecting higher per capita spending. Adjusted EBITDA increased 12.3% to $1.1 billion compared to 2017, due to higher revenue, partially offset by an increase in operating expenses, including costs to support new attractions.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2018, NBCUniversal Headquarters, Other and Eliminations Adjusted EBITDA loss was $150 million, compared to a loss of $235 million in the second quarter of 2017.</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2018, NBCUniversal Headquarters, Other and Eliminations Adjusted EBITDA loss was $338 million compared to a loss of $421 million in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our new wireless initiative, Xfinity Mobile, and Comcast Spectacor, as well as eliminations among Comcast’s businesses. For the quarter ended June 30, 2018, the Corporate, Other and Eliminations Adjusted EBITDA loss was $381 million, compared to a loss of $292 million in the second quarter of 2017. This quarter’s results include a loss of $185 million from Xfinity Mobile, which reported net line additions of 204,000 in the quarter, ending the quarter with 781,000 total lines.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2018, the Corporate, Other and Eliminations Adjusted EBITDA loss was $837 million, reflecting increased costs associated with scaling Xfinity Mobile and eliminations associated with the 2018 PyeongChang Olympics, compared to a loss of $475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200" w:hanging="192"/>
        <w:spacing w:after="0" w:line="237" w:lineRule="auto"/>
        <w:tabs>
          <w:tab w:leader="none" w:pos="37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98" w:lineRule="exact"/>
        <w:rPr>
          <w:sz w:val="20"/>
          <w:szCs w:val="20"/>
          <w:color w:val="auto"/>
        </w:rPr>
      </w:pPr>
    </w:p>
    <w:p>
      <w:pPr>
        <w:jc w:val="both"/>
        <w:ind w:left="200" w:hanging="192"/>
        <w:spacing w:after="0" w:line="236"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January 1, 2018, we adopted the new accounting standard related to revenue recognition. In connection with the adoption, we implemented changes in classification for our Cable Communications segment’s Video, High-Speed Internet, Voice, Business Services and Other revenues and costs and expenses. In addition, the new guidance impacted the timing of recognition for Cable Communications installation revenue and commissions expense, and Cable Networks, Broadcast Television and Filmed Entertainment content licensing renewals and extensions. These changes affected Operating Income and Adjusted EBITDA for Comcast Consolidated and the Cable Communications, Cable Networks, Broadcast Television and Filmed Entertainment segments. The adoption did not impact Consolidated Free Cash Flow; however, Cash Paid for Capitalized Software and Other Intangible Assets, and Changes in Operating Assets and Liabilities were affected. We adopted the guidance using the full retrospective method and all periods presented have been adjusted. To be consistent with our current management reporting presentation, certain 2017 operating results were reclassified within the Cable Communications segment.</w:t>
      </w:r>
    </w:p>
    <w:p>
      <w:pPr>
        <w:spacing w:after="0" w:line="193" w:lineRule="exact"/>
        <w:rPr>
          <w:sz w:val="20"/>
          <w:szCs w:val="20"/>
          <w:color w:val="auto"/>
        </w:rPr>
      </w:pPr>
    </w:p>
    <w:p>
      <w:pPr>
        <w:ind w:left="200" w:hanging="192"/>
        <w:spacing w:after="0" w:line="246" w:lineRule="auto"/>
        <w:tabs>
          <w:tab w:leader="none" w:pos="251"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2018, we have implemented changes that simplify our definition of Free Cash Flow to the following: Net Cash Provided by Operating Activities (as stated in our Consolidated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w:t>
      </w:r>
    </w:p>
    <w:p>
      <w:pPr>
        <w:sectPr>
          <w:pgSz w:w="11900" w:h="16838" w:orient="portrait"/>
          <w:cols w:equalWidth="0" w:num="1">
            <w:col w:w="11420"/>
          </w:cols>
          <w:pgMar w:left="240" w:top="118" w:right="239" w:bottom="0" w:gutter="0" w:footer="0" w:header="0"/>
        </w:sectPr>
      </w:pPr>
    </w:p>
    <w:bookmarkStart w:id="6" w:name="page7"/>
    <w:bookmarkEnd w:id="6"/>
    <w:p>
      <w:pPr>
        <w:ind w:left="200" w:right="20"/>
        <w:spacing w:after="0" w:line="245" w:lineRule="auto"/>
        <w:rPr>
          <w:sz w:val="20"/>
          <w:szCs w:val="20"/>
          <w:color w:val="auto"/>
        </w:rPr>
      </w:pPr>
      <w:r>
        <w:rPr>
          <w:rFonts w:ascii="Arial" w:cs="Arial" w:eastAsia="Arial" w:hAnsi="Arial"/>
          <w:sz w:val="18"/>
          <w:szCs w:val="18"/>
          <w:color w:val="auto"/>
        </w:rPr>
        <w:t>distributions to noncontrolling interests and dividends for redeemable preferred stock and certain nonoperating items. The prior period amounts have been adjusted to reflect this change. See Table 5 for reconciliation of non-GAAP financial measures.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26, 2018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7673099. A replay of the call will be available starting at 12:00 p.m. ET on July 26, 2018, on the Investor Relations website or by telephone. To access the telephone replay, which will be available until Thursday, August 2, 2018 at midnight ET, please dial (855) 859-2056 and enter the conference ID number 7673099.</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680" w:type="dxa"/>
            <w:vAlign w:val="bottom"/>
          </w:tcPr>
          <w:p>
            <w:pPr>
              <w:jc w:val="right"/>
              <w:ind w:right="2419"/>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386"/>
        </w:trPr>
        <w:tc>
          <w:tcPr>
            <w:tcW w:w="202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68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1640" w:type="dxa"/>
            <w:vAlign w:val="bottom"/>
          </w:tcPr>
          <w:p>
            <w:pPr>
              <w:spacing w:after="0"/>
              <w:rPr>
                <w:sz w:val="24"/>
                <w:szCs w:val="24"/>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859"/>
              <w:spacing w:after="0"/>
              <w:rPr>
                <w:sz w:val="20"/>
                <w:szCs w:val="20"/>
                <w:color w:val="auto"/>
              </w:rPr>
            </w:pPr>
            <w:r>
              <w:rPr>
                <w:rFonts w:ascii="Arial" w:cs="Arial" w:eastAsia="Arial" w:hAnsi="Arial"/>
                <w:sz w:val="16"/>
                <w:szCs w:val="16"/>
                <w:color w:val="auto"/>
              </w:rPr>
              <w:t>(215) 286-7972</w:t>
            </w:r>
          </w:p>
        </w:tc>
        <w:tc>
          <w:tcPr>
            <w:tcW w:w="368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16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202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859"/>
              <w:spacing w:after="0"/>
              <w:rPr>
                <w:sz w:val="20"/>
                <w:szCs w:val="20"/>
                <w:color w:val="auto"/>
              </w:rPr>
            </w:pPr>
            <w:r>
              <w:rPr>
                <w:rFonts w:ascii="Arial" w:cs="Arial" w:eastAsia="Arial" w:hAnsi="Arial"/>
                <w:sz w:val="16"/>
                <w:szCs w:val="16"/>
                <w:color w:val="auto"/>
              </w:rPr>
              <w:t>(215) 286-4794</w:t>
            </w:r>
          </w:p>
        </w:tc>
        <w:tc>
          <w:tcPr>
            <w:tcW w:w="368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16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31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88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84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3"/>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2017</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2017</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560" w:type="dxa"/>
            <w:vAlign w:val="bottom"/>
            <w:vMerge w:val="continue"/>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$21,286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$21,735</w:t>
            </w:r>
          </w:p>
        </w:tc>
        <w:tc>
          <w:tcPr>
            <w:tcW w:w="3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$41,873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$44,526</w:t>
            </w:r>
          </w:p>
        </w:tc>
        <w:tc>
          <w:tcPr>
            <w:tcW w:w="0" w:type="dxa"/>
            <w:vAlign w:val="bottom"/>
          </w:tcPr>
          <w:p>
            <w:pPr>
              <w:spacing w:after="0"/>
              <w:rPr>
                <w:sz w:val="1"/>
                <w:szCs w:val="1"/>
                <w:color w:val="auto"/>
              </w:rPr>
            </w:pPr>
          </w:p>
        </w:tc>
      </w:tr>
      <w:tr>
        <w:trPr>
          <w:trHeight w:val="359"/>
        </w:trPr>
        <w:tc>
          <w:tcPr>
            <w:tcW w:w="556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6,330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6,300</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12,391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13,729</w:t>
            </w:r>
          </w:p>
        </w:tc>
        <w:tc>
          <w:tcPr>
            <w:tcW w:w="0" w:type="dxa"/>
            <w:vAlign w:val="bottom"/>
          </w:tcPr>
          <w:p>
            <w:pPr>
              <w:spacing w:after="0"/>
              <w:rPr>
                <w:sz w:val="1"/>
                <w:szCs w:val="1"/>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Other operating and administrative</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6,168</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6,365</w:t>
            </w:r>
          </w:p>
        </w:tc>
        <w:tc>
          <w:tcPr>
            <w:tcW w:w="30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12,107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12,879</w:t>
            </w:r>
          </w:p>
        </w:tc>
        <w:tc>
          <w:tcPr>
            <w:tcW w:w="0" w:type="dxa"/>
            <w:vAlign w:val="bottom"/>
          </w:tcPr>
          <w:p>
            <w:pPr>
              <w:spacing w:after="0"/>
              <w:rPr>
                <w:sz w:val="1"/>
                <w:szCs w:val="1"/>
                <w:color w:val="auto"/>
              </w:rPr>
            </w:pPr>
          </w:p>
        </w:tc>
      </w:tr>
      <w:tr>
        <w:trPr>
          <w:trHeight w:val="225"/>
        </w:trPr>
        <w:tc>
          <w:tcPr>
            <w:tcW w:w="556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1,713</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1,653</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3,257</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14,211</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14,318</w:t>
            </w: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27,788</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29,865</w:t>
            </w: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0"/>
                <w:szCs w:val="10"/>
                <w:b w:val="1"/>
                <w:bCs w:val="1"/>
                <w:color w:val="auto"/>
              </w:rPr>
              <w:t>(1)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7,075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7,417</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14,085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14,661</w:t>
            </w:r>
          </w:p>
        </w:tc>
        <w:tc>
          <w:tcPr>
            <w:tcW w:w="0" w:type="dxa"/>
            <w:vAlign w:val="bottom"/>
          </w:tcPr>
          <w:p>
            <w:pPr>
              <w:spacing w:after="0"/>
              <w:rPr>
                <w:sz w:val="1"/>
                <w:szCs w:val="1"/>
                <w:color w:val="auto"/>
              </w:rPr>
            </w:pPr>
          </w:p>
        </w:tc>
      </w:tr>
      <w:tr>
        <w:trPr>
          <w:trHeight w:val="382"/>
        </w:trPr>
        <w:tc>
          <w:tcPr>
            <w:tcW w:w="556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3,885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4,032</w:t>
            </w:r>
          </w:p>
        </w:tc>
        <w:tc>
          <w:tcPr>
            <w:tcW w:w="0" w:type="dxa"/>
            <w:vAlign w:val="bottom"/>
          </w:tcPr>
          <w:p>
            <w:pPr>
              <w:spacing w:after="0"/>
              <w:rPr>
                <w:sz w:val="1"/>
                <w:szCs w:val="1"/>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Amortization expense</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582</w:t>
            </w:r>
          </w:p>
        </w:tc>
        <w:tc>
          <w:tcPr>
            <w:tcW w:w="30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1,170</w:t>
            </w:r>
          </w:p>
        </w:tc>
        <w:tc>
          <w:tcPr>
            <w:tcW w:w="0" w:type="dxa"/>
            <w:vAlign w:val="bottom"/>
          </w:tcPr>
          <w:p>
            <w:pPr>
              <w:spacing w:after="0"/>
              <w:rPr>
                <w:sz w:val="1"/>
                <w:szCs w:val="1"/>
                <w:color w:val="auto"/>
              </w:rPr>
            </w:pPr>
          </w:p>
        </w:tc>
      </w:tr>
      <w:tr>
        <w:trPr>
          <w:trHeight w:val="225"/>
        </w:trPr>
        <w:tc>
          <w:tcPr>
            <w:tcW w:w="5560" w:type="dxa"/>
            <w:vAlign w:val="bottom"/>
          </w:tcPr>
          <w:p>
            <w:pPr>
              <w:ind w:left="220"/>
              <w:spacing w:after="0"/>
              <w:rPr>
                <w:sz w:val="20"/>
                <w:szCs w:val="20"/>
                <w:color w:val="auto"/>
              </w:rPr>
            </w:pPr>
            <w:r>
              <w:rPr>
                <w:rFonts w:ascii="Arial" w:cs="Arial" w:eastAsia="Arial" w:hAnsi="Arial"/>
                <w:sz w:val="18"/>
                <w:szCs w:val="18"/>
                <w:color w:val="auto"/>
              </w:rPr>
              <w:t>Other operating gains</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300" w:type="dxa"/>
            <w:vAlign w:val="bottom"/>
          </w:tcPr>
          <w:p>
            <w:pPr>
              <w:spacing w:after="0"/>
              <w:rPr>
                <w:sz w:val="19"/>
                <w:szCs w:val="19"/>
                <w:color w:val="auto"/>
              </w:rPr>
            </w:pPr>
          </w:p>
        </w:tc>
        <w:tc>
          <w:tcPr>
            <w:tcW w:w="18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32"/>
        </w:trPr>
        <w:tc>
          <w:tcPr>
            <w:tcW w:w="556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2,507</w:t>
            </w: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2,403</w:t>
            </w:r>
          </w:p>
        </w:tc>
        <w:tc>
          <w:tcPr>
            <w:tcW w:w="30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4,975</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5,002</w:t>
            </w:r>
          </w:p>
        </w:tc>
        <w:tc>
          <w:tcPr>
            <w:tcW w:w="0" w:type="dxa"/>
            <w:vAlign w:val="bottom"/>
          </w:tcPr>
          <w:p>
            <w:pPr>
              <w:spacing w:after="0"/>
              <w:rPr>
                <w:sz w:val="1"/>
                <w:szCs w:val="1"/>
                <w:color w:val="auto"/>
              </w:rPr>
            </w:pPr>
          </w:p>
        </w:tc>
      </w:tr>
      <w:tr>
        <w:trPr>
          <w:trHeight w:val="396"/>
        </w:trPr>
        <w:tc>
          <w:tcPr>
            <w:tcW w:w="55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4,568</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5,014</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9,110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9,659</w:t>
            </w:r>
          </w:p>
        </w:tc>
        <w:tc>
          <w:tcPr>
            <w:tcW w:w="0" w:type="dxa"/>
            <w:vAlign w:val="bottom"/>
          </w:tcPr>
          <w:p>
            <w:pPr>
              <w:spacing w:after="0"/>
              <w:rPr>
                <w:sz w:val="1"/>
                <w:szCs w:val="1"/>
                <w:color w:val="auto"/>
              </w:rPr>
            </w:pPr>
          </w:p>
        </w:tc>
      </w:tr>
      <w:tr>
        <w:trPr>
          <w:trHeight w:val="419"/>
        </w:trPr>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spacing w:after="0"/>
              <w:rPr>
                <w:sz w:val="20"/>
                <w:szCs w:val="20"/>
                <w:color w:val="auto"/>
              </w:rPr>
            </w:pPr>
            <w:r>
              <w:rPr>
                <w:rFonts w:ascii="Arial" w:cs="Arial" w:eastAsia="Arial" w:hAnsi="Arial"/>
                <w:sz w:val="18"/>
                <w:szCs w:val="18"/>
                <w:color w:val="auto"/>
              </w:rPr>
              <w:t>(758)</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(806)</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404"/>
        </w:trPr>
        <w:tc>
          <w:tcPr>
            <w:tcW w:w="5560" w:type="dxa"/>
            <w:vAlign w:val="bottom"/>
          </w:tcPr>
          <w:p>
            <w:pPr>
              <w:spacing w:after="0"/>
              <w:rPr>
                <w:sz w:val="20"/>
                <w:szCs w:val="20"/>
                <w:color w:val="auto"/>
              </w:rPr>
            </w:pPr>
            <w:r>
              <w:rPr>
                <w:rFonts w:ascii="Arial" w:cs="Arial" w:eastAsia="Arial" w:hAnsi="Arial"/>
                <w:sz w:val="18"/>
                <w:szCs w:val="18"/>
                <w:color w:val="auto"/>
              </w:rPr>
              <w:t>Investment and other income (loss),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7"/>
        </w:trPr>
        <w:tc>
          <w:tcPr>
            <w:tcW w:w="556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ind w:left="220"/>
              <w:spacing w:after="0"/>
              <w:rPr>
                <w:sz w:val="20"/>
                <w:szCs w:val="20"/>
                <w:color w:val="auto"/>
              </w:rPr>
            </w:pPr>
            <w:r>
              <w:rPr>
                <w:rFonts w:ascii="Arial" w:cs="Arial" w:eastAsia="Arial" w:hAnsi="Arial"/>
                <w:sz w:val="18"/>
                <w:szCs w:val="18"/>
                <w:color w:val="auto"/>
              </w:rPr>
              <w:t>Realized and unrealized gains (losses) on equity securities, net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20"/>
              <w:spacing w:after="0"/>
              <w:rPr>
                <w:sz w:val="20"/>
                <w:szCs w:val="20"/>
                <w:color w:val="auto"/>
              </w:rPr>
            </w:pPr>
            <w:r>
              <w:rPr>
                <w:rFonts w:ascii="Arial" w:cs="Arial" w:eastAsia="Arial" w:hAnsi="Arial"/>
                <w:sz w:val="18"/>
                <w:szCs w:val="18"/>
                <w:color w:val="auto"/>
              </w:rPr>
              <w:t>Other income (loss), net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2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99</w:t>
            </w: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77</w:t>
            </w: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229</w:t>
            </w:r>
          </w:p>
        </w:tc>
        <w:tc>
          <w:tcPr>
            <w:tcW w:w="28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3,909</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4,285</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7,826</w:t>
            </w:r>
          </w:p>
        </w:tc>
        <w:tc>
          <w:tcPr>
            <w:tcW w:w="2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8,279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28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3,208</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2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6,384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5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180"/>
              <w:spacing w:after="0"/>
              <w:rPr>
                <w:sz w:val="20"/>
                <w:szCs w:val="20"/>
                <w:color w:val="auto"/>
              </w:rPr>
            </w:pPr>
            <w:r>
              <w:rPr>
                <w:rFonts w:ascii="Arial" w:cs="Arial" w:eastAsia="Arial" w:hAnsi="Arial"/>
                <w:sz w:val="18"/>
                <w:szCs w:val="18"/>
                <w:color w:val="auto"/>
              </w:rPr>
              <w:t>and redeemable subsidiary preferred stock</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2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$2,521</w:t>
            </w: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$3,216</w:t>
            </w:r>
          </w:p>
        </w:tc>
        <w:tc>
          <w:tcPr>
            <w:tcW w:w="30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$5,094</w:t>
            </w:r>
          </w:p>
        </w:tc>
        <w:tc>
          <w:tcPr>
            <w:tcW w:w="28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$6,334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55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$0.69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$0.52</w:t>
            </w:r>
          </w:p>
        </w:tc>
        <w:tc>
          <w:tcPr>
            <w:tcW w:w="3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6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$0.1575</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$0.19</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$0.315</w:t>
            </w:r>
          </w:p>
        </w:tc>
        <w:tc>
          <w:tcPr>
            <w:tcW w:w="28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6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4,809</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4,643</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4,820</w:t>
            </w:r>
          </w:p>
        </w:tc>
        <w:tc>
          <w:tcPr>
            <w:tcW w:w="28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4"/>
                <w:szCs w:val="14"/>
                <w:color w:val="auto"/>
              </w:rPr>
              <w:t>(1) See Table 4 for a reconciliation of non-GAAP financial measures.</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5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4"/>
                <w:szCs w:val="24"/>
                <w:color w:val="auto"/>
              </w:rPr>
            </w:pPr>
          </w:p>
        </w:tc>
        <w:tc>
          <w:tcPr>
            <w:tcW w:w="1260" w:type="dxa"/>
            <w:vAlign w:val="bottom"/>
          </w:tcPr>
          <w:p>
            <w:pPr>
              <w:jc w:val="right"/>
              <w:ind w:right="971"/>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9"/>
        </w:trPr>
        <w:tc>
          <w:tcPr>
            <w:tcW w:w="8300" w:type="dxa"/>
            <w:vAlign w:val="bottom"/>
            <w:vMerge w:val="continue"/>
          </w:tcPr>
          <w:p>
            <w:pPr>
              <w:spacing w:after="0"/>
              <w:rPr>
                <w:sz w:val="19"/>
                <w:szCs w:val="19"/>
                <w:color w:val="auto"/>
              </w:rPr>
            </w:pPr>
          </w:p>
        </w:tc>
        <w:tc>
          <w:tcPr>
            <w:tcW w:w="20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$6,384</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$5,197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5,002</w:t>
            </w: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Depreciation, amortization and other operating gains</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4,975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 (income),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814</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Current and noncurrent receivables, net</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Film and television costs,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412"/>
        </w:trPr>
        <w:tc>
          <w:tcPr>
            <w:tcW w:w="830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10,749</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12,537</w:t>
            </w: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(4,223)</w:t>
            </w:r>
          </w:p>
        </w:tc>
        <w:tc>
          <w:tcPr>
            <w:tcW w:w="0" w:type="dxa"/>
            <w:vAlign w:val="bottom"/>
          </w:tcPr>
          <w:p>
            <w:pPr>
              <w:spacing w:after="0"/>
              <w:rPr>
                <w:sz w:val="1"/>
                <w:szCs w:val="1"/>
                <w:color w:val="auto"/>
              </w:rPr>
            </w:pPr>
          </w:p>
        </w:tc>
      </w:tr>
      <w:tr>
        <w:trPr>
          <w:trHeight w:val="181"/>
        </w:trPr>
        <w:tc>
          <w:tcPr>
            <w:tcW w:w="8300" w:type="dxa"/>
            <w:vAlign w:val="bottom"/>
          </w:tcPr>
          <w:p>
            <w:pPr>
              <w:ind w:left="160"/>
              <w:spacing w:after="0" w:line="181" w:lineRule="exact"/>
              <w:rPr>
                <w:sz w:val="20"/>
                <w:szCs w:val="20"/>
                <w:color w:val="auto"/>
              </w:rPr>
            </w:pPr>
            <w:r>
              <w:rPr>
                <w:rFonts w:ascii="Arial" w:cs="Arial" w:eastAsia="Arial" w:hAnsi="Arial"/>
                <w:sz w:val="18"/>
                <w:szCs w:val="18"/>
                <w:color w:val="auto"/>
              </w:rPr>
              <w:t>Capital expenditures</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(4,405)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Cash paid for intangible assets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(771)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(930)</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Construction of Universal Beijing Resort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Acquisitions, net of cash acquired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sales of investments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Purchases of investments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(1,825)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(538)</w:t>
            </w:r>
          </w:p>
        </w:tc>
        <w:tc>
          <w:tcPr>
            <w:tcW w:w="0" w:type="dxa"/>
            <w:vAlign w:val="bottom"/>
          </w:tcPr>
          <w:p>
            <w:pPr>
              <w:spacing w:after="0"/>
              <w:rPr>
                <w:sz w:val="1"/>
                <w:szCs w:val="1"/>
                <w:color w:val="auto"/>
              </w:rPr>
            </w:pPr>
          </w:p>
        </w:tc>
      </w:tr>
      <w:tr>
        <w:trPr>
          <w:trHeight w:val="225"/>
        </w:trPr>
        <w:tc>
          <w:tcPr>
            <w:tcW w:w="830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580</w:t>
            </w:r>
          </w:p>
        </w:tc>
        <w:tc>
          <w:tcPr>
            <w:tcW w:w="0" w:type="dxa"/>
            <w:vAlign w:val="bottom"/>
          </w:tcPr>
          <w:p>
            <w:pPr>
              <w:spacing w:after="0"/>
              <w:rPr>
                <w:sz w:val="1"/>
                <w:szCs w:val="1"/>
                <w:color w:val="auto"/>
              </w:rPr>
            </w:pPr>
          </w:p>
        </w:tc>
      </w:tr>
      <w:tr>
        <w:trPr>
          <w:trHeight w:val="412"/>
        </w:trPr>
        <w:tc>
          <w:tcPr>
            <w:tcW w:w="8300" w:type="dxa"/>
            <w:vAlign w:val="bottom"/>
          </w:tcPr>
          <w:p>
            <w:pPr>
              <w:ind w:left="620"/>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(5,306)</w:t>
            </w: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81"/>
        </w:trPr>
        <w:tc>
          <w:tcPr>
            <w:tcW w:w="8300" w:type="dxa"/>
            <w:vAlign w:val="bottom"/>
          </w:tcPr>
          <w:p>
            <w:pPr>
              <w:ind w:left="16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(1,695)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borrowings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8,963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4,279</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Repurchases and repayments of debt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(4,967)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(4,347)</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 under repurchase program and employee plans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(2,476)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(2,998)</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(1,404)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(1,616)</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Purchase of Universal Studios Japan noncontrolling interests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(2,299)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25"/>
        </w:trPr>
        <w:tc>
          <w:tcPr>
            <w:tcW w:w="830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412"/>
        </w:trPr>
        <w:tc>
          <w:tcPr>
            <w:tcW w:w="8300" w:type="dxa"/>
            <w:vAlign w:val="bottom"/>
          </w:tcPr>
          <w:p>
            <w:pPr>
              <w:ind w:left="62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(4,960)</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2,271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6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84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3,415</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200" w:type="dxa"/>
            <w:vAlign w:val="bottom"/>
            <w:gridSpan w:val="2"/>
          </w:tcPr>
          <w:p>
            <w:pPr>
              <w:jc w:val="right"/>
              <w:ind w:right="10"/>
              <w:spacing w:after="0"/>
              <w:rPr>
                <w:sz w:val="20"/>
                <w:szCs w:val="20"/>
                <w:color w:val="auto"/>
              </w:rPr>
            </w:pPr>
            <w:r>
              <w:rPr>
                <w:rFonts w:ascii="Arial" w:cs="Arial" w:eastAsia="Arial" w:hAnsi="Arial"/>
                <w:sz w:val="18"/>
                <w:szCs w:val="18"/>
                <w:color w:val="auto"/>
              </w:rPr>
              <w:t>$2,822</w:t>
            </w:r>
          </w:p>
        </w:tc>
        <w:tc>
          <w:tcPr>
            <w:tcW w:w="2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$5,842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vMerge w:val="restart"/>
          </w:tcPr>
          <w:p>
            <w:pPr>
              <w:jc w:val="right"/>
              <w:ind w:right="2456"/>
              <w:spacing w:after="0"/>
              <w:rPr>
                <w:sz w:val="20"/>
                <w:szCs w:val="20"/>
                <w:color w:val="auto"/>
              </w:rPr>
            </w:pPr>
            <w:r>
              <w:rPr>
                <w:rFonts w:ascii="Arial" w:cs="Arial" w:eastAsia="Arial" w:hAnsi="Arial"/>
                <w:sz w:val="14"/>
                <w:szCs w:val="14"/>
                <w:color w:val="auto"/>
              </w:rPr>
              <w:t>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4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349250</wp:posOffset>
            </wp:positionV>
            <wp:extent cx="1029335"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r>
              <w:rPr>
                <w:rFonts w:ascii="Arial" w:cs="Arial" w:eastAsia="Arial" w:hAnsi="Arial"/>
                <w:sz w:val="18"/>
                <w:szCs w:val="18"/>
                <w:color w:val="auto"/>
              </w:rPr>
              <w:t>(in millions)</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$5,726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340"/>
              <w:spacing w:after="0" w:line="195"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$3,428</w:t>
            </w:r>
          </w:p>
        </w:tc>
        <w:tc>
          <w:tcPr>
            <w:tcW w:w="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rPr>
                <w:sz w:val="20"/>
                <w:szCs w:val="20"/>
                <w:color w:val="auto"/>
              </w:rPr>
            </w:pPr>
            <w:r>
              <w:rPr>
                <w:rFonts w:ascii="Arial" w:cs="Arial" w:eastAsia="Arial" w:hAnsi="Arial"/>
                <w:sz w:val="18"/>
                <w:szCs w:val="18"/>
                <w:color w:val="auto"/>
              </w:rPr>
              <w:t>8,834</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8,847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1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7,087</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7,411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6,931</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7,438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38,470</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39,355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59,364</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36,780</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36,872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18,133</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18,848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$191,248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34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$6,908</w:t>
            </w:r>
          </w:p>
        </w:tc>
        <w:tc>
          <w:tcPr>
            <w:tcW w:w="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rPr>
                <w:sz w:val="20"/>
                <w:szCs w:val="20"/>
                <w:color w:val="auto"/>
              </w:rPr>
            </w:pPr>
            <w:r>
              <w:rPr>
                <w:rFonts w:ascii="Arial" w:cs="Arial" w:eastAsia="Arial" w:hAnsi="Arial"/>
                <w:sz w:val="18"/>
                <w:szCs w:val="18"/>
                <w:color w:val="auto"/>
              </w:rPr>
              <w:t>1,644</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6,620</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5,956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59,422</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61,946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24,259</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25,140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10,972</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12,069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1,343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70,694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340"/>
              <w:spacing w:after="0" w:line="195"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68,616</w:t>
            </w:r>
          </w:p>
        </w:tc>
        <w:tc>
          <w:tcPr>
            <w:tcW w:w="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69,459</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$191,248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62230</wp:posOffset>
            </wp:positionV>
            <wp:extent cx="1089025"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75" w:lineRule="exact"/>
        <w:rPr>
          <w:sz w:val="20"/>
          <w:szCs w:val="20"/>
          <w:color w:val="auto"/>
        </w:rPr>
      </w:pPr>
    </w:p>
    <w:p>
      <w:pPr>
        <w:ind w:left="80" w:right="3100"/>
        <w:spacing w:after="0" w:line="261" w:lineRule="auto"/>
        <w:rPr>
          <w:sz w:val="20"/>
          <w:szCs w:val="20"/>
          <w:color w:val="auto"/>
        </w:rPr>
      </w:pPr>
      <w:r>
        <w:rPr>
          <w:rFonts w:ascii="Arial" w:cs="Arial" w:eastAsia="Arial" w:hAnsi="Arial"/>
          <w:sz w:val="22"/>
          <w:szCs w:val="22"/>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8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0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620" w:type="dxa"/>
            <w:vAlign w:val="bottom"/>
          </w:tcPr>
          <w:p>
            <w:pPr>
              <w:spacing w:after="0"/>
              <w:rPr>
                <w:sz w:val="14"/>
                <w:szCs w:val="14"/>
                <w:color w:val="auto"/>
              </w:rPr>
            </w:pPr>
          </w:p>
        </w:tc>
        <w:tc>
          <w:tcPr>
            <w:tcW w:w="116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r>
      <w:tr>
        <w:trPr>
          <w:trHeight w:val="142"/>
        </w:trPr>
        <w:tc>
          <w:tcPr>
            <w:tcW w:w="7620" w:type="dxa"/>
            <w:vAlign w:val="bottom"/>
          </w:tcPr>
          <w:p>
            <w:pPr>
              <w:spacing w:after="0" w:line="143" w:lineRule="exact"/>
              <w:rPr>
                <w:sz w:val="20"/>
                <w:szCs w:val="20"/>
                <w:color w:val="auto"/>
              </w:rPr>
            </w:pPr>
            <w:r>
              <w:rPr>
                <w:rFonts w:ascii="Arial" w:cs="Arial" w:eastAsia="Arial" w:hAnsi="Arial"/>
                <w:sz w:val="14"/>
                <w:szCs w:val="14"/>
                <w:b w:val="1"/>
                <w:bCs w:val="1"/>
                <w:color w:val="auto"/>
              </w:rPr>
              <w:t>Net income attributable to Comcast Corporation</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$2,521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$3,216</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$5,094</w:t>
            </w:r>
          </w:p>
        </w:tc>
        <w:tc>
          <w:tcPr>
            <w:tcW w:w="12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$6,334</w:t>
            </w: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1,077</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2,629</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1,895</w:t>
            </w:r>
          </w:p>
        </w:tc>
      </w:tr>
      <w:tr>
        <w:trPr>
          <w:trHeight w:val="159"/>
        </w:trPr>
        <w:tc>
          <w:tcPr>
            <w:tcW w:w="7620" w:type="dxa"/>
            <w:vAlign w:val="bottom"/>
          </w:tcPr>
          <w:p>
            <w:pPr>
              <w:spacing w:after="0" w:line="159" w:lineRule="exact"/>
              <w:rPr>
                <w:sz w:val="20"/>
                <w:szCs w:val="20"/>
                <w:color w:val="auto"/>
              </w:rPr>
            </w:pPr>
            <w:r>
              <w:rPr>
                <w:rFonts w:ascii="Arial" w:cs="Arial" w:eastAsia="Arial" w:hAnsi="Arial"/>
                <w:sz w:val="14"/>
                <w:szCs w:val="14"/>
                <w:color w:val="auto"/>
              </w:rPr>
              <w:t>Interest expense</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758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806</w:t>
            </w: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1,513</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1,583</w:t>
            </w:r>
          </w:p>
        </w:tc>
      </w:tr>
      <w:tr>
        <w:trPr>
          <w:trHeight w:val="166"/>
        </w:trPr>
        <w:tc>
          <w:tcPr>
            <w:tcW w:w="7620" w:type="dxa"/>
            <w:vAlign w:val="bottom"/>
          </w:tcPr>
          <w:p>
            <w:pPr>
              <w:spacing w:after="0" w:line="165" w:lineRule="exact"/>
              <w:rPr>
                <w:sz w:val="20"/>
                <w:szCs w:val="20"/>
                <w:color w:val="auto"/>
              </w:rPr>
            </w:pPr>
            <w:r>
              <w:rPr>
                <w:rFonts w:ascii="Arial" w:cs="Arial" w:eastAsia="Arial" w:hAnsi="Arial"/>
                <w:sz w:val="13"/>
                <w:szCs w:val="13"/>
                <w:color w:val="auto"/>
              </w:rPr>
              <w:t xml:space="preserve">Investment and other (income) loss, net </w:t>
            </w:r>
            <w:r>
              <w:rPr>
                <w:rFonts w:ascii="Arial" w:cs="Arial" w:eastAsia="Arial" w:hAnsi="Arial"/>
                <w:sz w:val="19"/>
                <w:szCs w:val="19"/>
                <w:color w:val="auto"/>
                <w:vertAlign w:val="superscript"/>
              </w:rPr>
              <w:t>(1)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(203)</w:t>
            </w:r>
          </w:p>
        </w:tc>
      </w:t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Depreciation and amortization expense and other operating gains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2,403</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4,975</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5,002</w:t>
            </w:r>
          </w:p>
        </w:tc>
      </w:tr>
      <w:tr>
        <w:trPr>
          <w:trHeight w:val="156"/>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$7,417</w:t>
            </w: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$14,085</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$14,661</w:t>
            </w:r>
          </w:p>
        </w:tc>
      </w:tr>
      <w:tr>
        <w:trPr>
          <w:trHeight w:val="20"/>
        </w:trPr>
        <w:tc>
          <w:tcPr>
            <w:tcW w:w="7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56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20" w:type="dxa"/>
            <w:vAlign w:val="bottom"/>
            <w:vMerge w:val="continue"/>
          </w:tcPr>
          <w:p>
            <w:pPr>
              <w:spacing w:after="0"/>
              <w:rPr>
                <w:sz w:val="13"/>
                <w:szCs w:val="13"/>
                <w:color w:val="auto"/>
              </w:rPr>
            </w:pP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1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7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EPS</w:t>
            </w:r>
          </w:p>
        </w:tc>
        <w:tc>
          <w:tcPr>
            <w:tcW w:w="200" w:type="dxa"/>
            <w:vAlign w:val="bottom"/>
            <w:tcBorders>
              <w:right w:val="single" w:sz="8" w:color="auto"/>
            </w:tcBorders>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EPS</w:t>
            </w:r>
          </w:p>
        </w:tc>
        <w:tc>
          <w:tcPr>
            <w:tcW w:w="1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4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$2,521</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$0.52</w:t>
            </w:r>
          </w:p>
        </w:tc>
        <w:tc>
          <w:tcPr>
            <w:tcW w:w="220" w:type="dxa"/>
            <w:vAlign w:val="bottom"/>
          </w:tcPr>
          <w:p>
            <w:pPr>
              <w:spacing w:after="0"/>
              <w:rPr>
                <w:sz w:val="24"/>
                <w:szCs w:val="2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$3,216</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$0.69</w:t>
            </w:r>
          </w:p>
        </w:tc>
        <w:tc>
          <w:tcPr>
            <w:tcW w:w="140" w:type="dxa"/>
            <w:vAlign w:val="bottom"/>
          </w:tcPr>
          <w:p>
            <w:pPr>
              <w:spacing w:after="0"/>
              <w:rPr>
                <w:sz w:val="24"/>
                <w:szCs w:val="2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$5,094</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$1.06</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$6,334</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i w:val="1"/>
                <w:iCs w:val="1"/>
                <w:color w:val="auto"/>
              </w:rPr>
              <w:t>27.6%</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i w:val="1"/>
                <w:iCs w:val="1"/>
                <w:color w:val="auto"/>
              </w:rPr>
              <w:t>32.7%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i w:val="1"/>
                <w:iCs w:val="1"/>
                <w:color w:val="auto"/>
              </w:rPr>
              <w:t>24.3%</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4820" w:type="dxa"/>
            <w:vAlign w:val="bottom"/>
          </w:tcPr>
          <w:p>
            <w:pPr>
              <w:spacing w:after="0"/>
              <w:rPr>
                <w:sz w:val="20"/>
                <w:szCs w:val="20"/>
                <w:color w:val="auto"/>
              </w:rPr>
            </w:pPr>
            <w:r>
              <w:rPr>
                <w:rFonts w:ascii="Arial" w:cs="Arial" w:eastAsia="Arial" w:hAnsi="Arial"/>
                <w:sz w:val="14"/>
                <w:szCs w:val="14"/>
                <w:color w:val="auto"/>
              </w:rPr>
              <w:t xml:space="preserve">Fair value investments </w:t>
            </w:r>
            <w:r>
              <w:rPr>
                <w:rFonts w:ascii="Arial" w:cs="Arial" w:eastAsia="Arial" w:hAnsi="Arial"/>
                <w:sz w:val="21"/>
                <w:szCs w:val="21"/>
                <w:color w:val="auto"/>
                <w:vertAlign w:val="superscript"/>
              </w:rPr>
              <w:t>(2)</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(82)</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(0.02)</w:t>
            </w:r>
          </w:p>
        </w:tc>
        <w:tc>
          <w:tcPr>
            <w:tcW w:w="14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(0.01)</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(129)</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3"/>
                <w:szCs w:val="13"/>
                <w:color w:val="auto"/>
              </w:rPr>
              <w:t xml:space="preserve">Income tax adjustments </w:t>
            </w:r>
            <w:r>
              <w:rPr>
                <w:rFonts w:ascii="Arial" w:cs="Arial" w:eastAsia="Arial" w:hAnsi="Arial"/>
                <w:sz w:val="18"/>
                <w:szCs w:val="18"/>
                <w:color w:val="auto"/>
                <w:vertAlign w:val="superscript"/>
              </w:rPr>
              <w:t>(3)</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(128)</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3"/>
                <w:szCs w:val="13"/>
                <w:color w:val="auto"/>
              </w:rPr>
              <w:t xml:space="preserve">Gains on the sales of businesses and investments </w:t>
            </w:r>
            <w:r>
              <w:rPr>
                <w:rFonts w:ascii="Arial" w:cs="Arial" w:eastAsia="Arial" w:hAnsi="Arial"/>
                <w:sz w:val="18"/>
                <w:szCs w:val="18"/>
                <w:color w:val="auto"/>
                <w:vertAlign w:val="superscript"/>
              </w:rPr>
              <w:t>(4)</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(148)</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(0.03)</w:t>
            </w:r>
          </w:p>
        </w:tc>
        <w:tc>
          <w:tcPr>
            <w:tcW w:w="14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(196)</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20" w:type="dxa"/>
            <w:vAlign w:val="bottom"/>
          </w:tcPr>
          <w:p>
            <w:pPr>
              <w:spacing w:after="0" w:line="179" w:lineRule="exact"/>
              <w:rPr>
                <w:sz w:val="20"/>
                <w:szCs w:val="20"/>
                <w:color w:val="auto"/>
              </w:rPr>
            </w:pPr>
            <w:r>
              <w:rPr>
                <w:rFonts w:ascii="Arial" w:cs="Arial" w:eastAsia="Arial" w:hAnsi="Arial"/>
                <w:sz w:val="14"/>
                <w:szCs w:val="14"/>
                <w:color w:val="auto"/>
              </w:rPr>
              <w:t xml:space="preserve">Costs related to Sky and Twenty-First Century Fox offers </w:t>
            </w:r>
            <w:r>
              <w:rPr>
                <w:rFonts w:ascii="Arial" w:cs="Arial" w:eastAsia="Arial" w:hAnsi="Arial"/>
                <w:sz w:val="20"/>
                <w:szCs w:val="20"/>
                <w:color w:val="auto"/>
                <w:vertAlign w:val="superscript"/>
              </w:rPr>
              <w:t>(5)</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23</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0.01</w:t>
            </w:r>
          </w:p>
        </w:tc>
        <w:tc>
          <w:tcPr>
            <w:tcW w:w="14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23</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Net income attributable to Comcast Corporation (excluding</w:t>
            </w: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$3,009</w:t>
            </w: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$0.65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$5,904</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80"/>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$2,496</w:t>
            </w:r>
          </w:p>
        </w:tc>
        <w:tc>
          <w:tcPr>
            <w:tcW w:w="540" w:type="dxa"/>
            <w:vAlign w:val="bottom"/>
          </w:tcPr>
          <w:p>
            <w:pPr>
              <w:jc w:val="right"/>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$5,038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96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i w:val="1"/>
                <w:iCs w:val="1"/>
                <w:color w:val="auto"/>
              </w:rPr>
              <w:t>20.5%</w:t>
            </w: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25.0%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i w:val="1"/>
                <w:iCs w:val="1"/>
                <w:color w:val="auto"/>
              </w:rPr>
              <w:t>17.2%</w:t>
            </w:r>
          </w:p>
        </w:tc>
        <w:tc>
          <w:tcPr>
            <w:tcW w:w="660" w:type="dxa"/>
            <w:vAlign w:val="bottom"/>
            <w:gridSpan w:val="3"/>
          </w:tcPr>
          <w:p>
            <w:pPr>
              <w:jc w:val="right"/>
              <w:spacing w:after="0"/>
              <w:rPr>
                <w:sz w:val="20"/>
                <w:szCs w:val="20"/>
                <w:color w:val="auto"/>
              </w:rPr>
            </w:pPr>
            <w:r>
              <w:rPr>
                <w:rFonts w:ascii="Arial" w:cs="Arial" w:eastAsia="Arial" w:hAnsi="Arial"/>
                <w:sz w:val="14"/>
                <w:szCs w:val="14"/>
                <w:i w:val="1"/>
                <w:iCs w:val="1"/>
                <w:color w:val="auto"/>
              </w:rPr>
              <w:t>20.0%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60" w:hanging="252"/>
        <w:spacing w:after="0" w:line="258" w:lineRule="auto"/>
        <w:tabs>
          <w:tab w:leader="none" w:pos="293"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net, realized and unrealized (gains) losses on equity securities, net, and other (income) loss, net.</w:t>
      </w:r>
    </w:p>
    <w:p>
      <w:pPr>
        <w:spacing w:after="0" w:line="72" w:lineRule="exact"/>
        <w:rPr>
          <w:rFonts w:ascii="Arial" w:cs="Arial" w:eastAsia="Arial" w:hAnsi="Arial"/>
          <w:sz w:val="14"/>
          <w:szCs w:val="14"/>
          <w:color w:val="auto"/>
        </w:rPr>
      </w:pPr>
    </w:p>
    <w:p>
      <w:pPr>
        <w:ind w:left="260" w:hanging="252"/>
        <w:spacing w:after="0" w:line="258" w:lineRule="auto"/>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Fair value investments include realized and unrealized (gains) losses on equity securities, net (as stated in Table 1), as well as the equity in net (income) losses, net, for our investment in Atairos.</w:t>
      </w:r>
    </w:p>
    <w:p>
      <w:pPr>
        <w:sectPr>
          <w:pgSz w:w="11900" w:h="16900" w:orient="portrait"/>
          <w:cols w:equalWidth="0" w:num="1">
            <w:col w:w="11420"/>
          </w:cols>
          <w:pgMar w:left="240" w:top="330" w:right="239" w:bottom="0" w:gutter="0" w:footer="0" w:header="0"/>
        </w:sectPr>
      </w:pPr>
    </w:p>
    <w:p>
      <w:pPr>
        <w:spacing w:after="0" w:line="200" w:lineRule="exact"/>
        <w:rPr>
          <w:sz w:val="20"/>
          <w:szCs w:val="20"/>
          <w:color w:val="auto"/>
        </w:rPr>
      </w:pPr>
    </w:p>
    <w:p>
      <w:pPr>
        <w:spacing w:after="0" w:line="359" w:lineRule="exact"/>
        <w:rPr>
          <w:sz w:val="20"/>
          <w:szCs w:val="20"/>
          <w:color w:val="auto"/>
        </w:rPr>
      </w:pPr>
    </w:p>
    <w:p>
      <w:pPr>
        <w:ind w:left="260" w:right="2180"/>
        <w:spacing w:after="0" w:line="255" w:lineRule="auto"/>
        <w:rPr>
          <w:sz w:val="20"/>
          <w:szCs w:val="20"/>
          <w:color w:val="auto"/>
        </w:rPr>
      </w:pPr>
      <w:r>
        <w:rPr>
          <w:rFonts w:ascii="Arial" w:cs="Arial" w:eastAsia="Arial" w:hAnsi="Arial"/>
          <w:sz w:val="14"/>
          <w:szCs w:val="14"/>
          <w:color w:val="auto"/>
        </w:rPr>
        <w:t>Realized and unrealized (gains) losses on equity securities, net Equity in net (income) losses, net for investment in Atairos Fair value investments before income taxes</w:t>
      </w:r>
    </w:p>
    <w:p>
      <w:pPr>
        <w:ind w:left="260"/>
        <w:spacing w:after="0"/>
        <w:rPr>
          <w:sz w:val="20"/>
          <w:szCs w:val="20"/>
          <w:color w:val="auto"/>
        </w:rPr>
      </w:pPr>
      <w:r>
        <w:rPr>
          <w:rFonts w:ascii="Arial" w:cs="Arial" w:eastAsia="Arial" w:hAnsi="Arial"/>
          <w:sz w:val="14"/>
          <w:szCs w:val="14"/>
          <w:color w:val="auto"/>
        </w:rPr>
        <w:t>Fair value investments, net of tax</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5"/>
          </w:tcPr>
          <w:p>
            <w:pPr>
              <w:ind w:left="220"/>
              <w:spacing w:after="0"/>
              <w:rPr>
                <w:sz w:val="20"/>
                <w:szCs w:val="20"/>
                <w:color w:val="auto"/>
              </w:rPr>
            </w:pPr>
            <w:r>
              <w:rPr>
                <w:rFonts w:ascii="Arial" w:cs="Arial" w:eastAsia="Arial" w:hAnsi="Arial"/>
                <w:sz w:val="14"/>
                <w:szCs w:val="14"/>
                <w:color w:val="auto"/>
              </w:rPr>
              <w:t>Three Months Ended</w:t>
            </w:r>
          </w:p>
        </w:tc>
        <w:tc>
          <w:tcPr>
            <w:tcW w:w="1740" w:type="dxa"/>
            <w:vAlign w:val="bottom"/>
            <w:gridSpan w:val="4"/>
          </w:tcPr>
          <w:p>
            <w:pPr>
              <w:jc w:val="right"/>
              <w:ind w:right="208"/>
              <w:spacing w:after="0"/>
              <w:rPr>
                <w:sz w:val="20"/>
                <w:szCs w:val="20"/>
                <w:color w:val="auto"/>
              </w:rPr>
            </w:pPr>
            <w:r>
              <w:rPr>
                <w:rFonts w:ascii="Arial" w:cs="Arial" w:eastAsia="Arial" w:hAnsi="Arial"/>
                <w:sz w:val="14"/>
                <w:szCs w:val="14"/>
                <w:color w:val="auto"/>
              </w:rPr>
              <w:t>Six Months Ended</w:t>
            </w:r>
          </w:p>
        </w:tc>
      </w:tr>
      <w:tr>
        <w:trPr>
          <w:trHeight w:val="162"/>
        </w:trPr>
        <w:tc>
          <w:tcPr>
            <w:tcW w:w="1200" w:type="dxa"/>
            <w:vAlign w:val="bottom"/>
            <w:gridSpan w:val="3"/>
          </w:tcPr>
          <w:p>
            <w:pPr>
              <w:ind w:left="620"/>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600"/>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4"/>
                <w:szCs w:val="14"/>
                <w:color w:val="auto"/>
              </w:rPr>
            </w:pPr>
          </w:p>
        </w:tc>
      </w:tr>
      <w:tr>
        <w:trPr>
          <w:trHeight w:val="157"/>
        </w:trPr>
        <w:tc>
          <w:tcPr>
            <w:tcW w:w="8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2017</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2018</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2018</w:t>
            </w:r>
          </w:p>
        </w:tc>
      </w:tr>
      <w:tr>
        <w:trPr>
          <w:trHeight w:val="160"/>
        </w:trPr>
        <w:tc>
          <w:tcPr>
            <w:tcW w:w="800" w:type="dxa"/>
            <w:vAlign w:val="bottom"/>
          </w:tcPr>
          <w:p>
            <w:pPr>
              <w:ind w:left="60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ind w:left="188"/>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3"/>
                <w:szCs w:val="13"/>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57"/>
        </w:trPr>
        <w:tc>
          <w:tcPr>
            <w:tcW w:w="9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3"/>
                <w:szCs w:val="13"/>
                <w:color w:val="auto"/>
              </w:rPr>
            </w:pPr>
          </w:p>
        </w:tc>
        <w:tc>
          <w:tcPr>
            <w:tcW w:w="740" w:type="dxa"/>
            <w:vAlign w:val="bottom"/>
            <w:gridSpan w:val="2"/>
          </w:tcPr>
          <w:p>
            <w:pPr>
              <w:jc w:val="center"/>
              <w:ind w:left="8"/>
              <w:spacing w:after="0" w:line="157" w:lineRule="exact"/>
              <w:rPr>
                <w:sz w:val="20"/>
                <w:szCs w:val="20"/>
                <w:color w:val="auto"/>
              </w:rPr>
            </w:pPr>
            <w:r>
              <w:rPr>
                <w:rFonts w:ascii="Arial" w:cs="Arial" w:eastAsia="Arial" w:hAnsi="Arial"/>
                <w:sz w:val="14"/>
                <w:szCs w:val="14"/>
                <w:color w:val="auto"/>
              </w:rPr>
              <w:t>(151)</w:t>
            </w: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(186)</w:t>
            </w:r>
          </w:p>
        </w:tc>
      </w:tr>
      <w:tr>
        <w:trPr>
          <w:trHeight w:val="20"/>
        </w:trPr>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60"/>
        </w:trPr>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3"/>
                <w:szCs w:val="13"/>
                <w:color w:val="auto"/>
              </w:rPr>
            </w:pPr>
          </w:p>
        </w:tc>
        <w:tc>
          <w:tcPr>
            <w:tcW w:w="740" w:type="dxa"/>
            <w:vAlign w:val="bottom"/>
            <w:gridSpan w:val="2"/>
          </w:tcPr>
          <w:p>
            <w:pPr>
              <w:jc w:val="center"/>
              <w:ind w:left="8"/>
              <w:spacing w:after="0"/>
              <w:rPr>
                <w:sz w:val="20"/>
                <w:szCs w:val="20"/>
                <w:color w:val="auto"/>
              </w:rPr>
            </w:pPr>
            <w:r>
              <w:rPr>
                <w:rFonts w:ascii="Arial" w:cs="Arial" w:eastAsia="Arial" w:hAnsi="Arial"/>
                <w:sz w:val="14"/>
                <w:szCs w:val="14"/>
                <w:color w:val="auto"/>
              </w:rPr>
              <w:t>(111)</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57"/>
        </w:trPr>
        <w:tc>
          <w:tcPr>
            <w:tcW w:w="98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3"/>
                <w:szCs w:val="13"/>
                <w:color w:val="auto"/>
              </w:rPr>
            </w:pPr>
          </w:p>
        </w:tc>
        <w:tc>
          <w:tcPr>
            <w:tcW w:w="740" w:type="dxa"/>
            <w:vAlign w:val="bottom"/>
            <w:gridSpan w:val="2"/>
          </w:tcPr>
          <w:p>
            <w:pPr>
              <w:jc w:val="center"/>
              <w:ind w:left="8"/>
              <w:spacing w:after="0" w:line="157" w:lineRule="exact"/>
              <w:rPr>
                <w:sz w:val="20"/>
                <w:szCs w:val="20"/>
                <w:color w:val="auto"/>
              </w:rPr>
            </w:pPr>
            <w:r>
              <w:rPr>
                <w:rFonts w:ascii="Arial" w:cs="Arial" w:eastAsia="Arial" w:hAnsi="Arial"/>
                <w:sz w:val="14"/>
                <w:szCs w:val="14"/>
                <w:color w:val="auto"/>
              </w:rPr>
              <w:t>($82)</w:t>
            </w: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($129)</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900" w:orient="portrait"/>
          <w:cols w:equalWidth="0" w:num="2">
            <w:col w:w="6480" w:space="720"/>
            <w:col w:w="4220"/>
          </w:cols>
          <w:pgMar w:left="240" w:top="330" w:right="239" w:bottom="0" w:gutter="0" w:footer="0" w:header="0"/>
          <w:type w:val="continuous"/>
        </w:sectPr>
      </w:pPr>
    </w:p>
    <w:p>
      <w:pPr>
        <w:ind w:left="260" w:hanging="252"/>
        <w:spacing w:after="0" w:line="258" w:lineRule="auto"/>
        <w:tabs>
          <w:tab w:leader="none" w:pos="293" w:val="left"/>
        </w:tabs>
        <w:numPr>
          <w:ilvl w:val="0"/>
          <w:numId w:val="9"/>
        </w:numPr>
        <w:rPr>
          <w:rFonts w:ascii="Arial" w:cs="Arial" w:eastAsia="Arial" w:hAnsi="Arial"/>
          <w:sz w:val="14"/>
          <w:szCs w:val="14"/>
          <w:color w:val="auto"/>
        </w:rPr>
      </w:pPr>
      <w:r>
        <w:rPr>
          <w:rFonts w:ascii="Arial" w:cs="Arial" w:eastAsia="Arial" w:hAnsi="Arial"/>
          <w:sz w:val="14"/>
          <w:szCs w:val="14"/>
          <w:color w:val="auto"/>
        </w:rPr>
        <w:t>2018 year to date net income attributable to Comcast Corporation includes a $128 million net income tax benefit recorded in the 1st quarter 2018 as a result of federal tax legislation enacted in 2018.</w:t>
      </w:r>
    </w:p>
    <w:p>
      <w:pPr>
        <w:spacing w:after="0" w:line="72" w:lineRule="exact"/>
        <w:rPr>
          <w:rFonts w:ascii="Arial" w:cs="Arial" w:eastAsia="Arial" w:hAnsi="Arial"/>
          <w:sz w:val="14"/>
          <w:szCs w:val="14"/>
          <w:color w:val="auto"/>
        </w:rPr>
      </w:pPr>
    </w:p>
    <w:p>
      <w:pPr>
        <w:jc w:val="both"/>
        <w:ind w:left="260" w:hanging="252"/>
        <w:spacing w:after="0" w:line="250" w:lineRule="auto"/>
        <w:tabs>
          <w:tab w:leader="none" w:pos="253" w:val="left"/>
        </w:tabs>
        <w:numPr>
          <w:ilvl w:val="0"/>
          <w:numId w:val="9"/>
        </w:numPr>
        <w:rPr>
          <w:rFonts w:ascii="Arial" w:cs="Arial" w:eastAsia="Arial" w:hAnsi="Arial"/>
          <w:sz w:val="14"/>
          <w:szCs w:val="14"/>
          <w:color w:val="auto"/>
        </w:rPr>
      </w:pPr>
      <w:r>
        <w:rPr>
          <w:rFonts w:ascii="Arial" w:cs="Arial" w:eastAsia="Arial" w:hAnsi="Arial"/>
          <w:sz w:val="14"/>
          <w:szCs w:val="14"/>
          <w:color w:val="auto"/>
        </w:rPr>
        <w:t>2nd quarter and year to date 2018 net income attributable to Comcast Corporation includes $200 million of other operating gains, $148 million net of tax, resulting from the sale of a controlling interest in our arena management-related businesses. 2018 year to date net income attributable to Comcast Corporation also includes $64 million of other income, $48 million net of tax, resulting from a gain on the sale of our investment in The Weather Channel.</w:t>
      </w:r>
    </w:p>
    <w:p>
      <w:pPr>
        <w:spacing w:after="0" w:line="77" w:lineRule="exact"/>
        <w:rPr>
          <w:rFonts w:ascii="Arial" w:cs="Arial" w:eastAsia="Arial" w:hAnsi="Arial"/>
          <w:sz w:val="14"/>
          <w:szCs w:val="14"/>
          <w:color w:val="auto"/>
        </w:rPr>
      </w:pPr>
    </w:p>
    <w:p>
      <w:pPr>
        <w:ind w:left="260" w:hanging="252"/>
        <w:spacing w:after="0" w:line="258" w:lineRule="auto"/>
        <w:tabs>
          <w:tab w:leader="none" w:pos="253" w:val="left"/>
        </w:tabs>
        <w:numPr>
          <w:ilvl w:val="0"/>
          <w:numId w:val="9"/>
        </w:numPr>
        <w:rPr>
          <w:rFonts w:ascii="Arial" w:cs="Arial" w:eastAsia="Arial" w:hAnsi="Arial"/>
          <w:sz w:val="14"/>
          <w:szCs w:val="14"/>
          <w:color w:val="auto"/>
        </w:rPr>
      </w:pPr>
      <w:r>
        <w:rPr>
          <w:rFonts w:ascii="Arial" w:cs="Arial" w:eastAsia="Arial" w:hAnsi="Arial"/>
          <w:sz w:val="14"/>
          <w:szCs w:val="14"/>
          <w:color w:val="auto"/>
        </w:rPr>
        <w:t>2nd quarter 2018 net income attributable to Comcast Corporation includes $20 million of operating costs and expenses and $11 million of interest expense ($31 million in total, $23 million net of tax) related to the Sky and Twenty-First Century Fox offers.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59690</wp:posOffset>
            </wp:positionV>
            <wp:extent cx="108902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71" w:lineRule="exact"/>
        <w:rPr>
          <w:sz w:val="20"/>
          <w:szCs w:val="20"/>
          <w:color w:val="auto"/>
        </w:rPr>
      </w:pPr>
    </w:p>
    <w:p>
      <w:pPr>
        <w:ind w:left="80" w:right="3560"/>
        <w:spacing w:after="0" w:line="261" w:lineRule="auto"/>
        <w:rPr>
          <w:sz w:val="20"/>
          <w:szCs w:val="20"/>
          <w:color w:val="auto"/>
        </w:rPr>
      </w:pPr>
      <w:r>
        <w:rPr>
          <w:rFonts w:ascii="Arial" w:cs="Arial" w:eastAsia="Arial" w:hAnsi="Arial"/>
          <w:sz w:val="22"/>
          <w:szCs w:val="22"/>
          <w:b w:val="1"/>
          <w:bCs w:val="1"/>
          <w:color w:val="828282"/>
        </w:rPr>
        <w:t>Reconciliation from Net Cash Provided by Operating Activities to Free Cash Flow</w:t>
      </w:r>
      <w:r>
        <w:rPr>
          <w:rFonts w:ascii="Arial" w:cs="Arial" w:eastAsia="Arial" w:hAnsi="Arial"/>
          <w:sz w:val="10"/>
          <w:szCs w:val="10"/>
          <w:b w:val="1"/>
          <w:bCs w:val="1"/>
          <w:color w:val="828282"/>
        </w:rPr>
        <w:t>1</w:t>
      </w:r>
      <w:r>
        <w:rPr>
          <w:rFonts w:ascii="Arial" w:cs="Arial" w:eastAsia="Arial" w:hAnsi="Arial"/>
          <w:sz w:val="22"/>
          <w:szCs w:val="22"/>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Pr>
          <w:p>
            <w:pPr>
              <w:spacing w:after="0"/>
              <w:rPr>
                <w:sz w:val="21"/>
                <w:szCs w:val="21"/>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left w:val="single" w:sz="8" w:color="auto"/>
            </w:tcBorders>
          </w:tcPr>
          <w:p>
            <w:pPr>
              <w:spacing w:after="0"/>
              <w:rPr>
                <w:sz w:val="21"/>
                <w:szCs w:val="21"/>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13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left w:val="single" w:sz="8" w:color="auto"/>
            </w:tcBorders>
          </w:tcPr>
          <w:p>
            <w:pPr>
              <w:spacing w:after="0"/>
              <w:rPr>
                <w:sz w:val="16"/>
                <w:szCs w:val="16"/>
                <w:color w:val="auto"/>
              </w:rPr>
            </w:pPr>
          </w:p>
        </w:tc>
        <w:tc>
          <w:tcPr>
            <w:tcW w:w="136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880" w:type="dxa"/>
            <w:vAlign w:val="bottom"/>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Pr>
          <w:p>
            <w:pPr>
              <w:jc w:val="right"/>
              <w:spacing w:after="0"/>
              <w:rPr>
                <w:sz w:val="20"/>
                <w:szCs w:val="20"/>
                <w:color w:val="auto"/>
              </w:rPr>
            </w:pPr>
            <w:r>
              <w:rPr>
                <w:rFonts w:ascii="Arial" w:cs="Arial" w:eastAsia="Arial" w:hAnsi="Arial"/>
                <w:sz w:val="14"/>
                <w:szCs w:val="14"/>
                <w:color w:val="auto"/>
              </w:rPr>
              <w:t>$5,124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$7,063</w:t>
            </w:r>
          </w:p>
        </w:tc>
        <w:tc>
          <w:tcPr>
            <w:tcW w:w="22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$12,537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Capital expenditures</w:t>
            </w:r>
          </w:p>
        </w:tc>
        <w:tc>
          <w:tcPr>
            <w:tcW w:w="960" w:type="dxa"/>
            <w:vAlign w:val="bottom"/>
          </w:tcPr>
          <w:p>
            <w:pPr>
              <w:jc w:val="right"/>
              <w:spacing w:after="0"/>
              <w:rPr>
                <w:sz w:val="20"/>
                <w:szCs w:val="20"/>
                <w:color w:val="auto"/>
              </w:rPr>
            </w:pPr>
            <w:r>
              <w:rPr>
                <w:rFonts w:ascii="Arial" w:cs="Arial" w:eastAsia="Arial" w:hAnsi="Arial"/>
                <w:sz w:val="14"/>
                <w:szCs w:val="14"/>
                <w:color w:val="auto"/>
              </w:rPr>
              <w:t>(2,327)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(2,250)</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80"/>
              <w:spacing w:after="0"/>
              <w:rPr>
                <w:sz w:val="20"/>
                <w:szCs w:val="20"/>
                <w:color w:val="auto"/>
              </w:rPr>
            </w:pPr>
            <w:r>
              <w:rPr>
                <w:rFonts w:ascii="Arial" w:cs="Arial" w:eastAsia="Arial" w:hAnsi="Arial"/>
                <w:sz w:val="14"/>
                <w:szCs w:val="14"/>
                <w:color w:val="auto"/>
              </w:rPr>
              <w:t>Cash paid for capitalized software and other intangible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w:t>
            </w:r>
          </w:p>
        </w:tc>
        <w:tc>
          <w:tcPr>
            <w:tcW w:w="2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80"/>
              <w:spacing w:after="0"/>
              <w:rPr>
                <w:sz w:val="20"/>
                <w:szCs w:val="20"/>
                <w:color w:val="auto"/>
              </w:rPr>
            </w:pPr>
            <w:r>
              <w:rPr>
                <w:rFonts w:ascii="Arial" w:cs="Arial" w:eastAsia="Arial" w:hAnsi="Arial"/>
                <w:sz w:val="14"/>
                <w:szCs w:val="14"/>
                <w:b w:val="1"/>
                <w:bCs w:val="1"/>
                <w:color w:val="auto"/>
              </w:rPr>
              <w:t>Total free cash flow</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$4,302</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80"/>
              <w:spacing w:after="0"/>
              <w:rPr>
                <w:sz w:val="20"/>
                <w:szCs w:val="20"/>
                <w:color w:val="auto"/>
              </w:rPr>
            </w:pPr>
            <w:r>
              <w:rPr>
                <w:rFonts w:ascii="Arial" w:cs="Arial" w:eastAsia="Arial" w:hAnsi="Arial"/>
                <w:sz w:val="22"/>
                <w:szCs w:val="22"/>
                <w:b w:val="1"/>
                <w:bCs w:val="1"/>
                <w:color w:val="828282"/>
              </w:rPr>
              <w:t>Alternate Presentation of Free Cash Flow</w:t>
            </w:r>
            <w:r>
              <w:rPr>
                <w:rFonts w:ascii="Arial" w:cs="Arial" w:eastAsia="Arial" w:hAnsi="Arial"/>
                <w:sz w:val="10"/>
                <w:szCs w:val="10"/>
                <w:b w:val="1"/>
                <w:bCs w:val="1"/>
                <w:color w:val="828282"/>
              </w:rPr>
              <w:t>1</w:t>
            </w:r>
            <w:r>
              <w:rPr>
                <w:rFonts w:ascii="Arial" w:cs="Arial" w:eastAsia="Arial" w:hAnsi="Arial"/>
                <w:sz w:val="22"/>
                <w:szCs w:val="22"/>
                <w:b w:val="1"/>
                <w:bCs w:val="1"/>
                <w:color w:val="828282"/>
              </w:rPr>
              <w:t xml:space="preserve"> (Unaudited)</w:t>
            </w: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8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880" w:type="dxa"/>
            <w:vAlign w:val="bottom"/>
            <w:tcBorders>
              <w:bottom w:val="single" w:sz="8" w:color="004EA8"/>
            </w:tcBorders>
          </w:tcPr>
          <w:p>
            <w:pPr>
              <w:spacing w:after="0"/>
              <w:rPr>
                <w:sz w:val="3"/>
                <w:szCs w:val="3"/>
                <w:color w:val="auto"/>
              </w:rPr>
            </w:pPr>
          </w:p>
        </w:tc>
        <w:tc>
          <w:tcPr>
            <w:tcW w:w="2400" w:type="dxa"/>
            <w:vAlign w:val="bottom"/>
            <w:tcBorders>
              <w:bottom w:val="single" w:sz="8" w:color="004EA8"/>
            </w:tcBorders>
            <w:gridSpan w:val="6"/>
          </w:tcPr>
          <w:p>
            <w:pPr>
              <w:spacing w:after="0"/>
              <w:rPr>
                <w:sz w:val="3"/>
                <w:szCs w:val="3"/>
                <w:color w:val="auto"/>
              </w:rPr>
            </w:pPr>
          </w:p>
        </w:tc>
        <w:tc>
          <w:tcPr>
            <w:tcW w:w="2020" w:type="dxa"/>
            <w:vAlign w:val="bottom"/>
            <w:tcBorders>
              <w:bottom w:val="single" w:sz="8" w:color="004EA8"/>
            </w:tcBorders>
            <w:gridSpan w:val="4"/>
          </w:tcPr>
          <w:p>
            <w:pPr>
              <w:spacing w:after="0"/>
              <w:rPr>
                <w:sz w:val="3"/>
                <w:szCs w:val="3"/>
                <w:color w:val="auto"/>
              </w:rPr>
            </w:pPr>
          </w:p>
        </w:tc>
        <w:tc>
          <w:tcPr>
            <w:tcW w:w="120" w:type="dxa"/>
            <w:vAlign w:val="bottom"/>
            <w:tcBorders>
              <w:bottom w:val="single" w:sz="8" w:color="004EA8"/>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21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20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880" w:type="dxa"/>
            <w:vAlign w:val="bottom"/>
          </w:tcPr>
          <w:p>
            <w:pPr>
              <w:spacing w:after="0"/>
              <w:rPr>
                <w:sz w:val="15"/>
                <w:szCs w:val="15"/>
                <w:color w:val="auto"/>
              </w:rPr>
            </w:pPr>
          </w:p>
        </w:tc>
        <w:tc>
          <w:tcPr>
            <w:tcW w:w="2180" w:type="dxa"/>
            <w:vAlign w:val="bottom"/>
            <w:gridSpan w:val="5"/>
            <w:vMerge w:val="continue"/>
          </w:tcPr>
          <w:p>
            <w:pPr>
              <w:spacing w:after="0"/>
              <w:rPr>
                <w:sz w:val="15"/>
                <w:szCs w:val="15"/>
                <w:color w:val="auto"/>
              </w:rPr>
            </w:pPr>
          </w:p>
        </w:tc>
        <w:tc>
          <w:tcPr>
            <w:tcW w:w="220" w:type="dxa"/>
            <w:vAlign w:val="bottom"/>
            <w:tcBorders>
              <w:left w:val="single" w:sz="8" w:color="auto"/>
            </w:tcBorders>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13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left w:val="single" w:sz="8" w:color="auto"/>
            </w:tcBorders>
          </w:tcPr>
          <w:p>
            <w:pPr>
              <w:spacing w:after="0"/>
              <w:rPr>
                <w:sz w:val="16"/>
                <w:szCs w:val="16"/>
                <w:color w:val="auto"/>
              </w:rPr>
            </w:pPr>
          </w:p>
        </w:tc>
        <w:tc>
          <w:tcPr>
            <w:tcW w:w="136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880" w:type="dxa"/>
            <w:vAlign w:val="bottom"/>
          </w:tcPr>
          <w:p>
            <w:pPr>
              <w:ind w:left="80"/>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tcPr>
          <w:p>
            <w:pPr>
              <w:jc w:val="right"/>
              <w:spacing w:after="0"/>
              <w:rPr>
                <w:sz w:val="20"/>
                <w:szCs w:val="20"/>
                <w:color w:val="auto"/>
              </w:rPr>
            </w:pPr>
            <w:r>
              <w:rPr>
                <w:rFonts w:ascii="Arial" w:cs="Arial" w:eastAsia="Arial" w:hAnsi="Arial"/>
                <w:sz w:val="14"/>
                <w:szCs w:val="14"/>
                <w:color w:val="auto"/>
              </w:rPr>
              <w:t>$7,075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$7,417</w:t>
            </w:r>
          </w:p>
        </w:tc>
        <w:tc>
          <w:tcPr>
            <w:tcW w:w="220" w:type="dxa"/>
            <w:vAlign w:val="bottom"/>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$14,661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Capital expenditures</w:t>
            </w:r>
          </w:p>
        </w:tc>
        <w:tc>
          <w:tcPr>
            <w:tcW w:w="960" w:type="dxa"/>
            <w:vAlign w:val="bottom"/>
          </w:tcPr>
          <w:p>
            <w:pPr>
              <w:jc w:val="right"/>
              <w:spacing w:after="0"/>
              <w:rPr>
                <w:sz w:val="20"/>
                <w:szCs w:val="20"/>
                <w:color w:val="auto"/>
              </w:rPr>
            </w:pPr>
            <w:r>
              <w:rPr>
                <w:rFonts w:ascii="Arial" w:cs="Arial" w:eastAsia="Arial" w:hAnsi="Arial"/>
                <w:sz w:val="14"/>
                <w:szCs w:val="14"/>
                <w:color w:val="auto"/>
              </w:rPr>
              <w:t>(2,327)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(2,250)</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Cash paid for capitalized software and other intangible assets</w:t>
            </w:r>
          </w:p>
        </w:tc>
        <w:tc>
          <w:tcPr>
            <w:tcW w:w="96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Cash interest expense</w:t>
            </w:r>
          </w:p>
        </w:tc>
        <w:tc>
          <w:tcPr>
            <w:tcW w:w="96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Cash taxes</w:t>
            </w:r>
          </w:p>
        </w:tc>
        <w:tc>
          <w:tcPr>
            <w:tcW w:w="960" w:type="dxa"/>
            <w:vAlign w:val="bottom"/>
          </w:tcPr>
          <w:p>
            <w:pPr>
              <w:jc w:val="right"/>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(461)</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313</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0"/>
              <w:spacing w:after="0"/>
              <w:rPr>
                <w:sz w:val="20"/>
                <w:szCs w:val="20"/>
                <w:color w:val="auto"/>
              </w:rPr>
            </w:pPr>
            <w:r>
              <w:rPr>
                <w:rFonts w:ascii="Arial" w:cs="Arial" w:eastAsia="Arial" w:hAnsi="Arial"/>
                <w:sz w:val="14"/>
                <w:szCs w:val="14"/>
                <w:color w:val="auto"/>
              </w:rPr>
              <w:t>Noncash share-based compensation</w:t>
            </w:r>
          </w:p>
        </w:tc>
        <w:tc>
          <w:tcPr>
            <w:tcW w:w="96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8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2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80"/>
              <w:spacing w:after="0"/>
              <w:rPr>
                <w:sz w:val="20"/>
                <w:szCs w:val="20"/>
                <w:color w:val="auto"/>
              </w:rPr>
            </w:pPr>
            <w:r>
              <w:rPr>
                <w:rFonts w:ascii="Arial" w:cs="Arial" w:eastAsia="Arial" w:hAnsi="Arial"/>
                <w:sz w:val="14"/>
                <w:szCs w:val="14"/>
                <w:b w:val="1"/>
                <w:bCs w:val="1"/>
                <w:color w:val="auto"/>
              </w:rPr>
              <w:t>Total free cash flow</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$4,302</w:t>
            </w:r>
          </w:p>
        </w:tc>
        <w:tc>
          <w:tcPr>
            <w:tcW w:w="220" w:type="dxa"/>
            <w:vAlign w:val="bottom"/>
          </w:tcPr>
          <w:p>
            <w:pPr>
              <w:spacing w:after="0"/>
              <w:rPr>
                <w:sz w:val="18"/>
                <w:szCs w:val="18"/>
                <w:color w:val="auto"/>
              </w:rPr>
            </w:pPr>
          </w:p>
        </w:tc>
        <w:tc>
          <w:tcPr>
            <w:tcW w:w="220" w:type="dxa"/>
            <w:vAlign w:val="bottom"/>
            <w:tcBorders>
              <w:left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0" w:right="239" w:bottom="0" w:gutter="0" w:footer="0" w:header="0"/>
          <w:type w:val="continuous"/>
        </w:sectPr>
      </w:pPr>
    </w:p>
    <w:bookmarkStart w:id="10" w:name="page11"/>
    <w:bookmarkEnd w:id="10"/>
    <w:p>
      <w:pPr>
        <w:jc w:val="both"/>
        <w:ind w:left="360" w:hanging="287"/>
        <w:spacing w:after="0" w:line="244" w:lineRule="auto"/>
        <w:tabs>
          <w:tab w:leader="none" w:pos="385" w:val="left"/>
        </w:tabs>
        <w:numPr>
          <w:ilvl w:val="0"/>
          <w:numId w:val="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4522470</wp:posOffset>
            </wp:positionH>
            <wp:positionV relativeFrom="page">
              <wp:posOffset>88900</wp:posOffset>
            </wp:positionV>
            <wp:extent cx="2804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04160" cy="17145"/>
                    </a:xfrm>
                    <a:prstGeom prst="rect">
                      <a:avLst/>
                    </a:prstGeom>
                    <a:noFill/>
                  </pic:spPr>
                </pic:pic>
              </a:graphicData>
            </a:graphic>
          </wp:anchor>
        </w:drawing>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Minor differences may exist due to rounding.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-145415</wp:posOffset>
            </wp:positionV>
            <wp:extent cx="108902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828282"/>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5160" w:type="dxa"/>
            <w:vAlign w:val="bottom"/>
          </w:tcPr>
          <w:p>
            <w:pPr>
              <w:spacing w:after="0"/>
              <w:rPr>
                <w:sz w:val="24"/>
                <w:szCs w:val="24"/>
                <w:color w:val="auto"/>
              </w:rPr>
            </w:pPr>
          </w:p>
        </w:tc>
        <w:tc>
          <w:tcPr>
            <w:tcW w:w="314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Growth%</w:t>
            </w: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w:t>
            </w:r>
          </w:p>
        </w:tc>
        <w:tc>
          <w:tcPr>
            <w:tcW w:w="100" w:type="dxa"/>
            <w:vAlign w:val="bottom"/>
          </w:tcPr>
          <w:p>
            <w:pPr>
              <w:spacing w:after="0"/>
              <w:rPr>
                <w:sz w:val="22"/>
                <w:szCs w:val="22"/>
                <w:color w:val="auto"/>
              </w:rPr>
            </w:pPr>
          </w:p>
        </w:tc>
      </w:tr>
      <w:tr>
        <w:trPr>
          <w:trHeight w:val="318"/>
        </w:trPr>
        <w:tc>
          <w:tcPr>
            <w:tcW w:w="516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$2,696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$2,916</w:t>
            </w: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8.2%</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$5,336</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$6,110</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14.5%</w:t>
            </w:r>
          </w:p>
        </w:tc>
      </w:tr>
      <w:tr>
        <w:trPr>
          <w:trHeight w:val="351"/>
        </w:trPr>
        <w:tc>
          <w:tcPr>
            <w:tcW w:w="5160" w:type="dxa"/>
            <w:vAlign w:val="bottom"/>
          </w:tcPr>
          <w:p>
            <w:pPr>
              <w:spacing w:after="0"/>
              <w:rPr>
                <w:sz w:val="20"/>
                <w:szCs w:val="20"/>
                <w:color w:val="auto"/>
              </w:rPr>
            </w:pPr>
            <w:r>
              <w:rPr>
                <w:rFonts w:ascii="Arial" w:cs="Arial" w:eastAsia="Arial" w:hAnsi="Arial"/>
                <w:sz w:val="16"/>
                <w:szCs w:val="16"/>
                <w:color w:val="auto"/>
              </w:rPr>
              <w:t>2018 Olympics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(378)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1"/>
        </w:trPr>
        <w:tc>
          <w:tcPr>
            <w:tcW w:w="5160" w:type="dxa"/>
            <w:vAlign w:val="bottom"/>
          </w:tcPr>
          <w:p>
            <w:pPr>
              <w:spacing w:after="0"/>
              <w:rPr>
                <w:sz w:val="20"/>
                <w:szCs w:val="20"/>
                <w:color w:val="auto"/>
              </w:rPr>
            </w:pPr>
            <w:r>
              <w:rPr>
                <w:rFonts w:ascii="Arial" w:cs="Arial" w:eastAsia="Arial" w:hAnsi="Arial"/>
                <w:sz w:val="16"/>
                <w:szCs w:val="16"/>
                <w:color w:val="auto"/>
              </w:rPr>
              <w:t>Revenue excluding 2018 Olympics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1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$2,916</w:t>
            </w:r>
          </w:p>
        </w:tc>
        <w:tc>
          <w:tcPr>
            <w:tcW w:w="1240" w:type="dxa"/>
            <w:vAlign w:val="bottom"/>
            <w:tcBorders>
              <w:right w:val="single" w:sz="8" w:color="auto"/>
            </w:tcBorders>
            <w:gridSpan w:val="3"/>
          </w:tcPr>
          <w:p>
            <w:pPr>
              <w:ind w:left="620"/>
              <w:spacing w:after="0"/>
              <w:rPr>
                <w:sz w:val="20"/>
                <w:szCs w:val="20"/>
                <w:color w:val="auto"/>
              </w:rPr>
            </w:pPr>
            <w:r>
              <w:rPr>
                <w:rFonts w:ascii="Arial" w:cs="Arial" w:eastAsia="Arial" w:hAnsi="Arial"/>
                <w:sz w:val="16"/>
                <w:szCs w:val="16"/>
                <w:color w:val="auto"/>
              </w:rPr>
              <w:t>8.2 %</w:t>
            </w:r>
          </w:p>
        </w:tc>
        <w:tc>
          <w:tcPr>
            <w:tcW w:w="14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$5,336</w:t>
            </w:r>
          </w:p>
        </w:tc>
        <w:tc>
          <w:tcPr>
            <w:tcW w:w="16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$5,732</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r>
      <w:tr>
        <w:trPr>
          <w:trHeight w:val="20"/>
        </w:trPr>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0"/>
        </w:trPr>
        <w:tc>
          <w:tcPr>
            <w:tcW w:w="11420" w:type="dxa"/>
            <w:vAlign w:val="bottom"/>
            <w:tcBorders>
              <w:bottom w:val="single" w:sz="8" w:color="004EA8"/>
            </w:tcBorders>
            <w:gridSpan w:val="14"/>
          </w:tcPr>
          <w:p>
            <w:pPr>
              <w:ind w:left="40"/>
              <w:spacing w:after="0"/>
              <w:rPr>
                <w:sz w:val="20"/>
                <w:szCs w:val="20"/>
                <w:color w:val="auto"/>
              </w:rPr>
            </w:pPr>
            <w:r>
              <w:rPr>
                <w:rFonts w:ascii="Arial" w:cs="Arial" w:eastAsia="Arial" w:hAnsi="Arial"/>
                <w:sz w:val="22"/>
                <w:szCs w:val="22"/>
                <w:b w:val="1"/>
                <w:bCs w:val="1"/>
                <w:color w:val="828282"/>
              </w:rPr>
              <w:t>Reconciliation of Broadcast Television Revenue Excluding 2018 Olympics and 2018 Super Bowl (Unaudited)</w:t>
            </w:r>
          </w:p>
        </w:tc>
      </w:tr>
      <w:tr>
        <w:trPr>
          <w:trHeight w:val="216"/>
        </w:trPr>
        <w:tc>
          <w:tcPr>
            <w:tcW w:w="5160" w:type="dxa"/>
            <w:vAlign w:val="bottom"/>
          </w:tcPr>
          <w:p>
            <w:pPr>
              <w:spacing w:after="0"/>
              <w:rPr>
                <w:sz w:val="18"/>
                <w:szCs w:val="18"/>
                <w:color w:val="auto"/>
              </w:rPr>
            </w:pPr>
          </w:p>
        </w:tc>
        <w:tc>
          <w:tcPr>
            <w:tcW w:w="3280" w:type="dxa"/>
            <w:vAlign w:val="bottom"/>
            <w:gridSpan w:val="7"/>
          </w:tcPr>
          <w:p>
            <w:pPr>
              <w:spacing w:after="0"/>
              <w:rPr>
                <w:sz w:val="18"/>
                <w:szCs w:val="18"/>
                <w:color w:val="auto"/>
              </w:rPr>
            </w:pPr>
          </w:p>
        </w:tc>
        <w:tc>
          <w:tcPr>
            <w:tcW w:w="2980" w:type="dxa"/>
            <w:vAlign w:val="bottom"/>
            <w:gridSpan w:val="6"/>
          </w:tcPr>
          <w:p>
            <w:pPr>
              <w:spacing w:after="0"/>
              <w:rPr>
                <w:sz w:val="18"/>
                <w:szCs w:val="18"/>
                <w:color w:val="auto"/>
              </w:rPr>
            </w:pPr>
          </w:p>
        </w:tc>
      </w:tr>
      <w:tr>
        <w:trPr>
          <w:trHeight w:val="320"/>
        </w:trPr>
        <w:tc>
          <w:tcPr>
            <w:tcW w:w="5160" w:type="dxa"/>
            <w:vAlign w:val="bottom"/>
          </w:tcPr>
          <w:p>
            <w:pPr>
              <w:spacing w:after="0"/>
              <w:rPr>
                <w:sz w:val="24"/>
                <w:szCs w:val="24"/>
                <w:color w:val="auto"/>
              </w:rPr>
            </w:pPr>
          </w:p>
        </w:tc>
        <w:tc>
          <w:tcPr>
            <w:tcW w:w="314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Growth%</w:t>
            </w: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w:t>
            </w:r>
          </w:p>
        </w:tc>
        <w:tc>
          <w:tcPr>
            <w:tcW w:w="100" w:type="dxa"/>
            <w:vAlign w:val="bottom"/>
          </w:tcPr>
          <w:p>
            <w:pPr>
              <w:spacing w:after="0"/>
              <w:rPr>
                <w:sz w:val="22"/>
                <w:szCs w:val="22"/>
                <w:color w:val="auto"/>
              </w:rPr>
            </w:pPr>
          </w:p>
        </w:tc>
      </w:tr>
      <w:tr>
        <w:trPr>
          <w:trHeight w:val="318"/>
        </w:trPr>
        <w:tc>
          <w:tcPr>
            <w:tcW w:w="516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$2,241</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$2,391</w:t>
            </w: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6.7%</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$5,888</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32.3%</w:t>
            </w:r>
          </w:p>
        </w:tc>
      </w:tr>
      <w:tr>
        <w:trPr>
          <w:trHeight w:val="338"/>
        </w:trPr>
        <w:tc>
          <w:tcPr>
            <w:tcW w:w="5160" w:type="dxa"/>
            <w:vAlign w:val="bottom"/>
          </w:tcPr>
          <w:p>
            <w:pPr>
              <w:spacing w:after="0"/>
              <w:rPr>
                <w:sz w:val="20"/>
                <w:szCs w:val="20"/>
                <w:color w:val="auto"/>
              </w:rPr>
            </w:pPr>
            <w:r>
              <w:rPr>
                <w:rFonts w:ascii="Arial" w:cs="Arial" w:eastAsia="Arial" w:hAnsi="Arial"/>
                <w:sz w:val="16"/>
                <w:szCs w:val="16"/>
                <w:color w:val="auto"/>
              </w:rPr>
              <w:t>2018 Olympics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(770)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6"/>
                <w:szCs w:val="16"/>
                <w:color w:val="auto"/>
              </w:rPr>
              <w:t>2018 Super Bowl</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(423)</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4"/>
        </w:trPr>
        <w:tc>
          <w:tcPr>
            <w:tcW w:w="5160" w:type="dxa"/>
            <w:vAlign w:val="bottom"/>
          </w:tcPr>
          <w:p>
            <w:pPr>
              <w:spacing w:after="0"/>
              <w:rPr>
                <w:sz w:val="20"/>
                <w:szCs w:val="20"/>
                <w:color w:val="auto"/>
              </w:rPr>
            </w:pPr>
            <w:r>
              <w:rPr>
                <w:rFonts w:ascii="Arial" w:cs="Arial" w:eastAsia="Arial" w:hAnsi="Arial"/>
                <w:sz w:val="16"/>
                <w:szCs w:val="16"/>
                <w:color w:val="auto"/>
              </w:rPr>
              <w:t>Revenue excluding 2018 Olympics and 2018 Super Bowl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1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$2,391</w:t>
            </w:r>
          </w:p>
        </w:tc>
        <w:tc>
          <w:tcPr>
            <w:tcW w:w="1240" w:type="dxa"/>
            <w:vAlign w:val="bottom"/>
            <w:tcBorders>
              <w:right w:val="single" w:sz="8" w:color="auto"/>
            </w:tcBorders>
            <w:gridSpan w:val="3"/>
          </w:tcPr>
          <w:p>
            <w:pPr>
              <w:ind w:left="620"/>
              <w:spacing w:after="0"/>
              <w:rPr>
                <w:sz w:val="20"/>
                <w:szCs w:val="20"/>
                <w:color w:val="auto"/>
              </w:rPr>
            </w:pPr>
            <w:r>
              <w:rPr>
                <w:rFonts w:ascii="Arial" w:cs="Arial" w:eastAsia="Arial" w:hAnsi="Arial"/>
                <w:sz w:val="16"/>
                <w:szCs w:val="16"/>
                <w:color w:val="auto"/>
              </w:rPr>
              <w:t>6.7 %</w:t>
            </w:r>
          </w:p>
        </w:tc>
        <w:tc>
          <w:tcPr>
            <w:tcW w:w="14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$4,449</w:t>
            </w:r>
          </w:p>
        </w:tc>
        <w:tc>
          <w:tcPr>
            <w:tcW w:w="16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$4,695</w:t>
            </w: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r>
      <w:tr>
        <w:trPr>
          <w:trHeight w:val="20"/>
        </w:trPr>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Adjusted EPS is a non-GAAP financial measure that presents the earnings generated by our ongoing core operations on a per share basis. We believe Adjusted EPS is helpful to investors in evaluating our ongoing core operations and can assist in making meaningful period-over-period comparisons. Our presentation of Adjusted EPS is our diluted earnings per common share attributable to Comcast Corporation shareholders adjusted to exclude the effects of fair value investments, as well as the impact of certain events, gains, losses or other charges (such as from the sales of investments). For Adjusted EPS, the effects of fair value investments include realized and unrealized gains and losses, net,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8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2019-12-28T20:33:09Z</dcterms:created>
  <dcterms:modified xsi:type="dcterms:W3CDTF">2019-12-28T20:33:09Z</dcterms:modified>
</cp:coreProperties>
</file>