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1900"/>
        <w:spacing w:after="0"/>
        <w:rPr>
          <w:sz w:val="20"/>
          <w:szCs w:val="20"/>
          <w:color w:val="auto"/>
        </w:rPr>
      </w:pPr>
      <w:r>
        <w:rPr>
          <w:rFonts w:ascii="Arial" w:cs="Arial" w:eastAsia="Arial" w:hAnsi="Arial"/>
          <w:sz w:val="18"/>
          <w:szCs w:val="18"/>
          <w:b w:val="1"/>
          <w:bCs w:val="1"/>
          <w:color w:val="auto"/>
        </w:rPr>
        <w:t>As filed with the Securities and Exchange Commission on April 26, 2018</w:t>
      </w:r>
    </w:p>
    <w:p>
      <w:pPr>
        <w:spacing w:after="0" w:line="27"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Registration Statement No. 333-101295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-654685</wp:posOffset>
            </wp:positionH>
            <wp:positionV relativeFrom="paragraph">
              <wp:posOffset>66040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-654685</wp:posOffset>
            </wp:positionH>
            <wp:positionV relativeFrom="paragraph">
              <wp:posOffset>108585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91" w:lineRule="exact"/>
        <w:rPr>
          <w:sz w:val="24"/>
          <w:szCs w:val="24"/>
          <w:color w:val="auto"/>
        </w:rPr>
      </w:pPr>
    </w:p>
    <w:p>
      <w:pPr>
        <w:jc w:val="center"/>
        <w:ind w:right="1040"/>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ind w:right="1040"/>
        <w:spacing w:after="0"/>
        <w:rPr>
          <w:sz w:val="20"/>
          <w:szCs w:val="20"/>
          <w:color w:val="auto"/>
        </w:rPr>
      </w:pPr>
      <w:r>
        <w:rPr>
          <w:rFonts w:ascii="Arial" w:cs="Arial" w:eastAsia="Arial" w:hAnsi="Arial"/>
          <w:sz w:val="32"/>
          <w:szCs w:val="32"/>
          <w:b w:val="1"/>
          <w:bCs w:val="1"/>
          <w:color w:val="auto"/>
        </w:rPr>
        <w:t>SECURITIES AND EXCHANGE COMMISSION</w:t>
      </w:r>
    </w:p>
    <w:p>
      <w:pPr>
        <w:ind w:left="3560"/>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2209165</wp:posOffset>
            </wp:positionH>
            <wp:positionV relativeFrom="paragraph">
              <wp:posOffset>227330</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27" w:lineRule="exact"/>
        <w:rPr>
          <w:sz w:val="24"/>
          <w:szCs w:val="24"/>
          <w:color w:val="auto"/>
        </w:rPr>
      </w:pPr>
    </w:p>
    <w:p>
      <w:pPr>
        <w:jc w:val="center"/>
        <w:ind w:right="1040"/>
        <w:spacing w:after="0"/>
        <w:rPr>
          <w:sz w:val="20"/>
          <w:szCs w:val="20"/>
          <w:color w:val="auto"/>
        </w:rPr>
      </w:pPr>
      <w:r>
        <w:rPr>
          <w:rFonts w:ascii="Arial" w:cs="Arial" w:eastAsia="Arial" w:hAnsi="Arial"/>
          <w:sz w:val="32"/>
          <w:szCs w:val="32"/>
          <w:b w:val="1"/>
          <w:bCs w:val="1"/>
          <w:color w:val="auto"/>
        </w:rPr>
        <w:t>POST-EFFECTIVE</w:t>
      </w:r>
    </w:p>
    <w:p>
      <w:pPr>
        <w:spacing w:after="0" w:line="29" w:lineRule="exact"/>
        <w:rPr>
          <w:sz w:val="24"/>
          <w:szCs w:val="24"/>
          <w:color w:val="auto"/>
        </w:rPr>
      </w:pPr>
    </w:p>
    <w:p>
      <w:pPr>
        <w:jc w:val="center"/>
        <w:ind w:right="1040"/>
        <w:spacing w:after="0"/>
        <w:rPr>
          <w:sz w:val="20"/>
          <w:szCs w:val="20"/>
          <w:color w:val="auto"/>
        </w:rPr>
      </w:pPr>
      <w:r>
        <w:rPr>
          <w:rFonts w:ascii="Arial" w:cs="Arial" w:eastAsia="Arial" w:hAnsi="Arial"/>
          <w:sz w:val="32"/>
          <w:szCs w:val="32"/>
          <w:b w:val="1"/>
          <w:bCs w:val="1"/>
          <w:color w:val="auto"/>
        </w:rPr>
        <w:t>AMENDMENT NO. 4</w:t>
      </w:r>
    </w:p>
    <w:p>
      <w:pPr>
        <w:jc w:val="center"/>
        <w:ind w:right="1040"/>
        <w:spacing w:after="0" w:line="237" w:lineRule="auto"/>
        <w:rPr>
          <w:sz w:val="20"/>
          <w:szCs w:val="20"/>
          <w:color w:val="auto"/>
        </w:rPr>
      </w:pPr>
      <w:r>
        <w:rPr>
          <w:rFonts w:ascii="Arial" w:cs="Arial" w:eastAsia="Arial" w:hAnsi="Arial"/>
          <w:sz w:val="32"/>
          <w:szCs w:val="32"/>
          <w:b w:val="1"/>
          <w:bCs w:val="1"/>
          <w:color w:val="auto"/>
        </w:rPr>
        <w:t>TO</w:t>
      </w:r>
    </w:p>
    <w:p>
      <w:pPr>
        <w:jc w:val="center"/>
        <w:ind w:right="1040"/>
        <w:spacing w:after="0" w:line="238" w:lineRule="auto"/>
        <w:rPr>
          <w:sz w:val="20"/>
          <w:szCs w:val="20"/>
          <w:color w:val="auto"/>
        </w:rPr>
      </w:pPr>
      <w:r>
        <w:rPr>
          <w:rFonts w:ascii="Arial" w:cs="Arial" w:eastAsia="Arial" w:hAnsi="Arial"/>
          <w:sz w:val="32"/>
          <w:szCs w:val="32"/>
          <w:b w:val="1"/>
          <w:bCs w:val="1"/>
          <w:color w:val="auto"/>
        </w:rPr>
        <w:t>FORM S-8</w:t>
      </w:r>
    </w:p>
    <w:p>
      <w:pPr>
        <w:jc w:val="center"/>
        <w:ind w:right="1040"/>
        <w:spacing w:after="0"/>
        <w:rPr>
          <w:sz w:val="20"/>
          <w:szCs w:val="20"/>
          <w:color w:val="auto"/>
        </w:rPr>
      </w:pPr>
      <w:r>
        <w:rPr>
          <w:rFonts w:ascii="Arial" w:cs="Arial" w:eastAsia="Arial" w:hAnsi="Arial"/>
          <w:sz w:val="32"/>
          <w:szCs w:val="32"/>
          <w:b w:val="1"/>
          <w:bCs w:val="1"/>
          <w:color w:val="auto"/>
        </w:rPr>
        <w:t>REGISTRATION STATEMENT</w:t>
      </w:r>
    </w:p>
    <w:p>
      <w:pPr>
        <w:jc w:val="center"/>
        <w:ind w:right="1040"/>
        <w:spacing w:after="0" w:line="230" w:lineRule="auto"/>
        <w:rPr>
          <w:sz w:val="20"/>
          <w:szCs w:val="20"/>
          <w:color w:val="auto"/>
        </w:rPr>
      </w:pPr>
      <w:r>
        <w:rPr>
          <w:rFonts w:ascii="Arial" w:cs="Arial" w:eastAsia="Arial" w:hAnsi="Arial"/>
          <w:sz w:val="22"/>
          <w:szCs w:val="22"/>
          <w:b w:val="1"/>
          <w:bCs w:val="1"/>
          <w:i w:val="1"/>
          <w:iCs w:val="1"/>
          <w:color w:val="auto"/>
        </w:rPr>
        <w:t>UNDER</w:t>
      </w:r>
    </w:p>
    <w:p>
      <w:pPr>
        <w:spacing w:after="0" w:line="1" w:lineRule="exact"/>
        <w:rPr>
          <w:sz w:val="24"/>
          <w:szCs w:val="24"/>
          <w:color w:val="auto"/>
        </w:rPr>
      </w:pPr>
    </w:p>
    <w:p>
      <w:pPr>
        <w:jc w:val="center"/>
        <w:ind w:right="1040"/>
        <w:spacing w:after="0"/>
        <w:rPr>
          <w:sz w:val="20"/>
          <w:szCs w:val="20"/>
          <w:color w:val="auto"/>
        </w:rPr>
      </w:pPr>
      <w:r>
        <w:rPr>
          <w:rFonts w:ascii="Arial" w:cs="Arial" w:eastAsia="Arial" w:hAnsi="Arial"/>
          <w:sz w:val="22"/>
          <w:szCs w:val="22"/>
          <w:b w:val="1"/>
          <w:bCs w:val="1"/>
          <w:i w:val="1"/>
          <w:i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2209165</wp:posOffset>
            </wp:positionH>
            <wp:positionV relativeFrom="paragraph">
              <wp:posOffset>219075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11" w:lineRule="exact"/>
        <w:rPr>
          <w:sz w:val="24"/>
          <w:szCs w:val="24"/>
          <w:color w:val="auto"/>
        </w:rPr>
      </w:pPr>
    </w:p>
    <w:p>
      <w:pPr>
        <w:ind w:left="2660"/>
        <w:spacing w:after="0"/>
        <w:rPr>
          <w:sz w:val="20"/>
          <w:szCs w:val="20"/>
          <w:color w:val="auto"/>
        </w:rPr>
      </w:pPr>
      <w:r>
        <w:rPr>
          <w:rFonts w:ascii="Arial" w:cs="Arial" w:eastAsia="Arial" w:hAnsi="Arial"/>
          <w:sz w:val="43"/>
          <w:szCs w:val="43"/>
          <w:b w:val="1"/>
          <w:bCs w:val="1"/>
          <w:color w:val="auto"/>
        </w:rPr>
        <w:t>Comcast Corporation</w:t>
      </w:r>
    </w:p>
    <w:p>
      <w:pPr>
        <w:spacing w:after="0" w:line="50" w:lineRule="exact"/>
        <w:rPr>
          <w:sz w:val="24"/>
          <w:szCs w:val="24"/>
          <w:color w:val="auto"/>
        </w:rPr>
      </w:pPr>
    </w:p>
    <w:p>
      <w:pPr>
        <w:ind w:left="2680"/>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2209165</wp:posOffset>
            </wp:positionH>
            <wp:positionV relativeFrom="paragraph">
              <wp:posOffset>227965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33" w:lineRule="exact"/>
        <w:rPr>
          <w:sz w:val="24"/>
          <w:szCs w:val="24"/>
          <w:color w:val="auto"/>
        </w:rPr>
      </w:pPr>
    </w:p>
    <w:tbl>
      <w:tblPr>
        <w:tblLayout w:type="fixed"/>
        <w:tblInd w:w="0" w:type="dxa"/>
        <w:tblCellMar>
          <w:top w:w="0" w:type="dxa"/>
          <w:left w:w="0" w:type="dxa"/>
          <w:bottom w:w="0" w:type="dxa"/>
          <w:right w:w="0" w:type="dxa"/>
        </w:tblCellMar>
      </w:tblPr>
      <w:tr>
        <w:trPr>
          <w:trHeight w:val="212"/>
        </w:trPr>
        <w:tc>
          <w:tcPr>
            <w:tcW w:w="5440" w:type="dxa"/>
            <w:vAlign w:val="bottom"/>
          </w:tcPr>
          <w:p>
            <w:pPr>
              <w:jc w:val="center"/>
              <w:ind w:right="1621"/>
              <w:spacing w:after="0"/>
              <w:rPr>
                <w:sz w:val="20"/>
                <w:szCs w:val="20"/>
                <w:color w:val="auto"/>
              </w:rPr>
            </w:pPr>
            <w:r>
              <w:rPr>
                <w:rFonts w:ascii="Arial" w:cs="Arial" w:eastAsia="Arial" w:hAnsi="Arial"/>
                <w:sz w:val="18"/>
                <w:szCs w:val="18"/>
                <w:b w:val="1"/>
                <w:bCs w:val="1"/>
                <w:color w:val="auto"/>
                <w:w w:val="88"/>
              </w:rPr>
              <w:t>Pennsylvania</w:t>
            </w:r>
          </w:p>
        </w:tc>
        <w:tc>
          <w:tcPr>
            <w:tcW w:w="2820" w:type="dxa"/>
            <w:vAlign w:val="bottom"/>
          </w:tcPr>
          <w:p>
            <w:pPr>
              <w:jc w:val="center"/>
              <w:ind w:left="1621"/>
              <w:spacing w:after="0"/>
              <w:rPr>
                <w:sz w:val="20"/>
                <w:szCs w:val="20"/>
                <w:color w:val="auto"/>
              </w:rPr>
            </w:pPr>
            <w:r>
              <w:rPr>
                <w:rFonts w:ascii="Arial" w:cs="Arial" w:eastAsia="Arial" w:hAnsi="Arial"/>
                <w:sz w:val="18"/>
                <w:szCs w:val="18"/>
                <w:b w:val="1"/>
                <w:bCs w:val="1"/>
                <w:color w:val="auto"/>
                <w:w w:val="91"/>
              </w:rPr>
              <w:t>27-0000798</w:t>
            </w:r>
          </w:p>
        </w:tc>
      </w:tr>
      <w:tr>
        <w:trPr>
          <w:trHeight w:val="149"/>
        </w:trPr>
        <w:tc>
          <w:tcPr>
            <w:tcW w:w="5440" w:type="dxa"/>
            <w:vAlign w:val="bottom"/>
          </w:tcPr>
          <w:p>
            <w:pPr>
              <w:jc w:val="center"/>
              <w:ind w:right="1601"/>
              <w:spacing w:after="0" w:line="149" w:lineRule="exact"/>
              <w:rPr>
                <w:sz w:val="20"/>
                <w:szCs w:val="20"/>
                <w:color w:val="auto"/>
              </w:rPr>
            </w:pPr>
            <w:r>
              <w:rPr>
                <w:rFonts w:ascii="Arial" w:cs="Arial" w:eastAsia="Arial" w:hAnsi="Arial"/>
                <w:sz w:val="14"/>
                <w:szCs w:val="14"/>
                <w:b w:val="1"/>
                <w:bCs w:val="1"/>
                <w:color w:val="auto"/>
                <w:w w:val="93"/>
              </w:rPr>
              <w:t>(State or other jurisdiction</w:t>
            </w:r>
          </w:p>
        </w:tc>
        <w:tc>
          <w:tcPr>
            <w:tcW w:w="2820" w:type="dxa"/>
            <w:vAlign w:val="bottom"/>
          </w:tcPr>
          <w:p>
            <w:pPr>
              <w:jc w:val="center"/>
              <w:ind w:left="1621"/>
              <w:spacing w:after="0" w:line="149" w:lineRule="exact"/>
              <w:rPr>
                <w:sz w:val="20"/>
                <w:szCs w:val="20"/>
                <w:color w:val="auto"/>
              </w:rPr>
            </w:pPr>
            <w:r>
              <w:rPr>
                <w:rFonts w:ascii="Arial" w:cs="Arial" w:eastAsia="Arial" w:hAnsi="Arial"/>
                <w:sz w:val="14"/>
                <w:szCs w:val="14"/>
                <w:b w:val="1"/>
                <w:bCs w:val="1"/>
                <w:color w:val="auto"/>
                <w:w w:val="96"/>
              </w:rPr>
              <w:t>(I.R.S. Employer</w:t>
            </w:r>
          </w:p>
        </w:tc>
      </w:tr>
      <w:tr>
        <w:trPr>
          <w:trHeight w:val="186"/>
        </w:trPr>
        <w:tc>
          <w:tcPr>
            <w:tcW w:w="5440" w:type="dxa"/>
            <w:vAlign w:val="bottom"/>
          </w:tcPr>
          <w:p>
            <w:pPr>
              <w:jc w:val="center"/>
              <w:ind w:right="1601"/>
              <w:spacing w:after="0"/>
              <w:rPr>
                <w:sz w:val="20"/>
                <w:szCs w:val="20"/>
                <w:color w:val="auto"/>
              </w:rPr>
            </w:pPr>
            <w:r>
              <w:rPr>
                <w:rFonts w:ascii="Arial" w:cs="Arial" w:eastAsia="Arial" w:hAnsi="Arial"/>
                <w:sz w:val="14"/>
                <w:szCs w:val="14"/>
                <w:b w:val="1"/>
                <w:bCs w:val="1"/>
                <w:color w:val="auto"/>
                <w:w w:val="93"/>
              </w:rPr>
              <w:t>of incorporation or organization)</w:t>
            </w:r>
          </w:p>
        </w:tc>
        <w:tc>
          <w:tcPr>
            <w:tcW w:w="2820" w:type="dxa"/>
            <w:vAlign w:val="bottom"/>
          </w:tcPr>
          <w:p>
            <w:pPr>
              <w:jc w:val="center"/>
              <w:ind w:left="1621"/>
              <w:spacing w:after="0"/>
              <w:rPr>
                <w:sz w:val="20"/>
                <w:szCs w:val="20"/>
                <w:color w:val="auto"/>
              </w:rPr>
            </w:pPr>
            <w:r>
              <w:rPr>
                <w:rFonts w:ascii="Arial" w:cs="Arial" w:eastAsia="Arial" w:hAnsi="Arial"/>
                <w:sz w:val="14"/>
                <w:szCs w:val="14"/>
                <w:b w:val="1"/>
                <w:bCs w:val="1"/>
                <w:color w:val="auto"/>
                <w:w w:val="94"/>
              </w:rPr>
              <w:t>Identification No.)</w:t>
            </w:r>
          </w:p>
        </w:tc>
      </w:tr>
      <w:tr>
        <w:trPr>
          <w:trHeight w:val="408"/>
        </w:trPr>
        <w:tc>
          <w:tcPr>
            <w:tcW w:w="5440" w:type="dxa"/>
            <w:vAlign w:val="bottom"/>
          </w:tcPr>
          <w:p>
            <w:pPr>
              <w:jc w:val="center"/>
              <w:ind w:right="1601"/>
              <w:spacing w:after="0"/>
              <w:rPr>
                <w:sz w:val="20"/>
                <w:szCs w:val="20"/>
                <w:color w:val="auto"/>
              </w:rPr>
            </w:pPr>
            <w:r>
              <w:rPr>
                <w:rFonts w:ascii="Arial" w:cs="Arial" w:eastAsia="Arial" w:hAnsi="Arial"/>
                <w:sz w:val="18"/>
                <w:szCs w:val="18"/>
                <w:b w:val="1"/>
                <w:bCs w:val="1"/>
                <w:color w:val="auto"/>
                <w:w w:val="89"/>
              </w:rPr>
              <w:t>One Comcast Center, Philadelphia, Pennsylvania</w:t>
            </w:r>
          </w:p>
        </w:tc>
        <w:tc>
          <w:tcPr>
            <w:tcW w:w="2820" w:type="dxa"/>
            <w:vAlign w:val="bottom"/>
          </w:tcPr>
          <w:p>
            <w:pPr>
              <w:jc w:val="center"/>
              <w:ind w:left="1621"/>
              <w:spacing w:after="0"/>
              <w:rPr>
                <w:sz w:val="20"/>
                <w:szCs w:val="20"/>
                <w:color w:val="auto"/>
              </w:rPr>
            </w:pPr>
            <w:r>
              <w:rPr>
                <w:rFonts w:ascii="Arial" w:cs="Arial" w:eastAsia="Arial" w:hAnsi="Arial"/>
                <w:sz w:val="18"/>
                <w:szCs w:val="18"/>
                <w:b w:val="1"/>
                <w:bCs w:val="1"/>
                <w:color w:val="auto"/>
                <w:w w:val="91"/>
              </w:rPr>
              <w:t>19103-2838</w:t>
            </w:r>
          </w:p>
        </w:tc>
      </w:tr>
      <w:tr>
        <w:trPr>
          <w:trHeight w:val="186"/>
        </w:trPr>
        <w:tc>
          <w:tcPr>
            <w:tcW w:w="5440" w:type="dxa"/>
            <w:vAlign w:val="bottom"/>
          </w:tcPr>
          <w:p>
            <w:pPr>
              <w:jc w:val="center"/>
              <w:ind w:right="1621"/>
              <w:spacing w:after="0"/>
              <w:rPr>
                <w:sz w:val="20"/>
                <w:szCs w:val="20"/>
                <w:color w:val="auto"/>
              </w:rPr>
            </w:pPr>
            <w:r>
              <w:rPr>
                <w:rFonts w:ascii="Arial" w:cs="Arial" w:eastAsia="Arial" w:hAnsi="Arial"/>
                <w:sz w:val="14"/>
                <w:szCs w:val="14"/>
                <w:b w:val="1"/>
                <w:bCs w:val="1"/>
                <w:color w:val="auto"/>
                <w:w w:val="92"/>
              </w:rPr>
              <w:t>(Address of Principal Executive Offices)</w:t>
            </w:r>
          </w:p>
        </w:tc>
        <w:tc>
          <w:tcPr>
            <w:tcW w:w="2820" w:type="dxa"/>
            <w:vAlign w:val="bottom"/>
          </w:tcPr>
          <w:p>
            <w:pPr>
              <w:jc w:val="center"/>
              <w:ind w:left="1621"/>
              <w:spacing w:after="0"/>
              <w:rPr>
                <w:sz w:val="20"/>
                <w:szCs w:val="20"/>
                <w:color w:val="auto"/>
              </w:rPr>
            </w:pPr>
            <w:r>
              <w:rPr>
                <w:rFonts w:ascii="Arial" w:cs="Arial" w:eastAsia="Arial" w:hAnsi="Arial"/>
                <w:sz w:val="14"/>
                <w:szCs w:val="14"/>
                <w:b w:val="1"/>
                <w:bCs w:val="1"/>
                <w:color w:val="auto"/>
                <w:w w:val="98"/>
              </w:rPr>
              <w:t>(Zip Code)</w:t>
            </w:r>
          </w:p>
        </w:tc>
      </w:tr>
    </w:tbl>
    <w:p>
      <w:pPr>
        <w:spacing w:after="0" w:line="183" w:lineRule="exact"/>
        <w:rPr>
          <w:sz w:val="24"/>
          <w:szCs w:val="24"/>
          <w:color w:val="auto"/>
        </w:rPr>
      </w:pPr>
    </w:p>
    <w:p>
      <w:pPr>
        <w:jc w:val="center"/>
        <w:ind w:right="1020"/>
        <w:spacing w:after="0" w:line="253" w:lineRule="auto"/>
        <w:rPr>
          <w:sz w:val="20"/>
          <w:szCs w:val="20"/>
          <w:color w:val="auto"/>
        </w:rPr>
      </w:pPr>
      <w:r>
        <w:rPr>
          <w:rFonts w:ascii="Arial" w:cs="Arial" w:eastAsia="Arial" w:hAnsi="Arial"/>
          <w:sz w:val="18"/>
          <w:szCs w:val="18"/>
          <w:b w:val="1"/>
          <w:bCs w:val="1"/>
          <w:color w:val="auto"/>
        </w:rPr>
        <w:t>AT&amp;T BROADBAND CORP. ADJUSTMENT PLAN AT&amp;T BROADBAND DEFERRED COMPENSATION PLAN AT&amp;T BROADBAND LONG TERM SAVINGS PLAN COMCAST CORPORATION 2002 DEFERRED COMPENSATION PLAN COMCAST CORPORATION 2002 DEFERRED STOCK OPTION PLAN COMCAST CORPORATION 2002 EMPLOYEE STOCK PURCHASE PLAN COMCAST CORPORATION RETIREMENT-INVESTMENT PLAN COMCAST CORPORATION 2002 RESTRICTED STOCK PLAN COMCAST CORPORATION 2002 STOCK OPTION PLAN COMCAST CORPORATION 1987 STOCK OPTION PLAN COMCAST-SPECTACOR 401(k) PLAN</w:t>
      </w:r>
    </w:p>
    <w:p>
      <w:pPr>
        <w:spacing w:after="0" w:line="207" w:lineRule="exact"/>
        <w:rPr>
          <w:sz w:val="24"/>
          <w:szCs w:val="24"/>
          <w:color w:val="auto"/>
        </w:rPr>
      </w:pPr>
    </w:p>
    <w:p>
      <w:pPr>
        <w:ind w:left="4020"/>
        <w:spacing w:after="0"/>
        <w:rPr>
          <w:sz w:val="20"/>
          <w:szCs w:val="20"/>
          <w:color w:val="auto"/>
        </w:rPr>
      </w:pPr>
      <w:r>
        <w:rPr>
          <w:rFonts w:ascii="Arial" w:cs="Arial" w:eastAsia="Arial" w:hAnsi="Arial"/>
          <w:sz w:val="14"/>
          <w:szCs w:val="14"/>
          <w:b w:val="1"/>
          <w:bCs w:val="1"/>
          <w:color w:val="auto"/>
        </w:rPr>
        <w:t>(Full title of the plan)</w:t>
      </w:r>
    </w:p>
    <w:p>
      <w:pPr>
        <w:sectPr>
          <w:pgSz w:w="11900" w:h="16838" w:orient="portrait"/>
          <w:cols w:equalWidth="0" w:num="1">
            <w:col w:w="10380"/>
          </w:cols>
          <w:pgMar w:left="1280" w:top="229" w:right="239" w:bottom="1440" w:gutter="0" w:footer="0" w:header="0"/>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Arthur R. Block, Esq.</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Executive Vice President, General Counsel and Secretary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Comcast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One Comcast Center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Philadelphia, Pennsylvania 19103-2838</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(215) 286-1700</w:t>
      </w:r>
    </w:p>
    <w:p>
      <w:pPr>
        <w:jc w:val="center"/>
        <w:spacing w:after="0" w:line="225" w:lineRule="auto"/>
        <w:rPr>
          <w:sz w:val="20"/>
          <w:szCs w:val="20"/>
          <w:color w:val="auto"/>
        </w:rPr>
      </w:pPr>
      <w:r>
        <w:rPr>
          <w:rFonts w:ascii="Arial" w:cs="Arial" w:eastAsia="Arial" w:hAnsi="Arial"/>
          <w:sz w:val="14"/>
          <w:szCs w:val="14"/>
          <w:b w:val="1"/>
          <w:bCs w:val="1"/>
          <w:color w:val="auto"/>
        </w:rPr>
        <w:t>(Name and address of agent for service)</w:t>
      </w:r>
    </w:p>
    <w:p>
      <w:pPr>
        <w:jc w:val="center"/>
        <w:spacing w:after="0"/>
        <w:rPr>
          <w:sz w:val="20"/>
          <w:szCs w:val="20"/>
          <w:color w:val="auto"/>
        </w:rPr>
      </w:pPr>
      <w:r>
        <w:rPr>
          <w:rFonts w:ascii="Arial" w:cs="Arial" w:eastAsia="Arial" w:hAnsi="Arial"/>
          <w:sz w:val="14"/>
          <w:szCs w:val="14"/>
          <w:b w:val="1"/>
          <w:bCs w:val="1"/>
          <w:color w:val="auto"/>
        </w:rPr>
        <w:t>(Telephone number, including area code, of agent for service)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219075</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Copies of Communications to:</w:t>
      </w:r>
    </w:p>
    <w:p>
      <w:pPr>
        <w:spacing w:after="0" w:line="1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Andrew J. Rudolph, Esquire</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Blank Rome LLP</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One Logan Square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Philadelphia, Pennsylvania 19103</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(215) 569-5500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237490</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369"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83"/>
        </w:trPr>
        <w:tc>
          <w:tcPr>
            <w:tcW w:w="1780" w:type="dxa"/>
            <w:vAlign w:val="bottom"/>
          </w:tcPr>
          <w:p>
            <w:pPr>
              <w:spacing w:after="0"/>
              <w:rPr>
                <w:sz w:val="20"/>
                <w:szCs w:val="20"/>
                <w:color w:val="auto"/>
              </w:rPr>
            </w:pPr>
            <w:r>
              <w:rPr>
                <w:rFonts w:ascii="Arial" w:cs="Arial" w:eastAsia="Arial" w:hAnsi="Arial"/>
                <w:sz w:val="18"/>
                <w:szCs w:val="18"/>
                <w:color w:val="auto"/>
                <w:w w:val="98"/>
              </w:rPr>
              <w:t>Large accelerated filer</w:t>
            </w:r>
          </w:p>
        </w:tc>
        <w:tc>
          <w:tcPr>
            <w:tcW w:w="5400" w:type="dxa"/>
            <w:vAlign w:val="bottom"/>
          </w:tcPr>
          <w:p>
            <w:pPr>
              <w:ind w:left="140"/>
              <w:spacing w:after="0" w:line="181" w:lineRule="exact"/>
              <w:rPr>
                <w:sz w:val="20"/>
                <w:szCs w:val="20"/>
                <w:color w:val="auto"/>
              </w:rPr>
            </w:pPr>
            <w:r>
              <w:rPr>
                <w:rFonts w:ascii="MS PGothic" w:cs="MS PGothic" w:eastAsia="MS PGothic" w:hAnsi="MS PGothic"/>
                <w:sz w:val="18"/>
                <w:szCs w:val="18"/>
                <w:color w:val="auto"/>
              </w:rPr>
              <w:t>☒</w:t>
            </w:r>
          </w:p>
        </w:tc>
        <w:tc>
          <w:tcPr>
            <w:tcW w:w="3860" w:type="dxa"/>
            <w:vAlign w:val="bottom"/>
          </w:tcPr>
          <w:p>
            <w:pPr>
              <w:ind w:left="1680"/>
              <w:spacing w:after="0"/>
              <w:rPr>
                <w:sz w:val="20"/>
                <w:szCs w:val="20"/>
                <w:color w:val="auto"/>
              </w:rPr>
            </w:pPr>
            <w:r>
              <w:rPr>
                <w:rFonts w:ascii="Arial" w:cs="Arial" w:eastAsia="Arial" w:hAnsi="Arial"/>
                <w:sz w:val="18"/>
                <w:szCs w:val="18"/>
                <w:color w:val="auto"/>
              </w:rPr>
              <w:t>Accelerated filer</w:t>
            </w:r>
          </w:p>
        </w:tc>
        <w:tc>
          <w:tcPr>
            <w:tcW w:w="380" w:type="dxa"/>
            <w:vAlign w:val="bottom"/>
          </w:tcPr>
          <w:p>
            <w:pPr>
              <w:ind w:left="2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1780" w:type="dxa"/>
            <w:vAlign w:val="bottom"/>
          </w:tcPr>
          <w:p>
            <w:pPr>
              <w:spacing w:after="0"/>
              <w:rPr>
                <w:sz w:val="20"/>
                <w:szCs w:val="20"/>
                <w:color w:val="auto"/>
              </w:rPr>
            </w:pPr>
            <w:r>
              <w:rPr>
                <w:rFonts w:ascii="Arial" w:cs="Arial" w:eastAsia="Arial" w:hAnsi="Arial"/>
                <w:sz w:val="18"/>
                <w:szCs w:val="18"/>
                <w:color w:val="auto"/>
              </w:rPr>
              <w:t>Non-accelerated filer</w:t>
            </w:r>
          </w:p>
        </w:tc>
        <w:tc>
          <w:tcPr>
            <w:tcW w:w="5400" w:type="dxa"/>
            <w:vAlign w:val="bottom"/>
          </w:tcPr>
          <w:p>
            <w:pPr>
              <w:ind w:left="14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(Do not check if a smaller reporting company)</w:t>
            </w:r>
          </w:p>
        </w:tc>
        <w:tc>
          <w:tcPr>
            <w:tcW w:w="3860" w:type="dxa"/>
            <w:vAlign w:val="bottom"/>
          </w:tcPr>
          <w:p>
            <w:pPr>
              <w:ind w:left="1680"/>
              <w:spacing w:after="0"/>
              <w:rPr>
                <w:sz w:val="20"/>
                <w:szCs w:val="20"/>
                <w:color w:val="auto"/>
              </w:rPr>
            </w:pPr>
            <w:r>
              <w:rPr>
                <w:rFonts w:ascii="Arial" w:cs="Arial" w:eastAsia="Arial" w:hAnsi="Arial"/>
                <w:sz w:val="18"/>
                <w:szCs w:val="18"/>
                <w:color w:val="auto"/>
              </w:rPr>
              <w:t>Smaller reporting company</w:t>
            </w:r>
          </w:p>
        </w:tc>
        <w:tc>
          <w:tcPr>
            <w:tcW w:w="380" w:type="dxa"/>
            <w:vAlign w:val="bottom"/>
          </w:tcPr>
          <w:p>
            <w:pPr>
              <w:ind w:left="2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1780" w:type="dxa"/>
            <w:vAlign w:val="bottom"/>
          </w:tcPr>
          <w:p>
            <w:pPr>
              <w:spacing w:after="0"/>
              <w:rPr>
                <w:sz w:val="24"/>
                <w:szCs w:val="24"/>
                <w:color w:val="auto"/>
              </w:rPr>
            </w:pPr>
          </w:p>
        </w:tc>
        <w:tc>
          <w:tcPr>
            <w:tcW w:w="5400" w:type="dxa"/>
            <w:vAlign w:val="bottom"/>
          </w:tcPr>
          <w:p>
            <w:pPr>
              <w:spacing w:after="0"/>
              <w:rPr>
                <w:sz w:val="24"/>
                <w:szCs w:val="24"/>
                <w:color w:val="auto"/>
              </w:rPr>
            </w:pPr>
          </w:p>
        </w:tc>
        <w:tc>
          <w:tcPr>
            <w:tcW w:w="3860" w:type="dxa"/>
            <w:vAlign w:val="bottom"/>
          </w:tcPr>
          <w:p>
            <w:pPr>
              <w:ind w:left="1680"/>
              <w:spacing w:after="0"/>
              <w:rPr>
                <w:sz w:val="20"/>
                <w:szCs w:val="20"/>
                <w:color w:val="auto"/>
              </w:rPr>
            </w:pPr>
            <w:r>
              <w:rPr>
                <w:rFonts w:ascii="Arial" w:cs="Arial" w:eastAsia="Arial" w:hAnsi="Arial"/>
                <w:sz w:val="18"/>
                <w:szCs w:val="18"/>
                <w:color w:val="auto"/>
              </w:rPr>
              <w:t>Emerging growth company</w:t>
            </w:r>
          </w:p>
        </w:tc>
        <w:tc>
          <w:tcPr>
            <w:tcW w:w="380" w:type="dxa"/>
            <w:vAlign w:val="bottom"/>
          </w:tcPr>
          <w:p>
            <w:pPr>
              <w:ind w:left="22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182" w:lineRule="exact"/>
        <w:rPr>
          <w:sz w:val="20"/>
          <w:szCs w:val="20"/>
          <w:color w:val="auto"/>
        </w:rPr>
      </w:pPr>
    </w:p>
    <w:p>
      <w:pPr>
        <w:ind w:right="14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133350</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176530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EXPLANATORY NOTE</w:t>
      </w:r>
    </w:p>
    <w:p>
      <w:pPr>
        <w:spacing w:after="0" w:line="229" w:lineRule="exact"/>
        <w:rPr>
          <w:sz w:val="20"/>
          <w:szCs w:val="20"/>
          <w:color w:val="auto"/>
        </w:rPr>
      </w:pPr>
    </w:p>
    <w:p>
      <w:pPr>
        <w:ind w:right="140" w:firstLine="456"/>
        <w:spacing w:after="0" w:line="271" w:lineRule="auto"/>
        <w:rPr>
          <w:sz w:val="20"/>
          <w:szCs w:val="20"/>
          <w:color w:val="auto"/>
        </w:rPr>
      </w:pPr>
      <w:r>
        <w:rPr>
          <w:rFonts w:ascii="Arial" w:cs="Arial" w:eastAsia="Arial" w:hAnsi="Arial"/>
          <w:sz w:val="17"/>
          <w:szCs w:val="17"/>
          <w:color w:val="auto"/>
        </w:rPr>
        <w:t>On November 19, 2002, Comcast Corporation (the “</w:t>
      </w:r>
      <w:r>
        <w:rPr>
          <w:rFonts w:ascii="Arial" w:cs="Arial" w:eastAsia="Arial" w:hAnsi="Arial"/>
          <w:sz w:val="17"/>
          <w:szCs w:val="17"/>
          <w:b w:val="1"/>
          <w:bCs w:val="1"/>
          <w:i w:val="1"/>
          <w:iCs w:val="1"/>
          <w:color w:val="auto"/>
        </w:rPr>
        <w:t>Registrant</w:t>
      </w:r>
      <w:r>
        <w:rPr>
          <w:rFonts w:ascii="Arial" w:cs="Arial" w:eastAsia="Arial" w:hAnsi="Arial"/>
          <w:sz w:val="17"/>
          <w:szCs w:val="17"/>
          <w:color w:val="auto"/>
        </w:rPr>
        <w:t>”) filed a Registration Statement on Form S-8 (Registration No. 333-101295) (as subsequently amended prior to the date hereof, the “</w:t>
      </w:r>
      <w:r>
        <w:rPr>
          <w:rFonts w:ascii="Arial" w:cs="Arial" w:eastAsia="Arial" w:hAnsi="Arial"/>
          <w:sz w:val="17"/>
          <w:szCs w:val="17"/>
          <w:b w:val="1"/>
          <w:bCs w:val="1"/>
          <w:i w:val="1"/>
          <w:iCs w:val="1"/>
          <w:color w:val="auto"/>
        </w:rPr>
        <w:t>Registration Statement</w:t>
      </w:r>
      <w:r>
        <w:rPr>
          <w:rFonts w:ascii="Arial" w:cs="Arial" w:eastAsia="Arial" w:hAnsi="Arial"/>
          <w:sz w:val="17"/>
          <w:szCs w:val="17"/>
          <w:color w:val="auto"/>
        </w:rPr>
        <w:t>”), which registered shares of the Registrant’s Class A Common Stock, par value $.01 (the “</w:t>
      </w:r>
      <w:r>
        <w:rPr>
          <w:rFonts w:ascii="Arial" w:cs="Arial" w:eastAsia="Arial" w:hAnsi="Arial"/>
          <w:sz w:val="17"/>
          <w:szCs w:val="17"/>
          <w:b w:val="1"/>
          <w:bCs w:val="1"/>
          <w:i w:val="1"/>
          <w:iCs w:val="1"/>
          <w:color w:val="auto"/>
        </w:rPr>
        <w:t>Shares</w:t>
      </w:r>
      <w:r>
        <w:rPr>
          <w:rFonts w:ascii="Arial" w:cs="Arial" w:eastAsia="Arial" w:hAnsi="Arial"/>
          <w:sz w:val="17"/>
          <w:szCs w:val="17"/>
          <w:color w:val="auto"/>
        </w:rPr>
        <w:t>”), reserved for issuance under eleven plans, including the Comcast Corporation Retirement-Investment Plan (the “</w:t>
      </w:r>
      <w:r>
        <w:rPr>
          <w:rFonts w:ascii="Arial" w:cs="Arial" w:eastAsia="Arial" w:hAnsi="Arial"/>
          <w:sz w:val="17"/>
          <w:szCs w:val="17"/>
          <w:b w:val="1"/>
          <w:bCs w:val="1"/>
          <w:i w:val="1"/>
          <w:iCs w:val="1"/>
          <w:color w:val="auto"/>
        </w:rPr>
        <w:t>Comcast Plan</w:t>
      </w:r>
      <w:r>
        <w:rPr>
          <w:rFonts w:ascii="Arial" w:cs="Arial" w:eastAsia="Arial" w:hAnsi="Arial"/>
          <w:sz w:val="17"/>
          <w:szCs w:val="17"/>
          <w:color w:val="auto"/>
        </w:rPr>
        <w:t>) and the Comcast-Spectacor 401(k) Plan (the “</w:t>
      </w:r>
      <w:r>
        <w:rPr>
          <w:rFonts w:ascii="Arial" w:cs="Arial" w:eastAsia="Arial" w:hAnsi="Arial"/>
          <w:sz w:val="17"/>
          <w:szCs w:val="17"/>
          <w:b w:val="1"/>
          <w:bCs w:val="1"/>
          <w:i w:val="1"/>
          <w:iCs w:val="1"/>
          <w:color w:val="auto"/>
        </w:rPr>
        <w:t>Spectacor Plan</w:t>
      </w:r>
      <w:r>
        <w:rPr>
          <w:rFonts w:ascii="Arial" w:cs="Arial" w:eastAsia="Arial" w:hAnsi="Arial"/>
          <w:sz w:val="17"/>
          <w:szCs w:val="17"/>
          <w:color w:val="auto"/>
        </w:rPr>
        <w:t>” and, together with the Comcast Plan, the “</w:t>
      </w:r>
      <w:r>
        <w:rPr>
          <w:rFonts w:ascii="Arial" w:cs="Arial" w:eastAsia="Arial" w:hAnsi="Arial"/>
          <w:sz w:val="17"/>
          <w:szCs w:val="17"/>
          <w:b w:val="1"/>
          <w:bCs w:val="1"/>
          <w:i w:val="1"/>
          <w:iCs w:val="1"/>
          <w:color w:val="auto"/>
        </w:rPr>
        <w:t>Plans</w:t>
      </w:r>
      <w:r>
        <w:rPr>
          <w:rFonts w:ascii="Arial" w:cs="Arial" w:eastAsia="Arial" w:hAnsi="Arial"/>
          <w:sz w:val="17"/>
          <w:szCs w:val="17"/>
          <w:color w:val="auto"/>
        </w:rPr>
        <w:t>”). The Registration Statement registered 3,000,000 Shares with respect to the Comcast Plan and 200,000 Shares with respect to the Spectacor Plan. In addition, pursuant to Rule 416 of the Securities Act of 1933, the Registration Statement also covered an indeterminate number of additional Shares granted or to be granted under the Plans to prevent dilution that may result from any future stock splits, stock dividends or similar transactions affecting the Shares as well as an indeterminate amount of interests to be offered or sold pursuant to the Plans.</w:t>
      </w:r>
    </w:p>
    <w:p>
      <w:pPr>
        <w:spacing w:after="0" w:line="179" w:lineRule="exact"/>
        <w:rPr>
          <w:sz w:val="20"/>
          <w:szCs w:val="20"/>
          <w:color w:val="auto"/>
        </w:rPr>
      </w:pPr>
    </w:p>
    <w:p>
      <w:pPr>
        <w:ind w:firstLine="456"/>
        <w:spacing w:after="0" w:line="276" w:lineRule="auto"/>
        <w:rPr>
          <w:sz w:val="20"/>
          <w:szCs w:val="20"/>
          <w:color w:val="auto"/>
        </w:rPr>
      </w:pPr>
      <w:r>
        <w:rPr>
          <w:rFonts w:ascii="Arial" w:cs="Arial" w:eastAsia="Arial" w:hAnsi="Arial"/>
          <w:sz w:val="17"/>
          <w:szCs w:val="17"/>
          <w:color w:val="auto"/>
        </w:rPr>
        <w:t>On July 1, 2004, the Registrant transferred 82 participants’ accounts from the Spectacor Plan to the Comcast Plan pursuant to the transfer of certain employee-participants from the employ of Comcast-Spectacor LLP to the employ of the Registrant. Accordingly, securities previously allocated to those transferred participants’ accounts under the Spectacor Plan, including Shares of the Registrant, were reallocated to the participants’ accounts under the Comcast Plan. On August 12, 2004, the Registrant filed Post-Effective Amendment No. 2 to the Registration Statement to reallocate 10,224 Shares previously held in certain participants’ accounts under the Spectacor Plan to the participants’ accounts held under the Comcast Plan.</w:t>
      </w:r>
    </w:p>
    <w:p>
      <w:pPr>
        <w:spacing w:after="0" w:line="173" w:lineRule="exact"/>
        <w:rPr>
          <w:sz w:val="20"/>
          <w:szCs w:val="20"/>
          <w:color w:val="auto"/>
        </w:rPr>
      </w:pPr>
    </w:p>
    <w:p>
      <w:pPr>
        <w:ind w:right="80" w:firstLine="456"/>
        <w:spacing w:after="0" w:line="312" w:lineRule="auto"/>
        <w:rPr>
          <w:sz w:val="20"/>
          <w:szCs w:val="20"/>
          <w:color w:val="auto"/>
        </w:rPr>
      </w:pPr>
      <w:r>
        <w:rPr>
          <w:rFonts w:ascii="Arial" w:cs="Arial" w:eastAsia="Arial" w:hAnsi="Arial"/>
          <w:sz w:val="16"/>
          <w:szCs w:val="16"/>
          <w:color w:val="auto"/>
        </w:rPr>
        <w:t>Effective as of January 1, 2016 (the “Effective Date”), the Registrant’s Shares ceased being an investment option for new contributions or transfers under either of the Plans. Accordingly, by this Post-Effective Amendment No. 4, the Company hereby deregisters all Shares and plan interests covered by the Registration Statement remaining unsold pursuant to each of the Comcast Plan and the Spectacor Plan as of the Effective Date.</w:t>
      </w:r>
    </w:p>
    <w:p>
      <w:pPr>
        <w:sectPr>
          <w:pgSz w:w="11900" w:h="16838" w:orient="portrait"/>
          <w:cols w:equalWidth="0" w:num="1">
            <w:col w:w="11420"/>
          </w:cols>
          <w:pgMar w:left="240" w:top="270" w:right="2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SIGNATURES</w:t>
      </w:r>
    </w:p>
    <w:p>
      <w:pPr>
        <w:spacing w:after="0" w:line="229"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Pursuant to the requirements of the Securities Act of 1933 (the “</w:t>
      </w:r>
      <w:r>
        <w:rPr>
          <w:rFonts w:ascii="Arial" w:cs="Arial" w:eastAsia="Arial" w:hAnsi="Arial"/>
          <w:sz w:val="18"/>
          <w:szCs w:val="18"/>
          <w:b w:val="1"/>
          <w:bCs w:val="1"/>
          <w:i w:val="1"/>
          <w:iCs w:val="1"/>
          <w:color w:val="auto"/>
        </w:rPr>
        <w:t>Securities Act</w:t>
      </w:r>
      <w:r>
        <w:rPr>
          <w:rFonts w:ascii="Arial" w:cs="Arial" w:eastAsia="Arial" w:hAnsi="Arial"/>
          <w:sz w:val="18"/>
          <w:szCs w:val="18"/>
          <w:color w:val="auto"/>
        </w:rPr>
        <w:t>”) and in accordance with Rule 478(a)(4) under the Securities Act, the Registrant certifies that it has reasonable grounds to believe that it meets all of the requirements for filing on Form S-8 and has duly caused this Post-Effective Amendment No. 4 to the Registration Statement to be signed on its behalf by the undersigned, thereunto duly authorized, in the City of Philadelphia, Pennsylvania, on this 26</w:t>
      </w:r>
      <w:r>
        <w:rPr>
          <w:rFonts w:ascii="Arial" w:cs="Arial" w:eastAsia="Arial" w:hAnsi="Arial"/>
          <w:sz w:val="15"/>
          <w:szCs w:val="15"/>
          <w:color w:val="auto"/>
        </w:rPr>
        <w:t>th</w:t>
      </w:r>
      <w:r>
        <w:rPr>
          <w:rFonts w:ascii="Arial" w:cs="Arial" w:eastAsia="Arial" w:hAnsi="Arial"/>
          <w:sz w:val="18"/>
          <w:szCs w:val="18"/>
          <w:color w:val="auto"/>
        </w:rPr>
        <w:t xml:space="preserve"> day of April, 2018.</w:t>
      </w:r>
    </w:p>
    <w:p>
      <w:pPr>
        <w:spacing w:after="0" w:line="214"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COMCAST CORPORATION</w:t>
      </w:r>
    </w:p>
    <w:p>
      <w:pPr>
        <w:spacing w:after="0" w:line="225" w:lineRule="exact"/>
        <w:rPr>
          <w:sz w:val="20"/>
          <w:szCs w:val="20"/>
          <w:color w:val="auto"/>
        </w:rPr>
      </w:pPr>
    </w:p>
    <w:tbl>
      <w:tblPr>
        <w:tblLayout w:type="fixed"/>
        <w:tblInd w:w="6860" w:type="dxa"/>
        <w:tblCellMar>
          <w:top w:w="0" w:type="dxa"/>
          <w:left w:w="0" w:type="dxa"/>
          <w:bottom w:w="0" w:type="dxa"/>
          <w:right w:w="0" w:type="dxa"/>
        </w:tblCellMar>
      </w:tblP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Arthur R. Block</w:t>
            </w:r>
          </w:p>
        </w:tc>
      </w:tr>
      <w:tr>
        <w:trPr>
          <w:trHeight w:val="209"/>
        </w:trPr>
        <w:tc>
          <w:tcPr>
            <w:tcW w:w="580" w:type="dxa"/>
            <w:vAlign w:val="bottom"/>
          </w:tcPr>
          <w:p>
            <w:pPr>
              <w:spacing w:after="0"/>
              <w:rPr>
                <w:sz w:val="20"/>
                <w:szCs w:val="20"/>
                <w:color w:val="auto"/>
              </w:rPr>
            </w:pPr>
            <w:r>
              <w:rPr>
                <w:rFonts w:ascii="Arial" w:cs="Arial" w:eastAsia="Arial" w:hAnsi="Arial"/>
                <w:sz w:val="18"/>
                <w:szCs w:val="18"/>
                <w:color w:val="auto"/>
              </w:rPr>
              <w:t>Name:</w:t>
            </w:r>
          </w:p>
        </w:tc>
        <w:tc>
          <w:tcPr>
            <w:tcW w:w="3980" w:type="dxa"/>
            <w:vAlign w:val="bottom"/>
          </w:tcPr>
          <w:p>
            <w:pPr>
              <w:spacing w:after="0"/>
              <w:rPr>
                <w:sz w:val="20"/>
                <w:szCs w:val="20"/>
                <w:color w:val="auto"/>
              </w:rPr>
            </w:pPr>
            <w:r>
              <w:rPr>
                <w:rFonts w:ascii="Arial" w:cs="Arial" w:eastAsia="Arial" w:hAnsi="Arial"/>
                <w:sz w:val="18"/>
                <w:szCs w:val="18"/>
                <w:color w:val="auto"/>
              </w:rPr>
              <w:t>Arthur R. Block</w:t>
            </w:r>
          </w:p>
        </w:tc>
      </w:tr>
      <w:tr>
        <w:trPr>
          <w:trHeight w:val="216"/>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3980" w:type="dxa"/>
            <w:vAlign w:val="bottom"/>
          </w:tcPr>
          <w:p>
            <w:pPr>
              <w:spacing w:after="0"/>
              <w:rPr>
                <w:sz w:val="20"/>
                <w:szCs w:val="20"/>
                <w:color w:val="auto"/>
              </w:rPr>
            </w:pPr>
            <w:r>
              <w:rPr>
                <w:rFonts w:ascii="Arial" w:cs="Arial" w:eastAsia="Arial" w:hAnsi="Arial"/>
                <w:sz w:val="18"/>
                <w:szCs w:val="18"/>
                <w:color w:val="auto"/>
              </w:rPr>
              <w:t>Executive Vice President, General Counsel and</w:t>
            </w:r>
          </w:p>
        </w:tc>
      </w:tr>
      <w:tr>
        <w:trPr>
          <w:trHeight w:val="230"/>
        </w:trPr>
        <w:tc>
          <w:tcPr>
            <w:tcW w:w="580" w:type="dxa"/>
            <w:vAlign w:val="bottom"/>
          </w:tcPr>
          <w:p>
            <w:pPr>
              <w:spacing w:after="0"/>
              <w:rPr>
                <w:sz w:val="20"/>
                <w:szCs w:val="20"/>
                <w:color w:val="auto"/>
              </w:rPr>
            </w:pPr>
          </w:p>
        </w:tc>
        <w:tc>
          <w:tcPr>
            <w:tcW w:w="3980" w:type="dxa"/>
            <w:vAlign w:val="bottom"/>
          </w:tcPr>
          <w:p>
            <w:pPr>
              <w:spacing w:after="0"/>
              <w:rPr>
                <w:sz w:val="20"/>
                <w:szCs w:val="20"/>
                <w:color w:val="auto"/>
              </w:rPr>
            </w:pPr>
            <w:r>
              <w:rPr>
                <w:rFonts w:ascii="Arial" w:cs="Arial" w:eastAsia="Arial" w:hAnsi="Arial"/>
                <w:sz w:val="18"/>
                <w:szCs w:val="18"/>
                <w:color w:val="auto"/>
              </w:rPr>
              <w:t>Secretary</w:t>
            </w:r>
          </w:p>
        </w:tc>
      </w:tr>
    </w:tbl>
    <w:p>
      <w:pPr>
        <w:spacing w:after="0" w:line="198" w:lineRule="exact"/>
        <w:rPr>
          <w:sz w:val="20"/>
          <w:szCs w:val="20"/>
          <w:color w:val="auto"/>
        </w:rPr>
      </w:pPr>
    </w:p>
    <w:p>
      <w:pPr>
        <w:ind w:right="200" w:firstLine="456"/>
        <w:spacing w:after="0" w:line="289" w:lineRule="auto"/>
        <w:rPr>
          <w:sz w:val="20"/>
          <w:szCs w:val="20"/>
          <w:color w:val="auto"/>
        </w:rPr>
      </w:pPr>
      <w:r>
        <w:rPr>
          <w:rFonts w:ascii="Arial" w:cs="Arial" w:eastAsia="Arial" w:hAnsi="Arial"/>
          <w:sz w:val="17"/>
          <w:szCs w:val="17"/>
          <w:b w:val="1"/>
          <w:bCs w:val="1"/>
          <w:color w:val="auto"/>
        </w:rPr>
        <w:t xml:space="preserve">401(k) Plans. </w:t>
      </w:r>
      <w:r>
        <w:rPr>
          <w:rFonts w:ascii="Arial" w:cs="Arial" w:eastAsia="Arial" w:hAnsi="Arial"/>
          <w:sz w:val="17"/>
          <w:szCs w:val="17"/>
          <w:color w:val="auto"/>
        </w:rPr>
        <w:t>Pursuant to the requirements of the Securities Act, the Administrators of the Comcast Corporation Retirement-Investment Plan and the</w:t>
      </w:r>
      <w:r>
        <w:rPr>
          <w:rFonts w:ascii="Arial" w:cs="Arial" w:eastAsia="Arial" w:hAnsi="Arial"/>
          <w:sz w:val="17"/>
          <w:szCs w:val="17"/>
          <w:b w:val="1"/>
          <w:bCs w:val="1"/>
          <w:color w:val="auto"/>
        </w:rPr>
        <w:t xml:space="preserve"> </w:t>
      </w:r>
      <w:r>
        <w:rPr>
          <w:rFonts w:ascii="Arial" w:cs="Arial" w:eastAsia="Arial" w:hAnsi="Arial"/>
          <w:sz w:val="17"/>
          <w:szCs w:val="17"/>
          <w:color w:val="auto"/>
        </w:rPr>
        <w:t>Comcast-Spectacor 401(k) Plan have duly caused this Post-Effective Amendment No. 4 to the Registration Statement to be signed on its behalf by the undersigned, thereunto duly authorized, in the City of Philadelphia, Pennsylvania, on this this 26</w:t>
      </w:r>
      <w:r>
        <w:rPr>
          <w:rFonts w:ascii="Arial" w:cs="Arial" w:eastAsia="Arial" w:hAnsi="Arial"/>
          <w:sz w:val="14"/>
          <w:szCs w:val="14"/>
          <w:color w:val="auto"/>
        </w:rPr>
        <w:t>th</w:t>
      </w:r>
      <w:r>
        <w:rPr>
          <w:rFonts w:ascii="Arial" w:cs="Arial" w:eastAsia="Arial" w:hAnsi="Arial"/>
          <w:sz w:val="17"/>
          <w:szCs w:val="17"/>
          <w:color w:val="auto"/>
        </w:rPr>
        <w:t xml:space="preserve"> day of April, 2018.</w:t>
      </w:r>
    </w:p>
    <w:p>
      <w:pPr>
        <w:spacing w:after="0" w:line="18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THE COMCAST CORPORATION RETIREMENT-</w:t>
      </w:r>
    </w:p>
    <w:p>
      <w:pPr>
        <w:spacing w:after="0" w:line="2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INVESTMENT PLAN</w:t>
      </w:r>
    </w:p>
    <w:p>
      <w:pPr>
        <w:spacing w:after="0" w:line="224" w:lineRule="exact"/>
        <w:rPr>
          <w:sz w:val="20"/>
          <w:szCs w:val="20"/>
          <w:color w:val="auto"/>
        </w:rPr>
      </w:pPr>
    </w:p>
    <w:p>
      <w:pPr>
        <w:ind w:left="7080"/>
        <w:spacing w:after="0"/>
        <w:rPr>
          <w:sz w:val="20"/>
          <w:szCs w:val="20"/>
          <w:color w:val="auto"/>
        </w:rPr>
      </w:pPr>
      <w:r>
        <w:rPr>
          <w:rFonts w:ascii="Arial" w:cs="Arial" w:eastAsia="Arial" w:hAnsi="Arial"/>
          <w:sz w:val="18"/>
          <w:szCs w:val="18"/>
          <w:color w:val="auto"/>
        </w:rPr>
        <w:t>By: /s/ William E. Dordelman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4704715</wp:posOffset>
            </wp:positionH>
            <wp:positionV relativeFrom="paragraph">
              <wp:posOffset>14605</wp:posOffset>
            </wp:positionV>
            <wp:extent cx="254698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546985" cy="8890"/>
                    </a:xfrm>
                    <a:prstGeom prst="rect">
                      <a:avLst/>
                    </a:prstGeom>
                    <a:noFill/>
                  </pic:spPr>
                </pic:pic>
              </a:graphicData>
            </a:graphic>
          </wp:anchor>
        </w:drawing>
      </w:r>
    </w:p>
    <w:p>
      <w:pPr>
        <w:spacing w:after="0" w:line="25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COMCAST-SPECTACOR 401(K) PLAN</w:t>
      </w:r>
    </w:p>
    <w:p>
      <w:pPr>
        <w:spacing w:after="0" w:line="225" w:lineRule="exact"/>
        <w:rPr>
          <w:sz w:val="20"/>
          <w:szCs w:val="20"/>
          <w:color w:val="auto"/>
        </w:rPr>
      </w:pPr>
    </w:p>
    <w:p>
      <w:pPr>
        <w:ind w:left="7080"/>
        <w:spacing w:after="0"/>
        <w:rPr>
          <w:sz w:val="20"/>
          <w:szCs w:val="20"/>
          <w:color w:val="auto"/>
        </w:rPr>
      </w:pPr>
      <w:r>
        <w:rPr>
          <w:rFonts w:ascii="Arial" w:cs="Arial" w:eastAsia="Arial" w:hAnsi="Arial"/>
          <w:sz w:val="18"/>
          <w:szCs w:val="18"/>
          <w:color w:val="auto"/>
        </w:rPr>
        <w:t>By: /s/ William E. Dordelman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4704715</wp:posOffset>
            </wp:positionH>
            <wp:positionV relativeFrom="paragraph">
              <wp:posOffset>14605</wp:posOffset>
            </wp:positionV>
            <wp:extent cx="254698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546985" cy="8890"/>
                    </a:xfrm>
                    <a:prstGeom prst="rect">
                      <a:avLst/>
                    </a:prstGeom>
                    <a:noFill/>
                  </pic:spPr>
                </pic:pic>
              </a:graphicData>
            </a:graphic>
          </wp:anchor>
        </w:drawing>
      </w:r>
    </w:p>
    <w:sectPr>
      <w:pgSz w:w="11900" w:h="16838" w:orient="portrait"/>
      <w:cols w:equalWidth="0" w:num="1">
        <w:col w:w="11420"/>
      </w:cols>
      <w:pgMar w:left="240" w:top="27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2019-12-06T20:00:26Z</dcterms:created>
  <dcterms:modified xsi:type="dcterms:W3CDTF">2019-12-06T20:00:26Z</dcterms:modified>
</cp:coreProperties>
</file>