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302895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1, 2013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273"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0"/>
              </w:rPr>
              <w:t>001-32871</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27-0000798</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4"/>
              </w:rPr>
              <w:t>(Commission File Number)</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0"/>
              </w:rPr>
              <w:t>One Comcast Center</w:t>
            </w:r>
          </w:p>
        </w:tc>
        <w:tc>
          <w:tcPr>
            <w:tcW w:w="3780" w:type="dxa"/>
            <w:vAlign w:val="bottom"/>
          </w:tcPr>
          <w:p>
            <w:pPr>
              <w:spacing w:after="0"/>
              <w:rPr>
                <w:sz w:val="24"/>
                <w:szCs w:val="24"/>
                <w:color w:val="auto"/>
              </w:rPr>
            </w:pPr>
          </w:p>
        </w:tc>
      </w:tr>
      <w:tr>
        <w:trPr>
          <w:trHeight w:val="229"/>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2"/>
              </w:rPr>
              <w:t>Philadelphia, PA</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19103-2838</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5"/>
              </w:rPr>
              <w:t>(Address of Principal Executive Offices)</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3"/>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1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 2013, Comcast Corporation (“Comcast”) issued a press release reporting the results of its operations for the three months ended March 31, 2013.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4"/>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340" w:type="dxa"/>
            <w:vAlign w:val="bottom"/>
          </w:tcPr>
          <w:p>
            <w:pPr>
              <w:spacing w:after="0"/>
              <w:rPr>
                <w:sz w:val="20"/>
                <w:szCs w:val="20"/>
                <w:color w:val="auto"/>
              </w:rPr>
            </w:pPr>
          </w:p>
        </w:tc>
      </w:tr>
      <w:tr>
        <w:trPr>
          <w:trHeight w:val="371"/>
        </w:trPr>
        <w:tc>
          <w:tcPr>
            <w:tcW w:w="6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5000" w:type="dxa"/>
            <w:vAlign w:val="bottom"/>
            <w:gridSpan w:val="3"/>
          </w:tcPr>
          <w:p>
            <w:pPr>
              <w:ind w:left="760"/>
              <w:spacing w:after="0"/>
              <w:rPr>
                <w:sz w:val="20"/>
                <w:szCs w:val="20"/>
                <w:color w:val="auto"/>
              </w:rPr>
            </w:pPr>
            <w:r>
              <w:rPr>
                <w:rFonts w:ascii="Arial" w:cs="Arial" w:eastAsia="Arial" w:hAnsi="Arial"/>
                <w:sz w:val="18"/>
                <w:szCs w:val="18"/>
                <w:color w:val="auto"/>
                <w:w w:val="95"/>
              </w:rPr>
              <w:t>Comcast Corporation press release dated May 1, 2013.</w:t>
            </w:r>
          </w:p>
        </w:tc>
      </w:tr>
      <w:tr>
        <w:trPr>
          <w:trHeight w:val="230"/>
        </w:trPr>
        <w:tc>
          <w:tcPr>
            <w:tcW w:w="6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5000" w:type="dxa"/>
            <w:vAlign w:val="bottom"/>
            <w:gridSpan w:val="3"/>
          </w:tcPr>
          <w:p>
            <w:pPr>
              <w:ind w:left="760"/>
              <w:spacing w:after="0"/>
              <w:rPr>
                <w:sz w:val="20"/>
                <w:szCs w:val="20"/>
                <w:color w:val="auto"/>
              </w:rPr>
            </w:pPr>
            <w:r>
              <w:rPr>
                <w:rFonts w:ascii="Arial" w:cs="Arial" w:eastAsia="Arial" w:hAnsi="Arial"/>
                <w:sz w:val="18"/>
                <w:szCs w:val="18"/>
                <w:color w:val="auto"/>
                <w:w w:val="91"/>
              </w:rPr>
              <w:t>Explanation of Non-GAAP and Other Financial Measures.</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COMCAST CORPORATION</w:t>
      </w:r>
    </w:p>
    <w:p>
      <w:pPr>
        <w:spacing w:after="0" w:line="33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May 1, 2013</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5788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885" cy="351790"/>
                    </a:xfrm>
                    <a:prstGeom prst="rect">
                      <a:avLst/>
                    </a:prstGeom>
                    <a:noFill/>
                  </pic:spPr>
                </pic:pic>
              </a:graphicData>
            </a:graphic>
          </wp:anchor>
        </w:drawing>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Investor Contacts:</w:t>
            </w:r>
          </w:p>
        </w:tc>
        <w:tc>
          <w:tcPr>
            <w:tcW w:w="3320" w:type="dxa"/>
            <w:vAlign w:val="bottom"/>
          </w:tcPr>
          <w:p>
            <w:pPr>
              <w:spacing w:after="0"/>
              <w:rPr>
                <w:sz w:val="17"/>
                <w:szCs w:val="17"/>
                <w:color w:val="auto"/>
              </w:rPr>
            </w:pPr>
          </w:p>
        </w:tc>
        <w:tc>
          <w:tcPr>
            <w:tcW w:w="3620" w:type="dxa"/>
            <w:vAlign w:val="bottom"/>
          </w:tcPr>
          <w:p>
            <w:pPr>
              <w:ind w:left="1860"/>
              <w:spacing w:after="0"/>
              <w:rPr>
                <w:sz w:val="20"/>
                <w:szCs w:val="20"/>
                <w:color w:val="auto"/>
              </w:rPr>
            </w:pPr>
            <w:r>
              <w:rPr>
                <w:rFonts w:ascii="Arial" w:cs="Arial" w:eastAsia="Arial" w:hAnsi="Arial"/>
                <w:sz w:val="18"/>
                <w:szCs w:val="18"/>
                <w:color w:val="auto"/>
              </w:rPr>
              <w:t>Press Contacts:</w:t>
            </w:r>
          </w:p>
        </w:tc>
        <w:tc>
          <w:tcPr>
            <w:tcW w:w="1600" w:type="dxa"/>
            <w:vAlign w:val="bottom"/>
          </w:tcPr>
          <w:p>
            <w:pPr>
              <w:spacing w:after="0"/>
              <w:rPr>
                <w:sz w:val="17"/>
                <w:szCs w:val="17"/>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6"/>
                <w:szCs w:val="16"/>
                <w:color w:val="auto"/>
              </w:rPr>
              <w:t>Marlene S. Dooner</w:t>
            </w:r>
          </w:p>
        </w:tc>
        <w:tc>
          <w:tcPr>
            <w:tcW w:w="3320" w:type="dxa"/>
            <w:vAlign w:val="bottom"/>
          </w:tcPr>
          <w:p>
            <w:pPr>
              <w:jc w:val="right"/>
              <w:ind w:right="1759"/>
              <w:spacing w:after="0"/>
              <w:rPr>
                <w:sz w:val="20"/>
                <w:szCs w:val="20"/>
                <w:color w:val="auto"/>
              </w:rPr>
            </w:pPr>
            <w:r>
              <w:rPr>
                <w:rFonts w:ascii="Arial" w:cs="Arial" w:eastAsia="Arial" w:hAnsi="Arial"/>
                <w:sz w:val="16"/>
                <w:szCs w:val="16"/>
                <w:color w:val="auto"/>
              </w:rPr>
              <w:t>(215) 286-7392</w:t>
            </w:r>
          </w:p>
        </w:tc>
        <w:tc>
          <w:tcPr>
            <w:tcW w:w="3620" w:type="dxa"/>
            <w:vAlign w:val="bottom"/>
          </w:tcPr>
          <w:p>
            <w:pPr>
              <w:ind w:left="1860"/>
              <w:spacing w:after="0"/>
              <w:rPr>
                <w:sz w:val="20"/>
                <w:szCs w:val="20"/>
                <w:color w:val="auto"/>
              </w:rPr>
            </w:pPr>
            <w:r>
              <w:rPr>
                <w:rFonts w:ascii="Arial" w:cs="Arial" w:eastAsia="Arial" w:hAnsi="Arial"/>
                <w:sz w:val="16"/>
                <w:szCs w:val="16"/>
                <w:color w:val="auto"/>
              </w:rPr>
              <w:t>D’Arcy Rudnay</w:t>
            </w:r>
          </w:p>
        </w:tc>
        <w:tc>
          <w:tcPr>
            <w:tcW w:w="160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820" w:type="dxa"/>
            <w:vAlign w:val="bottom"/>
          </w:tcPr>
          <w:p>
            <w:pPr>
              <w:spacing w:after="0"/>
              <w:rPr>
                <w:sz w:val="20"/>
                <w:szCs w:val="20"/>
                <w:color w:val="auto"/>
              </w:rPr>
            </w:pPr>
            <w:r>
              <w:rPr>
                <w:rFonts w:ascii="Arial" w:cs="Arial" w:eastAsia="Arial" w:hAnsi="Arial"/>
                <w:sz w:val="16"/>
                <w:szCs w:val="16"/>
                <w:color w:val="auto"/>
              </w:rPr>
              <w:t>Jane B. Kearns</w:t>
            </w:r>
          </w:p>
        </w:tc>
        <w:tc>
          <w:tcPr>
            <w:tcW w:w="3320" w:type="dxa"/>
            <w:vAlign w:val="bottom"/>
          </w:tcPr>
          <w:p>
            <w:pPr>
              <w:jc w:val="right"/>
              <w:ind w:right="1759"/>
              <w:spacing w:after="0"/>
              <w:rPr>
                <w:sz w:val="20"/>
                <w:szCs w:val="20"/>
                <w:color w:val="auto"/>
              </w:rPr>
            </w:pPr>
            <w:r>
              <w:rPr>
                <w:rFonts w:ascii="Arial" w:cs="Arial" w:eastAsia="Arial" w:hAnsi="Arial"/>
                <w:sz w:val="16"/>
                <w:szCs w:val="16"/>
                <w:color w:val="auto"/>
              </w:rPr>
              <w:t>(215) 286-4794</w:t>
            </w:r>
          </w:p>
        </w:tc>
        <w:tc>
          <w:tcPr>
            <w:tcW w:w="3620" w:type="dxa"/>
            <w:vAlign w:val="bottom"/>
          </w:tcPr>
          <w:p>
            <w:pPr>
              <w:ind w:left="1860"/>
              <w:spacing w:after="0"/>
              <w:rPr>
                <w:sz w:val="20"/>
                <w:szCs w:val="20"/>
                <w:color w:val="auto"/>
              </w:rPr>
            </w:pPr>
            <w:r>
              <w:rPr>
                <w:rFonts w:ascii="Arial" w:cs="Arial" w:eastAsia="Arial" w:hAnsi="Arial"/>
                <w:sz w:val="16"/>
                <w:szCs w:val="16"/>
                <w:color w:val="auto"/>
              </w:rPr>
              <w:t>John Demming</w:t>
            </w:r>
          </w:p>
        </w:tc>
        <w:tc>
          <w:tcPr>
            <w:tcW w:w="160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REPORTS 1st QUARTER 2013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Revenue Increased 2.9%, Operating Cash Flow Increased 7.4% and</w:t>
      </w:r>
    </w:p>
    <w:p>
      <w:pPr>
        <w:jc w:val="center"/>
        <w:spacing w:after="0"/>
        <w:rPr>
          <w:sz w:val="20"/>
          <w:szCs w:val="20"/>
          <w:color w:val="auto"/>
        </w:rPr>
      </w:pPr>
      <w:r>
        <w:rPr>
          <w:rFonts w:ascii="Arial" w:cs="Arial" w:eastAsia="Arial" w:hAnsi="Arial"/>
          <w:sz w:val="18"/>
          <w:szCs w:val="18"/>
          <w:color w:val="auto"/>
        </w:rPr>
        <w:t>Operating Income Increased 11.2%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Earnings per Share Increased 20.0% to $0.54; Excluding Gain on Asset Sale,</w:t>
      </w:r>
    </w:p>
    <w:p>
      <w:pPr>
        <w:jc w:val="center"/>
        <w:spacing w:after="0"/>
        <w:rPr>
          <w:sz w:val="20"/>
          <w:szCs w:val="20"/>
          <w:color w:val="auto"/>
        </w:rPr>
      </w:pPr>
      <w:r>
        <w:rPr>
          <w:rFonts w:ascii="Arial" w:cs="Arial" w:eastAsia="Arial" w:hAnsi="Arial"/>
          <w:sz w:val="18"/>
          <w:szCs w:val="18"/>
          <w:color w:val="auto"/>
        </w:rPr>
        <w:t>EPS Increased 13.3% to $0.51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Free Cash Flow Increased 3.3% to $3.1 Billion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Dividends and Share Repurchases Totaled $929 Million</w:t>
      </w:r>
    </w:p>
    <w:p>
      <w:pPr>
        <w:spacing w:after="0" w:line="200" w:lineRule="exact"/>
        <w:rPr>
          <w:sz w:val="20"/>
          <w:szCs w:val="20"/>
          <w:color w:val="auto"/>
        </w:rPr>
      </w:pPr>
    </w:p>
    <w:p>
      <w:pPr>
        <w:spacing w:after="0" w:line="3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May 1, 2013… Comcast Corporation (NASDAQ: CMCSA, CMCSK) today reported results for the quarter ended March 31, 2013.</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“We are off to a solid start in 2013, with strong revenue and cash flow growth and record quarterly free cash flow. Cable’s results highlight revenue growth in every product, led by Video and High-Speed Internet, and overall customer growth, as we continue to effectively balance financial and customer performance. NBCUniversal’s businesses also generated strong first quarter performance, led by Film and Cable Networks. We completed the acquisition of NBCUniversal during the quarter and look forward to continuing to drive innovation and operational excellence to deliver superior entertainment and communications choices for consumers.”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1st Quarter</w:t>
            </w:r>
          </w:p>
        </w:tc>
        <w:tc>
          <w:tcPr>
            <w:tcW w:w="720" w:type="dxa"/>
            <w:vAlign w:val="bottom"/>
          </w:tcPr>
          <w:p>
            <w:pPr>
              <w:spacing w:after="0"/>
              <w:rPr>
                <w:sz w:val="14"/>
                <w:szCs w:val="14"/>
                <w:color w:val="auto"/>
              </w:rPr>
            </w:pPr>
          </w:p>
        </w:tc>
      </w:tr>
      <w:tr>
        <w:trPr>
          <w:trHeight w:val="215"/>
        </w:trPr>
        <w:tc>
          <w:tcPr>
            <w:tcW w:w="548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 in millions)</w:t>
            </w:r>
          </w:p>
        </w:tc>
        <w:tc>
          <w:tcPr>
            <w:tcW w:w="3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Growth</w:t>
            </w:r>
          </w:p>
        </w:tc>
      </w:tr>
      <w:tr>
        <w:trPr>
          <w:trHeight w:val="156"/>
        </w:trPr>
        <w:tc>
          <w:tcPr>
            <w:tcW w:w="5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Revenue</w:t>
            </w:r>
          </w:p>
        </w:tc>
        <w:tc>
          <w:tcPr>
            <w:tcW w:w="3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14,878</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97"/>
              </w:rPr>
              <w:t>15,310</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r>
      <w:tr>
        <w:trPr>
          <w:trHeight w:val="156"/>
        </w:trPr>
        <w:tc>
          <w:tcPr>
            <w:tcW w:w="5480" w:type="dxa"/>
            <w:vAlign w:val="bottom"/>
            <w:tcBorders>
              <w:bottom w:val="single" w:sz="8" w:color="auto"/>
            </w:tcBorders>
          </w:tcPr>
          <w:p>
            <w:pPr>
              <w:spacing w:after="0" w:line="156" w:lineRule="exact"/>
              <w:rPr>
                <w:sz w:val="20"/>
                <w:szCs w:val="20"/>
                <w:color w:val="auto"/>
              </w:rPr>
            </w:pPr>
            <w:r>
              <w:rPr>
                <w:rFonts w:ascii="Arial" w:cs="Arial" w:eastAsia="Arial" w:hAnsi="Arial"/>
                <w:sz w:val="11"/>
                <w:szCs w:val="11"/>
                <w:color w:val="auto"/>
              </w:rPr>
              <w:t>Operating Cash Flow (OCF)</w:t>
            </w:r>
            <w:r>
              <w:rPr>
                <w:rFonts w:ascii="Arial" w:cs="Arial" w:eastAsia="Arial" w:hAnsi="Arial"/>
                <w:sz w:val="18"/>
                <w:szCs w:val="18"/>
                <w:color w:val="auto"/>
                <w:vertAlign w:val="superscript"/>
              </w:rPr>
              <w:t>1</w:t>
            </w:r>
          </w:p>
        </w:tc>
        <w:tc>
          <w:tcPr>
            <w:tcW w:w="3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4,688</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5,034</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r>
      <w:tr>
        <w:trPr>
          <w:trHeight w:val="156"/>
        </w:trPr>
        <w:tc>
          <w:tcPr>
            <w:tcW w:w="5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Operating Income</w:t>
            </w:r>
          </w:p>
        </w:tc>
        <w:tc>
          <w:tcPr>
            <w:tcW w:w="3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2,758</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3,067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r>
      <w:tr>
        <w:trPr>
          <w:trHeight w:val="156"/>
        </w:trPr>
        <w:tc>
          <w:tcPr>
            <w:tcW w:w="5480" w:type="dxa"/>
            <w:vAlign w:val="bottom"/>
            <w:tcBorders>
              <w:bottom w:val="single" w:sz="8" w:color="auto"/>
            </w:tcBorders>
          </w:tcPr>
          <w:p>
            <w:pPr>
              <w:spacing w:after="0" w:line="156" w:lineRule="exact"/>
              <w:rPr>
                <w:sz w:val="20"/>
                <w:szCs w:val="20"/>
                <w:color w:val="auto"/>
              </w:rPr>
            </w:pPr>
            <w:r>
              <w:rPr>
                <w:rFonts w:ascii="Arial" w:cs="Arial" w:eastAsia="Arial" w:hAnsi="Arial"/>
                <w:sz w:val="11"/>
                <w:szCs w:val="11"/>
                <w:color w:val="auto"/>
              </w:rPr>
              <w:t>Earnings per Share</w:t>
            </w:r>
            <w:r>
              <w:rPr>
                <w:rFonts w:ascii="Arial" w:cs="Arial" w:eastAsia="Arial" w:hAnsi="Arial"/>
                <w:sz w:val="18"/>
                <w:szCs w:val="18"/>
                <w:color w:val="auto"/>
                <w:vertAlign w:val="superscript"/>
              </w:rPr>
              <w:t>2</w:t>
            </w:r>
          </w:p>
        </w:tc>
        <w:tc>
          <w:tcPr>
            <w:tcW w:w="3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0.45</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0.54</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r>
      <w:tr>
        <w:trPr>
          <w:trHeight w:val="268"/>
        </w:trPr>
        <w:tc>
          <w:tcPr>
            <w:tcW w:w="5480" w:type="dxa"/>
            <w:vAlign w:val="bottom"/>
          </w:tcPr>
          <w:p>
            <w:pPr>
              <w:spacing w:after="0" w:line="268" w:lineRule="exact"/>
              <w:rPr>
                <w:sz w:val="20"/>
                <w:szCs w:val="20"/>
                <w:color w:val="auto"/>
              </w:rPr>
            </w:pPr>
            <w:r>
              <w:rPr>
                <w:rFonts w:ascii="Arial" w:cs="Arial" w:eastAsia="Arial" w:hAnsi="Arial"/>
                <w:sz w:val="14"/>
                <w:szCs w:val="14"/>
                <w:color w:val="auto"/>
              </w:rPr>
              <w:t>Free Cash Flow</w:t>
            </w:r>
            <w:r>
              <w:rPr>
                <w:rFonts w:ascii="Arial" w:cs="Arial" w:eastAsia="Arial" w:hAnsi="Arial"/>
                <w:sz w:val="24"/>
                <w:szCs w:val="24"/>
                <w:color w:val="auto"/>
                <w:vertAlign w:val="superscript"/>
              </w:rPr>
              <w:t>3</w:t>
            </w:r>
          </w:p>
        </w:tc>
        <w:tc>
          <w:tcPr>
            <w:tcW w:w="3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3,138</w:t>
            </w: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r>
    </w:tbl>
    <w:p>
      <w:pPr>
        <w:ind w:left="120" w:right="20"/>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20"/>
          </w:cols>
          <w:pgMar w:left="240" w:top="118" w:right="2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8"/>
          <w:szCs w:val="18"/>
          <w:color w:val="auto"/>
        </w:rPr>
        <w:t>for the first quarter of 2013 increased 2.9% to $15.3 billion. Excluding $259 million of revenue generated by the NFL’s Super Bowl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first quarter of 2012, revenue increased 4.7% (see Table 5).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7.4% to $5.0 billion and </w:t>
      </w: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xml:space="preserve"> increased 11.2% to $3.1 billion.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2013 was $0.54, a 20.0% increase from the $0.45 reported in the first quarter of 2012.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Excluding a $0.03 per share gain in the first quarter of 2013 on the sale of wireless spectrum licenses, EPS increased 13.3% (see Table 4).</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15.9% to $1.4 billion in the first quarter of 2013 compared to the first quarter of 2012. Cable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increased $38 million, or 3.6%, to $1.1 billion in the first quarter of 2013, primarily reflecting our ongoing investment in network infrastructure and the expansion of Business Services and Xfinity Home. Cable capital expenditures represented 10.7% of Cable revenue in the first quarter of 2013 compared to 11.0% in last year’s first quarter. NBCUniversal’s capital expenditures increased $152 million to $263 million in the first quarter of 2013, primarily reflecting increased investments in Theme Parks.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3.3% to $3.1 billion in the first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first quarter of 2012, reflecting growth in consolidated operating cash flow, partially offset by higher capital expenditures.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1st Quarter</w:t>
            </w:r>
          </w:p>
        </w:tc>
        <w:tc>
          <w:tcPr>
            <w:tcW w:w="760" w:type="dxa"/>
            <w:vAlign w:val="bottom"/>
          </w:tcPr>
          <w:p>
            <w:pPr>
              <w:spacing w:after="0"/>
              <w:rPr>
                <w:sz w:val="14"/>
                <w:szCs w:val="14"/>
                <w:color w:val="auto"/>
              </w:rPr>
            </w:pPr>
          </w:p>
        </w:tc>
      </w:tr>
      <w:tr>
        <w:trPr>
          <w:trHeight w:val="215"/>
        </w:trPr>
        <w:tc>
          <w:tcPr>
            <w:tcW w:w="658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 in millions)</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Growth</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Operating Cash Flow</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$ 4,688</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$ 5,034</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7.4%</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Capital Expenditures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(1,361)</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15.9%</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Paid for Capitalized Software and Other Intangible Assets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(182)</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Interest Expense</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(617)</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0.5%</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Taxes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(461)</w:t>
            </w:r>
          </w:p>
        </w:tc>
        <w:tc>
          <w:tcPr>
            <w:tcW w:w="7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Changes in Operating Assets and Liabilities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369</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6.6%</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356</w:t>
            </w:r>
          </w:p>
        </w:tc>
        <w:tc>
          <w:tcPr>
            <w:tcW w:w="7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Free Cash Flow (Incl. Economic Stimulus Packages)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$ 3,039</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$ 3,138</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Economic Stimulus Packages</w:t>
            </w:r>
          </w:p>
        </w:tc>
        <w:tc>
          <w:tcPr>
            <w:tcW w:w="3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r>
      <w:tr>
        <w:trPr>
          <w:trHeight w:val="171"/>
        </w:trPr>
        <w:tc>
          <w:tcPr>
            <w:tcW w:w="6580" w:type="dxa"/>
            <w:vAlign w:val="bottom"/>
          </w:tcPr>
          <w:p>
            <w:pPr>
              <w:spacing w:after="0"/>
              <w:rPr>
                <w:sz w:val="20"/>
                <w:szCs w:val="20"/>
                <w:color w:val="auto"/>
              </w:rPr>
            </w:pPr>
            <w:r>
              <w:rPr>
                <w:rFonts w:ascii="Arial" w:cs="Arial" w:eastAsia="Arial" w:hAnsi="Arial"/>
                <w:sz w:val="14"/>
                <w:szCs w:val="14"/>
                <w:color w:val="auto"/>
              </w:rPr>
              <w:t>Free Cash Flow</w:t>
            </w:r>
          </w:p>
        </w:tc>
        <w:tc>
          <w:tcPr>
            <w:tcW w:w="3080" w:type="dxa"/>
            <w:vAlign w:val="bottom"/>
          </w:tcPr>
          <w:p>
            <w:pPr>
              <w:jc w:val="right"/>
              <w:spacing w:after="0"/>
              <w:rPr>
                <w:sz w:val="20"/>
                <w:szCs w:val="20"/>
                <w:color w:val="auto"/>
              </w:rPr>
            </w:pPr>
            <w:r>
              <w:rPr>
                <w:rFonts w:ascii="Arial" w:cs="Arial" w:eastAsia="Arial" w:hAnsi="Arial"/>
                <w:sz w:val="14"/>
                <w:szCs w:val="14"/>
                <w:color w:val="auto"/>
              </w:rPr>
              <w:t>$ 3,039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$ 3,138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w:t>
            </w:r>
          </w:p>
        </w:tc>
      </w:tr>
    </w:tbl>
    <w:p>
      <w:pPr>
        <w:spacing w:after="0" w:line="98" w:lineRule="exact"/>
        <w:rPr>
          <w:sz w:val="20"/>
          <w:szCs w:val="20"/>
          <w:color w:val="auto"/>
        </w:rPr>
      </w:pPr>
    </w:p>
    <w:p>
      <w:pPr>
        <w:ind w:left="120" w:right="40"/>
        <w:spacing w:after="0" w:line="250" w:lineRule="auto"/>
        <w:rPr>
          <w:sz w:val="20"/>
          <w:szCs w:val="20"/>
          <w:color w:val="auto"/>
        </w:rPr>
      </w:pPr>
      <w:r>
        <w:rPr>
          <w:rFonts w:ascii="Arial" w:cs="Arial" w:eastAsia="Arial" w:hAnsi="Arial"/>
          <w:sz w:val="14"/>
          <w:szCs w:val="14"/>
          <w:color w:val="auto"/>
        </w:rPr>
        <w:t>Note: The definition of Free Cash Flow excludes any impact from the 2008-2013 Economic Stimulus packages. These amounts have been excluded from Free Cash Flow to provide an appropriate comparison. “Other” in 2013 is substantially comprised of cash taxes paid in the first quarter of 2013 related to 2012 taxable income that were reflected as a reduction of 2012 Free Cash Flow.</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NM=comparison not meaningful.</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2013, Comcast paid dividends totaling $429 million and repurchased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13.3 million of its common shares for $500 million. As of March 31, 2013, Comcast had approximately $3.0 billion available under its share repurchase authorization.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1st Quarter</w:t>
            </w:r>
          </w:p>
        </w:tc>
        <w:tc>
          <w:tcPr>
            <w:tcW w:w="740" w:type="dxa"/>
            <w:vAlign w:val="bottom"/>
          </w:tcPr>
          <w:p>
            <w:pPr>
              <w:spacing w:after="0"/>
              <w:rPr>
                <w:sz w:val="14"/>
                <w:szCs w:val="14"/>
                <w:color w:val="auto"/>
              </w:rPr>
            </w:pPr>
          </w:p>
        </w:tc>
      </w:tr>
      <w:tr>
        <w:trPr>
          <w:trHeight w:val="215"/>
        </w:trPr>
        <w:tc>
          <w:tcPr>
            <w:tcW w:w="592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 in millions)</w:t>
            </w:r>
          </w:p>
        </w:tc>
        <w:tc>
          <w:tcPr>
            <w:tcW w:w="3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Growth</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Cable Communications Revenue</w:t>
            </w:r>
          </w:p>
        </w:tc>
        <w:tc>
          <w:tcPr>
            <w:tcW w:w="3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Video</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$4,929</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5,113</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High-Speed Internet</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2,323</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2,523</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Voice</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878</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900</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Business Services</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581</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741</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Advertising</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475</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488</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413</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452</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w:t>
            </w:r>
          </w:p>
        </w:tc>
      </w:tr>
      <w:tr>
        <w:trPr>
          <w:trHeight w:val="184"/>
        </w:trPr>
        <w:tc>
          <w:tcPr>
            <w:tcW w:w="5920" w:type="dxa"/>
            <w:vAlign w:val="bottom"/>
          </w:tcPr>
          <w:p>
            <w:pPr>
              <w:spacing w:after="0"/>
              <w:rPr>
                <w:sz w:val="20"/>
                <w:szCs w:val="20"/>
                <w:color w:val="auto"/>
              </w:rPr>
            </w:pPr>
            <w:r>
              <w:rPr>
                <w:rFonts w:ascii="Arial" w:cs="Arial" w:eastAsia="Arial" w:hAnsi="Arial"/>
                <w:sz w:val="14"/>
                <w:szCs w:val="14"/>
                <w:b w:val="1"/>
                <w:bCs w:val="1"/>
                <w:color w:val="auto"/>
              </w:rPr>
              <w:t>Cable Communications Revenue</w:t>
            </w:r>
          </w:p>
        </w:tc>
        <w:tc>
          <w:tcPr>
            <w:tcW w:w="3680" w:type="dxa"/>
            <w:vAlign w:val="bottom"/>
          </w:tcPr>
          <w:p>
            <w:pPr>
              <w:jc w:val="right"/>
              <w:ind w:right="88"/>
              <w:spacing w:after="0"/>
              <w:rPr>
                <w:sz w:val="20"/>
                <w:szCs w:val="20"/>
                <w:color w:val="auto"/>
              </w:rPr>
            </w:pPr>
            <w:r>
              <w:rPr>
                <w:rFonts w:ascii="Arial" w:cs="Arial" w:eastAsia="Arial" w:hAnsi="Arial"/>
                <w:sz w:val="14"/>
                <w:szCs w:val="14"/>
                <w:b w:val="1"/>
                <w:bCs w:val="1"/>
                <w:color w:val="auto"/>
              </w:rPr>
              <w:t>$ 9,599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10,217</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134"/>
        </w:trPr>
        <w:tc>
          <w:tcPr>
            <w:tcW w:w="59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Cable Communications OCF</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$3,955</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4,219</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w:t>
            </w:r>
          </w:p>
        </w:tc>
      </w:tr>
      <w:tr>
        <w:trPr>
          <w:trHeight w:val="180"/>
        </w:trPr>
        <w:tc>
          <w:tcPr>
            <w:tcW w:w="5920" w:type="dxa"/>
            <w:vAlign w:val="bottom"/>
          </w:tcPr>
          <w:p>
            <w:pPr>
              <w:spacing w:after="0"/>
              <w:rPr>
                <w:sz w:val="20"/>
                <w:szCs w:val="20"/>
                <w:color w:val="auto"/>
              </w:rPr>
            </w:pPr>
            <w:r>
              <w:rPr>
                <w:rFonts w:ascii="Arial" w:cs="Arial" w:eastAsia="Arial" w:hAnsi="Arial"/>
                <w:sz w:val="14"/>
                <w:szCs w:val="14"/>
                <w:i w:val="1"/>
                <w:iCs w:val="1"/>
                <w:color w:val="auto"/>
              </w:rPr>
              <w:t>OCF Margin</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41.2%</w:t>
            </w: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i w:val="1"/>
                <w:iCs w:val="1"/>
                <w:color w:val="auto"/>
              </w:rPr>
              <w:t>41.3%</w:t>
            </w:r>
          </w:p>
        </w:tc>
        <w:tc>
          <w:tcPr>
            <w:tcW w:w="740" w:type="dxa"/>
            <w:vAlign w:val="bottom"/>
          </w:tcPr>
          <w:p>
            <w:pPr>
              <w:spacing w:after="0"/>
              <w:rPr>
                <w:sz w:val="15"/>
                <w:szCs w:val="15"/>
                <w:color w:val="auto"/>
              </w:rPr>
            </w:pPr>
          </w:p>
        </w:tc>
      </w:tr>
      <w:tr>
        <w:trPr>
          <w:trHeight w:val="138"/>
        </w:trPr>
        <w:tc>
          <w:tcPr>
            <w:tcW w:w="59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56"/>
        </w:trPr>
        <w:tc>
          <w:tcPr>
            <w:tcW w:w="5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Cable Communications Capital Expenditures</w:t>
            </w:r>
          </w:p>
        </w:tc>
        <w:tc>
          <w:tcPr>
            <w:tcW w:w="3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$1,056</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1,094</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r>
      <w:tr>
        <w:trPr>
          <w:trHeight w:val="180"/>
        </w:trPr>
        <w:tc>
          <w:tcPr>
            <w:tcW w:w="5920" w:type="dxa"/>
            <w:vAlign w:val="bottom"/>
          </w:tcPr>
          <w:p>
            <w:pPr>
              <w:spacing w:after="0"/>
              <w:rPr>
                <w:sz w:val="20"/>
                <w:szCs w:val="20"/>
                <w:color w:val="auto"/>
              </w:rPr>
            </w:pPr>
            <w:r>
              <w:rPr>
                <w:rFonts w:ascii="Arial" w:cs="Arial" w:eastAsia="Arial" w:hAnsi="Arial"/>
                <w:sz w:val="14"/>
                <w:szCs w:val="14"/>
                <w:i w:val="1"/>
                <w:iCs w:val="1"/>
                <w:color w:val="auto"/>
              </w:rPr>
              <w:t>Percent of Cable Communications Revenue</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11.0%</w:t>
            </w: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i w:val="1"/>
                <w:iCs w:val="1"/>
                <w:color w:val="auto"/>
              </w:rPr>
              <w:t>10.7%</w:t>
            </w:r>
          </w:p>
        </w:tc>
        <w:tc>
          <w:tcPr>
            <w:tcW w:w="740" w:type="dxa"/>
            <w:vAlign w:val="bottom"/>
          </w:tcPr>
          <w:p>
            <w:pPr>
              <w:spacing w:after="0"/>
              <w:rPr>
                <w:sz w:val="15"/>
                <w:szCs w:val="15"/>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5" w:right="2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8"/>
          <w:szCs w:val="18"/>
          <w:color w:val="auto"/>
        </w:rPr>
        <w:t>for Cable Communications increased 6.4% to $10.2 billion in the first quarter of 2013 compared to $9.6 billion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reflecting increases of 8.6% in High-Speed Internet, 3.7% in Video and 27.5% in Business Services. Monthly average total revenue per Video customer increased 8.1% to $155.05, reflecting rate adjustments, an increasing number of residential customers taking multiple products and a higher contribution from Business Services.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Combined Video, High-Speed Internet and Voice Customers </w:t>
      </w:r>
      <w:r>
        <w:rPr>
          <w:rFonts w:ascii="Arial" w:cs="Arial" w:eastAsia="Arial" w:hAnsi="Arial"/>
          <w:sz w:val="18"/>
          <w:szCs w:val="18"/>
          <w:color w:val="auto"/>
        </w:rPr>
        <w:t>increased by 583,000 in the first quarter of 2013, a 3.2% increase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compared to first quarter 2012, reflecting growth in High-Speed Internet and Voice customers. As of March 31, 2013, Video, High-Speed Internet and Voice customers totaled 51.9 million, an increase of 1.5 million or 3.0% over last year’s first quarter.</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4260" w:type="dxa"/>
            <w:vAlign w:val="bottom"/>
            <w:gridSpan w:val="2"/>
          </w:tcPr>
          <w:p>
            <w:pPr>
              <w:jc w:val="right"/>
              <w:ind w:right="268"/>
              <w:spacing w:after="0"/>
              <w:rPr>
                <w:sz w:val="20"/>
                <w:szCs w:val="20"/>
                <w:color w:val="auto"/>
              </w:rPr>
            </w:pPr>
            <w:r>
              <w:rPr>
                <w:rFonts w:ascii="Arial" w:cs="Arial" w:eastAsia="Arial" w:hAnsi="Arial"/>
                <w:sz w:val="14"/>
                <w:szCs w:val="14"/>
                <w:color w:val="auto"/>
              </w:rPr>
              <w:t>Customers</w:t>
            </w:r>
          </w:p>
        </w:tc>
        <w:tc>
          <w:tcPr>
            <w:tcW w:w="1120" w:type="dxa"/>
            <w:vAlign w:val="bottom"/>
            <w:gridSpan w:val="2"/>
          </w:tcPr>
          <w:p>
            <w:pPr>
              <w:jc w:val="right"/>
              <w:ind w:right="208"/>
              <w:spacing w:after="0"/>
              <w:rPr>
                <w:sz w:val="20"/>
                <w:szCs w:val="20"/>
                <w:color w:val="auto"/>
              </w:rPr>
            </w:pPr>
            <w:r>
              <w:rPr>
                <w:rFonts w:ascii="Arial" w:cs="Arial" w:eastAsia="Arial" w:hAnsi="Arial"/>
                <w:sz w:val="14"/>
                <w:szCs w:val="14"/>
                <w:color w:val="auto"/>
              </w:rPr>
              <w:t>Net Adds</w:t>
            </w:r>
          </w:p>
        </w:tc>
      </w:tr>
      <w:tr>
        <w:trPr>
          <w:trHeight w:val="215"/>
        </w:trPr>
        <w:tc>
          <w:tcPr>
            <w:tcW w:w="582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(in thousands)</w:t>
            </w:r>
          </w:p>
        </w:tc>
        <w:tc>
          <w:tcPr>
            <w:tcW w:w="3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1Q12</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1Q13</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1Q12</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1Q13</w:t>
            </w:r>
          </w:p>
        </w:tc>
      </w:tr>
      <w:tr>
        <w:trPr>
          <w:trHeight w:val="156"/>
        </w:trPr>
        <w:tc>
          <w:tcPr>
            <w:tcW w:w="5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Video Customers</w:t>
            </w:r>
          </w:p>
        </w:tc>
        <w:tc>
          <w:tcPr>
            <w:tcW w:w="3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22,294</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21,935</w:t>
            </w:r>
          </w:p>
        </w:tc>
        <w:tc>
          <w:tcPr>
            <w:tcW w:w="5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(37)</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r>
      <w:tr>
        <w:trPr>
          <w:trHeight w:val="156"/>
        </w:trPr>
        <w:tc>
          <w:tcPr>
            <w:tcW w:w="5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High-Speed Internet Customers</w:t>
            </w:r>
          </w:p>
        </w:tc>
        <w:tc>
          <w:tcPr>
            <w:tcW w:w="3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18,582</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19,799</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439</w:t>
            </w:r>
          </w:p>
        </w:tc>
        <w:tc>
          <w:tcPr>
            <w:tcW w:w="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433</w:t>
            </w:r>
          </w:p>
        </w:tc>
      </w:tr>
      <w:tr>
        <w:trPr>
          <w:trHeight w:val="156"/>
        </w:trPr>
        <w:tc>
          <w:tcPr>
            <w:tcW w:w="5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Voice Customers</w:t>
            </w:r>
          </w:p>
        </w:tc>
        <w:tc>
          <w:tcPr>
            <w:tcW w:w="3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9,506</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10,166</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164</w:t>
            </w:r>
          </w:p>
        </w:tc>
        <w:tc>
          <w:tcPr>
            <w:tcW w:w="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211</w:t>
            </w:r>
          </w:p>
        </w:tc>
      </w:tr>
      <w:tr>
        <w:trPr>
          <w:trHeight w:val="171"/>
        </w:trPr>
        <w:tc>
          <w:tcPr>
            <w:tcW w:w="5820" w:type="dxa"/>
            <w:vAlign w:val="bottom"/>
          </w:tcPr>
          <w:p>
            <w:pPr>
              <w:spacing w:after="0"/>
              <w:rPr>
                <w:sz w:val="20"/>
                <w:szCs w:val="20"/>
                <w:color w:val="auto"/>
              </w:rPr>
            </w:pPr>
            <w:r>
              <w:rPr>
                <w:rFonts w:ascii="Arial" w:cs="Arial" w:eastAsia="Arial" w:hAnsi="Arial"/>
                <w:sz w:val="14"/>
                <w:szCs w:val="14"/>
                <w:color w:val="auto"/>
              </w:rPr>
              <w:t>Combined Video, HSI and Voice Customers</w:t>
            </w:r>
          </w:p>
        </w:tc>
        <w:tc>
          <w:tcPr>
            <w:tcW w:w="3600" w:type="dxa"/>
            <w:vAlign w:val="bottom"/>
          </w:tcPr>
          <w:p>
            <w:pPr>
              <w:jc w:val="right"/>
              <w:ind w:right="48"/>
              <w:spacing w:after="0"/>
              <w:rPr>
                <w:sz w:val="20"/>
                <w:szCs w:val="20"/>
                <w:color w:val="auto"/>
              </w:rPr>
            </w:pPr>
            <w:r>
              <w:rPr>
                <w:rFonts w:ascii="Arial" w:cs="Arial" w:eastAsia="Arial" w:hAnsi="Arial"/>
                <w:sz w:val="14"/>
                <w:szCs w:val="14"/>
                <w:color w:val="auto"/>
              </w:rPr>
              <w:t>50,382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51,900</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565</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583</w:t>
            </w:r>
          </w:p>
        </w:tc>
      </w:tr>
    </w:tbl>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6.7% to $4.2 billion in the first quarter of 2013 compared to $4.0 billion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reflecting higher revenue, partially offset by increases in video programming costs. This quarter’s operating cash flow margin was 41.3% compared to 41.2% in the first quarter of 2012.</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1st Quarter</w:t>
            </w:r>
          </w:p>
        </w:tc>
        <w:tc>
          <w:tcPr>
            <w:tcW w:w="720" w:type="dxa"/>
            <w:vAlign w:val="bottom"/>
          </w:tcPr>
          <w:p>
            <w:pPr>
              <w:spacing w:after="0"/>
              <w:rPr>
                <w:sz w:val="14"/>
                <w:szCs w:val="14"/>
                <w:color w:val="auto"/>
              </w:rPr>
            </w:pPr>
          </w:p>
        </w:tc>
      </w:tr>
      <w:tr>
        <w:trPr>
          <w:trHeight w:val="215"/>
        </w:trPr>
        <w:tc>
          <w:tcPr>
            <w:tcW w:w="580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 in millions)</w:t>
            </w:r>
          </w:p>
        </w:tc>
        <w:tc>
          <w:tcPr>
            <w:tcW w:w="3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Growth</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NBCUniversal Revenue</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Cable Networks</w:t>
            </w:r>
          </w:p>
        </w:tc>
        <w:tc>
          <w:tcPr>
            <w:tcW w:w="3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2,128</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6"/>
              </w:rPr>
              <w:t>2,225</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Broadcast Television</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1,861</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6"/>
              </w:rPr>
              <w:t>1,517</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Filmed Entertainment</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1,192</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6"/>
              </w:rPr>
              <w:t>1,216</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Theme Parks</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462</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12.2%</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Headquarters, Other and Eliminations</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(80)</w:t>
            </w: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44"/>
        </w:trPr>
        <w:tc>
          <w:tcPr>
            <w:tcW w:w="5800" w:type="dxa"/>
            <w:vAlign w:val="bottom"/>
          </w:tcPr>
          <w:p>
            <w:pPr>
              <w:spacing w:after="0" w:line="145" w:lineRule="exact"/>
              <w:rPr>
                <w:sz w:val="20"/>
                <w:szCs w:val="20"/>
                <w:color w:val="auto"/>
              </w:rPr>
            </w:pPr>
            <w:r>
              <w:rPr>
                <w:rFonts w:ascii="Arial" w:cs="Arial" w:eastAsia="Arial" w:hAnsi="Arial"/>
                <w:sz w:val="14"/>
                <w:szCs w:val="14"/>
                <w:b w:val="1"/>
                <w:bCs w:val="1"/>
                <w:color w:val="auto"/>
              </w:rPr>
              <w:t>NBCUniversal Revenue</w:t>
            </w:r>
          </w:p>
        </w:tc>
        <w:tc>
          <w:tcPr>
            <w:tcW w:w="34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6"/>
              </w:rPr>
              <w:t>5,472</w:t>
            </w:r>
          </w:p>
        </w:tc>
        <w:tc>
          <w:tcPr>
            <w:tcW w:w="2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08"/>
              <w:spacing w:after="0" w:line="145" w:lineRule="exact"/>
              <w:rPr>
                <w:sz w:val="20"/>
                <w:szCs w:val="20"/>
                <w:color w:val="auto"/>
              </w:rPr>
            </w:pPr>
            <w:r>
              <w:rPr>
                <w:rFonts w:ascii="Arial" w:cs="Arial" w:eastAsia="Arial" w:hAnsi="Arial"/>
                <w:sz w:val="14"/>
                <w:szCs w:val="14"/>
                <w:b w:val="1"/>
                <w:bCs w:val="1"/>
                <w:color w:val="auto"/>
                <w:w w:val="96"/>
              </w:rPr>
              <w:t>5,340</w:t>
            </w:r>
          </w:p>
        </w:tc>
        <w:tc>
          <w:tcPr>
            <w:tcW w:w="7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(2.4%)</w:t>
            </w:r>
          </w:p>
        </w:tc>
      </w:tr>
      <w:tr>
        <w:trPr>
          <w:trHeight w:val="188"/>
        </w:trPr>
        <w:tc>
          <w:tcPr>
            <w:tcW w:w="5800" w:type="dxa"/>
            <w:vAlign w:val="bottom"/>
          </w:tcPr>
          <w:p>
            <w:pPr>
              <w:spacing w:after="0"/>
              <w:rPr>
                <w:sz w:val="20"/>
                <w:szCs w:val="20"/>
                <w:color w:val="auto"/>
              </w:rPr>
            </w:pPr>
            <w:r>
              <w:rPr>
                <w:rFonts w:ascii="Arial" w:cs="Arial" w:eastAsia="Arial" w:hAnsi="Arial"/>
                <w:sz w:val="14"/>
                <w:szCs w:val="14"/>
                <w:b w:val="1"/>
                <w:bCs w:val="1"/>
                <w:i w:val="1"/>
                <w:iCs w:val="1"/>
                <w:color w:val="auto"/>
              </w:rPr>
              <w:t>(% growth excluding Super Bowl)</w:t>
            </w:r>
          </w:p>
        </w:tc>
        <w:tc>
          <w:tcPr>
            <w:tcW w:w="3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2.4%</w:t>
            </w:r>
          </w:p>
        </w:tc>
      </w:tr>
      <w:tr>
        <w:trPr>
          <w:trHeight w:val="147"/>
        </w:trPr>
        <w:tc>
          <w:tcPr>
            <w:tcW w:w="580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NBCUniversal OCF</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Cable Networks</w:t>
            </w:r>
          </w:p>
        </w:tc>
        <w:tc>
          <w:tcPr>
            <w:tcW w:w="3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859</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6.2%</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Broadcast Television</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(35)</w:t>
            </w: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Filmed Entertainment</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69</w:t>
            </w: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Theme Parks</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173</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10.3%</w:t>
            </w:r>
          </w:p>
        </w:tc>
      </w:tr>
      <w:tr>
        <w:trPr>
          <w:trHeight w:val="156"/>
        </w:trPr>
        <w:tc>
          <w:tcPr>
            <w:tcW w:w="5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Headquarters, Other and Eliminations</w:t>
            </w:r>
          </w:p>
        </w:tc>
        <w:tc>
          <w:tcPr>
            <w:tcW w:w="3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(113)</w:t>
            </w: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NM</w:t>
            </w:r>
          </w:p>
        </w:tc>
      </w:tr>
      <w:tr>
        <w:trPr>
          <w:trHeight w:val="184"/>
        </w:trPr>
        <w:tc>
          <w:tcPr>
            <w:tcW w:w="5800" w:type="dxa"/>
            <w:vAlign w:val="bottom"/>
          </w:tcPr>
          <w:p>
            <w:pPr>
              <w:spacing w:after="0"/>
              <w:rPr>
                <w:sz w:val="20"/>
                <w:szCs w:val="20"/>
                <w:color w:val="auto"/>
              </w:rPr>
            </w:pPr>
            <w:r>
              <w:rPr>
                <w:rFonts w:ascii="Arial" w:cs="Arial" w:eastAsia="Arial" w:hAnsi="Arial"/>
                <w:sz w:val="14"/>
                <w:szCs w:val="14"/>
                <w:b w:val="1"/>
                <w:bCs w:val="1"/>
                <w:color w:val="auto"/>
              </w:rPr>
              <w:t>NBCUniversal OCF</w:t>
            </w:r>
          </w:p>
        </w:tc>
        <w:tc>
          <w:tcPr>
            <w:tcW w:w="3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813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953</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17.2%</w:t>
            </w:r>
          </w:p>
        </w:tc>
      </w:tr>
    </w:tbl>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2.4% to $5.3 billion in the first quarter of 2013 compared to $5.5 billion in the first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$259 million of revenue generated by the broadcast of the NFL’s Super Bowl in the first quarter of 2012, revenue increased 2.4% (see Table 5).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17.2% to $953 million compared to $813 million in the first quarter of 2012, reflecting strong results at Cable Networks, Filmed Entertainment and Theme Parks.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first quarter of 2013, revenue from the Cable Networks segment increased 4.6% to $2.2 billion compared to the first quarter of 2012, driven by an 8.6% increase in distribution revenue. Advertising revenue increased 2.5%, primarily reflecting price increases, offset by lower ratings, and content licensing and other revenue decreased 11.9%. Operating cash flow increased 6.2% to $859 million compared to $809 million in the first quarter of 2012, reflecting higher revenue and a 2.4% increase in programming and production costs, due to the continued investment in original programming, partially offset by lower sports programming costs compared to last year’s first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first quarter of 2013, revenue from the Broadcast Television segment decreased 18.5% to $1.5 billion compared to $1.9 billion in the first quarter of 2012. Excluding $259 million of revenue generated by the NFL’s Super Bowl in the first quarter of 2012, revenue decreased 5.3% (see Table 5), driven by lower primetime ratings at the NBC broadcast network and lower content licensing revenue. Primarily reflecting the decline in revenue, the Broadcast Television segment generated an operating cash flow loss of $35 million in the first quarter of 2013 compared to a loss of $14 million in the first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first quarter of 2013, revenue from the Filmed Entertainment segment increased 2.0% to $1.2 billion compared to the first quarter of 2012, driven by higher theatrical revenue from the strong box office performance of </w:t>
      </w:r>
      <w:r>
        <w:rPr>
          <w:rFonts w:ascii="Arial" w:cs="Arial" w:eastAsia="Arial" w:hAnsi="Arial"/>
          <w:sz w:val="18"/>
          <w:szCs w:val="18"/>
          <w:i w:val="1"/>
          <w:iCs w:val="1"/>
          <w:color w:val="auto"/>
        </w:rPr>
        <w:t>Les Miserables</w:t>
      </w:r>
      <w:r>
        <w:rPr>
          <w:rFonts w:ascii="Arial" w:cs="Arial" w:eastAsia="Arial" w:hAnsi="Arial"/>
          <w:sz w:val="18"/>
          <w:szCs w:val="18"/>
          <w:color w:val="auto"/>
        </w:rPr>
        <w:t xml:space="preserve"> and the first quarter releases of </w:t>
      </w:r>
      <w:r>
        <w:rPr>
          <w:rFonts w:ascii="Arial" w:cs="Arial" w:eastAsia="Arial" w:hAnsi="Arial"/>
          <w:sz w:val="18"/>
          <w:szCs w:val="18"/>
          <w:i w:val="1"/>
          <w:iCs w:val="1"/>
          <w:color w:val="auto"/>
        </w:rPr>
        <w:t>Identity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Thief </w:t>
      </w:r>
      <w:r>
        <w:rPr>
          <w:rFonts w:ascii="Arial" w:cs="Arial" w:eastAsia="Arial" w:hAnsi="Arial"/>
          <w:sz w:val="18"/>
          <w:szCs w:val="18"/>
          <w:color w:val="auto"/>
        </w:rPr>
        <w:t>and</w:t>
      </w:r>
      <w:r>
        <w:rPr>
          <w:rFonts w:ascii="Arial" w:cs="Arial" w:eastAsia="Arial" w:hAnsi="Arial"/>
          <w:sz w:val="18"/>
          <w:szCs w:val="18"/>
          <w:i w:val="1"/>
          <w:iCs w:val="1"/>
          <w:color w:val="auto"/>
        </w:rPr>
        <w:t xml:space="preserve"> Mama</w:t>
      </w:r>
      <w:r>
        <w:rPr>
          <w:rFonts w:ascii="Arial" w:cs="Arial" w:eastAsia="Arial" w:hAnsi="Arial"/>
          <w:sz w:val="18"/>
          <w:szCs w:val="18"/>
          <w:color w:val="auto"/>
        </w:rPr>
        <w:t>, as well as higher content licensing revenue. Operating cash flow increased to $69 million compared to $6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reflecting higher revenue due to improved performance and lower marketing expense due to fewer theatrical releases in the first quarter compared to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first quarter of 2013, revenue from the Theme Parks segment increased 12.2% to $462 million compared to $412 million in the first quarter of 2012, driven by higher attendance at the Orlando and Hollywood parks, which benefitted, in part, from the timing of holidays. First quarter operating cash flow increased 10.3% to $173 million compared to $157 million in the same period last year, reflecting higher revenue, partially offset by increased operating costs to support new attractions.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2013, NBCUniversal Headquarters, Other and Eliminations operating cash flow loss was $113 million compared to a loss of $145 million in the first quarter of 2012, reflecting lower employee benefit costs.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include corporate operations, Comcast-Spectacor and eliminations among Comcast’s businesses. For the quarter ended March 31, 2013, Corporate, Other and Eliminations revenue was ($247) million compared to ($ 193) million in 2012. The operating cash flow loss was $138 million compared to a loss of $80 million in the first quarter of 2012, reflecting higher eliminations due to increased content licensing between our businesses and fewer events at Comcast-Spectacor.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Notes:</w:t>
      </w:r>
    </w:p>
    <w:p>
      <w:pPr>
        <w:spacing w:after="0" w:line="18" w:lineRule="exact"/>
        <w:rPr>
          <w:sz w:val="20"/>
          <w:szCs w:val="20"/>
          <w:color w:val="auto"/>
        </w:rPr>
      </w:pPr>
    </w:p>
    <w:p>
      <w:pPr>
        <w:ind w:left="220" w:hanging="212"/>
        <w:spacing w:after="0" w:line="246"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239" w:lineRule="exact"/>
        <w:rPr>
          <w:sz w:val="20"/>
          <w:szCs w:val="20"/>
          <w:color w:val="auto"/>
        </w:rPr>
      </w:pPr>
    </w:p>
    <w:p>
      <w:pPr>
        <w:jc w:val="both"/>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May 1, 2013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27576169. A replay of the call will be available starting at 12:30 p.m. ET on May 1, 2013, on the Investor Relations website or by telephone. To access the telephone replay, which will be available until Wednesday, May 8, 2013 at midnight ET, please dial (855) 859-2056 and enter the conference ID number 27576169.</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and entertainment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9"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85788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57885" cy="351790"/>
                    </a:xfrm>
                    <a:prstGeom prst="rect">
                      <a:avLst/>
                    </a:prstGeom>
                    <a:noFill/>
                  </pic:spPr>
                </pic:pic>
              </a:graphicData>
            </a:graphic>
          </wp:anchor>
        </w:drawing>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57785</wp:posOffset>
            </wp:positionV>
            <wp:extent cx="7267575" cy="434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34975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4"/>
          <w:szCs w:val="14"/>
          <w:color w:val="auto"/>
        </w:rPr>
        <w:t>(in millions, except per share data)</w:t>
      </w:r>
      <w:r>
        <w:rPr>
          <w:sz w:val="20"/>
          <w:szCs w:val="20"/>
          <w:color w:val="auto"/>
        </w:rPr>
        <w:tab/>
      </w:r>
      <w:r>
        <w:rPr>
          <w:rFonts w:ascii="Arial" w:cs="Arial" w:eastAsia="Arial" w:hAnsi="Arial"/>
          <w:sz w:val="14"/>
          <w:szCs w:val="14"/>
          <w:b w:val="1"/>
          <w:bCs w:val="1"/>
          <w:color w:val="auto"/>
        </w:rPr>
        <w:t>March 31,</w:t>
      </w:r>
    </w:p>
    <w:p>
      <w:pPr>
        <w:ind w:left="9760"/>
        <w:spacing w:after="0" w:line="236" w:lineRule="auto"/>
        <w:tabs>
          <w:tab w:leader="none" w:pos="1060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958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580" w:type="dxa"/>
            <w:vAlign w:val="bottom"/>
            <w:vMerge w:val="continue"/>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14,878</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15,310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140"/>
              <w:spacing w:after="0"/>
              <w:rPr>
                <w:sz w:val="20"/>
                <w:szCs w:val="20"/>
                <w:color w:val="auto"/>
              </w:rPr>
            </w:pPr>
            <w:r>
              <w:rPr>
                <w:rFonts w:ascii="Arial" w:cs="Arial" w:eastAsia="Arial" w:hAnsi="Arial"/>
                <w:sz w:val="14"/>
                <w:szCs w:val="14"/>
                <w:color w:val="auto"/>
              </w:rPr>
              <w:t>Programming and production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Other operating and administrative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4,244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4,466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580" w:type="dxa"/>
            <w:vAlign w:val="bottom"/>
          </w:tcPr>
          <w:p>
            <w:pPr>
              <w:ind w:left="140"/>
              <w:spacing w:after="0"/>
              <w:rPr>
                <w:sz w:val="20"/>
                <w:szCs w:val="20"/>
                <w:color w:val="auto"/>
              </w:rPr>
            </w:pPr>
            <w:r>
              <w:rPr>
                <w:rFonts w:ascii="Arial" w:cs="Arial" w:eastAsia="Arial" w:hAnsi="Arial"/>
                <w:sz w:val="14"/>
                <w:szCs w:val="14"/>
                <w:color w:val="auto"/>
              </w:rPr>
              <w:t>Advertising, marketing and promotion</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580" w:type="dxa"/>
            <w:vAlign w:val="bottom"/>
            <w:vMerge w:val="restart"/>
          </w:tcPr>
          <w:p>
            <w:pPr>
              <w:spacing w:after="0"/>
              <w:rPr>
                <w:sz w:val="20"/>
                <w:szCs w:val="20"/>
                <w:color w:val="auto"/>
              </w:rPr>
            </w:pPr>
            <w:r>
              <w:rPr>
                <w:rFonts w:ascii="Arial" w:cs="Arial" w:eastAsia="Arial" w:hAnsi="Arial"/>
                <w:sz w:val="14"/>
                <w:szCs w:val="14"/>
                <w:b w:val="1"/>
                <w:bCs w:val="1"/>
                <w:color w:val="auto"/>
              </w:rPr>
              <w:t>Operating cash flow</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4,688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580" w:type="dxa"/>
            <w:vAlign w:val="bottom"/>
          </w:tcPr>
          <w:p>
            <w:pPr>
              <w:ind w:left="140"/>
              <w:spacing w:after="0"/>
              <w:rPr>
                <w:sz w:val="20"/>
                <w:szCs w:val="20"/>
                <w:color w:val="auto"/>
              </w:rPr>
            </w:pPr>
            <w:r>
              <w:rPr>
                <w:rFonts w:ascii="Arial" w:cs="Arial" w:eastAsia="Arial" w:hAnsi="Arial"/>
                <w:sz w:val="14"/>
                <w:szCs w:val="14"/>
                <w:color w:val="auto"/>
              </w:rPr>
              <w:t>Depreciation expense</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1,529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1,566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580" w:type="dxa"/>
            <w:vAlign w:val="bottom"/>
          </w:tcPr>
          <w:p>
            <w:pPr>
              <w:ind w:left="140"/>
              <w:spacing w:after="0"/>
              <w:rPr>
                <w:sz w:val="20"/>
                <w:szCs w:val="20"/>
                <w:color w:val="auto"/>
              </w:rPr>
            </w:pPr>
            <w:r>
              <w:rPr>
                <w:rFonts w:ascii="Arial" w:cs="Arial" w:eastAsia="Arial" w:hAnsi="Arial"/>
                <w:sz w:val="14"/>
                <w:szCs w:val="14"/>
                <w:color w:val="auto"/>
              </w:rPr>
              <w:t>Amortization expense</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5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2,758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3,067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9580" w:type="dxa"/>
            <w:vAlign w:val="bottom"/>
          </w:tcPr>
          <w:p>
            <w:pPr>
              <w:spacing w:after="0"/>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(653)</w:t>
            </w:r>
          </w:p>
        </w:tc>
        <w:tc>
          <w:tcPr>
            <w:tcW w:w="0" w:type="dxa"/>
            <w:vAlign w:val="bottom"/>
          </w:tcPr>
          <w:p>
            <w:pPr>
              <w:spacing w:after="0"/>
              <w:rPr>
                <w:sz w:val="1"/>
                <w:szCs w:val="1"/>
                <w:color w:val="auto"/>
              </w:rPr>
            </w:pPr>
          </w:p>
        </w:tc>
      </w:tr>
      <w:tr>
        <w:trPr>
          <w:trHeight w:val="144"/>
        </w:trPr>
        <w:tc>
          <w:tcPr>
            <w:tcW w:w="9580" w:type="dxa"/>
            <w:vAlign w:val="bottom"/>
          </w:tcPr>
          <w:p>
            <w:pPr>
              <w:ind w:left="140"/>
              <w:spacing w:after="0" w:line="144"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4"/>
                <w:szCs w:val="14"/>
                <w:color w:val="auto"/>
              </w:rPr>
              <w:t>(640)</w:t>
            </w: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Investment income (loss),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Equity in net income (losses) of investees,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58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(561)</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(497)</w:t>
            </w:r>
          </w:p>
        </w:tc>
        <w:tc>
          <w:tcPr>
            <w:tcW w:w="0" w:type="dxa"/>
            <w:vAlign w:val="bottom"/>
          </w:tcPr>
          <w:p>
            <w:pPr>
              <w:spacing w:after="0"/>
              <w:rPr>
                <w:sz w:val="1"/>
                <w:szCs w:val="1"/>
                <w:color w:val="auto"/>
              </w:rPr>
            </w:pPr>
          </w:p>
        </w:tc>
      </w:tr>
      <w:tr>
        <w:trPr>
          <w:trHeight w:val="319"/>
        </w:trPr>
        <w:tc>
          <w:tcPr>
            <w:tcW w:w="95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2,197</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580" w:type="dxa"/>
            <w:vAlign w:val="bottom"/>
          </w:tcPr>
          <w:p>
            <w:pPr>
              <w:spacing w:after="0"/>
              <w:rPr>
                <w:sz w:val="20"/>
                <w:szCs w:val="20"/>
                <w:color w:val="auto"/>
              </w:rPr>
            </w:pPr>
            <w:r>
              <w:rPr>
                <w:rFonts w:ascii="Arial" w:cs="Arial" w:eastAsia="Arial" w:hAnsi="Arial"/>
                <w:sz w:val="14"/>
                <w:szCs w:val="14"/>
                <w:color w:val="auto"/>
              </w:rPr>
              <w:t>Income tax expense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(750)</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(925)</w:t>
            </w:r>
          </w:p>
        </w:tc>
        <w:tc>
          <w:tcPr>
            <w:tcW w:w="0" w:type="dxa"/>
            <w:vAlign w:val="bottom"/>
          </w:tcPr>
          <w:p>
            <w:pPr>
              <w:spacing w:after="0"/>
              <w:rPr>
                <w:sz w:val="1"/>
                <w:szCs w:val="1"/>
                <w:color w:val="auto"/>
              </w:rPr>
            </w:pPr>
          </w:p>
        </w:tc>
      </w:tr>
      <w:tr>
        <w:trPr>
          <w:trHeight w:val="319"/>
        </w:trPr>
        <w:tc>
          <w:tcPr>
            <w:tcW w:w="95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580" w:type="dxa"/>
            <w:vAlign w:val="bottom"/>
          </w:tcPr>
          <w:p>
            <w:pPr>
              <w:ind w:left="140"/>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5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80" w:type="dxa"/>
            <w:vAlign w:val="bottom"/>
          </w:tcPr>
          <w:p>
            <w:pPr>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80" w:type="dxa"/>
            <w:vAlign w:val="bottom"/>
          </w:tcPr>
          <w:p>
            <w:pPr>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0.1625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195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80" w:type="dxa"/>
            <w:vAlign w:val="bottom"/>
          </w:tcPr>
          <w:p>
            <w:pPr>
              <w:spacing w:after="0"/>
              <w:rPr>
                <w:sz w:val="20"/>
                <w:szCs w:val="20"/>
                <w:color w:val="auto"/>
              </w:rPr>
            </w:pPr>
            <w:r>
              <w:rPr>
                <w:rFonts w:ascii="Arial" w:cs="Arial" w:eastAsia="Arial" w:hAnsi="Arial"/>
                <w:sz w:val="14"/>
                <w:szCs w:val="14"/>
                <w:color w:val="auto"/>
              </w:rPr>
              <w:t>Diluted weighted-average number of common shares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60" w:top="595" w:right="379" w:bottom="1440" w:gutter="0" w:footer="0" w:header="0"/>
        </w:sectPr>
      </w:pPr>
    </w:p>
    <w:bookmarkStart w:id="9" w:name="page10"/>
    <w:bookmarkEnd w:id="9"/>
    <w:p>
      <w:pPr>
        <w:ind w:left="120"/>
        <w:spacing w:after="0"/>
        <w:rPr>
          <w:sz w:val="20"/>
          <w:szCs w:val="20"/>
          <w:color w:val="auto"/>
        </w:rPr>
      </w:pPr>
      <w:r>
        <w:rPr>
          <w:rFonts w:ascii="Arial" w:cs="Arial" w:eastAsia="Arial" w:hAnsi="Arial"/>
          <w:sz w:val="25"/>
          <w:szCs w:val="25"/>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857885"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57885" cy="351790"/>
                    </a:xfrm>
                    <a:prstGeom prst="rect">
                      <a:avLst/>
                    </a:prstGeom>
                    <a:noFill/>
                  </pic:spPr>
                </pic:pic>
              </a:graphicData>
            </a:graphic>
          </wp:anchor>
        </w:drawing>
        <w:t>TABLE 2</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(in millions)</w:t>
            </w:r>
          </w:p>
        </w:tc>
        <w:tc>
          <w:tcPr>
            <w:tcW w:w="2860" w:type="dxa"/>
            <w:vAlign w:val="bottom"/>
            <w:gridSpan w:val="3"/>
            <w:shd w:val="clear" w:color="auto" w:fill="E7E4E1"/>
          </w:tcPr>
          <w:p>
            <w:pPr>
              <w:ind w:left="1960"/>
              <w:spacing w:after="0"/>
              <w:rPr>
                <w:sz w:val="20"/>
                <w:szCs w:val="20"/>
                <w:color w:val="auto"/>
              </w:rPr>
            </w:pPr>
            <w:r>
              <w:rPr>
                <w:rFonts w:ascii="Arial" w:cs="Arial" w:eastAsia="Arial" w:hAnsi="Arial"/>
                <w:sz w:val="14"/>
                <w:szCs w:val="14"/>
                <w:color w:val="auto"/>
              </w:rPr>
              <w:t>December 31,</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20" w:type="dxa"/>
            <w:vAlign w:val="bottom"/>
            <w:gridSpan w:val="2"/>
            <w:shd w:val="clear" w:color="auto" w:fill="E7E4E1"/>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7060" w:type="dxa"/>
            <w:vAlign w:val="bottom"/>
            <w:tcBorders>
              <w:bottom w:val="single" w:sz="8" w:color="E7E4E1"/>
            </w:tcBorders>
            <w:vMerge w:val="restart"/>
            <w:shd w:val="clear" w:color="auto" w:fill="E7E4E1"/>
          </w:tcPr>
          <w:p>
            <w:pPr>
              <w:spacing w:after="0"/>
              <w:rPr>
                <w:sz w:val="20"/>
                <w:szCs w:val="20"/>
                <w:color w:val="auto"/>
              </w:rPr>
            </w:pPr>
            <w:r>
              <w:rPr>
                <w:rFonts w:ascii="Arial" w:cs="Arial" w:eastAsia="Arial" w:hAnsi="Arial"/>
                <w:sz w:val="14"/>
                <w:szCs w:val="14"/>
                <w:b w:val="1"/>
                <w:bCs w:val="1"/>
                <w:color w:val="auto"/>
              </w:rPr>
              <w:t>ASSETS</w:t>
            </w:r>
          </w:p>
        </w:tc>
        <w:tc>
          <w:tcPr>
            <w:tcW w:w="196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720" w:type="dxa"/>
            <w:vAlign w:val="bottom"/>
            <w:tcBorders>
              <w:bottom w:val="single" w:sz="8" w:color="auto"/>
            </w:tcBorders>
            <w:shd w:val="clear" w:color="auto" w:fill="E7E4E1"/>
          </w:tcPr>
          <w:p>
            <w:pPr>
              <w:jc w:val="right"/>
              <w:ind w:right="208"/>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800" w:type="dxa"/>
            <w:vAlign w:val="bottom"/>
            <w:tcBorders>
              <w:bottom w:val="single" w:sz="8" w:color="auto"/>
            </w:tcBorders>
            <w:shd w:val="clear" w:color="auto" w:fill="E7E4E1"/>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0" w:type="dxa"/>
            <w:vAlign w:val="bottom"/>
            <w:shd w:val="clear" w:color="auto" w:fill="E7E4E1"/>
          </w:tcPr>
          <w:p>
            <w:pPr>
              <w:spacing w:after="0"/>
              <w:rPr>
                <w:sz w:val="13"/>
                <w:szCs w:val="13"/>
                <w:color w:val="auto"/>
              </w:rPr>
            </w:pPr>
          </w:p>
        </w:tc>
        <w:tc>
          <w:tcPr>
            <w:tcW w:w="7060" w:type="dxa"/>
            <w:vAlign w:val="bottom"/>
            <w:vMerge w:val="continue"/>
            <w:shd w:val="clear" w:color="auto" w:fill="E7E4E1"/>
          </w:tcPr>
          <w:p>
            <w:pPr>
              <w:spacing w:after="0"/>
              <w:rPr>
                <w:sz w:val="13"/>
                <w:szCs w:val="13"/>
                <w:color w:val="auto"/>
              </w:rPr>
            </w:pPr>
          </w:p>
        </w:tc>
        <w:tc>
          <w:tcPr>
            <w:tcW w:w="1960" w:type="dxa"/>
            <w:vAlign w:val="bottom"/>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72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80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Current Assets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380" w:type="dxa"/>
            <w:vAlign w:val="bottom"/>
            <w:gridSpan w:val="2"/>
            <w:vMerge w:val="restart"/>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1,839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E7E4E1"/>
          </w:tcPr>
          <w:p>
            <w:pPr>
              <w:spacing w:after="0"/>
              <w:rPr>
                <w:sz w:val="12"/>
                <w:szCs w:val="12"/>
                <w:color w:val="auto"/>
              </w:rPr>
            </w:pPr>
          </w:p>
        </w:tc>
        <w:tc>
          <w:tcPr>
            <w:tcW w:w="7060" w:type="dxa"/>
            <w:vAlign w:val="bottom"/>
            <w:shd w:val="clear" w:color="auto" w:fill="E7E4E1"/>
          </w:tcPr>
          <w:p>
            <w:pPr>
              <w:ind w:left="140"/>
              <w:spacing w:after="0" w:line="144" w:lineRule="exact"/>
              <w:rPr>
                <w:sz w:val="20"/>
                <w:szCs w:val="20"/>
                <w:color w:val="auto"/>
              </w:rPr>
            </w:pPr>
            <w:r>
              <w:rPr>
                <w:rFonts w:ascii="Arial" w:cs="Arial" w:eastAsia="Arial" w:hAnsi="Arial"/>
                <w:sz w:val="14"/>
                <w:szCs w:val="14"/>
                <w:color w:val="auto"/>
              </w:rPr>
              <w:t>Cash and cash equivalents</w:t>
            </w:r>
          </w:p>
        </w:tc>
        <w:tc>
          <w:tcPr>
            <w:tcW w:w="2140" w:type="dxa"/>
            <w:vAlign w:val="bottom"/>
            <w:gridSpan w:val="2"/>
            <w:shd w:val="clear" w:color="auto" w:fill="E7E4E1"/>
          </w:tcPr>
          <w:p>
            <w:pPr>
              <w:ind w:left="1960"/>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44" w:lineRule="exact"/>
              <w:rPr>
                <w:sz w:val="20"/>
                <w:szCs w:val="20"/>
                <w:color w:val="auto"/>
              </w:rPr>
            </w:pPr>
            <w:r>
              <w:rPr>
                <w:rFonts w:ascii="Arial" w:cs="Arial" w:eastAsia="Arial" w:hAnsi="Arial"/>
                <w:sz w:val="14"/>
                <w:szCs w:val="14"/>
                <w:color w:val="auto"/>
              </w:rPr>
              <w:t>10,951</w:t>
            </w:r>
          </w:p>
        </w:tc>
        <w:tc>
          <w:tcPr>
            <w:tcW w:w="380" w:type="dxa"/>
            <w:vAlign w:val="bottom"/>
            <w:gridSpan w:val="2"/>
            <w:vMerge w:val="continue"/>
            <w:shd w:val="clear" w:color="auto" w:fill="E7E4E1"/>
          </w:tcPr>
          <w:p>
            <w:pPr>
              <w:spacing w:after="0"/>
              <w:rPr>
                <w:sz w:val="12"/>
                <w:szCs w:val="12"/>
                <w:color w:val="auto"/>
              </w:rPr>
            </w:pPr>
          </w:p>
        </w:tc>
        <w:tc>
          <w:tcPr>
            <w:tcW w:w="800" w:type="dxa"/>
            <w:vAlign w:val="bottom"/>
            <w:vMerge w:val="continue"/>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Investments</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1,464</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2,841</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Receivables, net</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5,521</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5,063</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Programming rights</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909</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901</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70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current assets</w:t>
            </w:r>
          </w:p>
        </w:tc>
        <w:tc>
          <w:tcPr>
            <w:tcW w:w="196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1,146</w:t>
            </w:r>
          </w:p>
        </w:tc>
        <w:tc>
          <w:tcPr>
            <w:tcW w:w="2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1,139</w:t>
            </w:r>
          </w:p>
        </w:tc>
        <w:tc>
          <w:tcPr>
            <w:tcW w:w="22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E7E4E1"/>
            </w:tcBorders>
            <w:shd w:val="clear" w:color="auto" w:fill="E7E4E1"/>
          </w:tcPr>
          <w:p>
            <w:pPr>
              <w:spacing w:after="0"/>
              <w:rPr>
                <w:sz w:val="14"/>
                <w:szCs w:val="14"/>
                <w:color w:val="auto"/>
              </w:rPr>
            </w:pPr>
          </w:p>
        </w:tc>
        <w:tc>
          <w:tcPr>
            <w:tcW w:w="7060" w:type="dxa"/>
            <w:vAlign w:val="bottom"/>
            <w:tcBorders>
              <w:bottom w:val="single" w:sz="8" w:color="E7E4E1"/>
            </w:tcBorders>
            <w:shd w:val="clear" w:color="auto" w:fill="E7E4E1"/>
          </w:tcPr>
          <w:p>
            <w:pPr>
              <w:ind w:left="280"/>
              <w:spacing w:after="0"/>
              <w:rPr>
                <w:sz w:val="20"/>
                <w:szCs w:val="20"/>
                <w:color w:val="auto"/>
              </w:rPr>
            </w:pPr>
            <w:r>
              <w:rPr>
                <w:rFonts w:ascii="Arial" w:cs="Arial" w:eastAsia="Arial" w:hAnsi="Arial"/>
                <w:sz w:val="14"/>
                <w:szCs w:val="14"/>
                <w:color w:val="auto"/>
              </w:rPr>
              <w:t>Total current assets</w:t>
            </w:r>
          </w:p>
        </w:tc>
        <w:tc>
          <w:tcPr>
            <w:tcW w:w="19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19,991</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11,783</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Film and television costs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5,054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4,653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Investments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6,325</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5,433</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Property and equipment, net</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27,232</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28,219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Franchise rights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59,364</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59,364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Goodwill</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26,985</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26,996</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Other intangible assets, net</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17,840</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17,584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0" w:type="dxa"/>
            <w:vAlign w:val="bottom"/>
            <w:tcBorders>
              <w:bottom w:val="single" w:sz="8" w:color="E7E4E1"/>
            </w:tcBorders>
            <w:shd w:val="clear" w:color="auto" w:fill="E7E4E1"/>
          </w:tcPr>
          <w:p>
            <w:pPr>
              <w:spacing w:after="0"/>
              <w:rPr>
                <w:sz w:val="24"/>
                <w:szCs w:val="24"/>
                <w:color w:val="auto"/>
              </w:rPr>
            </w:pPr>
          </w:p>
        </w:tc>
        <w:tc>
          <w:tcPr>
            <w:tcW w:w="706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Other noncurrent assets, net</w:t>
            </w:r>
          </w:p>
        </w:tc>
        <w:tc>
          <w:tcPr>
            <w:tcW w:w="196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auto"/>
            </w:tcBorders>
            <w:shd w:val="clear" w:color="auto" w:fill="E7E4E1"/>
          </w:tcPr>
          <w:p>
            <w:pPr>
              <w:spacing w:after="0"/>
              <w:rPr>
                <w:sz w:val="24"/>
                <w:szCs w:val="2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2,180</w:t>
            </w:r>
          </w:p>
        </w:tc>
        <w:tc>
          <w:tcPr>
            <w:tcW w:w="2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2,332</w:t>
            </w:r>
          </w:p>
        </w:tc>
        <w:tc>
          <w:tcPr>
            <w:tcW w:w="22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E7E4E1"/>
          </w:tcPr>
          <w:p>
            <w:pPr>
              <w:spacing w:after="0"/>
              <w:rPr>
                <w:sz w:val="18"/>
                <w:szCs w:val="18"/>
                <w:color w:val="auto"/>
              </w:rPr>
            </w:pPr>
          </w:p>
        </w:tc>
        <w:tc>
          <w:tcPr>
            <w:tcW w:w="7060" w:type="dxa"/>
            <w:vAlign w:val="bottom"/>
            <w:shd w:val="clear" w:color="auto" w:fill="E7E4E1"/>
          </w:tcPr>
          <w:p>
            <w:pPr>
              <w:spacing w:after="0"/>
              <w:rPr>
                <w:sz w:val="18"/>
                <w:szCs w:val="18"/>
                <w:color w:val="auto"/>
              </w:rPr>
            </w:pPr>
          </w:p>
        </w:tc>
        <w:tc>
          <w:tcPr>
            <w:tcW w:w="2140" w:type="dxa"/>
            <w:vAlign w:val="bottom"/>
            <w:gridSpan w:val="2"/>
            <w:shd w:val="clear" w:color="auto" w:fill="E7E4E1"/>
          </w:tcPr>
          <w:p>
            <w:pPr>
              <w:ind w:left="19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164,971</w:t>
            </w:r>
          </w:p>
        </w:tc>
        <w:tc>
          <w:tcPr>
            <w:tcW w:w="3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156,364</w:t>
            </w: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40" w:type="dxa"/>
            <w:vAlign w:val="bottom"/>
            <w:tcBorders>
              <w:top w:val="single" w:sz="8" w:color="E7E4E1"/>
            </w:tcBorders>
            <w:shd w:val="clear" w:color="auto" w:fill="E7E4E1"/>
          </w:tcPr>
          <w:p>
            <w:pPr>
              <w:spacing w:after="0"/>
              <w:rPr>
                <w:sz w:val="24"/>
                <w:szCs w:val="24"/>
                <w:color w:val="auto"/>
              </w:rPr>
            </w:pPr>
          </w:p>
        </w:tc>
        <w:tc>
          <w:tcPr>
            <w:tcW w:w="7060" w:type="dxa"/>
            <w:vAlign w:val="bottom"/>
            <w:tcBorders>
              <w:top w:val="single" w:sz="8" w:color="E7E4E1"/>
            </w:tcBorders>
            <w:shd w:val="clear" w:color="auto" w:fill="E7E4E1"/>
          </w:tcPr>
          <w:p>
            <w:pPr>
              <w:spacing w:after="0"/>
              <w:rPr>
                <w:sz w:val="20"/>
                <w:szCs w:val="20"/>
                <w:color w:val="auto"/>
              </w:rPr>
            </w:pPr>
            <w:r>
              <w:rPr>
                <w:rFonts w:ascii="Arial" w:cs="Arial" w:eastAsia="Arial" w:hAnsi="Arial"/>
                <w:sz w:val="14"/>
                <w:szCs w:val="14"/>
                <w:b w:val="1"/>
                <w:bCs w:val="1"/>
                <w:color w:val="auto"/>
              </w:rPr>
              <w:t>LIABILITIES AND EQUITY</w:t>
            </w:r>
          </w:p>
        </w:tc>
        <w:tc>
          <w:tcPr>
            <w:tcW w:w="196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auto"/>
            </w:tcBorders>
            <w:shd w:val="clear" w:color="auto" w:fill="E7E4E1"/>
          </w:tcPr>
          <w:p>
            <w:pPr>
              <w:spacing w:after="0"/>
              <w:rPr>
                <w:sz w:val="24"/>
                <w:szCs w:val="24"/>
                <w:color w:val="auto"/>
              </w:rPr>
            </w:pPr>
          </w:p>
        </w:tc>
        <w:tc>
          <w:tcPr>
            <w:tcW w:w="72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80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Current Liabilities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380" w:type="dxa"/>
            <w:vAlign w:val="bottom"/>
            <w:gridSpan w:val="2"/>
            <w:vMerge w:val="restart"/>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5,750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E7E4E1"/>
          </w:tcPr>
          <w:p>
            <w:pPr>
              <w:spacing w:after="0"/>
              <w:rPr>
                <w:sz w:val="12"/>
                <w:szCs w:val="12"/>
                <w:color w:val="auto"/>
              </w:rPr>
            </w:pPr>
          </w:p>
        </w:tc>
        <w:tc>
          <w:tcPr>
            <w:tcW w:w="7060" w:type="dxa"/>
            <w:vAlign w:val="bottom"/>
            <w:shd w:val="clear" w:color="auto" w:fill="E7E4E1"/>
          </w:tcPr>
          <w:p>
            <w:pPr>
              <w:ind w:left="140"/>
              <w:spacing w:after="0" w:line="144" w:lineRule="exact"/>
              <w:rPr>
                <w:sz w:val="20"/>
                <w:szCs w:val="20"/>
                <w:color w:val="auto"/>
              </w:rPr>
            </w:pPr>
            <w:r>
              <w:rPr>
                <w:rFonts w:ascii="Arial" w:cs="Arial" w:eastAsia="Arial" w:hAnsi="Arial"/>
                <w:sz w:val="14"/>
                <w:szCs w:val="14"/>
                <w:color w:val="auto"/>
              </w:rPr>
              <w:t>Accounts payable and accrued expenses related to trade creditors</w:t>
            </w:r>
          </w:p>
        </w:tc>
        <w:tc>
          <w:tcPr>
            <w:tcW w:w="2140" w:type="dxa"/>
            <w:vAlign w:val="bottom"/>
            <w:gridSpan w:val="2"/>
            <w:shd w:val="clear" w:color="auto" w:fill="E7E4E1"/>
          </w:tcPr>
          <w:p>
            <w:pPr>
              <w:ind w:left="1960"/>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line="144" w:lineRule="exact"/>
              <w:rPr>
                <w:sz w:val="20"/>
                <w:szCs w:val="20"/>
                <w:color w:val="auto"/>
              </w:rPr>
            </w:pPr>
            <w:r>
              <w:rPr>
                <w:rFonts w:ascii="Arial" w:cs="Arial" w:eastAsia="Arial" w:hAnsi="Arial"/>
                <w:sz w:val="14"/>
                <w:szCs w:val="14"/>
                <w:color w:val="auto"/>
              </w:rPr>
              <w:t>6,206</w:t>
            </w:r>
          </w:p>
        </w:tc>
        <w:tc>
          <w:tcPr>
            <w:tcW w:w="380" w:type="dxa"/>
            <w:vAlign w:val="bottom"/>
            <w:gridSpan w:val="2"/>
            <w:vMerge w:val="continue"/>
            <w:shd w:val="clear" w:color="auto" w:fill="E7E4E1"/>
          </w:tcPr>
          <w:p>
            <w:pPr>
              <w:spacing w:after="0"/>
              <w:rPr>
                <w:sz w:val="12"/>
                <w:szCs w:val="12"/>
                <w:color w:val="auto"/>
              </w:rPr>
            </w:pPr>
          </w:p>
        </w:tc>
        <w:tc>
          <w:tcPr>
            <w:tcW w:w="800" w:type="dxa"/>
            <w:vAlign w:val="bottom"/>
            <w:vMerge w:val="continue"/>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Accrued participations and residuals</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1,350</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1,469</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Deferred revenue</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851</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903</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70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1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5,931</w:t>
            </w:r>
          </w:p>
        </w:tc>
        <w:tc>
          <w:tcPr>
            <w:tcW w:w="2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7,719</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70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Current portion of long-term debt</w:t>
            </w:r>
          </w:p>
        </w:tc>
        <w:tc>
          <w:tcPr>
            <w:tcW w:w="196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2,376</w:t>
            </w:r>
          </w:p>
        </w:tc>
        <w:tc>
          <w:tcPr>
            <w:tcW w:w="2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2,177</w:t>
            </w:r>
          </w:p>
        </w:tc>
        <w:tc>
          <w:tcPr>
            <w:tcW w:w="22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E7E4E1"/>
            </w:tcBorders>
            <w:shd w:val="clear" w:color="auto" w:fill="E7E4E1"/>
          </w:tcPr>
          <w:p>
            <w:pPr>
              <w:spacing w:after="0"/>
              <w:rPr>
                <w:sz w:val="14"/>
                <w:szCs w:val="14"/>
                <w:color w:val="auto"/>
              </w:rPr>
            </w:pPr>
          </w:p>
        </w:tc>
        <w:tc>
          <w:tcPr>
            <w:tcW w:w="7060" w:type="dxa"/>
            <w:vAlign w:val="bottom"/>
            <w:tcBorders>
              <w:bottom w:val="single" w:sz="8" w:color="E7E4E1"/>
            </w:tcBorders>
            <w:shd w:val="clear" w:color="auto" w:fill="E7E4E1"/>
          </w:tcPr>
          <w:p>
            <w:pPr>
              <w:ind w:left="280"/>
              <w:spacing w:after="0"/>
              <w:rPr>
                <w:sz w:val="20"/>
                <w:szCs w:val="20"/>
                <w:color w:val="auto"/>
              </w:rPr>
            </w:pPr>
            <w:r>
              <w:rPr>
                <w:rFonts w:ascii="Arial" w:cs="Arial" w:eastAsia="Arial" w:hAnsi="Arial"/>
                <w:sz w:val="14"/>
                <w:szCs w:val="14"/>
                <w:color w:val="auto"/>
              </w:rPr>
              <w:t>Total current liabilities</w:t>
            </w:r>
          </w:p>
        </w:tc>
        <w:tc>
          <w:tcPr>
            <w:tcW w:w="19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16,714</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18,018</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Long-term debt, less current portion</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38,082</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45,049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Deferred income taxes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30,110</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31,152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Other noncurrent liabilities</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13,271</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12,640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Redeemable noncontrolling interests and redeemable subsidiary preferred stock</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16,998</w:t>
            </w: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854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 w:type="dxa"/>
            <w:vAlign w:val="bottom"/>
            <w:shd w:val="clear" w:color="auto" w:fill="E7E4E1"/>
          </w:tcPr>
          <w:p>
            <w:pPr>
              <w:spacing w:after="0"/>
              <w:rPr>
                <w:sz w:val="24"/>
                <w:szCs w:val="24"/>
                <w:color w:val="auto"/>
              </w:rPr>
            </w:pPr>
          </w:p>
        </w:tc>
        <w:tc>
          <w:tcPr>
            <w:tcW w:w="7060" w:type="dxa"/>
            <w:vAlign w:val="bottom"/>
            <w:shd w:val="clear" w:color="auto" w:fill="E7E4E1"/>
          </w:tcPr>
          <w:p>
            <w:pPr>
              <w:spacing w:after="0"/>
              <w:rPr>
                <w:sz w:val="20"/>
                <w:szCs w:val="20"/>
                <w:color w:val="auto"/>
              </w:rPr>
            </w:pPr>
            <w:r>
              <w:rPr>
                <w:rFonts w:ascii="Arial" w:cs="Arial" w:eastAsia="Arial" w:hAnsi="Arial"/>
                <w:sz w:val="14"/>
                <w:szCs w:val="14"/>
                <w:color w:val="auto"/>
              </w:rPr>
              <w:t>Equity</w:t>
            </w:r>
          </w:p>
        </w:tc>
        <w:tc>
          <w:tcPr>
            <w:tcW w:w="1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2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48,190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40" w:type="dxa"/>
            <w:vAlign w:val="bottom"/>
            <w:shd w:val="clear" w:color="auto" w:fill="E7E4E1"/>
          </w:tcPr>
          <w:p>
            <w:pPr>
              <w:spacing w:after="0"/>
              <w:rPr>
                <w:sz w:val="12"/>
                <w:szCs w:val="12"/>
                <w:color w:val="auto"/>
              </w:rPr>
            </w:pPr>
          </w:p>
        </w:tc>
        <w:tc>
          <w:tcPr>
            <w:tcW w:w="7060" w:type="dxa"/>
            <w:vAlign w:val="bottom"/>
            <w:shd w:val="clear" w:color="auto" w:fill="E7E4E1"/>
          </w:tcPr>
          <w:p>
            <w:pPr>
              <w:ind w:left="140"/>
              <w:spacing w:after="0" w:line="144" w:lineRule="exact"/>
              <w:rPr>
                <w:sz w:val="20"/>
                <w:szCs w:val="20"/>
                <w:color w:val="auto"/>
              </w:rPr>
            </w:pPr>
            <w:r>
              <w:rPr>
                <w:rFonts w:ascii="Arial" w:cs="Arial" w:eastAsia="Arial" w:hAnsi="Arial"/>
                <w:sz w:val="14"/>
                <w:szCs w:val="14"/>
                <w:color w:val="auto"/>
              </w:rPr>
              <w:t>Comcast Corporation shareholders’ equity</w:t>
            </w:r>
          </w:p>
        </w:tc>
        <w:tc>
          <w:tcPr>
            <w:tcW w:w="19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720" w:type="dxa"/>
            <w:vAlign w:val="bottom"/>
            <w:shd w:val="clear" w:color="auto" w:fill="E7E4E1"/>
          </w:tcPr>
          <w:p>
            <w:pPr>
              <w:jc w:val="right"/>
              <w:spacing w:after="0" w:line="144" w:lineRule="exact"/>
              <w:rPr>
                <w:sz w:val="20"/>
                <w:szCs w:val="20"/>
                <w:color w:val="auto"/>
              </w:rPr>
            </w:pPr>
            <w:r>
              <w:rPr>
                <w:rFonts w:ascii="Arial" w:cs="Arial" w:eastAsia="Arial" w:hAnsi="Arial"/>
                <w:sz w:val="14"/>
                <w:szCs w:val="14"/>
                <w:color w:val="auto"/>
              </w:rPr>
              <w:t>49,356</w:t>
            </w:r>
          </w:p>
        </w:tc>
        <w:tc>
          <w:tcPr>
            <w:tcW w:w="2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0" w:type="dxa"/>
            <w:vAlign w:val="bottom"/>
            <w:vMerge w:val="continue"/>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70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Noncontrolling interests</w:t>
            </w:r>
          </w:p>
        </w:tc>
        <w:tc>
          <w:tcPr>
            <w:tcW w:w="196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auto"/>
            </w:tcBorders>
            <w:shd w:val="clear" w:color="auto" w:fill="E7E4E1"/>
          </w:tcPr>
          <w:p>
            <w:pPr>
              <w:spacing w:after="0"/>
              <w:rPr>
                <w:sz w:val="15"/>
                <w:szCs w:val="15"/>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440</w:t>
            </w:r>
          </w:p>
        </w:tc>
        <w:tc>
          <w:tcPr>
            <w:tcW w:w="2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461</w:t>
            </w:r>
          </w:p>
        </w:tc>
        <w:tc>
          <w:tcPr>
            <w:tcW w:w="22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E7E4E1"/>
            </w:tcBorders>
            <w:shd w:val="clear" w:color="auto" w:fill="E7E4E1"/>
          </w:tcPr>
          <w:p>
            <w:pPr>
              <w:spacing w:after="0"/>
              <w:rPr>
                <w:sz w:val="14"/>
                <w:szCs w:val="14"/>
                <w:color w:val="auto"/>
              </w:rPr>
            </w:pPr>
          </w:p>
        </w:tc>
        <w:tc>
          <w:tcPr>
            <w:tcW w:w="7060" w:type="dxa"/>
            <w:vAlign w:val="bottom"/>
            <w:tcBorders>
              <w:bottom w:val="single" w:sz="8" w:color="E7E4E1"/>
            </w:tcBorders>
            <w:shd w:val="clear" w:color="auto" w:fill="E7E4E1"/>
          </w:tcPr>
          <w:p>
            <w:pPr>
              <w:ind w:left="280"/>
              <w:spacing w:after="0"/>
              <w:rPr>
                <w:sz w:val="20"/>
                <w:szCs w:val="20"/>
                <w:color w:val="auto"/>
              </w:rPr>
            </w:pPr>
            <w:r>
              <w:rPr>
                <w:rFonts w:ascii="Arial" w:cs="Arial" w:eastAsia="Arial" w:hAnsi="Arial"/>
                <w:sz w:val="14"/>
                <w:szCs w:val="14"/>
                <w:color w:val="auto"/>
              </w:rPr>
              <w:t>Total equity</w:t>
            </w:r>
          </w:p>
        </w:tc>
        <w:tc>
          <w:tcPr>
            <w:tcW w:w="19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49,796</w:t>
            </w:r>
          </w:p>
        </w:tc>
        <w:tc>
          <w:tcPr>
            <w:tcW w:w="2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8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48,651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E7E4E1"/>
          </w:tcPr>
          <w:p>
            <w:pPr>
              <w:spacing w:after="0"/>
              <w:rPr>
                <w:sz w:val="18"/>
                <w:szCs w:val="18"/>
                <w:color w:val="auto"/>
              </w:rPr>
            </w:pPr>
          </w:p>
        </w:tc>
        <w:tc>
          <w:tcPr>
            <w:tcW w:w="7060" w:type="dxa"/>
            <w:vAlign w:val="bottom"/>
            <w:shd w:val="clear" w:color="auto" w:fill="E7E4E1"/>
          </w:tcPr>
          <w:p>
            <w:pPr>
              <w:spacing w:after="0"/>
              <w:rPr>
                <w:sz w:val="18"/>
                <w:szCs w:val="18"/>
                <w:color w:val="auto"/>
              </w:rPr>
            </w:pPr>
          </w:p>
        </w:tc>
        <w:tc>
          <w:tcPr>
            <w:tcW w:w="2140" w:type="dxa"/>
            <w:vAlign w:val="bottom"/>
            <w:gridSpan w:val="2"/>
            <w:shd w:val="clear" w:color="auto" w:fill="E7E4E1"/>
          </w:tcPr>
          <w:p>
            <w:pPr>
              <w:ind w:left="19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164,971</w:t>
            </w:r>
          </w:p>
        </w:tc>
        <w:tc>
          <w:tcPr>
            <w:tcW w:w="3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156,364</w:t>
            </w:r>
          </w:p>
        </w:tc>
        <w:tc>
          <w:tcPr>
            <w:tcW w:w="22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 w:type="dxa"/>
            <w:vAlign w:val="bottom"/>
            <w:tcBorders>
              <w:top w:val="single" w:sz="8" w:color="E7E4E1"/>
            </w:tcBorders>
            <w:shd w:val="clear" w:color="auto" w:fill="E7E4E1"/>
          </w:tcPr>
          <w:p>
            <w:pPr>
              <w:spacing w:after="0"/>
              <w:rPr>
                <w:sz w:val="5"/>
                <w:szCs w:val="5"/>
                <w:color w:val="auto"/>
              </w:rPr>
            </w:pPr>
          </w:p>
        </w:tc>
        <w:tc>
          <w:tcPr>
            <w:tcW w:w="7060" w:type="dxa"/>
            <w:vAlign w:val="bottom"/>
            <w:tcBorders>
              <w:top w:val="single" w:sz="8" w:color="E7E4E1"/>
            </w:tcBorders>
            <w:shd w:val="clear" w:color="auto" w:fill="E7E4E1"/>
          </w:tcPr>
          <w:p>
            <w:pPr>
              <w:spacing w:after="0"/>
              <w:rPr>
                <w:sz w:val="5"/>
                <w:szCs w:val="5"/>
                <w:color w:val="auto"/>
              </w:rPr>
            </w:pPr>
          </w:p>
        </w:tc>
        <w:tc>
          <w:tcPr>
            <w:tcW w:w="1960" w:type="dxa"/>
            <w:vAlign w:val="bottom"/>
            <w:tcBorders>
              <w:top w:val="single" w:sz="8" w:color="E7E4E1"/>
            </w:tcBorders>
            <w:shd w:val="clear" w:color="auto" w:fill="E7E4E1"/>
          </w:tcPr>
          <w:p>
            <w:pPr>
              <w:spacing w:after="0"/>
              <w:rPr>
                <w:sz w:val="5"/>
                <w:szCs w:val="5"/>
                <w:color w:val="auto"/>
              </w:rPr>
            </w:pPr>
          </w:p>
        </w:tc>
        <w:tc>
          <w:tcPr>
            <w:tcW w:w="180" w:type="dxa"/>
            <w:vAlign w:val="bottom"/>
            <w:tcBorders>
              <w:top w:val="single" w:sz="8" w:color="auto"/>
            </w:tcBorders>
            <w:shd w:val="clear" w:color="auto" w:fill="E7E4E1"/>
          </w:tcPr>
          <w:p>
            <w:pPr>
              <w:spacing w:after="0"/>
              <w:rPr>
                <w:sz w:val="5"/>
                <w:szCs w:val="5"/>
                <w:color w:val="auto"/>
              </w:rPr>
            </w:pPr>
          </w:p>
        </w:tc>
        <w:tc>
          <w:tcPr>
            <w:tcW w:w="720" w:type="dxa"/>
            <w:vAlign w:val="bottom"/>
            <w:tcBorders>
              <w:top w:val="single" w:sz="8" w:color="auto"/>
            </w:tcBorders>
            <w:shd w:val="clear" w:color="auto" w:fill="E7E4E1"/>
          </w:tcPr>
          <w:p>
            <w:pPr>
              <w:spacing w:after="0"/>
              <w:rPr>
                <w:sz w:val="5"/>
                <w:szCs w:val="5"/>
                <w:color w:val="auto"/>
              </w:rPr>
            </w:pPr>
          </w:p>
        </w:tc>
        <w:tc>
          <w:tcPr>
            <w:tcW w:w="280" w:type="dxa"/>
            <w:vAlign w:val="bottom"/>
            <w:tcBorders>
              <w:top w:val="single" w:sz="8" w:color="E7E4E1"/>
            </w:tcBorders>
            <w:shd w:val="clear" w:color="auto" w:fill="E7E4E1"/>
          </w:tcPr>
          <w:p>
            <w:pPr>
              <w:spacing w:after="0"/>
              <w:rPr>
                <w:sz w:val="5"/>
                <w:szCs w:val="5"/>
                <w:color w:val="auto"/>
              </w:rPr>
            </w:pPr>
          </w:p>
        </w:tc>
        <w:tc>
          <w:tcPr>
            <w:tcW w:w="100" w:type="dxa"/>
            <w:vAlign w:val="bottom"/>
            <w:tcBorders>
              <w:top w:val="single" w:sz="8" w:color="auto"/>
            </w:tcBorders>
            <w:shd w:val="clear" w:color="auto" w:fill="E7E4E1"/>
          </w:tcPr>
          <w:p>
            <w:pPr>
              <w:spacing w:after="0"/>
              <w:rPr>
                <w:sz w:val="5"/>
                <w:szCs w:val="5"/>
                <w:color w:val="auto"/>
              </w:rPr>
            </w:pPr>
          </w:p>
        </w:tc>
        <w:tc>
          <w:tcPr>
            <w:tcW w:w="800" w:type="dxa"/>
            <w:vAlign w:val="bottom"/>
            <w:tcBorders>
              <w:top w:val="single" w:sz="8" w:color="auto"/>
            </w:tcBorders>
            <w:shd w:val="clear" w:color="auto" w:fill="E7E4E1"/>
          </w:tcPr>
          <w:p>
            <w:pPr>
              <w:spacing w:after="0"/>
              <w:rPr>
                <w:sz w:val="5"/>
                <w:szCs w:val="5"/>
                <w:color w:val="auto"/>
              </w:rPr>
            </w:pPr>
          </w:p>
        </w:tc>
        <w:tc>
          <w:tcPr>
            <w:tcW w:w="220" w:type="dxa"/>
            <w:vAlign w:val="bottom"/>
            <w:tcBorders>
              <w:top w:val="single" w:sz="8" w:color="E7E4E1"/>
            </w:tcBorders>
            <w:shd w:val="clear" w:color="auto" w:fill="E7E4E1"/>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541" w:right="19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183515</wp:posOffset>
            </wp:positionV>
            <wp:extent cx="85788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57885" cy="351790"/>
                    </a:xfrm>
                    <a:prstGeom prst="rect">
                      <a:avLst/>
                    </a:prstGeom>
                    <a:noFill/>
                  </pic:spPr>
                </pic:pic>
              </a:graphicData>
            </a:graphic>
          </wp:anchor>
        </w:drawing>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57785</wp:posOffset>
            </wp:positionV>
            <wp:extent cx="7267575" cy="5713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571373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4"/>
          <w:szCs w:val="14"/>
          <w:b w:val="1"/>
          <w:bCs w:val="1"/>
          <w:color w:val="auto"/>
        </w:rPr>
        <w:t>March 31,</w:t>
      </w:r>
    </w:p>
    <w:p>
      <w:pPr>
        <w:ind w:left="9760"/>
        <w:spacing w:after="0" w:line="236" w:lineRule="auto"/>
        <w:tabs>
          <w:tab w:leader="none" w:pos="1060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b w:val="1"/>
          <w:bCs w:val="1"/>
          <w:color w:val="auto"/>
        </w:rPr>
        <w:t>2013</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34"/>
        </w:trPr>
        <w:tc>
          <w:tcPr>
            <w:tcW w:w="958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9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580" w:type="dxa"/>
            <w:vAlign w:val="bottom"/>
          </w:tcPr>
          <w:p>
            <w:pPr>
              <w:ind w:left="140"/>
              <w:spacing w:after="0" w:line="144"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Arial" w:cs="Arial" w:eastAsia="Arial" w:hAnsi="Arial"/>
                <w:sz w:val="14"/>
                <w:szCs w:val="14"/>
                <w:color w:val="auto"/>
              </w:rPr>
              <w:t>1,930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Amortization of film and television costs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Noncash interest expense (income),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Equity in net (income) losses of investees,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Cash received from investees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Net (gain) loss on investment activity 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80"/>
        </w:trPr>
        <w:tc>
          <w:tcPr>
            <w:tcW w:w="95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(373)</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580" w:type="dxa"/>
            <w:vAlign w:val="bottom"/>
          </w:tcPr>
          <w:p>
            <w:pPr>
              <w:ind w:left="140"/>
              <w:spacing w:after="0" w:line="144" w:lineRule="exact"/>
              <w:rPr>
                <w:sz w:val="20"/>
                <w:szCs w:val="20"/>
                <w:color w:val="auto"/>
              </w:rPr>
            </w:pPr>
            <w:r>
              <w:rPr>
                <w:rFonts w:ascii="Arial" w:cs="Arial" w:eastAsia="Arial" w:hAnsi="Arial"/>
                <w:sz w:val="14"/>
                <w:szCs w:val="14"/>
                <w:color w:val="auto"/>
              </w:rPr>
              <w:t>Change in current and noncurrent receivables,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Change in film and television costs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(2,061)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(1,577)</w:t>
            </w:r>
          </w:p>
        </w:tc>
        <w:tc>
          <w:tcPr>
            <w:tcW w:w="0" w:type="dxa"/>
            <w:vAlign w:val="bottom"/>
          </w:tcPr>
          <w:p>
            <w:pPr>
              <w:spacing w:after="0"/>
              <w:rPr>
                <w:sz w:val="1"/>
                <w:szCs w:val="1"/>
                <w:color w:val="auto"/>
              </w:rPr>
            </w:pPr>
          </w:p>
        </w:tc>
      </w:tr>
      <w:tr>
        <w:trPr>
          <w:trHeight w:val="162"/>
        </w:trPr>
        <w:tc>
          <w:tcPr>
            <w:tcW w:w="9580" w:type="dxa"/>
            <w:vAlign w:val="bottom"/>
          </w:tcPr>
          <w:p>
            <w:pPr>
              <w:ind w:left="140"/>
              <w:spacing w:after="0"/>
              <w:rPr>
                <w:sz w:val="20"/>
                <w:szCs w:val="20"/>
                <w:color w:val="auto"/>
              </w:rPr>
            </w:pPr>
            <w:r>
              <w:rPr>
                <w:rFonts w:ascii="Arial" w:cs="Arial" w:eastAsia="Arial" w:hAnsi="Arial"/>
                <w:sz w:val="14"/>
                <w:szCs w:val="14"/>
                <w:color w:val="auto"/>
              </w:rPr>
              <w:t>Change in accounts payable and accrued expenses related to trade creditors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75"/>
        </w:trPr>
        <w:tc>
          <w:tcPr>
            <w:tcW w:w="9580" w:type="dxa"/>
            <w:vAlign w:val="bottom"/>
          </w:tcPr>
          <w:p>
            <w:pPr>
              <w:ind w:left="140"/>
              <w:spacing w:after="0"/>
              <w:rPr>
                <w:sz w:val="20"/>
                <w:szCs w:val="20"/>
                <w:color w:val="auto"/>
              </w:rPr>
            </w:pPr>
            <w:r>
              <w:rPr>
                <w:rFonts w:ascii="Arial" w:cs="Arial" w:eastAsia="Arial" w:hAnsi="Arial"/>
                <w:sz w:val="14"/>
                <w:szCs w:val="14"/>
                <w:color w:val="auto"/>
              </w:rPr>
              <w:t>Change in other operating assets and liabilities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58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5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(1,361)</w:t>
            </w:r>
          </w:p>
        </w:tc>
        <w:tc>
          <w:tcPr>
            <w:tcW w:w="0" w:type="dxa"/>
            <w:vAlign w:val="bottom"/>
          </w:tcPr>
          <w:p>
            <w:pPr>
              <w:spacing w:after="0"/>
              <w:rPr>
                <w:sz w:val="1"/>
                <w:szCs w:val="1"/>
                <w:color w:val="auto"/>
              </w:rPr>
            </w:pPr>
          </w:p>
        </w:tc>
      </w:tr>
      <w:tr>
        <w:trPr>
          <w:trHeight w:val="144"/>
        </w:trPr>
        <w:tc>
          <w:tcPr>
            <w:tcW w:w="9580" w:type="dxa"/>
            <w:vAlign w:val="bottom"/>
          </w:tcPr>
          <w:p>
            <w:pPr>
              <w:spacing w:after="0" w:line="144" w:lineRule="exact"/>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(1,174)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Cash paid for intangible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(182)</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Acquisition of 30 Rockefeller Plaza properties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(1,311)</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Proceeds from sales of businesses and 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Return of capital from investees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75"/>
        </w:trPr>
        <w:tc>
          <w:tcPr>
            <w:tcW w:w="958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580" w:type="dxa"/>
            <w:vAlign w:val="bottom"/>
          </w:tcPr>
          <w:p>
            <w:pPr>
              <w:ind w:left="280"/>
              <w:spacing w:after="0"/>
              <w:rPr>
                <w:sz w:val="20"/>
                <w:szCs w:val="20"/>
                <w:color w:val="auto"/>
              </w:rPr>
            </w:pPr>
            <w:r>
              <w:rPr>
                <w:rFonts w:ascii="Arial" w:cs="Arial" w:eastAsia="Arial" w:hAnsi="Arial"/>
                <w:sz w:val="14"/>
                <w:szCs w:val="14"/>
                <w:color w:val="auto"/>
              </w:rPr>
              <w:t>Net cash provided by (used in) investing activities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(1,349)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(2,763)</w:t>
            </w:r>
          </w:p>
        </w:tc>
        <w:tc>
          <w:tcPr>
            <w:tcW w:w="0" w:type="dxa"/>
            <w:vAlign w:val="bottom"/>
          </w:tcPr>
          <w:p>
            <w:pPr>
              <w:spacing w:after="0"/>
              <w:rPr>
                <w:sz w:val="1"/>
                <w:szCs w:val="1"/>
                <w:color w:val="auto"/>
              </w:rPr>
            </w:pPr>
          </w:p>
        </w:tc>
      </w:tr>
      <w:tr>
        <w:trPr>
          <w:trHeight w:val="309"/>
        </w:trPr>
        <w:tc>
          <w:tcPr>
            <w:tcW w:w="95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580" w:type="dxa"/>
            <w:vAlign w:val="bottom"/>
          </w:tcPr>
          <w:p>
            <w:pPr>
              <w:spacing w:after="0" w:line="144" w:lineRule="exact"/>
              <w:rPr>
                <w:sz w:val="20"/>
                <w:szCs w:val="20"/>
                <w:color w:val="auto"/>
              </w:rPr>
            </w:pPr>
            <w:r>
              <w:rPr>
                <w:rFonts w:ascii="Arial" w:cs="Arial" w:eastAsia="Arial" w:hAnsi="Arial"/>
                <w:sz w:val="14"/>
                <w:szCs w:val="14"/>
                <w:color w:val="auto"/>
              </w:rPr>
              <w:t>Proceeds from (repayments of) short-term borrowings,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(407)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2,933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Repurchases and repayments of debt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(1,125)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(1,811)</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Repurchases and retirements of 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Dividends paid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Issuances of 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Purchase of NBCUniversal noncontrolling common equity interest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(10,747)</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62"/>
        </w:trPr>
        <w:tc>
          <w:tcPr>
            <w:tcW w:w="9580" w:type="dxa"/>
            <w:vAlign w:val="bottom"/>
          </w:tcPr>
          <w:p>
            <w:pPr>
              <w:spacing w:after="0"/>
              <w:rPr>
                <w:sz w:val="20"/>
                <w:szCs w:val="20"/>
                <w:color w:val="auto"/>
              </w:rPr>
            </w:pPr>
            <w:r>
              <w:rPr>
                <w:rFonts w:ascii="Arial" w:cs="Arial" w:eastAsia="Arial" w:hAnsi="Arial"/>
                <w:sz w:val="14"/>
                <w:szCs w:val="14"/>
                <w:color w:val="auto"/>
              </w:rPr>
              <w:t>Settlement of Station Venture liability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(602)</w:t>
            </w:r>
          </w:p>
        </w:tc>
        <w:tc>
          <w:tcPr>
            <w:tcW w:w="0" w:type="dxa"/>
            <w:vAlign w:val="bottom"/>
          </w:tcPr>
          <w:p>
            <w:pPr>
              <w:spacing w:after="0"/>
              <w:rPr>
                <w:sz w:val="1"/>
                <w:szCs w:val="1"/>
                <w:color w:val="auto"/>
              </w:rPr>
            </w:pPr>
          </w:p>
        </w:tc>
      </w:tr>
      <w:tr>
        <w:trPr>
          <w:trHeight w:val="175"/>
        </w:trPr>
        <w:tc>
          <w:tcPr>
            <w:tcW w:w="958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580" w:type="dxa"/>
            <w:vAlign w:val="bottom"/>
          </w:tcPr>
          <w:p>
            <w:pPr>
              <w:ind w:left="280"/>
              <w:spacing w:after="0"/>
              <w:rPr>
                <w:sz w:val="20"/>
                <w:szCs w:val="20"/>
                <w:color w:val="auto"/>
              </w:rPr>
            </w:pPr>
            <w:r>
              <w:rPr>
                <w:rFonts w:ascii="Arial" w:cs="Arial" w:eastAsia="Arial" w:hAnsi="Arial"/>
                <w:sz w:val="14"/>
                <w:szCs w:val="14"/>
                <w:color w:val="auto"/>
              </w:rPr>
              <w:t>Net cash provided by (used in) financing activities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(2,457)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(10,718)</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95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(9,112)</w:t>
            </w:r>
          </w:p>
        </w:tc>
        <w:tc>
          <w:tcPr>
            <w:tcW w:w="0" w:type="dxa"/>
            <w:vAlign w:val="bottom"/>
          </w:tcPr>
          <w:p>
            <w:pPr>
              <w:spacing w:after="0"/>
              <w:rPr>
                <w:sz w:val="1"/>
                <w:szCs w:val="1"/>
                <w:color w:val="auto"/>
              </w:rPr>
            </w:pPr>
          </w:p>
        </w:tc>
      </w:tr>
      <w:tr>
        <w:trPr>
          <w:trHeight w:val="282"/>
        </w:trPr>
        <w:tc>
          <w:tcPr>
            <w:tcW w:w="95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5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1,839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360" w:top="460" w:right="37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-16510</wp:posOffset>
            </wp:positionV>
            <wp:extent cx="85788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885" cy="3517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140" w:type="dxa"/>
            <w:vAlign w:val="bottom"/>
            <w:shd w:val="clear" w:color="auto" w:fill="E7E4E1"/>
          </w:tcPr>
          <w:p>
            <w:pPr>
              <w:spacing w:after="0"/>
              <w:rPr>
                <w:sz w:val="24"/>
                <w:szCs w:val="24"/>
                <w:color w:val="auto"/>
              </w:rPr>
            </w:pPr>
          </w:p>
        </w:tc>
        <w:tc>
          <w:tcPr>
            <w:tcW w:w="83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820" w:type="dxa"/>
            <w:vAlign w:val="bottom"/>
            <w:gridSpan w:val="9"/>
            <w:shd w:val="clear" w:color="auto" w:fill="E7E4E1"/>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shd w:val="clear" w:color="auto" w:fill="E7E4E1"/>
          </w:tcPr>
          <w:p>
            <w:pPr>
              <w:spacing w:after="0"/>
              <w:rPr>
                <w:sz w:val="16"/>
                <w:szCs w:val="16"/>
                <w:color w:val="auto"/>
              </w:rPr>
            </w:pPr>
          </w:p>
        </w:tc>
        <w:tc>
          <w:tcPr>
            <w:tcW w:w="8380" w:type="dxa"/>
            <w:vAlign w:val="bottom"/>
            <w:vMerge w:val="restart"/>
            <w:shd w:val="clear" w:color="auto" w:fill="E7E4E1"/>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E7E4E1"/>
          </w:tcPr>
          <w:p>
            <w:pPr>
              <w:spacing w:after="0"/>
              <w:rPr>
                <w:sz w:val="16"/>
                <w:szCs w:val="16"/>
                <w:color w:val="auto"/>
              </w:rPr>
            </w:pPr>
          </w:p>
        </w:tc>
        <w:tc>
          <w:tcPr>
            <w:tcW w:w="480" w:type="dxa"/>
            <w:vAlign w:val="bottom"/>
            <w:shd w:val="clear" w:color="auto" w:fill="E7E4E1"/>
          </w:tcPr>
          <w:p>
            <w:pPr>
              <w:spacing w:after="0"/>
              <w:rPr>
                <w:sz w:val="16"/>
                <w:szCs w:val="16"/>
                <w:color w:val="auto"/>
              </w:rPr>
            </w:pPr>
          </w:p>
        </w:tc>
        <w:tc>
          <w:tcPr>
            <w:tcW w:w="220" w:type="dxa"/>
            <w:vAlign w:val="bottom"/>
            <w:shd w:val="clear" w:color="auto" w:fill="E7E4E1"/>
          </w:tcPr>
          <w:p>
            <w:pPr>
              <w:spacing w:after="0"/>
              <w:rPr>
                <w:sz w:val="16"/>
                <w:szCs w:val="16"/>
                <w:color w:val="auto"/>
              </w:rPr>
            </w:pPr>
          </w:p>
        </w:tc>
        <w:tc>
          <w:tcPr>
            <w:tcW w:w="100" w:type="dxa"/>
            <w:vAlign w:val="bottom"/>
            <w:shd w:val="clear" w:color="auto" w:fill="E7E4E1"/>
          </w:tcPr>
          <w:p>
            <w:pPr>
              <w:spacing w:after="0"/>
              <w:rPr>
                <w:sz w:val="16"/>
                <w:szCs w:val="16"/>
                <w:color w:val="auto"/>
              </w:rPr>
            </w:pPr>
          </w:p>
        </w:tc>
        <w:tc>
          <w:tcPr>
            <w:tcW w:w="48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2012</w:t>
            </w:r>
          </w:p>
        </w:tc>
        <w:tc>
          <w:tcPr>
            <w:tcW w:w="680" w:type="dxa"/>
            <w:vAlign w:val="bottom"/>
            <w:gridSpan w:val="3"/>
            <w:shd w:val="clear" w:color="auto" w:fill="E7E4E1"/>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gridSpan w:val="2"/>
            <w:vMerge w:val="restart"/>
            <w:shd w:val="clear" w:color="auto" w:fill="E7E4E1"/>
          </w:tcPr>
          <w:p>
            <w:pPr>
              <w:jc w:val="right"/>
              <w:ind w:right="8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shd w:val="clear" w:color="auto" w:fill="E7E4E1"/>
          </w:tcPr>
          <w:p>
            <w:pPr>
              <w:spacing w:after="0"/>
              <w:rPr>
                <w:sz w:val="16"/>
                <w:szCs w:val="16"/>
                <w:color w:val="auto"/>
              </w:rPr>
            </w:pPr>
          </w:p>
        </w:tc>
        <w:tc>
          <w:tcPr>
            <w:tcW w:w="80" w:type="dxa"/>
            <w:vAlign w:val="bottom"/>
            <w:shd w:val="clear" w:color="auto" w:fill="E7E4E1"/>
          </w:tcPr>
          <w:p>
            <w:pPr>
              <w:spacing w:after="0"/>
              <w:rPr>
                <w:sz w:val="16"/>
                <w:szCs w:val="16"/>
                <w:color w:val="auto"/>
              </w:rPr>
            </w:pPr>
          </w:p>
        </w:tc>
        <w:tc>
          <w:tcPr>
            <w:tcW w:w="100" w:type="dxa"/>
            <w:vAlign w:val="bottom"/>
            <w:shd w:val="clear" w:color="auto" w:fill="E7E4E1"/>
          </w:tcPr>
          <w:p>
            <w:pPr>
              <w:spacing w:after="0"/>
              <w:rPr>
                <w:sz w:val="16"/>
                <w:szCs w:val="16"/>
                <w:color w:val="auto"/>
              </w:rPr>
            </w:pPr>
          </w:p>
        </w:tc>
        <w:tc>
          <w:tcPr>
            <w:tcW w:w="40" w:type="dxa"/>
            <w:vAlign w:val="bottom"/>
            <w:shd w:val="clear" w:color="auto" w:fill="E7E4E1"/>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0" w:type="dxa"/>
            <w:vAlign w:val="bottom"/>
            <w:tcBorders>
              <w:bottom w:val="single" w:sz="8" w:color="E7E4E1"/>
            </w:tcBorders>
            <w:shd w:val="clear" w:color="auto" w:fill="E7E4E1"/>
          </w:tcPr>
          <w:p>
            <w:pPr>
              <w:spacing w:after="0"/>
              <w:rPr>
                <w:sz w:val="12"/>
                <w:szCs w:val="12"/>
                <w:color w:val="auto"/>
              </w:rPr>
            </w:pPr>
          </w:p>
        </w:tc>
        <w:tc>
          <w:tcPr>
            <w:tcW w:w="8380" w:type="dxa"/>
            <w:vAlign w:val="bottom"/>
            <w:tcBorders>
              <w:bottom w:val="single" w:sz="8" w:color="E7E4E1"/>
            </w:tcBorders>
            <w:vMerge w:val="continue"/>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48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480" w:type="dxa"/>
            <w:vAlign w:val="bottom"/>
            <w:tcBorders>
              <w:bottom w:val="single" w:sz="8" w:color="auto"/>
            </w:tcBorders>
            <w:gridSpan w:val="2"/>
            <w:vMerge w:val="continue"/>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20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480" w:type="dxa"/>
            <w:vAlign w:val="bottom"/>
            <w:tcBorders>
              <w:bottom w:val="single" w:sz="8" w:color="auto"/>
            </w:tcBorders>
            <w:gridSpan w:val="2"/>
            <w:vMerge w:val="continue"/>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4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40" w:type="dxa"/>
            <w:vAlign w:val="bottom"/>
            <w:shd w:val="clear" w:color="auto" w:fill="E7E4E1"/>
          </w:tcPr>
          <w:p>
            <w:pPr>
              <w:spacing w:after="0"/>
              <w:rPr>
                <w:sz w:val="22"/>
                <w:szCs w:val="22"/>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Operating income</w:t>
            </w:r>
          </w:p>
        </w:tc>
        <w:tc>
          <w:tcPr>
            <w:tcW w:w="180" w:type="dxa"/>
            <w:vAlign w:val="bottom"/>
            <w:shd w:val="clear" w:color="auto" w:fill="E7E4E1"/>
          </w:tcPr>
          <w:p>
            <w:pPr>
              <w:spacing w:after="0"/>
              <w:rPr>
                <w:sz w:val="22"/>
                <w:szCs w:val="22"/>
                <w:color w:val="auto"/>
              </w:rPr>
            </w:pPr>
          </w:p>
        </w:tc>
        <w:tc>
          <w:tcPr>
            <w:tcW w:w="480" w:type="dxa"/>
            <w:vAlign w:val="bottom"/>
            <w:shd w:val="clear" w:color="auto" w:fill="E7E4E1"/>
          </w:tcPr>
          <w:p>
            <w:pPr>
              <w:spacing w:after="0"/>
              <w:rPr>
                <w:sz w:val="22"/>
                <w:szCs w:val="22"/>
                <w:color w:val="auto"/>
              </w:rPr>
            </w:pP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22"/>
                <w:szCs w:val="22"/>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2,758</w:t>
            </w:r>
          </w:p>
        </w:tc>
        <w:tc>
          <w:tcPr>
            <w:tcW w:w="200" w:type="dxa"/>
            <w:vAlign w:val="bottom"/>
            <w:shd w:val="clear" w:color="auto" w:fill="E7E4E1"/>
          </w:tcPr>
          <w:p>
            <w:pPr>
              <w:spacing w:after="0"/>
              <w:rPr>
                <w:sz w:val="22"/>
                <w:szCs w:val="22"/>
                <w:color w:val="auto"/>
              </w:rPr>
            </w:pPr>
          </w:p>
        </w:tc>
        <w:tc>
          <w:tcPr>
            <w:tcW w:w="240" w:type="dxa"/>
            <w:vAlign w:val="bottom"/>
            <w:shd w:val="clear" w:color="auto" w:fill="E7E4E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E7E4E1"/>
          </w:tcPr>
          <w:p>
            <w:pPr>
              <w:spacing w:after="0"/>
              <w:rPr>
                <w:sz w:val="22"/>
                <w:szCs w:val="22"/>
                <w:color w:val="auto"/>
              </w:rPr>
            </w:pPr>
          </w:p>
        </w:tc>
        <w:tc>
          <w:tcPr>
            <w:tcW w:w="4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3,067</w:t>
            </w:r>
          </w:p>
        </w:tc>
        <w:tc>
          <w:tcPr>
            <w:tcW w:w="80" w:type="dxa"/>
            <w:vAlign w:val="bottom"/>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4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83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E7E4E1"/>
            </w:tcBorders>
            <w:shd w:val="clear" w:color="auto" w:fill="E7E4E1"/>
          </w:tcPr>
          <w:p>
            <w:pPr>
              <w:spacing w:after="0"/>
              <w:rPr>
                <w:sz w:val="15"/>
                <w:szCs w:val="15"/>
                <w:color w:val="auto"/>
              </w:rPr>
            </w:pPr>
          </w:p>
        </w:tc>
        <w:tc>
          <w:tcPr>
            <w:tcW w:w="48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28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1,930</w:t>
            </w:r>
          </w:p>
        </w:tc>
        <w:tc>
          <w:tcPr>
            <w:tcW w:w="200" w:type="dxa"/>
            <w:vAlign w:val="bottom"/>
            <w:tcBorders>
              <w:bottom w:val="single" w:sz="8" w:color="E7E4E1"/>
            </w:tcBorders>
            <w:shd w:val="clear" w:color="auto" w:fill="E7E4E1"/>
          </w:tcPr>
          <w:p>
            <w:pPr>
              <w:spacing w:after="0"/>
              <w:rPr>
                <w:sz w:val="15"/>
                <w:szCs w:val="15"/>
                <w:color w:val="auto"/>
              </w:rPr>
            </w:pPr>
          </w:p>
        </w:tc>
        <w:tc>
          <w:tcPr>
            <w:tcW w:w="240" w:type="dxa"/>
            <w:vAlign w:val="bottom"/>
            <w:tcBorders>
              <w:bottom w:val="single" w:sz="8" w:color="auto"/>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1,967</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shd w:val="clear" w:color="auto" w:fill="E7E4E1"/>
          </w:tcPr>
          <w:p>
            <w:pPr>
              <w:spacing w:after="0"/>
              <w:rPr>
                <w:sz w:val="13"/>
                <w:szCs w:val="13"/>
                <w:color w:val="auto"/>
              </w:rPr>
            </w:pPr>
          </w:p>
        </w:tc>
        <w:tc>
          <w:tcPr>
            <w:tcW w:w="8380" w:type="dxa"/>
            <w:vAlign w:val="bottom"/>
            <w:shd w:val="clear" w:color="auto" w:fill="E7E4E1"/>
          </w:tcPr>
          <w:p>
            <w:pPr>
              <w:spacing w:after="0" w:line="156" w:lineRule="exact"/>
              <w:rPr>
                <w:sz w:val="20"/>
                <w:szCs w:val="20"/>
                <w:color w:val="auto"/>
              </w:rPr>
            </w:pPr>
            <w:r>
              <w:rPr>
                <w:rFonts w:ascii="Arial" w:cs="Arial" w:eastAsia="Arial" w:hAnsi="Arial"/>
                <w:sz w:val="14"/>
                <w:szCs w:val="14"/>
                <w:color w:val="auto"/>
              </w:rPr>
              <w:t>Operating income before depreciation and amortization</w:t>
            </w:r>
          </w:p>
        </w:tc>
        <w:tc>
          <w:tcPr>
            <w:tcW w:w="180" w:type="dxa"/>
            <w:vAlign w:val="bottom"/>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spacing w:after="0" w:line="156" w:lineRule="exact"/>
              <w:rPr>
                <w:sz w:val="20"/>
                <w:szCs w:val="20"/>
                <w:color w:val="auto"/>
              </w:rPr>
            </w:pPr>
            <w:r>
              <w:rPr>
                <w:rFonts w:ascii="Arial" w:cs="Arial" w:eastAsia="Arial" w:hAnsi="Arial"/>
                <w:sz w:val="14"/>
                <w:szCs w:val="14"/>
                <w:color w:val="auto"/>
              </w:rPr>
              <w:t>4,688</w:t>
            </w:r>
          </w:p>
        </w:tc>
        <w:tc>
          <w:tcPr>
            <w:tcW w:w="200" w:type="dxa"/>
            <w:vAlign w:val="bottom"/>
            <w:shd w:val="clear" w:color="auto" w:fill="E7E4E1"/>
          </w:tcPr>
          <w:p>
            <w:pPr>
              <w:spacing w:after="0"/>
              <w:rPr>
                <w:sz w:val="13"/>
                <w:szCs w:val="13"/>
                <w:color w:val="auto"/>
              </w:rPr>
            </w:pPr>
          </w:p>
        </w:tc>
        <w:tc>
          <w:tcPr>
            <w:tcW w:w="24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ind w:right="20"/>
              <w:spacing w:after="0" w:line="156" w:lineRule="exact"/>
              <w:rPr>
                <w:sz w:val="20"/>
                <w:szCs w:val="20"/>
                <w:color w:val="auto"/>
              </w:rPr>
            </w:pPr>
            <w:r>
              <w:rPr>
                <w:rFonts w:ascii="Arial" w:cs="Arial" w:eastAsia="Arial" w:hAnsi="Arial"/>
                <w:sz w:val="14"/>
                <w:szCs w:val="14"/>
                <w:b w:val="1"/>
                <w:bCs w:val="1"/>
                <w:color w:val="auto"/>
              </w:rPr>
              <w:t>5,034</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Noncash share-based compensation expense</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102</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83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Borders>
              <w:bottom w:val="single" w:sz="8" w:color="E7E4E1"/>
            </w:tcBorders>
            <w:shd w:val="clear" w:color="auto" w:fill="E7E4E1"/>
          </w:tcPr>
          <w:p>
            <w:pPr>
              <w:spacing w:after="0"/>
              <w:rPr>
                <w:sz w:val="15"/>
                <w:szCs w:val="15"/>
                <w:color w:val="auto"/>
              </w:rPr>
            </w:pPr>
          </w:p>
        </w:tc>
        <w:tc>
          <w:tcPr>
            <w:tcW w:w="48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28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Borders>
              <w:bottom w:val="single" w:sz="8" w:color="E7E4E1"/>
            </w:tcBorders>
            <w:shd w:val="clear" w:color="auto" w:fill="E7E4E1"/>
          </w:tcPr>
          <w:p>
            <w:pPr>
              <w:spacing w:after="0"/>
              <w:rPr>
                <w:sz w:val="15"/>
                <w:szCs w:val="15"/>
                <w:color w:val="auto"/>
              </w:rPr>
            </w:pPr>
          </w:p>
        </w:tc>
        <w:tc>
          <w:tcPr>
            <w:tcW w:w="240" w:type="dxa"/>
            <w:vAlign w:val="bottom"/>
            <w:tcBorders>
              <w:bottom w:val="single" w:sz="8" w:color="auto"/>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369</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shd w:val="clear" w:color="auto" w:fill="E7E4E1"/>
          </w:tcPr>
          <w:p>
            <w:pPr>
              <w:spacing w:after="0"/>
              <w:rPr>
                <w:sz w:val="13"/>
                <w:szCs w:val="13"/>
                <w:color w:val="auto"/>
              </w:rPr>
            </w:pPr>
          </w:p>
        </w:tc>
        <w:tc>
          <w:tcPr>
            <w:tcW w:w="8380" w:type="dxa"/>
            <w:vAlign w:val="bottom"/>
            <w:shd w:val="clear" w:color="auto" w:fill="E7E4E1"/>
          </w:tcPr>
          <w:p>
            <w:pPr>
              <w:spacing w:after="0" w:line="156" w:lineRule="exact"/>
              <w:rPr>
                <w:sz w:val="20"/>
                <w:szCs w:val="20"/>
                <w:color w:val="auto"/>
              </w:rPr>
            </w:pPr>
            <w:r>
              <w:rPr>
                <w:rFonts w:ascii="Arial" w:cs="Arial" w:eastAsia="Arial" w:hAnsi="Arial"/>
                <w:sz w:val="14"/>
                <w:szCs w:val="14"/>
                <w:color w:val="auto"/>
              </w:rPr>
              <w:t>Cash basis operating income</w:t>
            </w:r>
          </w:p>
        </w:tc>
        <w:tc>
          <w:tcPr>
            <w:tcW w:w="180" w:type="dxa"/>
            <w:vAlign w:val="bottom"/>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spacing w:after="0" w:line="156" w:lineRule="exact"/>
              <w:rPr>
                <w:sz w:val="20"/>
                <w:szCs w:val="20"/>
                <w:color w:val="auto"/>
              </w:rPr>
            </w:pPr>
            <w:r>
              <w:rPr>
                <w:rFonts w:ascii="Arial" w:cs="Arial" w:eastAsia="Arial" w:hAnsi="Arial"/>
                <w:sz w:val="14"/>
                <w:szCs w:val="14"/>
                <w:color w:val="auto"/>
              </w:rPr>
              <w:t>5,123</w:t>
            </w:r>
          </w:p>
        </w:tc>
        <w:tc>
          <w:tcPr>
            <w:tcW w:w="200" w:type="dxa"/>
            <w:vAlign w:val="bottom"/>
            <w:shd w:val="clear" w:color="auto" w:fill="E7E4E1"/>
          </w:tcPr>
          <w:p>
            <w:pPr>
              <w:spacing w:after="0"/>
              <w:rPr>
                <w:sz w:val="13"/>
                <w:szCs w:val="13"/>
                <w:color w:val="auto"/>
              </w:rPr>
            </w:pPr>
          </w:p>
        </w:tc>
        <w:tc>
          <w:tcPr>
            <w:tcW w:w="24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ind w:right="20"/>
              <w:spacing w:after="0" w:line="156" w:lineRule="exact"/>
              <w:rPr>
                <w:sz w:val="20"/>
                <w:szCs w:val="20"/>
                <w:color w:val="auto"/>
              </w:rPr>
            </w:pPr>
            <w:r>
              <w:rPr>
                <w:rFonts w:ascii="Arial" w:cs="Arial" w:eastAsia="Arial" w:hAnsi="Arial"/>
                <w:sz w:val="14"/>
                <w:szCs w:val="14"/>
                <w:b w:val="1"/>
                <w:bCs w:val="1"/>
                <w:color w:val="auto"/>
              </w:rPr>
              <w:t>5,505</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Payments of interest</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40" w:type="dxa"/>
            <w:vAlign w:val="bottom"/>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(614)</w:t>
            </w: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(617)</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Payments of income taxes</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40" w:type="dxa"/>
            <w:vAlign w:val="bottom"/>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(118)</w:t>
            </w: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(461)</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Proceeds from investments and other</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75</w:t>
            </w:r>
          </w:p>
        </w:tc>
        <w:tc>
          <w:tcPr>
            <w:tcW w:w="20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36</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E7E4E1"/>
          </w:tcPr>
          <w:p>
            <w:pPr>
              <w:spacing w:after="0"/>
              <w:rPr>
                <w:sz w:val="15"/>
                <w:szCs w:val="15"/>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Excess tax benefits under share-based compensation</w:t>
            </w:r>
          </w:p>
        </w:tc>
        <w:tc>
          <w:tcPr>
            <w:tcW w:w="180" w:type="dxa"/>
            <w:vAlign w:val="bottom"/>
            <w:shd w:val="clear" w:color="auto" w:fill="E7E4E1"/>
          </w:tcPr>
          <w:p>
            <w:pPr>
              <w:spacing w:after="0"/>
              <w:rPr>
                <w:sz w:val="15"/>
                <w:szCs w:val="15"/>
                <w:color w:val="auto"/>
              </w:rPr>
            </w:pPr>
          </w:p>
        </w:tc>
        <w:tc>
          <w:tcPr>
            <w:tcW w:w="48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280" w:type="dxa"/>
            <w:vAlign w:val="bottom"/>
            <w:shd w:val="clear" w:color="auto" w:fill="E7E4E1"/>
          </w:tcPr>
          <w:p>
            <w:pPr>
              <w:spacing w:after="0"/>
              <w:rPr>
                <w:sz w:val="15"/>
                <w:szCs w:val="15"/>
                <w:color w:val="auto"/>
              </w:rPr>
            </w:pPr>
          </w:p>
        </w:tc>
        <w:tc>
          <w:tcPr>
            <w:tcW w:w="640" w:type="dxa"/>
            <w:vAlign w:val="bottom"/>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E7E4E1"/>
              <w:bottom w:val="single" w:sz="8" w:color="E7E4E1"/>
            </w:tcBorders>
            <w:shd w:val="clear" w:color="auto" w:fill="E7E4E1"/>
          </w:tcPr>
          <w:p>
            <w:pPr>
              <w:spacing w:after="0"/>
              <w:rPr>
                <w:sz w:val="14"/>
                <w:szCs w:val="14"/>
                <w:color w:val="auto"/>
              </w:rPr>
            </w:pPr>
          </w:p>
        </w:tc>
        <w:tc>
          <w:tcPr>
            <w:tcW w:w="8380" w:type="dxa"/>
            <w:vAlign w:val="bottom"/>
            <w:tcBorders>
              <w:top w:val="single" w:sz="8" w:color="E7E4E1"/>
              <w:bottom w:val="single" w:sz="8" w:color="E7E4E1"/>
            </w:tcBorders>
            <w:shd w:val="clear" w:color="auto" w:fill="E7E4E1"/>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top w:val="single" w:sz="8" w:color="E7E4E1"/>
              <w:bottom w:val="single" w:sz="8" w:color="E7E4E1"/>
            </w:tcBorders>
            <w:shd w:val="clear" w:color="auto" w:fill="E7E4E1"/>
          </w:tcPr>
          <w:p>
            <w:pPr>
              <w:spacing w:after="0"/>
              <w:rPr>
                <w:sz w:val="14"/>
                <w:szCs w:val="14"/>
                <w:color w:val="auto"/>
              </w:rPr>
            </w:pPr>
          </w:p>
        </w:tc>
        <w:tc>
          <w:tcPr>
            <w:tcW w:w="480" w:type="dxa"/>
            <w:vAlign w:val="bottom"/>
            <w:tcBorders>
              <w:top w:val="single" w:sz="8" w:color="E7E4E1"/>
              <w:bottom w:val="single" w:sz="8" w:color="E7E4E1"/>
            </w:tcBorders>
            <w:shd w:val="clear" w:color="auto" w:fill="E7E4E1"/>
          </w:tcPr>
          <w:p>
            <w:pPr>
              <w:spacing w:after="0"/>
              <w:rPr>
                <w:sz w:val="14"/>
                <w:szCs w:val="14"/>
                <w:color w:val="auto"/>
              </w:rPr>
            </w:pPr>
          </w:p>
        </w:tc>
        <w:tc>
          <w:tcPr>
            <w:tcW w:w="220" w:type="dxa"/>
            <w:vAlign w:val="bottom"/>
            <w:tcBorders>
              <w:top w:val="single" w:sz="8" w:color="E7E4E1"/>
              <w:bottom w:val="single" w:sz="8" w:color="E7E4E1"/>
            </w:tcBorders>
            <w:shd w:val="clear" w:color="auto" w:fill="E7E4E1"/>
          </w:tcPr>
          <w:p>
            <w:pPr>
              <w:spacing w:after="0"/>
              <w:rPr>
                <w:sz w:val="14"/>
                <w:szCs w:val="14"/>
                <w:color w:val="auto"/>
              </w:rPr>
            </w:pPr>
          </w:p>
        </w:tc>
        <w:tc>
          <w:tcPr>
            <w:tcW w:w="1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E7E4E1"/>
          </w:tcPr>
          <w:p>
            <w:pPr>
              <w:spacing w:after="0"/>
              <w:rPr>
                <w:sz w:val="14"/>
                <w:szCs w:val="14"/>
                <w:color w:val="auto"/>
              </w:rPr>
            </w:pPr>
          </w:p>
        </w:tc>
        <w:tc>
          <w:tcPr>
            <w:tcW w:w="440" w:type="dxa"/>
            <w:vAlign w:val="bottom"/>
            <w:tcBorders>
              <w:top w:val="single" w:sz="8" w:color="auto"/>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4,393</w:t>
            </w:r>
          </w:p>
        </w:tc>
        <w:tc>
          <w:tcPr>
            <w:tcW w:w="200" w:type="dxa"/>
            <w:vAlign w:val="bottom"/>
            <w:tcBorders>
              <w:top w:val="single" w:sz="8" w:color="E7E4E1"/>
              <w:bottom w:val="single" w:sz="8" w:color="E7E4E1"/>
            </w:tcBorders>
            <w:shd w:val="clear" w:color="auto" w:fill="E7E4E1"/>
          </w:tcPr>
          <w:p>
            <w:pPr>
              <w:spacing w:after="0"/>
              <w:rPr>
                <w:sz w:val="14"/>
                <w:szCs w:val="14"/>
                <w:color w:val="auto"/>
              </w:rPr>
            </w:pPr>
          </w:p>
        </w:tc>
        <w:tc>
          <w:tcPr>
            <w:tcW w:w="240" w:type="dxa"/>
            <w:vAlign w:val="bottom"/>
            <w:tcBorders>
              <w:top w:val="single" w:sz="8" w:color="auto"/>
              <w:bottom w:val="single" w:sz="8" w:color="auto"/>
            </w:tcBorders>
            <w:shd w:val="clear" w:color="auto" w:fill="E7E4E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bottom w:val="single" w:sz="8" w:color="auto"/>
            </w:tcBorders>
            <w:shd w:val="clear" w:color="auto" w:fill="E7E4E1"/>
          </w:tcPr>
          <w:p>
            <w:pPr>
              <w:spacing w:after="0"/>
              <w:rPr>
                <w:sz w:val="14"/>
                <w:szCs w:val="14"/>
                <w:color w:val="auto"/>
              </w:rPr>
            </w:pPr>
          </w:p>
        </w:tc>
        <w:tc>
          <w:tcPr>
            <w:tcW w:w="440" w:type="dxa"/>
            <w:vAlign w:val="bottom"/>
            <w:tcBorders>
              <w:top w:val="single" w:sz="8" w:color="auto"/>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4,369</w:t>
            </w:r>
          </w:p>
        </w:tc>
        <w:tc>
          <w:tcPr>
            <w:tcW w:w="80" w:type="dxa"/>
            <w:vAlign w:val="bottom"/>
            <w:tcBorders>
              <w:top w:val="single" w:sz="8" w:color="E7E4E1"/>
              <w:bottom w:val="single" w:sz="8" w:color="E7E4E1"/>
            </w:tcBorders>
            <w:shd w:val="clear" w:color="auto" w:fill="E7E4E1"/>
          </w:tcPr>
          <w:p>
            <w:pPr>
              <w:spacing w:after="0"/>
              <w:rPr>
                <w:sz w:val="14"/>
                <w:szCs w:val="14"/>
                <w:color w:val="auto"/>
              </w:rPr>
            </w:pPr>
          </w:p>
        </w:tc>
        <w:tc>
          <w:tcPr>
            <w:tcW w:w="100" w:type="dxa"/>
            <w:vAlign w:val="bottom"/>
            <w:tcBorders>
              <w:top w:val="single" w:sz="8" w:color="E7E4E1"/>
              <w:bottom w:val="single" w:sz="8" w:color="E7E4E1"/>
            </w:tcBorders>
            <w:shd w:val="clear" w:color="auto" w:fill="E7E4E1"/>
          </w:tcPr>
          <w:p>
            <w:pPr>
              <w:spacing w:after="0"/>
              <w:rPr>
                <w:sz w:val="14"/>
                <w:szCs w:val="14"/>
                <w:color w:val="auto"/>
              </w:rPr>
            </w:pPr>
          </w:p>
        </w:tc>
        <w:tc>
          <w:tcPr>
            <w:tcW w:w="40" w:type="dxa"/>
            <w:vAlign w:val="bottom"/>
            <w:tcBorders>
              <w:top w:val="single" w:sz="8" w:color="E7E4E1"/>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shd w:val="clear" w:color="auto" w:fill="E7E4E1"/>
          </w:tcPr>
          <w:p>
            <w:pPr>
              <w:spacing w:after="0"/>
              <w:rPr>
                <w:sz w:val="13"/>
                <w:szCs w:val="13"/>
                <w:color w:val="auto"/>
              </w:rPr>
            </w:pPr>
          </w:p>
        </w:tc>
        <w:tc>
          <w:tcPr>
            <w:tcW w:w="8380" w:type="dxa"/>
            <w:vAlign w:val="bottom"/>
            <w:shd w:val="clear" w:color="auto" w:fill="E7E4E1"/>
          </w:tcPr>
          <w:p>
            <w:pPr>
              <w:spacing w:after="0" w:line="156" w:lineRule="exact"/>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640" w:type="dxa"/>
            <w:vAlign w:val="bottom"/>
            <w:gridSpan w:val="3"/>
            <w:shd w:val="clear" w:color="auto" w:fill="E7E4E1"/>
          </w:tcPr>
          <w:p>
            <w:pPr>
              <w:jc w:val="right"/>
              <w:ind w:right="160"/>
              <w:spacing w:after="0" w:line="156" w:lineRule="exact"/>
              <w:rPr>
                <w:sz w:val="20"/>
                <w:szCs w:val="20"/>
                <w:color w:val="auto"/>
              </w:rPr>
            </w:pPr>
            <w:r>
              <w:rPr>
                <w:rFonts w:ascii="Arial" w:cs="Arial" w:eastAsia="Arial" w:hAnsi="Arial"/>
                <w:sz w:val="14"/>
                <w:szCs w:val="14"/>
                <w:color w:val="auto"/>
              </w:rPr>
              <w:t>(1,174)</w:t>
            </w:r>
          </w:p>
        </w:tc>
        <w:tc>
          <w:tcPr>
            <w:tcW w:w="24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520" w:type="dxa"/>
            <w:vAlign w:val="bottom"/>
            <w:gridSpan w:val="3"/>
            <w:shd w:val="clear" w:color="auto" w:fill="E7E4E1"/>
          </w:tcPr>
          <w:p>
            <w:pPr>
              <w:jc w:val="right"/>
              <w:ind w:right="40"/>
              <w:spacing w:after="0" w:line="156" w:lineRule="exact"/>
              <w:rPr>
                <w:sz w:val="20"/>
                <w:szCs w:val="20"/>
                <w:color w:val="auto"/>
              </w:rPr>
            </w:pPr>
            <w:r>
              <w:rPr>
                <w:rFonts w:ascii="Arial" w:cs="Arial" w:eastAsia="Arial" w:hAnsi="Arial"/>
                <w:sz w:val="14"/>
                <w:szCs w:val="14"/>
                <w:b w:val="1"/>
                <w:bCs w:val="1"/>
                <w:color w:val="auto"/>
              </w:rPr>
              <w:t>(1,361)</w:t>
            </w: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40" w:type="dxa"/>
            <w:vAlign w:val="bottom"/>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(184)</w:t>
            </w: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(182)</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7E4E1"/>
          </w:tcPr>
          <w:p>
            <w:pPr>
              <w:spacing w:after="0"/>
              <w:rPr>
                <w:sz w:val="14"/>
                <w:szCs w:val="1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Distributions to noncontrolling interests</w:t>
            </w:r>
          </w:p>
        </w:tc>
        <w:tc>
          <w:tcPr>
            <w:tcW w:w="180" w:type="dxa"/>
            <w:vAlign w:val="bottom"/>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40" w:type="dxa"/>
            <w:vAlign w:val="bottom"/>
            <w:gridSpan w:val="3"/>
            <w:shd w:val="clear" w:color="auto" w:fill="E7E4E1"/>
          </w:tcPr>
          <w:p>
            <w:pPr>
              <w:jc w:val="right"/>
              <w:ind w:right="160"/>
              <w:spacing w:after="0"/>
              <w:rPr>
                <w:sz w:val="20"/>
                <w:szCs w:val="20"/>
                <w:color w:val="auto"/>
              </w:rPr>
            </w:pPr>
            <w:r>
              <w:rPr>
                <w:rFonts w:ascii="Arial" w:cs="Arial" w:eastAsia="Arial" w:hAnsi="Arial"/>
                <w:sz w:val="14"/>
                <w:szCs w:val="14"/>
                <w:color w:val="auto"/>
              </w:rPr>
              <w:t>(58)</w:t>
            </w:r>
          </w:p>
        </w:tc>
        <w:tc>
          <w:tcPr>
            <w:tcW w:w="24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83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Nonoperating items</w:t>
            </w:r>
          </w:p>
        </w:tc>
        <w:tc>
          <w:tcPr>
            <w:tcW w:w="180" w:type="dxa"/>
            <w:vAlign w:val="bottom"/>
            <w:tcBorders>
              <w:bottom w:val="single" w:sz="8" w:color="E7E4E1"/>
            </w:tcBorders>
            <w:shd w:val="clear" w:color="auto" w:fill="E7E4E1"/>
          </w:tcPr>
          <w:p>
            <w:pPr>
              <w:spacing w:after="0"/>
              <w:rPr>
                <w:sz w:val="15"/>
                <w:szCs w:val="15"/>
                <w:color w:val="auto"/>
              </w:rPr>
            </w:pPr>
          </w:p>
        </w:tc>
        <w:tc>
          <w:tcPr>
            <w:tcW w:w="48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28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bottom w:val="single" w:sz="8" w:color="E7E4E1"/>
            </w:tcBorders>
            <w:shd w:val="clear" w:color="auto" w:fill="E7E4E1"/>
          </w:tcPr>
          <w:p>
            <w:pPr>
              <w:spacing w:after="0"/>
              <w:rPr>
                <w:sz w:val="15"/>
                <w:szCs w:val="15"/>
                <w:color w:val="auto"/>
              </w:rPr>
            </w:pPr>
          </w:p>
        </w:tc>
        <w:tc>
          <w:tcPr>
            <w:tcW w:w="240" w:type="dxa"/>
            <w:vAlign w:val="bottom"/>
            <w:tcBorders>
              <w:bottom w:val="single" w:sz="8" w:color="auto"/>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361</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shd w:val="clear" w:color="auto" w:fill="E7E4E1"/>
          </w:tcPr>
          <w:p>
            <w:pPr>
              <w:spacing w:after="0"/>
              <w:rPr>
                <w:sz w:val="13"/>
                <w:szCs w:val="13"/>
                <w:color w:val="auto"/>
              </w:rPr>
            </w:pPr>
          </w:p>
        </w:tc>
        <w:tc>
          <w:tcPr>
            <w:tcW w:w="8380" w:type="dxa"/>
            <w:vAlign w:val="bottom"/>
            <w:shd w:val="clear" w:color="auto" w:fill="E7E4E1"/>
          </w:tcPr>
          <w:p>
            <w:pPr>
              <w:spacing w:after="0" w:line="156" w:lineRule="exact"/>
              <w:rPr>
                <w:sz w:val="20"/>
                <w:szCs w:val="20"/>
                <w:color w:val="auto"/>
              </w:rPr>
            </w:pPr>
            <w:r>
              <w:rPr>
                <w:rFonts w:ascii="Arial" w:cs="Arial" w:eastAsia="Arial" w:hAnsi="Arial"/>
                <w:sz w:val="14"/>
                <w:szCs w:val="14"/>
                <w:color w:val="auto"/>
              </w:rPr>
              <w:t>Free Cash Flow (including economic stimulus packages)</w:t>
            </w:r>
          </w:p>
        </w:tc>
        <w:tc>
          <w:tcPr>
            <w:tcW w:w="180" w:type="dxa"/>
            <w:vAlign w:val="bottom"/>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320" w:type="dxa"/>
            <w:vAlign w:val="bottom"/>
            <w:gridSpan w:val="2"/>
            <w:shd w:val="clear" w:color="auto" w:fill="E7E4E1"/>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spacing w:after="0" w:line="156" w:lineRule="exact"/>
              <w:rPr>
                <w:sz w:val="20"/>
                <w:szCs w:val="20"/>
                <w:color w:val="auto"/>
              </w:rPr>
            </w:pPr>
            <w:r>
              <w:rPr>
                <w:rFonts w:ascii="Arial" w:cs="Arial" w:eastAsia="Arial" w:hAnsi="Arial"/>
                <w:sz w:val="14"/>
                <w:szCs w:val="14"/>
                <w:color w:val="auto"/>
              </w:rPr>
              <w:t>3,039</w:t>
            </w:r>
          </w:p>
        </w:tc>
        <w:tc>
          <w:tcPr>
            <w:tcW w:w="200" w:type="dxa"/>
            <w:vAlign w:val="bottom"/>
            <w:shd w:val="clear" w:color="auto" w:fill="E7E4E1"/>
          </w:tcPr>
          <w:p>
            <w:pPr>
              <w:spacing w:after="0"/>
              <w:rPr>
                <w:sz w:val="13"/>
                <w:szCs w:val="13"/>
                <w:color w:val="auto"/>
              </w:rPr>
            </w:pPr>
          </w:p>
        </w:tc>
        <w:tc>
          <w:tcPr>
            <w:tcW w:w="240" w:type="dxa"/>
            <w:vAlign w:val="bottom"/>
            <w:shd w:val="clear" w:color="auto" w:fill="E7E4E1"/>
          </w:tcPr>
          <w:p>
            <w:pPr>
              <w:jc w:val="right"/>
              <w:ind w:right="88"/>
              <w:spacing w:after="0" w:line="156" w:lineRule="exact"/>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E7E4E1"/>
          </w:tcPr>
          <w:p>
            <w:pPr>
              <w:spacing w:after="0"/>
              <w:rPr>
                <w:sz w:val="13"/>
                <w:szCs w:val="13"/>
                <w:color w:val="auto"/>
              </w:rPr>
            </w:pPr>
          </w:p>
        </w:tc>
        <w:tc>
          <w:tcPr>
            <w:tcW w:w="440" w:type="dxa"/>
            <w:vAlign w:val="bottom"/>
            <w:gridSpan w:val="2"/>
            <w:shd w:val="clear" w:color="auto" w:fill="E7E4E1"/>
          </w:tcPr>
          <w:p>
            <w:pPr>
              <w:jc w:val="right"/>
              <w:ind w:right="20"/>
              <w:spacing w:after="0" w:line="156" w:lineRule="exact"/>
              <w:rPr>
                <w:sz w:val="20"/>
                <w:szCs w:val="20"/>
                <w:color w:val="auto"/>
              </w:rPr>
            </w:pPr>
            <w:r>
              <w:rPr>
                <w:rFonts w:ascii="Arial" w:cs="Arial" w:eastAsia="Arial" w:hAnsi="Arial"/>
                <w:sz w:val="14"/>
                <w:szCs w:val="14"/>
                <w:b w:val="1"/>
                <w:bCs w:val="1"/>
                <w:color w:val="auto"/>
              </w:rPr>
              <w:t>3,138</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83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Economic stimulus packages</w:t>
            </w:r>
          </w:p>
        </w:tc>
        <w:tc>
          <w:tcPr>
            <w:tcW w:w="180" w:type="dxa"/>
            <w:vAlign w:val="bottom"/>
            <w:tcBorders>
              <w:bottom w:val="single" w:sz="8" w:color="E7E4E1"/>
            </w:tcBorders>
            <w:shd w:val="clear" w:color="auto" w:fill="E7E4E1"/>
          </w:tcPr>
          <w:p>
            <w:pPr>
              <w:spacing w:after="0"/>
              <w:rPr>
                <w:sz w:val="15"/>
                <w:szCs w:val="15"/>
                <w:color w:val="auto"/>
              </w:rPr>
            </w:pPr>
          </w:p>
        </w:tc>
        <w:tc>
          <w:tcPr>
            <w:tcW w:w="48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28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4E1"/>
            </w:tcBorders>
            <w:shd w:val="clear" w:color="auto" w:fill="E7E4E1"/>
          </w:tcPr>
          <w:p>
            <w:pPr>
              <w:spacing w:after="0"/>
              <w:rPr>
                <w:sz w:val="15"/>
                <w:szCs w:val="15"/>
                <w:color w:val="auto"/>
              </w:rPr>
            </w:pPr>
          </w:p>
        </w:tc>
        <w:tc>
          <w:tcPr>
            <w:tcW w:w="240" w:type="dxa"/>
            <w:vAlign w:val="bottom"/>
            <w:tcBorders>
              <w:bottom w:val="single" w:sz="8" w:color="auto"/>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E7E4E1"/>
          </w:tcPr>
          <w:p>
            <w:pPr>
              <w:spacing w:after="0"/>
              <w:rPr>
                <w:sz w:val="18"/>
                <w:szCs w:val="18"/>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Total Free Cash Flow</w:t>
            </w:r>
          </w:p>
        </w:tc>
        <w:tc>
          <w:tcPr>
            <w:tcW w:w="180" w:type="dxa"/>
            <w:vAlign w:val="bottom"/>
            <w:shd w:val="clear" w:color="auto" w:fill="E7E4E1"/>
          </w:tcPr>
          <w:p>
            <w:pPr>
              <w:spacing w:after="0"/>
              <w:rPr>
                <w:sz w:val="18"/>
                <w:szCs w:val="18"/>
                <w:color w:val="auto"/>
              </w:rPr>
            </w:pPr>
          </w:p>
        </w:tc>
        <w:tc>
          <w:tcPr>
            <w:tcW w:w="480" w:type="dxa"/>
            <w:vAlign w:val="bottom"/>
            <w:shd w:val="clear" w:color="auto" w:fill="E7E4E1"/>
          </w:tcPr>
          <w:p>
            <w:pPr>
              <w:spacing w:after="0"/>
              <w:rPr>
                <w:sz w:val="18"/>
                <w:szCs w:val="18"/>
                <w:color w:val="auto"/>
              </w:rPr>
            </w:pP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18"/>
                <w:szCs w:val="18"/>
                <w:color w:val="auto"/>
              </w:rPr>
            </w:pPr>
          </w:p>
        </w:tc>
        <w:tc>
          <w:tcPr>
            <w:tcW w:w="44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3,039</w:t>
            </w:r>
          </w:p>
        </w:tc>
        <w:tc>
          <w:tcPr>
            <w:tcW w:w="200" w:type="dxa"/>
            <w:vAlign w:val="bottom"/>
            <w:shd w:val="clear" w:color="auto" w:fill="E7E4E1"/>
          </w:tcPr>
          <w:p>
            <w:pPr>
              <w:spacing w:after="0"/>
              <w:rPr>
                <w:sz w:val="18"/>
                <w:szCs w:val="18"/>
                <w:color w:val="auto"/>
              </w:rPr>
            </w:pPr>
          </w:p>
        </w:tc>
        <w:tc>
          <w:tcPr>
            <w:tcW w:w="240" w:type="dxa"/>
            <w:vAlign w:val="bottom"/>
            <w:shd w:val="clear" w:color="auto" w:fill="E7E4E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E7E4E1"/>
          </w:tcPr>
          <w:p>
            <w:pPr>
              <w:spacing w:after="0"/>
              <w:rPr>
                <w:sz w:val="18"/>
                <w:szCs w:val="18"/>
                <w:color w:val="auto"/>
              </w:rPr>
            </w:pPr>
          </w:p>
        </w:tc>
        <w:tc>
          <w:tcPr>
            <w:tcW w:w="44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3,138</w:t>
            </w:r>
          </w:p>
        </w:tc>
        <w:tc>
          <w:tcPr>
            <w:tcW w:w="8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 w:type="dxa"/>
            <w:vAlign w:val="bottom"/>
            <w:tcBorders>
              <w:top w:val="single" w:sz="8" w:color="E7E4E1"/>
            </w:tcBorders>
            <w:shd w:val="clear" w:color="auto" w:fill="E7E4E1"/>
          </w:tcPr>
          <w:p>
            <w:pPr>
              <w:spacing w:after="0"/>
              <w:rPr>
                <w:sz w:val="5"/>
                <w:szCs w:val="5"/>
                <w:color w:val="auto"/>
              </w:rPr>
            </w:pPr>
          </w:p>
        </w:tc>
        <w:tc>
          <w:tcPr>
            <w:tcW w:w="8380" w:type="dxa"/>
            <w:vAlign w:val="bottom"/>
            <w:tcBorders>
              <w:top w:val="single" w:sz="8" w:color="E7E4E1"/>
            </w:tcBorders>
            <w:shd w:val="clear" w:color="auto" w:fill="E7E4E1"/>
          </w:tcPr>
          <w:p>
            <w:pPr>
              <w:spacing w:after="0"/>
              <w:rPr>
                <w:sz w:val="5"/>
                <w:szCs w:val="5"/>
                <w:color w:val="auto"/>
              </w:rPr>
            </w:pPr>
          </w:p>
        </w:tc>
        <w:tc>
          <w:tcPr>
            <w:tcW w:w="180" w:type="dxa"/>
            <w:vAlign w:val="bottom"/>
            <w:tcBorders>
              <w:top w:val="single" w:sz="8" w:color="E7E4E1"/>
            </w:tcBorders>
            <w:shd w:val="clear" w:color="auto" w:fill="E7E4E1"/>
          </w:tcPr>
          <w:p>
            <w:pPr>
              <w:spacing w:after="0"/>
              <w:rPr>
                <w:sz w:val="5"/>
                <w:szCs w:val="5"/>
                <w:color w:val="auto"/>
              </w:rPr>
            </w:pPr>
          </w:p>
        </w:tc>
        <w:tc>
          <w:tcPr>
            <w:tcW w:w="480" w:type="dxa"/>
            <w:vAlign w:val="bottom"/>
            <w:tcBorders>
              <w:top w:val="single" w:sz="8" w:color="E7E4E1"/>
            </w:tcBorders>
            <w:shd w:val="clear" w:color="auto" w:fill="E7E4E1"/>
          </w:tcPr>
          <w:p>
            <w:pPr>
              <w:spacing w:after="0"/>
              <w:rPr>
                <w:sz w:val="5"/>
                <w:szCs w:val="5"/>
                <w:color w:val="auto"/>
              </w:rPr>
            </w:pPr>
          </w:p>
        </w:tc>
        <w:tc>
          <w:tcPr>
            <w:tcW w:w="220" w:type="dxa"/>
            <w:vAlign w:val="bottom"/>
            <w:tcBorders>
              <w:top w:val="single" w:sz="8" w:color="E7E4E1"/>
            </w:tcBorders>
            <w:shd w:val="clear" w:color="auto" w:fill="E7E4E1"/>
          </w:tcPr>
          <w:p>
            <w:pPr>
              <w:spacing w:after="0"/>
              <w:rPr>
                <w:sz w:val="5"/>
                <w:szCs w:val="5"/>
                <w:color w:val="auto"/>
              </w:rPr>
            </w:pPr>
          </w:p>
        </w:tc>
        <w:tc>
          <w:tcPr>
            <w:tcW w:w="100" w:type="dxa"/>
            <w:vAlign w:val="bottom"/>
            <w:tcBorders>
              <w:top w:val="single" w:sz="8" w:color="auto"/>
            </w:tcBorders>
            <w:shd w:val="clear" w:color="auto" w:fill="E7E4E1"/>
          </w:tcPr>
          <w:p>
            <w:pPr>
              <w:spacing w:after="0"/>
              <w:rPr>
                <w:sz w:val="5"/>
                <w:szCs w:val="5"/>
                <w:color w:val="auto"/>
              </w:rPr>
            </w:pPr>
          </w:p>
        </w:tc>
        <w:tc>
          <w:tcPr>
            <w:tcW w:w="280" w:type="dxa"/>
            <w:vAlign w:val="bottom"/>
            <w:tcBorders>
              <w:top w:val="single" w:sz="8" w:color="auto"/>
            </w:tcBorders>
            <w:shd w:val="clear" w:color="auto" w:fill="E7E4E1"/>
          </w:tcPr>
          <w:p>
            <w:pPr>
              <w:spacing w:after="0"/>
              <w:rPr>
                <w:sz w:val="5"/>
                <w:szCs w:val="5"/>
                <w:color w:val="auto"/>
              </w:rPr>
            </w:pPr>
          </w:p>
        </w:tc>
        <w:tc>
          <w:tcPr>
            <w:tcW w:w="200" w:type="dxa"/>
            <w:vAlign w:val="bottom"/>
            <w:tcBorders>
              <w:top w:val="single" w:sz="8" w:color="auto"/>
            </w:tcBorders>
            <w:shd w:val="clear" w:color="auto" w:fill="E7E4E1"/>
          </w:tcPr>
          <w:p>
            <w:pPr>
              <w:spacing w:after="0"/>
              <w:rPr>
                <w:sz w:val="5"/>
                <w:szCs w:val="5"/>
                <w:color w:val="auto"/>
              </w:rPr>
            </w:pPr>
          </w:p>
        </w:tc>
        <w:tc>
          <w:tcPr>
            <w:tcW w:w="240" w:type="dxa"/>
            <w:vAlign w:val="bottom"/>
            <w:tcBorders>
              <w:top w:val="single" w:sz="8" w:color="auto"/>
            </w:tcBorders>
            <w:shd w:val="clear" w:color="auto" w:fill="E7E4E1"/>
          </w:tcPr>
          <w:p>
            <w:pPr>
              <w:spacing w:after="0"/>
              <w:rPr>
                <w:sz w:val="5"/>
                <w:szCs w:val="5"/>
                <w:color w:val="auto"/>
              </w:rPr>
            </w:pPr>
          </w:p>
        </w:tc>
        <w:tc>
          <w:tcPr>
            <w:tcW w:w="200" w:type="dxa"/>
            <w:vAlign w:val="bottom"/>
            <w:tcBorders>
              <w:top w:val="single" w:sz="8" w:color="E7E4E1"/>
            </w:tcBorders>
            <w:shd w:val="clear" w:color="auto" w:fill="E7E4E1"/>
          </w:tcPr>
          <w:p>
            <w:pPr>
              <w:spacing w:after="0"/>
              <w:rPr>
                <w:sz w:val="5"/>
                <w:szCs w:val="5"/>
                <w:color w:val="auto"/>
              </w:rPr>
            </w:pPr>
          </w:p>
        </w:tc>
        <w:tc>
          <w:tcPr>
            <w:tcW w:w="240" w:type="dxa"/>
            <w:vAlign w:val="bottom"/>
            <w:tcBorders>
              <w:top w:val="single" w:sz="8" w:color="auto"/>
            </w:tcBorders>
            <w:shd w:val="clear" w:color="auto" w:fill="E7E4E1"/>
          </w:tcPr>
          <w:p>
            <w:pPr>
              <w:spacing w:after="0"/>
              <w:rPr>
                <w:sz w:val="5"/>
                <w:szCs w:val="5"/>
                <w:color w:val="auto"/>
              </w:rPr>
            </w:pPr>
          </w:p>
        </w:tc>
        <w:tc>
          <w:tcPr>
            <w:tcW w:w="140" w:type="dxa"/>
            <w:vAlign w:val="bottom"/>
            <w:tcBorders>
              <w:top w:val="single" w:sz="8" w:color="auto"/>
            </w:tcBorders>
            <w:shd w:val="clear" w:color="auto" w:fill="E7E4E1"/>
          </w:tcPr>
          <w:p>
            <w:pPr>
              <w:spacing w:after="0"/>
              <w:rPr>
                <w:sz w:val="5"/>
                <w:szCs w:val="5"/>
                <w:color w:val="auto"/>
              </w:rPr>
            </w:pPr>
          </w:p>
        </w:tc>
        <w:tc>
          <w:tcPr>
            <w:tcW w:w="340" w:type="dxa"/>
            <w:vAlign w:val="bottom"/>
            <w:tcBorders>
              <w:top w:val="single" w:sz="8" w:color="auto"/>
            </w:tcBorders>
            <w:shd w:val="clear" w:color="auto" w:fill="E7E4E1"/>
          </w:tcPr>
          <w:p>
            <w:pPr>
              <w:spacing w:after="0"/>
              <w:rPr>
                <w:sz w:val="5"/>
                <w:szCs w:val="5"/>
                <w:color w:val="auto"/>
              </w:rPr>
            </w:pPr>
          </w:p>
        </w:tc>
        <w:tc>
          <w:tcPr>
            <w:tcW w:w="100" w:type="dxa"/>
            <w:vAlign w:val="bottom"/>
            <w:tcBorders>
              <w:top w:val="single" w:sz="8" w:color="auto"/>
            </w:tcBorders>
            <w:shd w:val="clear" w:color="auto" w:fill="E7E4E1"/>
          </w:tcPr>
          <w:p>
            <w:pPr>
              <w:spacing w:after="0"/>
              <w:rPr>
                <w:sz w:val="5"/>
                <w:szCs w:val="5"/>
                <w:color w:val="auto"/>
              </w:rPr>
            </w:pPr>
          </w:p>
        </w:tc>
        <w:tc>
          <w:tcPr>
            <w:tcW w:w="80" w:type="dxa"/>
            <w:vAlign w:val="bottom"/>
            <w:tcBorders>
              <w:top w:val="single" w:sz="8" w:color="E7E4E1"/>
            </w:tcBorders>
            <w:shd w:val="clear" w:color="auto" w:fill="E7E4E1"/>
          </w:tcPr>
          <w:p>
            <w:pPr>
              <w:spacing w:after="0"/>
              <w:rPr>
                <w:sz w:val="5"/>
                <w:szCs w:val="5"/>
                <w:color w:val="auto"/>
              </w:rPr>
            </w:pPr>
          </w:p>
        </w:tc>
        <w:tc>
          <w:tcPr>
            <w:tcW w:w="10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c>
          <w:tcPr>
            <w:tcW w:w="0" w:type="dxa"/>
            <w:vAlign w:val="bottom"/>
          </w:tcPr>
          <w:p>
            <w:pPr>
              <w:spacing w:after="0"/>
              <w:rPr>
                <w:sz w:val="1"/>
                <w:szCs w:val="1"/>
                <w:color w:val="auto"/>
              </w:rPr>
            </w:pPr>
          </w:p>
        </w:tc>
      </w:tr>
      <w:tr>
        <w:trPr>
          <w:trHeight w:val="537"/>
        </w:trPr>
        <w:tc>
          <w:tcPr>
            <w:tcW w:w="8520" w:type="dxa"/>
            <w:vAlign w:val="bottom"/>
            <w:gridSpan w:val="2"/>
          </w:tcPr>
          <w:p>
            <w:pPr>
              <w:spacing w:after="0"/>
              <w:rPr>
                <w:sz w:val="20"/>
                <w:szCs w:val="20"/>
                <w:color w:val="auto"/>
              </w:rPr>
            </w:pPr>
            <w:r>
              <w:rPr>
                <w:rFonts w:ascii="Arial" w:cs="Arial" w:eastAsia="Arial" w:hAnsi="Arial"/>
                <w:sz w:val="18"/>
                <w:szCs w:val="18"/>
                <w:b w:val="1"/>
                <w:bCs w:val="1"/>
                <w:color w:val="7F7F7F"/>
              </w:rPr>
              <w:t>Reconciliation of EPS Excluding Gain Related to Sale of Wireless Spectrum Licenses (Unaudited)</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40" w:type="dxa"/>
            <w:vAlign w:val="bottom"/>
            <w:tcBorders>
              <w:bottom w:val="single" w:sz="8" w:color="004EA8"/>
            </w:tcBorders>
          </w:tcPr>
          <w:p>
            <w:pPr>
              <w:spacing w:after="0"/>
              <w:rPr>
                <w:sz w:val="7"/>
                <w:szCs w:val="7"/>
                <w:color w:val="auto"/>
              </w:rPr>
            </w:pPr>
          </w:p>
        </w:tc>
        <w:tc>
          <w:tcPr>
            <w:tcW w:w="8380" w:type="dxa"/>
            <w:vAlign w:val="bottom"/>
            <w:tcBorders>
              <w:bottom w:val="single" w:sz="8" w:color="004EA8"/>
            </w:tcBorders>
          </w:tcPr>
          <w:p>
            <w:pPr>
              <w:spacing w:after="0"/>
              <w:rPr>
                <w:sz w:val="7"/>
                <w:szCs w:val="7"/>
                <w:color w:val="auto"/>
              </w:rPr>
            </w:pPr>
          </w:p>
        </w:tc>
        <w:tc>
          <w:tcPr>
            <w:tcW w:w="180" w:type="dxa"/>
            <w:vAlign w:val="bottom"/>
            <w:tcBorders>
              <w:bottom w:val="single" w:sz="8" w:color="004EA8"/>
            </w:tcBorders>
          </w:tcPr>
          <w:p>
            <w:pPr>
              <w:spacing w:after="0"/>
              <w:rPr>
                <w:sz w:val="7"/>
                <w:szCs w:val="7"/>
                <w:color w:val="auto"/>
              </w:rPr>
            </w:pPr>
          </w:p>
        </w:tc>
        <w:tc>
          <w:tcPr>
            <w:tcW w:w="480" w:type="dxa"/>
            <w:vAlign w:val="bottom"/>
            <w:tcBorders>
              <w:bottom w:val="single" w:sz="8" w:color="004EA8"/>
            </w:tcBorders>
          </w:tcPr>
          <w:p>
            <w:pPr>
              <w:spacing w:after="0"/>
              <w:rPr>
                <w:sz w:val="7"/>
                <w:szCs w:val="7"/>
                <w:color w:val="auto"/>
              </w:rPr>
            </w:pPr>
          </w:p>
        </w:tc>
        <w:tc>
          <w:tcPr>
            <w:tcW w:w="800" w:type="dxa"/>
            <w:vAlign w:val="bottom"/>
            <w:tcBorders>
              <w:bottom w:val="single" w:sz="8" w:color="004EA8"/>
            </w:tcBorders>
            <w:gridSpan w:val="4"/>
          </w:tcPr>
          <w:p>
            <w:pPr>
              <w:spacing w:after="0"/>
              <w:rPr>
                <w:sz w:val="7"/>
                <w:szCs w:val="7"/>
                <w:color w:val="auto"/>
              </w:rPr>
            </w:pPr>
          </w:p>
        </w:tc>
        <w:tc>
          <w:tcPr>
            <w:tcW w:w="680" w:type="dxa"/>
            <w:vAlign w:val="bottom"/>
            <w:tcBorders>
              <w:bottom w:val="single" w:sz="8" w:color="004EA8"/>
            </w:tcBorders>
            <w:gridSpan w:val="3"/>
          </w:tcPr>
          <w:p>
            <w:pPr>
              <w:spacing w:after="0"/>
              <w:rPr>
                <w:sz w:val="7"/>
                <w:szCs w:val="7"/>
                <w:color w:val="auto"/>
              </w:rPr>
            </w:pPr>
          </w:p>
        </w:tc>
        <w:tc>
          <w:tcPr>
            <w:tcW w:w="140" w:type="dxa"/>
            <w:vAlign w:val="bottom"/>
            <w:tcBorders>
              <w:bottom w:val="single" w:sz="8" w:color="004EA8"/>
            </w:tcBorders>
          </w:tcPr>
          <w:p>
            <w:pPr>
              <w:spacing w:after="0"/>
              <w:rPr>
                <w:sz w:val="7"/>
                <w:szCs w:val="7"/>
                <w:color w:val="auto"/>
              </w:rPr>
            </w:pPr>
          </w:p>
        </w:tc>
        <w:tc>
          <w:tcPr>
            <w:tcW w:w="340" w:type="dxa"/>
            <w:vAlign w:val="bottom"/>
            <w:tcBorders>
              <w:bottom w:val="single" w:sz="8" w:color="004EA8"/>
            </w:tcBorders>
          </w:tcPr>
          <w:p>
            <w:pPr>
              <w:spacing w:after="0"/>
              <w:rPr>
                <w:sz w:val="7"/>
                <w:szCs w:val="7"/>
                <w:color w:val="auto"/>
              </w:rPr>
            </w:pPr>
          </w:p>
        </w:tc>
        <w:tc>
          <w:tcPr>
            <w:tcW w:w="100" w:type="dxa"/>
            <w:vAlign w:val="bottom"/>
            <w:tcBorders>
              <w:bottom w:val="single" w:sz="8" w:color="004EA8"/>
            </w:tcBorders>
          </w:tcPr>
          <w:p>
            <w:pPr>
              <w:spacing w:after="0"/>
              <w:rPr>
                <w:sz w:val="7"/>
                <w:szCs w:val="7"/>
                <w:color w:val="auto"/>
              </w:rPr>
            </w:pPr>
          </w:p>
        </w:tc>
        <w:tc>
          <w:tcPr>
            <w:tcW w:w="80" w:type="dxa"/>
            <w:vAlign w:val="bottom"/>
            <w:tcBorders>
              <w:bottom w:val="single" w:sz="8" w:color="004EA8"/>
            </w:tcBorders>
          </w:tcPr>
          <w:p>
            <w:pPr>
              <w:spacing w:after="0"/>
              <w:rPr>
                <w:sz w:val="7"/>
                <w:szCs w:val="7"/>
                <w:color w:val="auto"/>
              </w:rPr>
            </w:pPr>
          </w:p>
        </w:tc>
        <w:tc>
          <w:tcPr>
            <w:tcW w:w="100" w:type="dxa"/>
            <w:vAlign w:val="bottom"/>
            <w:tcBorders>
              <w:bottom w:val="single" w:sz="8" w:color="004EA8"/>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14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gridSpan w:val="4"/>
          </w:tcPr>
          <w:p>
            <w:pPr>
              <w:spacing w:after="0"/>
              <w:rPr>
                <w:sz w:val="23"/>
                <w:szCs w:val="23"/>
                <w:color w:val="auto"/>
              </w:rPr>
            </w:pPr>
          </w:p>
        </w:tc>
        <w:tc>
          <w:tcPr>
            <w:tcW w:w="68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140" w:type="dxa"/>
            <w:vAlign w:val="bottom"/>
            <w:shd w:val="clear" w:color="auto" w:fill="E7E4E1"/>
          </w:tcPr>
          <w:p>
            <w:pPr>
              <w:spacing w:after="0"/>
              <w:rPr>
                <w:sz w:val="24"/>
                <w:szCs w:val="24"/>
                <w:color w:val="auto"/>
              </w:rPr>
            </w:pPr>
          </w:p>
        </w:tc>
        <w:tc>
          <w:tcPr>
            <w:tcW w:w="83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80" w:type="dxa"/>
            <w:vAlign w:val="bottom"/>
            <w:shd w:val="clear" w:color="auto" w:fill="E7E4E1"/>
          </w:tcPr>
          <w:p>
            <w:pPr>
              <w:spacing w:after="0"/>
              <w:rPr>
                <w:sz w:val="24"/>
                <w:szCs w:val="24"/>
                <w:color w:val="auto"/>
              </w:rPr>
            </w:pPr>
          </w:p>
        </w:tc>
        <w:tc>
          <w:tcPr>
            <w:tcW w:w="1480" w:type="dxa"/>
            <w:vAlign w:val="bottom"/>
            <w:gridSpan w:val="7"/>
            <w:shd w:val="clear" w:color="auto" w:fill="E7E4E1"/>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E7E4E1"/>
          </w:tcPr>
          <w:p>
            <w:pPr>
              <w:spacing w:after="0"/>
              <w:rPr>
                <w:sz w:val="24"/>
                <w:szCs w:val="24"/>
                <w:color w:val="auto"/>
              </w:rPr>
            </w:pPr>
          </w:p>
        </w:tc>
        <w:tc>
          <w:tcPr>
            <w:tcW w:w="3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E7E4E1"/>
          </w:tcPr>
          <w:p>
            <w:pPr>
              <w:spacing w:after="0"/>
              <w:rPr>
                <w:sz w:val="15"/>
                <w:szCs w:val="15"/>
                <w:color w:val="auto"/>
              </w:rPr>
            </w:pPr>
          </w:p>
        </w:tc>
        <w:tc>
          <w:tcPr>
            <w:tcW w:w="838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48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920" w:type="dxa"/>
            <w:vAlign w:val="bottom"/>
            <w:gridSpan w:val="4"/>
            <w:shd w:val="clear" w:color="auto" w:fill="E7E4E1"/>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24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34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E7E4E1"/>
            </w:tcBorders>
            <w:shd w:val="clear" w:color="auto" w:fill="E7E4E1"/>
          </w:tcPr>
          <w:p>
            <w:pPr>
              <w:spacing w:after="0"/>
              <w:rPr>
                <w:sz w:val="15"/>
                <w:szCs w:val="15"/>
                <w:color w:val="auto"/>
              </w:rPr>
            </w:pPr>
          </w:p>
        </w:tc>
        <w:tc>
          <w:tcPr>
            <w:tcW w:w="83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E7E4E1"/>
            </w:tcBorders>
            <w:shd w:val="clear" w:color="auto" w:fill="E7E4E1"/>
          </w:tcPr>
          <w:p>
            <w:pPr>
              <w:spacing w:after="0"/>
              <w:rPr>
                <w:sz w:val="15"/>
                <w:szCs w:val="15"/>
                <w:color w:val="auto"/>
              </w:rPr>
            </w:pPr>
          </w:p>
        </w:tc>
        <w:tc>
          <w:tcPr>
            <w:tcW w:w="70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shd w:val="clear" w:color="auto" w:fill="E7E4E1"/>
          </w:tcPr>
          <w:p>
            <w:pPr>
              <w:spacing w:after="0"/>
              <w:rPr>
                <w:sz w:val="15"/>
                <w:szCs w:val="15"/>
                <w:color w:val="auto"/>
              </w:rPr>
            </w:pPr>
          </w:p>
        </w:tc>
        <w:tc>
          <w:tcPr>
            <w:tcW w:w="280" w:type="dxa"/>
            <w:vAlign w:val="bottom"/>
            <w:tcBorders>
              <w:bottom w:val="single" w:sz="8" w:color="auto"/>
            </w:tcBorders>
            <w:shd w:val="clear" w:color="auto" w:fill="E7E4E1"/>
          </w:tcPr>
          <w:p>
            <w:pPr>
              <w:spacing w:after="0"/>
              <w:rPr>
                <w:sz w:val="15"/>
                <w:szCs w:val="15"/>
                <w:color w:val="auto"/>
              </w:rPr>
            </w:pPr>
          </w:p>
        </w:tc>
        <w:tc>
          <w:tcPr>
            <w:tcW w:w="200" w:type="dxa"/>
            <w:vAlign w:val="bottom"/>
            <w:tcBorders>
              <w:bottom w:val="single" w:sz="8" w:color="E7E4E1"/>
            </w:tcBorders>
            <w:shd w:val="clear" w:color="auto" w:fill="E7E4E1"/>
          </w:tcPr>
          <w:p>
            <w:pPr>
              <w:spacing w:after="0"/>
              <w:rPr>
                <w:sz w:val="15"/>
                <w:szCs w:val="15"/>
                <w:color w:val="auto"/>
              </w:rPr>
            </w:pPr>
          </w:p>
        </w:tc>
        <w:tc>
          <w:tcPr>
            <w:tcW w:w="820" w:type="dxa"/>
            <w:vAlign w:val="bottom"/>
            <w:tcBorders>
              <w:bottom w:val="single" w:sz="8" w:color="auto"/>
            </w:tcBorders>
            <w:gridSpan w:val="4"/>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 w:type="dxa"/>
            <w:vAlign w:val="bottom"/>
            <w:tcBorders>
              <w:bottom w:val="single" w:sz="8" w:color="E7E4E1"/>
            </w:tcBorders>
            <w:shd w:val="clear" w:color="auto" w:fill="E7E4E1"/>
          </w:tcPr>
          <w:p>
            <w:pPr>
              <w:spacing w:after="0"/>
              <w:rPr>
                <w:sz w:val="13"/>
                <w:szCs w:val="13"/>
                <w:color w:val="auto"/>
              </w:rPr>
            </w:pPr>
          </w:p>
        </w:tc>
        <w:tc>
          <w:tcPr>
            <w:tcW w:w="838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E7E4E1"/>
            </w:tcBorders>
            <w:shd w:val="clear" w:color="auto" w:fill="E7E4E1"/>
          </w:tcPr>
          <w:p>
            <w:pPr>
              <w:spacing w:after="0"/>
              <w:rPr>
                <w:sz w:val="13"/>
                <w:szCs w:val="13"/>
                <w:color w:val="auto"/>
              </w:rPr>
            </w:pPr>
          </w:p>
        </w:tc>
        <w:tc>
          <w:tcPr>
            <w:tcW w:w="480" w:type="dxa"/>
            <w:vAlign w:val="bottom"/>
            <w:tcBorders>
              <w:bottom w:val="single" w:sz="8" w:color="auto"/>
            </w:tcBorders>
            <w:shd w:val="clear" w:color="auto" w:fill="E7E4E1"/>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3"/>
            <w:shd w:val="clear" w:color="auto" w:fill="E7E4E1"/>
          </w:tcPr>
          <w:p>
            <w:pPr>
              <w:ind w:left="160"/>
              <w:spacing w:after="0" w:line="156" w:lineRule="exact"/>
              <w:rPr>
                <w:sz w:val="20"/>
                <w:szCs w:val="20"/>
                <w:color w:val="auto"/>
              </w:rPr>
            </w:pPr>
            <w:r>
              <w:rPr>
                <w:rFonts w:ascii="Arial" w:cs="Arial" w:eastAsia="Arial" w:hAnsi="Arial"/>
                <w:sz w:val="11"/>
                <w:szCs w:val="11"/>
                <w:color w:val="auto"/>
              </w:rPr>
              <w:t>EPS</w:t>
            </w:r>
            <w:r>
              <w:rPr>
                <w:rFonts w:ascii="Arial" w:cs="Arial" w:eastAsia="Arial" w:hAnsi="Arial"/>
                <w:sz w:val="18"/>
                <w:szCs w:val="18"/>
                <w:color w:val="auto"/>
                <w:vertAlign w:val="superscript"/>
              </w:rPr>
              <w:t>(1)</w:t>
            </w:r>
          </w:p>
        </w:tc>
        <w:tc>
          <w:tcPr>
            <w:tcW w:w="200" w:type="dxa"/>
            <w:vAlign w:val="bottom"/>
            <w:tcBorders>
              <w:bottom w:val="single" w:sz="8" w:color="E7E4E1"/>
            </w:tcBorders>
            <w:shd w:val="clear" w:color="auto" w:fill="E7E4E1"/>
          </w:tcPr>
          <w:p>
            <w:pPr>
              <w:spacing w:after="0"/>
              <w:rPr>
                <w:sz w:val="13"/>
                <w:szCs w:val="13"/>
                <w:color w:val="auto"/>
              </w:rPr>
            </w:pPr>
          </w:p>
        </w:tc>
        <w:tc>
          <w:tcPr>
            <w:tcW w:w="440" w:type="dxa"/>
            <w:vAlign w:val="bottom"/>
            <w:tcBorders>
              <w:bottom w:val="single" w:sz="8" w:color="auto"/>
            </w:tcBorders>
            <w:gridSpan w:val="2"/>
            <w:shd w:val="clear" w:color="auto" w:fill="E7E4E1"/>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E7E4E1"/>
          </w:tcPr>
          <w:p>
            <w:pPr>
              <w:spacing w:after="0"/>
              <w:rPr>
                <w:sz w:val="13"/>
                <w:szCs w:val="13"/>
                <w:color w:val="auto"/>
              </w:rPr>
            </w:pPr>
          </w:p>
        </w:tc>
        <w:tc>
          <w:tcPr>
            <w:tcW w:w="480" w:type="dxa"/>
            <w:vAlign w:val="bottom"/>
            <w:tcBorders>
              <w:bottom w:val="single" w:sz="8" w:color="auto"/>
            </w:tcBorders>
            <w:gridSpan w:val="2"/>
            <w:shd w:val="clear" w:color="auto" w:fill="E7E4E1"/>
          </w:tcPr>
          <w:p>
            <w:pPr>
              <w:ind w:left="40"/>
              <w:spacing w:after="0" w:line="156"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8"/>
                <w:szCs w:val="18"/>
                <w:b w:val="1"/>
                <w:bCs w:val="1"/>
                <w:color w:val="auto"/>
                <w:vertAlign w:val="superscript"/>
              </w:rPr>
              <w:t>(1)</w:t>
            </w:r>
          </w:p>
        </w:tc>
        <w:tc>
          <w:tcPr>
            <w:tcW w:w="180" w:type="dxa"/>
            <w:vAlign w:val="bottom"/>
            <w:tcBorders>
              <w:bottom w:val="single" w:sz="8" w:color="E7E4E1"/>
            </w:tcBorders>
            <w:gridSpan w:val="2"/>
            <w:shd w:val="clear" w:color="auto" w:fill="E7E4E1"/>
          </w:tcPr>
          <w:p>
            <w:pPr>
              <w:spacing w:after="0"/>
              <w:rPr>
                <w:sz w:val="13"/>
                <w:szCs w:val="13"/>
                <w:color w:val="auto"/>
              </w:rPr>
            </w:pPr>
          </w:p>
        </w:tc>
        <w:tc>
          <w:tcPr>
            <w:tcW w:w="100" w:type="dxa"/>
            <w:vAlign w:val="bottom"/>
            <w:tcBorders>
              <w:bottom w:val="single" w:sz="8" w:color="E7E4E1"/>
            </w:tcBorders>
            <w:shd w:val="clear" w:color="auto" w:fill="E7E4E1"/>
          </w:tcPr>
          <w:p>
            <w:pPr>
              <w:spacing w:after="0"/>
              <w:rPr>
                <w:sz w:val="13"/>
                <w:szCs w:val="13"/>
                <w:color w:val="auto"/>
              </w:rPr>
            </w:pPr>
          </w:p>
        </w:tc>
        <w:tc>
          <w:tcPr>
            <w:tcW w:w="4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shd w:val="clear" w:color="auto" w:fill="E7E4E1"/>
          </w:tcPr>
          <w:p>
            <w:pPr>
              <w:spacing w:after="0"/>
              <w:rPr>
                <w:sz w:val="13"/>
                <w:szCs w:val="13"/>
                <w:color w:val="auto"/>
              </w:rPr>
            </w:pPr>
          </w:p>
        </w:tc>
        <w:tc>
          <w:tcPr>
            <w:tcW w:w="8380" w:type="dxa"/>
            <w:vAlign w:val="bottom"/>
            <w:shd w:val="clear" w:color="auto" w:fill="E7E4E1"/>
          </w:tcPr>
          <w:p>
            <w:pPr>
              <w:spacing w:after="0" w:line="158" w:lineRule="exact"/>
              <w:rPr>
                <w:sz w:val="20"/>
                <w:szCs w:val="20"/>
                <w:color w:val="auto"/>
              </w:rPr>
            </w:pPr>
            <w:r>
              <w:rPr>
                <w:rFonts w:ascii="Arial" w:cs="Arial" w:eastAsia="Arial" w:hAnsi="Arial"/>
                <w:sz w:val="14"/>
                <w:szCs w:val="14"/>
                <w:color w:val="auto"/>
              </w:rPr>
              <w:t>Net income attributable to Comcast Corporation</w:t>
            </w:r>
          </w:p>
        </w:tc>
        <w:tc>
          <w:tcPr>
            <w:tcW w:w="660" w:type="dxa"/>
            <w:vAlign w:val="bottom"/>
            <w:gridSpan w:val="2"/>
            <w:shd w:val="clear" w:color="auto" w:fill="E7E4E1"/>
          </w:tcPr>
          <w:p>
            <w:pPr>
              <w:jc w:val="right"/>
              <w:spacing w:after="0" w:line="158" w:lineRule="exact"/>
              <w:rPr>
                <w:sz w:val="20"/>
                <w:szCs w:val="20"/>
                <w:color w:val="auto"/>
              </w:rPr>
            </w:pPr>
            <w:r>
              <w:rPr>
                <w:rFonts w:ascii="Arial" w:cs="Arial" w:eastAsia="Arial" w:hAnsi="Arial"/>
                <w:sz w:val="14"/>
                <w:szCs w:val="14"/>
                <w:color w:val="auto"/>
              </w:rPr>
              <w:t>$1,224</w:t>
            </w:r>
          </w:p>
        </w:tc>
        <w:tc>
          <w:tcPr>
            <w:tcW w:w="320" w:type="dxa"/>
            <w:vAlign w:val="bottom"/>
            <w:gridSpan w:val="2"/>
            <w:shd w:val="clear" w:color="auto" w:fill="E7E4E1"/>
          </w:tcPr>
          <w:p>
            <w:pPr>
              <w:ind w:left="160"/>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jc w:val="right"/>
              <w:spacing w:after="0" w:line="158" w:lineRule="exact"/>
              <w:rPr>
                <w:sz w:val="20"/>
                <w:szCs w:val="20"/>
                <w:color w:val="auto"/>
              </w:rPr>
            </w:pPr>
            <w:r>
              <w:rPr>
                <w:rFonts w:ascii="Arial" w:cs="Arial" w:eastAsia="Arial" w:hAnsi="Arial"/>
                <w:sz w:val="14"/>
                <w:szCs w:val="14"/>
                <w:color w:val="auto"/>
                <w:w w:val="95"/>
              </w:rPr>
              <w:t>0.45</w:t>
            </w:r>
          </w:p>
        </w:tc>
        <w:tc>
          <w:tcPr>
            <w:tcW w:w="640" w:type="dxa"/>
            <w:vAlign w:val="bottom"/>
            <w:gridSpan w:val="3"/>
            <w:shd w:val="clear" w:color="auto" w:fill="E7E4E1"/>
          </w:tcPr>
          <w:p>
            <w:pPr>
              <w:jc w:val="right"/>
              <w:spacing w:after="0" w:line="158" w:lineRule="exact"/>
              <w:rPr>
                <w:sz w:val="20"/>
                <w:szCs w:val="20"/>
                <w:color w:val="auto"/>
              </w:rPr>
            </w:pPr>
            <w:r>
              <w:rPr>
                <w:rFonts w:ascii="Arial" w:cs="Arial" w:eastAsia="Arial" w:hAnsi="Arial"/>
                <w:sz w:val="14"/>
                <w:szCs w:val="14"/>
                <w:b w:val="1"/>
                <w:bCs w:val="1"/>
                <w:color w:val="auto"/>
              </w:rPr>
              <w:t>$1,437</w:t>
            </w:r>
          </w:p>
        </w:tc>
        <w:tc>
          <w:tcPr>
            <w:tcW w:w="240" w:type="dxa"/>
            <w:vAlign w:val="bottom"/>
            <w:shd w:val="clear" w:color="auto" w:fill="E7E4E1"/>
          </w:tcPr>
          <w:p>
            <w:pPr>
              <w:spacing w:after="0"/>
              <w:rPr>
                <w:sz w:val="13"/>
                <w:szCs w:val="13"/>
                <w:color w:val="auto"/>
              </w:rPr>
            </w:pPr>
          </w:p>
        </w:tc>
        <w:tc>
          <w:tcPr>
            <w:tcW w:w="140" w:type="dxa"/>
            <w:vAlign w:val="bottom"/>
            <w:shd w:val="clear" w:color="auto" w:fill="E7E4E1"/>
          </w:tcPr>
          <w:p>
            <w:pPr>
              <w:ind w:left="40"/>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7E4E1"/>
          </w:tcPr>
          <w:p>
            <w:pPr>
              <w:jc w:val="right"/>
              <w:spacing w:after="0" w:line="158" w:lineRule="exact"/>
              <w:rPr>
                <w:sz w:val="20"/>
                <w:szCs w:val="20"/>
                <w:color w:val="auto"/>
              </w:rPr>
            </w:pPr>
            <w:r>
              <w:rPr>
                <w:rFonts w:ascii="Arial" w:cs="Arial" w:eastAsia="Arial" w:hAnsi="Arial"/>
                <w:sz w:val="14"/>
                <w:szCs w:val="14"/>
                <w:b w:val="1"/>
                <w:bCs w:val="1"/>
                <w:color w:val="auto"/>
              </w:rPr>
              <w:t>0.54</w:t>
            </w:r>
          </w:p>
        </w:tc>
        <w:tc>
          <w:tcPr>
            <w:tcW w:w="10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0" w:type="dxa"/>
            <w:vAlign w:val="bottom"/>
            <w:shd w:val="clear" w:color="auto" w:fill="E7E4E1"/>
          </w:tcPr>
          <w:p>
            <w:pPr>
              <w:spacing w:after="0"/>
              <w:rPr>
                <w:sz w:val="16"/>
                <w:szCs w:val="16"/>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i w:val="1"/>
                <w:iCs w:val="1"/>
                <w:color w:val="auto"/>
              </w:rPr>
              <w:t>Growth %</w:t>
            </w:r>
          </w:p>
        </w:tc>
        <w:tc>
          <w:tcPr>
            <w:tcW w:w="180" w:type="dxa"/>
            <w:vAlign w:val="bottom"/>
            <w:shd w:val="clear" w:color="auto" w:fill="E7E4E1"/>
          </w:tcPr>
          <w:p>
            <w:pPr>
              <w:spacing w:after="0"/>
              <w:rPr>
                <w:sz w:val="16"/>
                <w:szCs w:val="16"/>
                <w:color w:val="auto"/>
              </w:rPr>
            </w:pPr>
          </w:p>
        </w:tc>
        <w:tc>
          <w:tcPr>
            <w:tcW w:w="480" w:type="dxa"/>
            <w:vAlign w:val="bottom"/>
            <w:shd w:val="clear" w:color="auto" w:fill="E7E4E1"/>
          </w:tcPr>
          <w:p>
            <w:pPr>
              <w:spacing w:after="0"/>
              <w:rPr>
                <w:sz w:val="16"/>
                <w:szCs w:val="16"/>
                <w:color w:val="auto"/>
              </w:rPr>
            </w:pPr>
          </w:p>
        </w:tc>
        <w:tc>
          <w:tcPr>
            <w:tcW w:w="220" w:type="dxa"/>
            <w:vAlign w:val="bottom"/>
            <w:shd w:val="clear" w:color="auto" w:fill="E7E4E1"/>
          </w:tcPr>
          <w:p>
            <w:pPr>
              <w:spacing w:after="0"/>
              <w:rPr>
                <w:sz w:val="16"/>
                <w:szCs w:val="16"/>
                <w:color w:val="auto"/>
              </w:rPr>
            </w:pPr>
          </w:p>
        </w:tc>
        <w:tc>
          <w:tcPr>
            <w:tcW w:w="100" w:type="dxa"/>
            <w:vAlign w:val="bottom"/>
            <w:shd w:val="clear" w:color="auto" w:fill="E7E4E1"/>
          </w:tcPr>
          <w:p>
            <w:pPr>
              <w:spacing w:after="0"/>
              <w:rPr>
                <w:sz w:val="16"/>
                <w:szCs w:val="16"/>
                <w:color w:val="auto"/>
              </w:rPr>
            </w:pPr>
          </w:p>
        </w:tc>
        <w:tc>
          <w:tcPr>
            <w:tcW w:w="280" w:type="dxa"/>
            <w:vAlign w:val="bottom"/>
            <w:shd w:val="clear" w:color="auto" w:fill="E7E4E1"/>
          </w:tcPr>
          <w:p>
            <w:pPr>
              <w:spacing w:after="0"/>
              <w:rPr>
                <w:sz w:val="16"/>
                <w:szCs w:val="16"/>
                <w:color w:val="auto"/>
              </w:rPr>
            </w:pPr>
          </w:p>
        </w:tc>
        <w:tc>
          <w:tcPr>
            <w:tcW w:w="880" w:type="dxa"/>
            <w:vAlign w:val="bottom"/>
            <w:gridSpan w:val="4"/>
            <w:shd w:val="clear" w:color="auto" w:fill="E7E4E1"/>
          </w:tcPr>
          <w:p>
            <w:pPr>
              <w:jc w:val="right"/>
              <w:ind w:right="48"/>
              <w:spacing w:after="0"/>
              <w:rPr>
                <w:sz w:val="20"/>
                <w:szCs w:val="20"/>
                <w:color w:val="auto"/>
              </w:rPr>
            </w:pPr>
            <w:r>
              <w:rPr>
                <w:rFonts w:ascii="Arial" w:cs="Arial" w:eastAsia="Arial" w:hAnsi="Arial"/>
                <w:sz w:val="14"/>
                <w:szCs w:val="14"/>
                <w:b w:val="1"/>
                <w:bCs w:val="1"/>
                <w:i w:val="1"/>
                <w:iCs w:val="1"/>
                <w:color w:val="auto"/>
              </w:rPr>
              <w:t>17.4</w:t>
            </w:r>
            <w:r>
              <w:rPr>
                <w:rFonts w:ascii="Arial" w:cs="Arial" w:eastAsia="Arial" w:hAnsi="Arial"/>
                <w:sz w:val="14"/>
                <w:szCs w:val="14"/>
                <w:color w:val="auto"/>
              </w:rPr>
              <w:t>%</w:t>
            </w:r>
          </w:p>
        </w:tc>
        <w:tc>
          <w:tcPr>
            <w:tcW w:w="140" w:type="dxa"/>
            <w:vAlign w:val="bottom"/>
            <w:shd w:val="clear" w:color="auto" w:fill="E7E4E1"/>
          </w:tcPr>
          <w:p>
            <w:pPr>
              <w:spacing w:after="0"/>
              <w:rPr>
                <w:sz w:val="16"/>
                <w:szCs w:val="16"/>
                <w:color w:val="auto"/>
              </w:rPr>
            </w:pPr>
          </w:p>
        </w:tc>
        <w:tc>
          <w:tcPr>
            <w:tcW w:w="520" w:type="dxa"/>
            <w:vAlign w:val="bottom"/>
            <w:gridSpan w:val="3"/>
            <w:shd w:val="clear" w:color="auto" w:fill="E7E4E1"/>
          </w:tcPr>
          <w:p>
            <w:pPr>
              <w:jc w:val="right"/>
              <w:ind w:right="40"/>
              <w:spacing w:after="0"/>
              <w:rPr>
                <w:sz w:val="20"/>
                <w:szCs w:val="20"/>
                <w:color w:val="auto"/>
              </w:rPr>
            </w:pPr>
            <w:r>
              <w:rPr>
                <w:rFonts w:ascii="Arial" w:cs="Arial" w:eastAsia="Arial" w:hAnsi="Arial"/>
                <w:sz w:val="14"/>
                <w:szCs w:val="14"/>
                <w:b w:val="1"/>
                <w:bCs w:val="1"/>
                <w:i w:val="1"/>
                <w:iCs w:val="1"/>
                <w:color w:val="auto"/>
              </w:rPr>
              <w:t>20.0</w:t>
            </w:r>
            <w:r>
              <w:rPr>
                <w:rFonts w:ascii="Arial" w:cs="Arial" w:eastAsia="Arial" w:hAnsi="Arial"/>
                <w:sz w:val="14"/>
                <w:szCs w:val="14"/>
                <w:color w:val="auto"/>
              </w:rPr>
              <w:t>%</w:t>
            </w:r>
          </w:p>
        </w:tc>
        <w:tc>
          <w:tcPr>
            <w:tcW w:w="100" w:type="dxa"/>
            <w:vAlign w:val="bottom"/>
            <w:shd w:val="clear" w:color="auto" w:fill="E7E4E1"/>
          </w:tcPr>
          <w:p>
            <w:pPr>
              <w:spacing w:after="0"/>
              <w:rPr>
                <w:sz w:val="16"/>
                <w:szCs w:val="16"/>
                <w:color w:val="auto"/>
              </w:rPr>
            </w:pPr>
          </w:p>
        </w:tc>
        <w:tc>
          <w:tcPr>
            <w:tcW w:w="40" w:type="dxa"/>
            <w:vAlign w:val="bottom"/>
            <w:shd w:val="clear" w:color="auto" w:fill="E7E4E1"/>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40" w:type="dxa"/>
            <w:vAlign w:val="bottom"/>
            <w:shd w:val="clear" w:color="auto" w:fill="E7E4E1"/>
          </w:tcPr>
          <w:p>
            <w:pPr>
              <w:spacing w:after="0"/>
              <w:rPr>
                <w:sz w:val="24"/>
                <w:szCs w:val="24"/>
                <w:color w:val="auto"/>
              </w:rPr>
            </w:pPr>
          </w:p>
        </w:tc>
        <w:tc>
          <w:tcPr>
            <w:tcW w:w="83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Gain on sale of wireless spectrum licenses</w:t>
            </w:r>
            <w:r>
              <w:rPr>
                <w:rFonts w:ascii="Arial" w:cs="Arial" w:eastAsia="Arial" w:hAnsi="Arial"/>
                <w:sz w:val="24"/>
                <w:szCs w:val="24"/>
                <w:color w:val="auto"/>
                <w:vertAlign w:val="superscript"/>
              </w:rPr>
              <w:t>(2)</w:t>
            </w:r>
          </w:p>
        </w:tc>
        <w:tc>
          <w:tcPr>
            <w:tcW w:w="180" w:type="dxa"/>
            <w:vAlign w:val="bottom"/>
            <w:shd w:val="clear" w:color="auto" w:fill="E7E4E1"/>
          </w:tcPr>
          <w:p>
            <w:pPr>
              <w:spacing w:after="0"/>
              <w:rPr>
                <w:sz w:val="24"/>
                <w:szCs w:val="2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4E1"/>
          </w:tcPr>
          <w:p>
            <w:pPr>
              <w:spacing w:after="0"/>
              <w:rPr>
                <w:sz w:val="24"/>
                <w:szCs w:val="24"/>
                <w:color w:val="auto"/>
              </w:rPr>
            </w:pPr>
          </w:p>
        </w:tc>
        <w:tc>
          <w:tcPr>
            <w:tcW w:w="680" w:type="dxa"/>
            <w:vAlign w:val="bottom"/>
            <w:gridSpan w:val="3"/>
            <w:shd w:val="clear" w:color="auto" w:fill="E7E4E1"/>
          </w:tcPr>
          <w:p>
            <w:pPr>
              <w:jc w:val="right"/>
              <w:ind w:right="128"/>
              <w:spacing w:after="0"/>
              <w:rPr>
                <w:sz w:val="20"/>
                <w:szCs w:val="20"/>
                <w:color w:val="auto"/>
              </w:rPr>
            </w:pPr>
            <w:r>
              <w:rPr>
                <w:rFonts w:ascii="Arial" w:cs="Arial" w:eastAsia="Arial" w:hAnsi="Arial"/>
                <w:sz w:val="14"/>
                <w:szCs w:val="14"/>
                <w:b w:val="1"/>
                <w:bCs w:val="1"/>
                <w:color w:val="auto"/>
              </w:rPr>
              <w:t>(67)</w:t>
            </w:r>
          </w:p>
        </w:tc>
        <w:tc>
          <w:tcPr>
            <w:tcW w:w="140" w:type="dxa"/>
            <w:vAlign w:val="bottom"/>
            <w:shd w:val="clear" w:color="auto" w:fill="E7E4E1"/>
          </w:tcPr>
          <w:p>
            <w:pPr>
              <w:spacing w:after="0"/>
              <w:rPr>
                <w:sz w:val="24"/>
                <w:szCs w:val="24"/>
                <w:color w:val="auto"/>
              </w:rPr>
            </w:pPr>
          </w:p>
        </w:tc>
        <w:tc>
          <w:tcPr>
            <w:tcW w:w="44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(0.03)</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838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40" w:type="dxa"/>
            <w:vAlign w:val="bottom"/>
            <w:shd w:val="clear" w:color="auto" w:fill="E7E4E1"/>
          </w:tcPr>
          <w:p>
            <w:pPr>
              <w:spacing w:after="0"/>
              <w:rPr>
                <w:sz w:val="24"/>
                <w:szCs w:val="24"/>
                <w:color w:val="auto"/>
              </w:rPr>
            </w:pPr>
          </w:p>
        </w:tc>
        <w:tc>
          <w:tcPr>
            <w:tcW w:w="8380" w:type="dxa"/>
            <w:vAlign w:val="bottom"/>
            <w:shd w:val="clear" w:color="auto" w:fill="E7E4E1"/>
          </w:tcPr>
          <w:p>
            <w:pPr>
              <w:spacing w:after="0"/>
              <w:rPr>
                <w:sz w:val="20"/>
                <w:szCs w:val="20"/>
                <w:color w:val="auto"/>
              </w:rPr>
            </w:pPr>
            <w:r>
              <w:rPr>
                <w:rFonts w:ascii="Arial" w:cs="Arial" w:eastAsia="Arial" w:hAnsi="Arial"/>
                <w:sz w:val="14"/>
                <w:szCs w:val="14"/>
                <w:color w:val="auto"/>
              </w:rPr>
              <w:t>Net income attributable to Comcast Corporation (excluding gain related to sale of wireless spectrum licenses)</w:t>
            </w:r>
          </w:p>
        </w:tc>
        <w:tc>
          <w:tcPr>
            <w:tcW w:w="660" w:type="dxa"/>
            <w:vAlign w:val="bottom"/>
            <w:gridSpan w:val="2"/>
            <w:shd w:val="clear" w:color="auto" w:fill="E7E4E1"/>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1,224</w:t>
            </w:r>
          </w:p>
        </w:tc>
        <w:tc>
          <w:tcPr>
            <w:tcW w:w="320" w:type="dxa"/>
            <w:vAlign w:val="bottom"/>
            <w:gridSpan w:val="2"/>
            <w:shd w:val="clear" w:color="auto" w:fill="E7E4E1"/>
          </w:tcPr>
          <w:p>
            <w:pPr>
              <w:ind w:lef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95"/>
              </w:rPr>
              <w:t>0.45</w:t>
            </w:r>
          </w:p>
        </w:tc>
        <w:tc>
          <w:tcPr>
            <w:tcW w:w="640" w:type="dxa"/>
            <w:vAlign w:val="bottom"/>
            <w:gridSpan w:val="3"/>
            <w:shd w:val="clear" w:color="auto" w:fill="E7E4E1"/>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1,370</w:t>
            </w:r>
          </w:p>
        </w:tc>
        <w:tc>
          <w:tcPr>
            <w:tcW w:w="240" w:type="dxa"/>
            <w:vAlign w:val="bottom"/>
            <w:shd w:val="clear" w:color="auto" w:fill="E7E4E1"/>
          </w:tcPr>
          <w:p>
            <w:pPr>
              <w:spacing w:after="0"/>
              <w:rPr>
                <w:sz w:val="24"/>
                <w:szCs w:val="24"/>
                <w:color w:val="auto"/>
              </w:rPr>
            </w:pPr>
          </w:p>
        </w:tc>
        <w:tc>
          <w:tcPr>
            <w:tcW w:w="140" w:type="dxa"/>
            <w:vAlign w:val="bottom"/>
            <w:shd w:val="clear" w:color="auto" w:fill="E7E4E1"/>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0.51</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E7E4E1"/>
            </w:tcBorders>
            <w:shd w:val="clear" w:color="auto" w:fill="E7E4E1"/>
          </w:tcPr>
          <w:p>
            <w:pPr>
              <w:spacing w:after="0" w:line="20" w:lineRule="exact"/>
              <w:rPr>
                <w:sz w:val="1"/>
                <w:szCs w:val="1"/>
                <w:color w:val="auto"/>
              </w:rPr>
            </w:pPr>
          </w:p>
        </w:tc>
        <w:tc>
          <w:tcPr>
            <w:tcW w:w="8380" w:type="dxa"/>
            <w:vAlign w:val="bottom"/>
            <w:tcBorders>
              <w:top w:val="single" w:sz="8" w:color="E7E4E1"/>
            </w:tcBorders>
            <w:vMerge w:val="restart"/>
            <w:shd w:val="clear" w:color="auto" w:fill="E7E4E1"/>
          </w:tcPr>
          <w:p>
            <w:pPr>
              <w:spacing w:after="0"/>
              <w:rPr>
                <w:sz w:val="20"/>
                <w:szCs w:val="20"/>
                <w:color w:val="auto"/>
              </w:rPr>
            </w:pPr>
            <w:r>
              <w:rPr>
                <w:rFonts w:ascii="Arial" w:cs="Arial" w:eastAsia="Arial" w:hAnsi="Arial"/>
                <w:sz w:val="14"/>
                <w:szCs w:val="14"/>
                <w:i w:val="1"/>
                <w:iCs w:val="1"/>
                <w:color w:val="auto"/>
              </w:rPr>
              <w:t>Growth %</w:t>
            </w: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680" w:type="dxa"/>
            <w:vAlign w:val="bottom"/>
            <w:tcBorders>
              <w:top w:val="single" w:sz="8" w:color="auto"/>
            </w:tcBorders>
            <w:gridSpan w:val="3"/>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gridSpan w:val="2"/>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4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 w:type="dxa"/>
            <w:vAlign w:val="bottom"/>
            <w:shd w:val="clear" w:color="auto" w:fill="E7E4E1"/>
          </w:tcPr>
          <w:p>
            <w:pPr>
              <w:spacing w:after="0"/>
              <w:rPr>
                <w:sz w:val="13"/>
                <w:szCs w:val="13"/>
                <w:color w:val="auto"/>
              </w:rPr>
            </w:pPr>
          </w:p>
        </w:tc>
        <w:tc>
          <w:tcPr>
            <w:tcW w:w="8380" w:type="dxa"/>
            <w:vAlign w:val="bottom"/>
            <w:vMerge w:val="continue"/>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22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680" w:type="dxa"/>
            <w:vAlign w:val="bottom"/>
            <w:gridSpan w:val="3"/>
            <w:shd w:val="clear" w:color="auto" w:fill="E7E4E1"/>
          </w:tcPr>
          <w:p>
            <w:pPr>
              <w:jc w:val="right"/>
              <w:ind w:right="48"/>
              <w:spacing w:after="0" w:line="156" w:lineRule="exact"/>
              <w:rPr>
                <w:sz w:val="20"/>
                <w:szCs w:val="20"/>
                <w:color w:val="auto"/>
              </w:rPr>
            </w:pPr>
            <w:r>
              <w:rPr>
                <w:rFonts w:ascii="Arial" w:cs="Arial" w:eastAsia="Arial" w:hAnsi="Arial"/>
                <w:sz w:val="14"/>
                <w:szCs w:val="14"/>
                <w:b w:val="1"/>
                <w:bCs w:val="1"/>
                <w:i w:val="1"/>
                <w:iCs w:val="1"/>
                <w:color w:val="auto"/>
              </w:rPr>
              <w:t>12.0</w:t>
            </w:r>
            <w:r>
              <w:rPr>
                <w:rFonts w:ascii="Arial" w:cs="Arial" w:eastAsia="Arial" w:hAnsi="Arial"/>
                <w:sz w:val="14"/>
                <w:szCs w:val="14"/>
                <w:color w:val="auto"/>
              </w:rPr>
              <w:t>%</w:t>
            </w:r>
          </w:p>
        </w:tc>
        <w:tc>
          <w:tcPr>
            <w:tcW w:w="140" w:type="dxa"/>
            <w:vAlign w:val="bottom"/>
            <w:shd w:val="clear" w:color="auto" w:fill="E7E4E1"/>
          </w:tcPr>
          <w:p>
            <w:pPr>
              <w:spacing w:after="0"/>
              <w:rPr>
                <w:sz w:val="13"/>
                <w:szCs w:val="13"/>
                <w:color w:val="auto"/>
              </w:rPr>
            </w:pPr>
          </w:p>
        </w:tc>
        <w:tc>
          <w:tcPr>
            <w:tcW w:w="520" w:type="dxa"/>
            <w:vAlign w:val="bottom"/>
            <w:gridSpan w:val="3"/>
            <w:shd w:val="clear" w:color="auto" w:fill="E7E4E1"/>
          </w:tcPr>
          <w:p>
            <w:pPr>
              <w:jc w:val="right"/>
              <w:ind w:right="40"/>
              <w:spacing w:after="0" w:line="156" w:lineRule="exact"/>
              <w:rPr>
                <w:sz w:val="20"/>
                <w:szCs w:val="20"/>
                <w:color w:val="auto"/>
              </w:rPr>
            </w:pPr>
            <w:r>
              <w:rPr>
                <w:rFonts w:ascii="Arial" w:cs="Arial" w:eastAsia="Arial" w:hAnsi="Arial"/>
                <w:sz w:val="14"/>
                <w:szCs w:val="14"/>
                <w:i w:val="1"/>
                <w:iCs w:val="1"/>
                <w:color w:val="auto"/>
              </w:rPr>
              <w:t>1</w:t>
            </w:r>
            <w:r>
              <w:rPr>
                <w:rFonts w:ascii="Arial" w:cs="Arial" w:eastAsia="Arial" w:hAnsi="Arial"/>
                <w:sz w:val="14"/>
                <w:szCs w:val="14"/>
                <w:b w:val="1"/>
                <w:bCs w:val="1"/>
                <w:i w:val="1"/>
                <w:iCs w:val="1"/>
                <w:color w:val="auto"/>
              </w:rPr>
              <w:t>3.3</w:t>
            </w:r>
            <w:r>
              <w:rPr>
                <w:rFonts w:ascii="Arial" w:cs="Arial" w:eastAsia="Arial" w:hAnsi="Arial"/>
                <w:sz w:val="14"/>
                <w:szCs w:val="14"/>
                <w:color w:val="auto"/>
              </w:rPr>
              <w:t>%</w:t>
            </w:r>
          </w:p>
        </w:tc>
        <w:tc>
          <w:tcPr>
            <w:tcW w:w="10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140" w:type="dxa"/>
            <w:vAlign w:val="bottom"/>
            <w:shd w:val="clear" w:color="auto" w:fill="E7E4E1"/>
          </w:tcPr>
          <w:p>
            <w:pPr>
              <w:spacing w:after="0"/>
              <w:rPr>
                <w:sz w:val="6"/>
                <w:szCs w:val="6"/>
                <w:color w:val="auto"/>
              </w:rPr>
            </w:pPr>
          </w:p>
        </w:tc>
        <w:tc>
          <w:tcPr>
            <w:tcW w:w="838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480" w:type="dxa"/>
            <w:vAlign w:val="bottom"/>
            <w:shd w:val="clear" w:color="auto" w:fill="E7E4E1"/>
          </w:tcPr>
          <w:p>
            <w:pPr>
              <w:spacing w:after="0"/>
              <w:rPr>
                <w:sz w:val="6"/>
                <w:szCs w:val="6"/>
                <w:color w:val="auto"/>
              </w:rPr>
            </w:pPr>
          </w:p>
        </w:tc>
        <w:tc>
          <w:tcPr>
            <w:tcW w:w="220" w:type="dxa"/>
            <w:vAlign w:val="bottom"/>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280" w:type="dxa"/>
            <w:vAlign w:val="bottom"/>
            <w:shd w:val="clear" w:color="auto" w:fill="E7E4E1"/>
          </w:tcPr>
          <w:p>
            <w:pPr>
              <w:spacing w:after="0"/>
              <w:rPr>
                <w:sz w:val="6"/>
                <w:szCs w:val="6"/>
                <w:color w:val="auto"/>
              </w:rPr>
            </w:pPr>
          </w:p>
        </w:tc>
        <w:tc>
          <w:tcPr>
            <w:tcW w:w="200" w:type="dxa"/>
            <w:vAlign w:val="bottom"/>
            <w:shd w:val="clear" w:color="auto" w:fill="E7E4E1"/>
          </w:tcPr>
          <w:p>
            <w:pPr>
              <w:spacing w:after="0"/>
              <w:rPr>
                <w:sz w:val="6"/>
                <w:szCs w:val="6"/>
                <w:color w:val="auto"/>
              </w:rPr>
            </w:pPr>
          </w:p>
        </w:tc>
        <w:tc>
          <w:tcPr>
            <w:tcW w:w="240" w:type="dxa"/>
            <w:vAlign w:val="bottom"/>
            <w:shd w:val="clear" w:color="auto" w:fill="E7E4E1"/>
          </w:tcPr>
          <w:p>
            <w:pPr>
              <w:spacing w:after="0"/>
              <w:rPr>
                <w:sz w:val="6"/>
                <w:szCs w:val="6"/>
                <w:color w:val="auto"/>
              </w:rPr>
            </w:pPr>
          </w:p>
        </w:tc>
        <w:tc>
          <w:tcPr>
            <w:tcW w:w="200" w:type="dxa"/>
            <w:vAlign w:val="bottom"/>
            <w:shd w:val="clear" w:color="auto" w:fill="E7E4E1"/>
          </w:tcPr>
          <w:p>
            <w:pPr>
              <w:spacing w:after="0"/>
              <w:rPr>
                <w:sz w:val="6"/>
                <w:szCs w:val="6"/>
                <w:color w:val="auto"/>
              </w:rPr>
            </w:pPr>
          </w:p>
        </w:tc>
        <w:tc>
          <w:tcPr>
            <w:tcW w:w="240" w:type="dxa"/>
            <w:vAlign w:val="bottom"/>
            <w:shd w:val="clear" w:color="auto" w:fill="E7E4E1"/>
          </w:tcPr>
          <w:p>
            <w:pPr>
              <w:spacing w:after="0"/>
              <w:rPr>
                <w:sz w:val="6"/>
                <w:szCs w:val="6"/>
                <w:color w:val="auto"/>
              </w:rPr>
            </w:pPr>
          </w:p>
        </w:tc>
        <w:tc>
          <w:tcPr>
            <w:tcW w:w="140" w:type="dxa"/>
            <w:vAlign w:val="bottom"/>
            <w:shd w:val="clear" w:color="auto" w:fill="E7E4E1"/>
          </w:tcPr>
          <w:p>
            <w:pPr>
              <w:spacing w:after="0"/>
              <w:rPr>
                <w:sz w:val="6"/>
                <w:szCs w:val="6"/>
                <w:color w:val="auto"/>
              </w:rPr>
            </w:pPr>
          </w:p>
        </w:tc>
        <w:tc>
          <w:tcPr>
            <w:tcW w:w="340" w:type="dxa"/>
            <w:vAlign w:val="bottom"/>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40" w:type="dxa"/>
            <w:vAlign w:val="bottom"/>
            <w:shd w:val="clear" w:color="auto" w:fill="E7E4E1"/>
          </w:tcPr>
          <w:p>
            <w:pPr>
              <w:spacing w:after="0"/>
              <w:rPr>
                <w:sz w:val="6"/>
                <w:szCs w:val="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22" w:lineRule="exact"/>
        <w:rPr>
          <w:rFonts w:ascii="Arial" w:cs="Arial" w:eastAsia="Arial" w:hAnsi="Arial"/>
          <w:sz w:val="14"/>
          <w:szCs w:val="14"/>
          <w:color w:val="auto"/>
        </w:rPr>
      </w:pPr>
    </w:p>
    <w:p>
      <w:pPr>
        <w:ind w:left="460" w:right="40" w:hanging="344"/>
        <w:spacing w:after="0" w:line="25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1st quarter 2013 Net income attributable to Comcast Corporation includes $108 million of other income, $67 million net of tax, resulting from a gain on the sale of wireless spectrum licenses.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258" w:right="19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6443345</wp:posOffset>
            </wp:positionH>
            <wp:positionV relativeFrom="page">
              <wp:posOffset>183515</wp:posOffset>
            </wp:positionV>
            <wp:extent cx="857885"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57885" cy="351790"/>
                    </a:xfrm>
                    <a:prstGeom prst="rect">
                      <a:avLst/>
                    </a:prstGeom>
                    <a:noFill/>
                  </pic:spPr>
                </pic:pic>
              </a:graphicData>
            </a:graphic>
          </wp:anchor>
        </w:drawing>
        <w:t>TABLE 5</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Consolidated Revenue Excluding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5280" w:type="dxa"/>
            <w:vAlign w:val="bottom"/>
            <w:shd w:val="clear" w:color="auto" w:fill="E7E4E1"/>
          </w:tcPr>
          <w:p>
            <w:pPr>
              <w:spacing w:after="0"/>
              <w:rPr>
                <w:sz w:val="24"/>
                <w:szCs w:val="24"/>
                <w:color w:val="auto"/>
              </w:rPr>
            </w:pP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60" w:type="dxa"/>
            <w:vAlign w:val="bottom"/>
            <w:tcBorders>
              <w:right w:val="single" w:sz="8" w:color="E7E4E1"/>
            </w:tcBorders>
            <w:shd w:val="clear" w:color="auto" w:fill="E7E4E1"/>
          </w:tcPr>
          <w:p>
            <w:pPr>
              <w:spacing w:after="0"/>
              <w:rPr>
                <w:sz w:val="24"/>
                <w:szCs w:val="24"/>
                <w:color w:val="auto"/>
              </w:rPr>
            </w:pPr>
          </w:p>
        </w:tc>
        <w:tc>
          <w:tcPr>
            <w:tcW w:w="2300" w:type="dxa"/>
            <w:vAlign w:val="bottom"/>
            <w:gridSpan w:val="8"/>
            <w:shd w:val="clear" w:color="auto" w:fill="E7E4E1"/>
          </w:tcPr>
          <w:p>
            <w:pPr>
              <w:jc w:val="right"/>
              <w:ind w:right="900"/>
              <w:spacing w:after="0"/>
              <w:rPr>
                <w:sz w:val="20"/>
                <w:szCs w:val="20"/>
                <w:color w:val="auto"/>
              </w:rPr>
            </w:pPr>
            <w:r>
              <w:rPr>
                <w:rFonts w:ascii="Arial" w:cs="Arial" w:eastAsia="Arial" w:hAnsi="Arial"/>
                <w:sz w:val="14"/>
                <w:szCs w:val="14"/>
                <w:b w:val="1"/>
                <w:bCs w:val="1"/>
                <w:color w:val="auto"/>
                <w:w w:val="99"/>
              </w:rPr>
              <w:t>Three Months Ended</w:t>
            </w:r>
          </w:p>
        </w:tc>
        <w:tc>
          <w:tcPr>
            <w:tcW w:w="40" w:type="dxa"/>
            <w:vAlign w:val="bottom"/>
            <w:shd w:val="clear" w:color="auto" w:fill="E7E4E1"/>
          </w:tcPr>
          <w:p>
            <w:pPr>
              <w:spacing w:after="0"/>
              <w:rPr>
                <w:sz w:val="24"/>
                <w:szCs w:val="24"/>
                <w:color w:val="auto"/>
              </w:rPr>
            </w:pPr>
          </w:p>
        </w:tc>
      </w:tr>
      <w:tr>
        <w:trPr>
          <w:trHeight w:val="176"/>
        </w:trPr>
        <w:tc>
          <w:tcPr>
            <w:tcW w:w="5280" w:type="dxa"/>
            <w:vAlign w:val="bottom"/>
            <w:shd w:val="clear" w:color="auto" w:fill="E7E4E1"/>
          </w:tcPr>
          <w:p>
            <w:pPr>
              <w:spacing w:after="0"/>
              <w:rPr>
                <w:sz w:val="15"/>
                <w:szCs w:val="15"/>
                <w:color w:val="auto"/>
              </w:rPr>
            </w:pPr>
          </w:p>
        </w:tc>
        <w:tc>
          <w:tcPr>
            <w:tcW w:w="318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560" w:type="dxa"/>
            <w:vAlign w:val="bottom"/>
            <w:tcBorders>
              <w:right w:val="single" w:sz="8" w:color="E7E4E1"/>
            </w:tcBorders>
            <w:shd w:val="clear" w:color="auto" w:fill="E7E4E1"/>
          </w:tcPr>
          <w:p>
            <w:pPr>
              <w:spacing w:after="0"/>
              <w:rPr>
                <w:sz w:val="15"/>
                <w:szCs w:val="15"/>
                <w:color w:val="auto"/>
              </w:rPr>
            </w:pPr>
          </w:p>
        </w:tc>
        <w:tc>
          <w:tcPr>
            <w:tcW w:w="160" w:type="dxa"/>
            <w:vAlign w:val="bottom"/>
            <w:tcBorders>
              <w:right w:val="single" w:sz="8" w:color="E7E4E1"/>
            </w:tcBorders>
            <w:shd w:val="clear" w:color="auto" w:fill="E7E4E1"/>
          </w:tcPr>
          <w:p>
            <w:pPr>
              <w:spacing w:after="0"/>
              <w:rPr>
                <w:sz w:val="15"/>
                <w:szCs w:val="15"/>
                <w:color w:val="auto"/>
              </w:rPr>
            </w:pPr>
          </w:p>
        </w:tc>
        <w:tc>
          <w:tcPr>
            <w:tcW w:w="120" w:type="dxa"/>
            <w:vAlign w:val="bottom"/>
            <w:tcBorders>
              <w:left w:val="single" w:sz="8" w:color="E7E4E1"/>
            </w:tcBorders>
            <w:shd w:val="clear" w:color="auto" w:fill="E7E4E1"/>
          </w:tcPr>
          <w:p>
            <w:pPr>
              <w:spacing w:after="0"/>
              <w:rPr>
                <w:sz w:val="15"/>
                <w:szCs w:val="15"/>
                <w:color w:val="auto"/>
              </w:rPr>
            </w:pPr>
          </w:p>
        </w:tc>
        <w:tc>
          <w:tcPr>
            <w:tcW w:w="760" w:type="dxa"/>
            <w:vAlign w:val="bottom"/>
            <w:gridSpan w:val="3"/>
            <w:shd w:val="clear" w:color="auto" w:fill="E7E4E1"/>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28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r>
      <w:tr>
        <w:trPr>
          <w:trHeight w:val="175"/>
        </w:trPr>
        <w:tc>
          <w:tcPr>
            <w:tcW w:w="52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E7E4E1"/>
              <w:right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jc w:val="right"/>
              <w:ind w:right="108"/>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E7E4E1"/>
              <w:right w:val="single" w:sz="8" w:color="E7E4E1"/>
            </w:tcBorders>
            <w:shd w:val="clear" w:color="auto" w:fill="E7E4E1"/>
          </w:tcPr>
          <w:p>
            <w:pPr>
              <w:spacing w:after="0"/>
              <w:rPr>
                <w:sz w:val="15"/>
                <w:szCs w:val="15"/>
                <w:color w:val="auto"/>
              </w:rPr>
            </w:pPr>
          </w:p>
        </w:tc>
        <w:tc>
          <w:tcPr>
            <w:tcW w:w="120" w:type="dxa"/>
            <w:vAlign w:val="bottom"/>
            <w:tcBorders>
              <w:left w:val="single" w:sz="8" w:color="E7E4E1"/>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ind w:left="8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E7E4E1"/>
            </w:tcBorders>
            <w:shd w:val="clear" w:color="auto" w:fill="E7E4E1"/>
          </w:tcPr>
          <w:p>
            <w:pPr>
              <w:spacing w:after="0"/>
              <w:rPr>
                <w:sz w:val="15"/>
                <w:szCs w:val="15"/>
                <w:color w:val="auto"/>
              </w:rPr>
            </w:pPr>
          </w:p>
        </w:tc>
        <w:tc>
          <w:tcPr>
            <w:tcW w:w="60" w:type="dxa"/>
            <w:vAlign w:val="bottom"/>
            <w:tcBorders>
              <w:bottom w:val="single" w:sz="8" w:color="E7E4E1"/>
            </w:tcBorders>
            <w:shd w:val="clear" w:color="auto" w:fill="E7E4E1"/>
          </w:tcPr>
          <w:p>
            <w:pPr>
              <w:spacing w:after="0"/>
              <w:rPr>
                <w:sz w:val="15"/>
                <w:szCs w:val="15"/>
                <w:color w:val="auto"/>
              </w:rPr>
            </w:pPr>
          </w:p>
        </w:tc>
        <w:tc>
          <w:tcPr>
            <w:tcW w:w="980" w:type="dxa"/>
            <w:vAlign w:val="bottom"/>
            <w:tcBorders>
              <w:bottom w:val="single" w:sz="8" w:color="auto"/>
            </w:tcBorders>
            <w:gridSpan w:val="2"/>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80" w:type="dxa"/>
            <w:vAlign w:val="bottom"/>
            <w:tcBorders>
              <w:bottom w:val="single" w:sz="8" w:color="E7E4E1"/>
            </w:tcBorders>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r>
      <w:tr>
        <w:trPr>
          <w:trHeight w:val="29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32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14,878</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15,310</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2.9%</w:t>
            </w:r>
          </w:p>
        </w:tc>
        <w:tc>
          <w:tcPr>
            <w:tcW w:w="40" w:type="dxa"/>
            <w:vAlign w:val="bottom"/>
            <w:shd w:val="clear" w:color="auto" w:fill="E7E4E1"/>
          </w:tcPr>
          <w:p>
            <w:pPr>
              <w:spacing w:after="0"/>
              <w:rPr>
                <w:sz w:val="24"/>
                <w:szCs w:val="24"/>
                <w:color w:val="auto"/>
              </w:rPr>
            </w:pPr>
          </w:p>
        </w:tc>
      </w:tr>
      <w:tr>
        <w:trPr>
          <w:trHeight w:val="28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20" w:type="dxa"/>
            <w:vAlign w:val="bottom"/>
            <w:tcBorders>
              <w:right w:val="single" w:sz="8" w:color="E7E4E1"/>
            </w:tcBorders>
            <w:gridSpan w:val="2"/>
            <w:shd w:val="clear" w:color="auto" w:fill="E7E4E1"/>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Borders>
              <w:left w:val="single" w:sz="8" w:color="E7E4E1"/>
            </w:tcBorders>
            <w:shd w:val="clear" w:color="auto" w:fill="E7E4E1"/>
          </w:tcPr>
          <w:p>
            <w:pPr>
              <w:spacing w:after="0"/>
              <w:rPr>
                <w:sz w:val="24"/>
                <w:szCs w:val="24"/>
                <w:color w:val="auto"/>
              </w:rPr>
            </w:pP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r>
      <w:tr>
        <w:trPr>
          <w:trHeight w:val="20"/>
        </w:trPr>
        <w:tc>
          <w:tcPr>
            <w:tcW w:w="5280" w:type="dxa"/>
            <w:vAlign w:val="bottom"/>
            <w:shd w:val="clear" w:color="auto" w:fill="E7E4E1"/>
          </w:tcPr>
          <w:p>
            <w:pPr>
              <w:spacing w:after="0" w:line="20" w:lineRule="exact"/>
              <w:rPr>
                <w:sz w:val="1"/>
                <w:szCs w:val="1"/>
                <w:color w:val="auto"/>
              </w:rPr>
            </w:pPr>
          </w:p>
        </w:tc>
        <w:tc>
          <w:tcPr>
            <w:tcW w:w="318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tcBorders>
              <w:left w:val="single" w:sz="8" w:color="E7E4E1"/>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6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r>
      <w:tr>
        <w:trPr>
          <w:trHeight w:val="344"/>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328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14,619</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15,310</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4.7%</w:t>
            </w:r>
          </w:p>
        </w:tc>
        <w:tc>
          <w:tcPr>
            <w:tcW w:w="40" w:type="dxa"/>
            <w:vAlign w:val="bottom"/>
            <w:shd w:val="clear" w:color="auto" w:fill="E7E4E1"/>
          </w:tcPr>
          <w:p>
            <w:pPr>
              <w:spacing w:after="0"/>
              <w:rPr>
                <w:sz w:val="24"/>
                <w:szCs w:val="24"/>
                <w:color w:val="auto"/>
              </w:rPr>
            </w:pPr>
          </w:p>
        </w:tc>
      </w:tr>
      <w:tr>
        <w:trPr>
          <w:trHeight w:val="65"/>
        </w:trPr>
        <w:tc>
          <w:tcPr>
            <w:tcW w:w="8460" w:type="dxa"/>
            <w:vAlign w:val="bottom"/>
            <w:tcBorders>
              <w:top w:val="single" w:sz="8" w:color="E7E4E1"/>
              <w:right w:val="single" w:sz="8" w:color="E7E4E1"/>
            </w:tcBorders>
            <w:gridSpan w:val="2"/>
            <w:shd w:val="clear" w:color="auto" w:fill="E7E4E1"/>
          </w:tcPr>
          <w:p>
            <w:pPr>
              <w:spacing w:after="0"/>
              <w:rPr>
                <w:sz w:val="5"/>
                <w:szCs w:val="5"/>
                <w:color w:val="auto"/>
              </w:rPr>
            </w:pPr>
          </w:p>
        </w:tc>
        <w:tc>
          <w:tcPr>
            <w:tcW w:w="660" w:type="dxa"/>
            <w:vAlign w:val="bottom"/>
            <w:tcBorders>
              <w:top w:val="single" w:sz="8" w:color="auto"/>
              <w:right w:val="single" w:sz="8" w:color="E7E4E1"/>
            </w:tcBorders>
            <w:gridSpan w:val="2"/>
            <w:shd w:val="clear" w:color="auto" w:fill="E7E4E1"/>
          </w:tcPr>
          <w:p>
            <w:pPr>
              <w:spacing w:after="0"/>
              <w:rPr>
                <w:sz w:val="5"/>
                <w:szCs w:val="5"/>
                <w:color w:val="auto"/>
              </w:rPr>
            </w:pPr>
          </w:p>
        </w:tc>
        <w:tc>
          <w:tcPr>
            <w:tcW w:w="160" w:type="dxa"/>
            <w:vAlign w:val="bottom"/>
            <w:tcBorders>
              <w:top w:val="single" w:sz="8" w:color="E7E4E1"/>
              <w:right w:val="single" w:sz="8" w:color="E7E4E1"/>
            </w:tcBorders>
            <w:shd w:val="clear" w:color="auto" w:fill="E7E4E1"/>
          </w:tcPr>
          <w:p>
            <w:pPr>
              <w:spacing w:after="0"/>
              <w:rPr>
                <w:sz w:val="5"/>
                <w:szCs w:val="5"/>
                <w:color w:val="auto"/>
              </w:rPr>
            </w:pPr>
          </w:p>
        </w:tc>
        <w:tc>
          <w:tcPr>
            <w:tcW w:w="120" w:type="dxa"/>
            <w:vAlign w:val="bottom"/>
            <w:tcBorders>
              <w:top w:val="single" w:sz="8" w:color="auto"/>
              <w:left w:val="single" w:sz="8" w:color="E7E4E1"/>
            </w:tcBorders>
            <w:shd w:val="clear" w:color="auto" w:fill="E7E4E1"/>
          </w:tcPr>
          <w:p>
            <w:pPr>
              <w:spacing w:after="0"/>
              <w:rPr>
                <w:sz w:val="5"/>
                <w:szCs w:val="5"/>
                <w:color w:val="auto"/>
              </w:rPr>
            </w:pPr>
          </w:p>
        </w:tc>
        <w:tc>
          <w:tcPr>
            <w:tcW w:w="560" w:type="dxa"/>
            <w:vAlign w:val="bottom"/>
            <w:tcBorders>
              <w:top w:val="single" w:sz="8" w:color="auto"/>
              <w:right w:val="single" w:sz="8" w:color="E7E4E1"/>
            </w:tcBorders>
            <w:shd w:val="clear" w:color="auto" w:fill="E7E4E1"/>
          </w:tcPr>
          <w:p>
            <w:pPr>
              <w:spacing w:after="0"/>
              <w:rPr>
                <w:sz w:val="5"/>
                <w:szCs w:val="5"/>
                <w:color w:val="auto"/>
              </w:rPr>
            </w:pPr>
          </w:p>
        </w:tc>
        <w:tc>
          <w:tcPr>
            <w:tcW w:w="140" w:type="dxa"/>
            <w:vAlign w:val="bottom"/>
            <w:tcBorders>
              <w:top w:val="single" w:sz="8" w:color="E7E4E1"/>
            </w:tcBorders>
            <w:shd w:val="clear" w:color="auto" w:fill="E7E4E1"/>
          </w:tcPr>
          <w:p>
            <w:pPr>
              <w:spacing w:after="0"/>
              <w:rPr>
                <w:sz w:val="5"/>
                <w:szCs w:val="5"/>
                <w:color w:val="auto"/>
              </w:rPr>
            </w:pPr>
          </w:p>
        </w:tc>
        <w:tc>
          <w:tcPr>
            <w:tcW w:w="60" w:type="dxa"/>
            <w:vAlign w:val="bottom"/>
            <w:tcBorders>
              <w:top w:val="single" w:sz="8" w:color="E7E4E1"/>
            </w:tcBorders>
            <w:shd w:val="clear" w:color="auto" w:fill="E7E4E1"/>
          </w:tcPr>
          <w:p>
            <w:pPr>
              <w:spacing w:after="0"/>
              <w:rPr>
                <w:sz w:val="5"/>
                <w:szCs w:val="5"/>
                <w:color w:val="auto"/>
              </w:rPr>
            </w:pPr>
          </w:p>
        </w:tc>
        <w:tc>
          <w:tcPr>
            <w:tcW w:w="94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c>
          <w:tcPr>
            <w:tcW w:w="28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r>
      <w:tr>
        <w:trPr>
          <w:trHeight w:val="682"/>
        </w:trPr>
        <w:tc>
          <w:tcPr>
            <w:tcW w:w="9280" w:type="dxa"/>
            <w:vAlign w:val="bottom"/>
            <w:gridSpan w:val="5"/>
          </w:tcPr>
          <w:p>
            <w:pPr>
              <w:spacing w:after="0"/>
              <w:rPr>
                <w:sz w:val="20"/>
                <w:szCs w:val="20"/>
                <w:color w:val="auto"/>
              </w:rPr>
            </w:pPr>
            <w:r>
              <w:rPr>
                <w:rFonts w:ascii="Arial" w:cs="Arial" w:eastAsia="Arial" w:hAnsi="Arial"/>
                <w:sz w:val="22"/>
                <w:szCs w:val="22"/>
                <w:b w:val="1"/>
                <w:bCs w:val="1"/>
                <w:color w:val="7F7F7F"/>
                <w:w w:val="98"/>
              </w:rPr>
              <w:t>Reconciliation of Consolidated NBCUniversal Revenue Excluding Super Bowl (Unaudited)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2"/>
        </w:trPr>
        <w:tc>
          <w:tcPr>
            <w:tcW w:w="5280" w:type="dxa"/>
            <w:vAlign w:val="bottom"/>
            <w:tcBorders>
              <w:bottom w:val="single" w:sz="8" w:color="004EA8"/>
            </w:tcBorders>
          </w:tcPr>
          <w:p>
            <w:pPr>
              <w:spacing w:after="0"/>
              <w:rPr>
                <w:sz w:val="7"/>
                <w:szCs w:val="7"/>
                <w:color w:val="auto"/>
              </w:rPr>
            </w:pPr>
          </w:p>
        </w:tc>
        <w:tc>
          <w:tcPr>
            <w:tcW w:w="3180" w:type="dxa"/>
            <w:vAlign w:val="bottom"/>
            <w:tcBorders>
              <w:bottom w:val="single" w:sz="8" w:color="004EA8"/>
            </w:tcBorders>
          </w:tcPr>
          <w:p>
            <w:pPr>
              <w:spacing w:after="0"/>
              <w:rPr>
                <w:sz w:val="7"/>
                <w:szCs w:val="7"/>
                <w:color w:val="auto"/>
              </w:rPr>
            </w:pPr>
          </w:p>
        </w:tc>
        <w:tc>
          <w:tcPr>
            <w:tcW w:w="100" w:type="dxa"/>
            <w:vAlign w:val="bottom"/>
            <w:tcBorders>
              <w:bottom w:val="single" w:sz="8" w:color="004EA8"/>
            </w:tcBorders>
          </w:tcPr>
          <w:p>
            <w:pPr>
              <w:spacing w:after="0"/>
              <w:rPr>
                <w:sz w:val="7"/>
                <w:szCs w:val="7"/>
                <w:color w:val="auto"/>
              </w:rPr>
            </w:pPr>
          </w:p>
        </w:tc>
        <w:tc>
          <w:tcPr>
            <w:tcW w:w="560" w:type="dxa"/>
            <w:vAlign w:val="bottom"/>
            <w:tcBorders>
              <w:bottom w:val="single" w:sz="8" w:color="004EA8"/>
            </w:tcBorders>
          </w:tcPr>
          <w:p>
            <w:pPr>
              <w:spacing w:after="0"/>
              <w:rPr>
                <w:sz w:val="7"/>
                <w:szCs w:val="7"/>
                <w:color w:val="auto"/>
              </w:rPr>
            </w:pPr>
          </w:p>
        </w:tc>
        <w:tc>
          <w:tcPr>
            <w:tcW w:w="160" w:type="dxa"/>
            <w:vAlign w:val="bottom"/>
            <w:tcBorders>
              <w:bottom w:val="single" w:sz="8" w:color="004EA8"/>
            </w:tcBorders>
          </w:tcPr>
          <w:p>
            <w:pPr>
              <w:spacing w:after="0"/>
              <w:rPr>
                <w:sz w:val="7"/>
                <w:szCs w:val="7"/>
                <w:color w:val="auto"/>
              </w:rPr>
            </w:pPr>
          </w:p>
        </w:tc>
        <w:tc>
          <w:tcPr>
            <w:tcW w:w="680" w:type="dxa"/>
            <w:vAlign w:val="bottom"/>
            <w:tcBorders>
              <w:bottom w:val="single" w:sz="8" w:color="004EA8"/>
            </w:tcBorders>
            <w:gridSpan w:val="2"/>
          </w:tcPr>
          <w:p>
            <w:pPr>
              <w:spacing w:after="0"/>
              <w:rPr>
                <w:sz w:val="7"/>
                <w:szCs w:val="7"/>
                <w:color w:val="auto"/>
              </w:rPr>
            </w:pPr>
          </w:p>
        </w:tc>
        <w:tc>
          <w:tcPr>
            <w:tcW w:w="140" w:type="dxa"/>
            <w:vAlign w:val="bottom"/>
            <w:tcBorders>
              <w:bottom w:val="single" w:sz="8" w:color="004EA8"/>
            </w:tcBorders>
          </w:tcPr>
          <w:p>
            <w:pPr>
              <w:spacing w:after="0"/>
              <w:rPr>
                <w:sz w:val="7"/>
                <w:szCs w:val="7"/>
                <w:color w:val="auto"/>
              </w:rPr>
            </w:pPr>
          </w:p>
        </w:tc>
        <w:tc>
          <w:tcPr>
            <w:tcW w:w="1000" w:type="dxa"/>
            <w:vAlign w:val="bottom"/>
            <w:tcBorders>
              <w:bottom w:val="single" w:sz="8" w:color="004EA8"/>
            </w:tcBorders>
            <w:gridSpan w:val="2"/>
          </w:tcPr>
          <w:p>
            <w:pPr>
              <w:spacing w:after="0"/>
              <w:rPr>
                <w:sz w:val="7"/>
                <w:szCs w:val="7"/>
                <w:color w:val="auto"/>
              </w:rPr>
            </w:pPr>
          </w:p>
        </w:tc>
        <w:tc>
          <w:tcPr>
            <w:tcW w:w="320" w:type="dxa"/>
            <w:vAlign w:val="bottom"/>
            <w:tcBorders>
              <w:bottom w:val="single" w:sz="8" w:color="004EA8"/>
            </w:tcBorders>
            <w:gridSpan w:val="2"/>
          </w:tcPr>
          <w:p>
            <w:pPr>
              <w:spacing w:after="0"/>
              <w:rPr>
                <w:sz w:val="7"/>
                <w:szCs w:val="7"/>
                <w:color w:val="auto"/>
              </w:rPr>
            </w:pPr>
          </w:p>
        </w:tc>
        <w:tc>
          <w:tcPr>
            <w:tcW w:w="40" w:type="dxa"/>
            <w:vAlign w:val="bottom"/>
          </w:tcPr>
          <w:p>
            <w:pPr>
              <w:spacing w:after="0"/>
              <w:rPr>
                <w:sz w:val="7"/>
                <w:szCs w:val="7"/>
                <w:color w:val="auto"/>
              </w:rPr>
            </w:pPr>
          </w:p>
        </w:tc>
      </w:tr>
      <w:tr>
        <w:trPr>
          <w:trHeight w:val="267"/>
        </w:trPr>
        <w:tc>
          <w:tcPr>
            <w:tcW w:w="5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spacing w:after="0"/>
              <w:rPr>
                <w:sz w:val="23"/>
                <w:szCs w:val="23"/>
                <w:color w:val="auto"/>
              </w:rPr>
            </w:pPr>
          </w:p>
        </w:tc>
        <w:tc>
          <w:tcPr>
            <w:tcW w:w="32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r>
      <w:tr>
        <w:trPr>
          <w:trHeight w:val="314"/>
        </w:trPr>
        <w:tc>
          <w:tcPr>
            <w:tcW w:w="5280" w:type="dxa"/>
            <w:vAlign w:val="bottom"/>
            <w:shd w:val="clear" w:color="auto" w:fill="E7E4E1"/>
          </w:tcPr>
          <w:p>
            <w:pPr>
              <w:spacing w:after="0"/>
              <w:rPr>
                <w:sz w:val="24"/>
                <w:szCs w:val="24"/>
                <w:color w:val="auto"/>
              </w:rPr>
            </w:pP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860" w:type="dxa"/>
            <w:vAlign w:val="bottom"/>
            <w:gridSpan w:val="9"/>
            <w:shd w:val="clear" w:color="auto" w:fill="E7E4E1"/>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shd w:val="clear" w:color="auto" w:fill="E7E4E1"/>
          </w:tcPr>
          <w:p>
            <w:pPr>
              <w:spacing w:after="0"/>
              <w:rPr>
                <w:sz w:val="24"/>
                <w:szCs w:val="24"/>
                <w:color w:val="auto"/>
              </w:rPr>
            </w:pPr>
          </w:p>
        </w:tc>
      </w:tr>
      <w:tr>
        <w:trPr>
          <w:trHeight w:val="176"/>
        </w:trPr>
        <w:tc>
          <w:tcPr>
            <w:tcW w:w="5280" w:type="dxa"/>
            <w:vAlign w:val="bottom"/>
            <w:shd w:val="clear" w:color="auto" w:fill="E7E4E1"/>
          </w:tcPr>
          <w:p>
            <w:pPr>
              <w:spacing w:after="0"/>
              <w:rPr>
                <w:sz w:val="15"/>
                <w:szCs w:val="15"/>
                <w:color w:val="auto"/>
              </w:rPr>
            </w:pPr>
          </w:p>
        </w:tc>
        <w:tc>
          <w:tcPr>
            <w:tcW w:w="318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560" w:type="dxa"/>
            <w:vAlign w:val="bottom"/>
            <w:tcBorders>
              <w:right w:val="single" w:sz="8" w:color="E7E4E1"/>
            </w:tcBorders>
            <w:shd w:val="clear" w:color="auto" w:fill="E7E4E1"/>
          </w:tcPr>
          <w:p>
            <w:pPr>
              <w:spacing w:after="0"/>
              <w:rPr>
                <w:sz w:val="15"/>
                <w:szCs w:val="15"/>
                <w:color w:val="auto"/>
              </w:rPr>
            </w:pPr>
          </w:p>
        </w:tc>
        <w:tc>
          <w:tcPr>
            <w:tcW w:w="160" w:type="dxa"/>
            <w:vAlign w:val="bottom"/>
            <w:tcBorders>
              <w:right w:val="single" w:sz="8" w:color="E7E4E1"/>
            </w:tcBorders>
            <w:shd w:val="clear" w:color="auto" w:fill="E7E4E1"/>
          </w:tcPr>
          <w:p>
            <w:pPr>
              <w:spacing w:after="0"/>
              <w:rPr>
                <w:sz w:val="15"/>
                <w:szCs w:val="15"/>
                <w:color w:val="auto"/>
              </w:rPr>
            </w:pPr>
          </w:p>
        </w:tc>
        <w:tc>
          <w:tcPr>
            <w:tcW w:w="120" w:type="dxa"/>
            <w:vAlign w:val="bottom"/>
            <w:tcBorders>
              <w:left w:val="single" w:sz="8" w:color="E7E4E1"/>
            </w:tcBorders>
            <w:shd w:val="clear" w:color="auto" w:fill="E7E4E1"/>
          </w:tcPr>
          <w:p>
            <w:pPr>
              <w:spacing w:after="0"/>
              <w:rPr>
                <w:sz w:val="15"/>
                <w:szCs w:val="15"/>
                <w:color w:val="auto"/>
              </w:rPr>
            </w:pPr>
          </w:p>
        </w:tc>
        <w:tc>
          <w:tcPr>
            <w:tcW w:w="760" w:type="dxa"/>
            <w:vAlign w:val="bottom"/>
            <w:gridSpan w:val="3"/>
            <w:shd w:val="clear" w:color="auto" w:fill="E7E4E1"/>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28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r>
      <w:tr>
        <w:trPr>
          <w:trHeight w:val="175"/>
        </w:trPr>
        <w:tc>
          <w:tcPr>
            <w:tcW w:w="52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E7E4E1"/>
              <w:right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jc w:val="right"/>
              <w:ind w:right="128"/>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E7E4E1"/>
              <w:right w:val="single" w:sz="8" w:color="E7E4E1"/>
            </w:tcBorders>
            <w:shd w:val="clear" w:color="auto" w:fill="E7E4E1"/>
          </w:tcPr>
          <w:p>
            <w:pPr>
              <w:spacing w:after="0"/>
              <w:rPr>
                <w:sz w:val="15"/>
                <w:szCs w:val="15"/>
                <w:color w:val="auto"/>
              </w:rPr>
            </w:pPr>
          </w:p>
        </w:tc>
        <w:tc>
          <w:tcPr>
            <w:tcW w:w="120" w:type="dxa"/>
            <w:vAlign w:val="bottom"/>
            <w:tcBorders>
              <w:left w:val="single" w:sz="8" w:color="E7E4E1"/>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E7E4E1"/>
            </w:tcBorders>
            <w:shd w:val="clear" w:color="auto" w:fill="E7E4E1"/>
          </w:tcPr>
          <w:p>
            <w:pPr>
              <w:spacing w:after="0"/>
              <w:rPr>
                <w:sz w:val="15"/>
                <w:szCs w:val="15"/>
                <w:color w:val="auto"/>
              </w:rPr>
            </w:pPr>
          </w:p>
        </w:tc>
        <w:tc>
          <w:tcPr>
            <w:tcW w:w="60" w:type="dxa"/>
            <w:vAlign w:val="bottom"/>
            <w:tcBorders>
              <w:bottom w:val="single" w:sz="8" w:color="auto"/>
            </w:tcBorders>
            <w:shd w:val="clear" w:color="auto" w:fill="E7E4E1"/>
          </w:tcPr>
          <w:p>
            <w:pPr>
              <w:spacing w:after="0"/>
              <w:rPr>
                <w:sz w:val="15"/>
                <w:szCs w:val="15"/>
                <w:color w:val="auto"/>
              </w:rPr>
            </w:pPr>
          </w:p>
        </w:tc>
        <w:tc>
          <w:tcPr>
            <w:tcW w:w="940" w:type="dxa"/>
            <w:vAlign w:val="bottom"/>
            <w:tcBorders>
              <w:bottom w:val="single" w:sz="8" w:color="auto"/>
            </w:tcBorders>
            <w:shd w:val="clear" w:color="auto" w:fill="E7E4E1"/>
          </w:tcPr>
          <w:p>
            <w:pPr>
              <w:jc w:val="right"/>
              <w:ind w:right="88"/>
              <w:spacing w:after="0"/>
              <w:rPr>
                <w:sz w:val="20"/>
                <w:szCs w:val="20"/>
                <w:color w:val="auto"/>
              </w:rPr>
            </w:pPr>
            <w:r>
              <w:rPr>
                <w:rFonts w:ascii="Arial" w:cs="Arial" w:eastAsia="Arial" w:hAnsi="Arial"/>
                <w:sz w:val="14"/>
                <w:szCs w:val="14"/>
                <w:b w:val="1"/>
                <w:bCs w:val="1"/>
                <w:color w:val="auto"/>
              </w:rPr>
              <w:t>Growth %</w:t>
            </w:r>
          </w:p>
        </w:tc>
        <w:tc>
          <w:tcPr>
            <w:tcW w:w="320" w:type="dxa"/>
            <w:vAlign w:val="bottom"/>
            <w:tcBorders>
              <w:bottom w:val="single" w:sz="8" w:color="E7E4E1"/>
            </w:tcBorders>
            <w:gridSpan w:val="2"/>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r>
      <w:tr>
        <w:trPr>
          <w:trHeight w:val="29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32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5,472</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5,340</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(2.4%)</w:t>
            </w:r>
          </w:p>
        </w:tc>
        <w:tc>
          <w:tcPr>
            <w:tcW w:w="40" w:type="dxa"/>
            <w:vAlign w:val="bottom"/>
            <w:shd w:val="clear" w:color="auto" w:fill="E7E4E1"/>
          </w:tcPr>
          <w:p>
            <w:pPr>
              <w:spacing w:after="0"/>
              <w:rPr>
                <w:sz w:val="24"/>
                <w:szCs w:val="24"/>
                <w:color w:val="auto"/>
              </w:rPr>
            </w:pPr>
          </w:p>
        </w:tc>
      </w:tr>
      <w:tr>
        <w:trPr>
          <w:trHeight w:val="28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20" w:type="dxa"/>
            <w:vAlign w:val="bottom"/>
            <w:tcBorders>
              <w:right w:val="single" w:sz="8" w:color="E7E4E1"/>
            </w:tcBorders>
            <w:gridSpan w:val="2"/>
            <w:shd w:val="clear" w:color="auto" w:fill="E7E4E1"/>
          </w:tcPr>
          <w:p>
            <w:pPr>
              <w:jc w:val="right"/>
              <w:ind w:right="88"/>
              <w:spacing w:after="0"/>
              <w:rPr>
                <w:sz w:val="20"/>
                <w:szCs w:val="20"/>
                <w:color w:val="auto"/>
              </w:rPr>
            </w:pPr>
            <w:r>
              <w:rPr>
                <w:rFonts w:ascii="Arial" w:cs="Arial" w:eastAsia="Arial" w:hAnsi="Arial"/>
                <w:sz w:val="14"/>
                <w:szCs w:val="14"/>
                <w:color w:val="auto"/>
              </w:rPr>
              <w:t>(259)</w:t>
            </w:r>
          </w:p>
        </w:tc>
        <w:tc>
          <w:tcPr>
            <w:tcW w:w="120" w:type="dxa"/>
            <w:vAlign w:val="bottom"/>
            <w:tcBorders>
              <w:left w:val="single" w:sz="8" w:color="E7E4E1"/>
            </w:tcBorders>
            <w:shd w:val="clear" w:color="auto" w:fill="E7E4E1"/>
          </w:tcPr>
          <w:p>
            <w:pPr>
              <w:spacing w:after="0"/>
              <w:rPr>
                <w:sz w:val="24"/>
                <w:szCs w:val="24"/>
                <w:color w:val="auto"/>
              </w:rPr>
            </w:pP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r>
      <w:tr>
        <w:trPr>
          <w:trHeight w:val="20"/>
        </w:trPr>
        <w:tc>
          <w:tcPr>
            <w:tcW w:w="5280" w:type="dxa"/>
            <w:vAlign w:val="bottom"/>
            <w:shd w:val="clear" w:color="auto" w:fill="E7E4E1"/>
          </w:tcPr>
          <w:p>
            <w:pPr>
              <w:spacing w:after="0" w:line="20" w:lineRule="exact"/>
              <w:rPr>
                <w:sz w:val="1"/>
                <w:szCs w:val="1"/>
                <w:color w:val="auto"/>
              </w:rPr>
            </w:pPr>
          </w:p>
        </w:tc>
        <w:tc>
          <w:tcPr>
            <w:tcW w:w="318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6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320" w:type="dxa"/>
            <w:vAlign w:val="bottom"/>
            <w:gridSpan w:val="2"/>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r>
      <w:tr>
        <w:trPr>
          <w:trHeight w:val="344"/>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32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5,213</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5,340</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80"/>
              <w:spacing w:after="0"/>
              <w:rPr>
                <w:sz w:val="20"/>
                <w:szCs w:val="20"/>
                <w:color w:val="auto"/>
              </w:rPr>
            </w:pPr>
            <w:r>
              <w:rPr>
                <w:rFonts w:ascii="Arial" w:cs="Arial" w:eastAsia="Arial" w:hAnsi="Arial"/>
                <w:sz w:val="14"/>
                <w:szCs w:val="14"/>
                <w:color w:val="auto"/>
              </w:rPr>
              <w:t>2.4%</w:t>
            </w:r>
          </w:p>
        </w:tc>
        <w:tc>
          <w:tcPr>
            <w:tcW w:w="40" w:type="dxa"/>
            <w:vAlign w:val="bottom"/>
            <w:shd w:val="clear" w:color="auto" w:fill="E7E4E1"/>
          </w:tcPr>
          <w:p>
            <w:pPr>
              <w:spacing w:after="0"/>
              <w:rPr>
                <w:sz w:val="24"/>
                <w:szCs w:val="24"/>
                <w:color w:val="auto"/>
              </w:rPr>
            </w:pPr>
          </w:p>
        </w:tc>
      </w:tr>
      <w:tr>
        <w:trPr>
          <w:trHeight w:val="65"/>
        </w:trPr>
        <w:tc>
          <w:tcPr>
            <w:tcW w:w="8460" w:type="dxa"/>
            <w:vAlign w:val="bottom"/>
            <w:tcBorders>
              <w:top w:val="single" w:sz="8" w:color="E7E4E1"/>
              <w:right w:val="single" w:sz="8" w:color="E7E4E1"/>
            </w:tcBorders>
            <w:gridSpan w:val="2"/>
            <w:shd w:val="clear" w:color="auto" w:fill="E7E4E1"/>
          </w:tcPr>
          <w:p>
            <w:pPr>
              <w:spacing w:after="0"/>
              <w:rPr>
                <w:sz w:val="5"/>
                <w:szCs w:val="5"/>
                <w:color w:val="auto"/>
              </w:rPr>
            </w:pPr>
          </w:p>
        </w:tc>
        <w:tc>
          <w:tcPr>
            <w:tcW w:w="100" w:type="dxa"/>
            <w:vAlign w:val="bottom"/>
            <w:tcBorders>
              <w:top w:val="single" w:sz="8" w:color="auto"/>
            </w:tcBorders>
            <w:shd w:val="clear" w:color="auto" w:fill="E7E4E1"/>
          </w:tcPr>
          <w:p>
            <w:pPr>
              <w:spacing w:after="0"/>
              <w:rPr>
                <w:sz w:val="5"/>
                <w:szCs w:val="5"/>
                <w:color w:val="auto"/>
              </w:rPr>
            </w:pPr>
          </w:p>
        </w:tc>
        <w:tc>
          <w:tcPr>
            <w:tcW w:w="560" w:type="dxa"/>
            <w:vAlign w:val="bottom"/>
            <w:tcBorders>
              <w:top w:val="single" w:sz="8" w:color="auto"/>
              <w:right w:val="single" w:sz="8" w:color="E7E4E1"/>
            </w:tcBorders>
            <w:shd w:val="clear" w:color="auto" w:fill="E7E4E1"/>
          </w:tcPr>
          <w:p>
            <w:pPr>
              <w:spacing w:after="0"/>
              <w:rPr>
                <w:sz w:val="5"/>
                <w:szCs w:val="5"/>
                <w:color w:val="auto"/>
              </w:rPr>
            </w:pPr>
          </w:p>
        </w:tc>
        <w:tc>
          <w:tcPr>
            <w:tcW w:w="160" w:type="dxa"/>
            <w:vAlign w:val="bottom"/>
            <w:tcBorders>
              <w:top w:val="single" w:sz="8" w:color="E7E4E1"/>
              <w:right w:val="single" w:sz="8" w:color="E7E4E1"/>
            </w:tcBorders>
            <w:shd w:val="clear" w:color="auto" w:fill="E7E4E1"/>
          </w:tcPr>
          <w:p>
            <w:pPr>
              <w:spacing w:after="0"/>
              <w:rPr>
                <w:sz w:val="5"/>
                <w:szCs w:val="5"/>
                <w:color w:val="auto"/>
              </w:rPr>
            </w:pPr>
          </w:p>
        </w:tc>
        <w:tc>
          <w:tcPr>
            <w:tcW w:w="120" w:type="dxa"/>
            <w:vAlign w:val="bottom"/>
            <w:tcBorders>
              <w:top w:val="single" w:sz="8" w:color="auto"/>
              <w:left w:val="single" w:sz="8" w:color="E7E4E1"/>
            </w:tcBorders>
            <w:shd w:val="clear" w:color="auto" w:fill="E7E4E1"/>
          </w:tcPr>
          <w:p>
            <w:pPr>
              <w:spacing w:after="0"/>
              <w:rPr>
                <w:sz w:val="5"/>
                <w:szCs w:val="5"/>
                <w:color w:val="auto"/>
              </w:rPr>
            </w:pPr>
          </w:p>
        </w:tc>
        <w:tc>
          <w:tcPr>
            <w:tcW w:w="560" w:type="dxa"/>
            <w:vAlign w:val="bottom"/>
            <w:tcBorders>
              <w:top w:val="single" w:sz="8" w:color="auto"/>
              <w:right w:val="single" w:sz="8" w:color="E7E4E1"/>
            </w:tcBorders>
            <w:shd w:val="clear" w:color="auto" w:fill="E7E4E1"/>
          </w:tcPr>
          <w:p>
            <w:pPr>
              <w:spacing w:after="0"/>
              <w:rPr>
                <w:sz w:val="5"/>
                <w:szCs w:val="5"/>
                <w:color w:val="auto"/>
              </w:rPr>
            </w:pPr>
          </w:p>
        </w:tc>
        <w:tc>
          <w:tcPr>
            <w:tcW w:w="140" w:type="dxa"/>
            <w:vAlign w:val="bottom"/>
            <w:tcBorders>
              <w:top w:val="single" w:sz="8" w:color="E7E4E1"/>
            </w:tcBorders>
            <w:shd w:val="clear" w:color="auto" w:fill="E7E4E1"/>
          </w:tcPr>
          <w:p>
            <w:pPr>
              <w:spacing w:after="0"/>
              <w:rPr>
                <w:sz w:val="5"/>
                <w:szCs w:val="5"/>
                <w:color w:val="auto"/>
              </w:rPr>
            </w:pPr>
          </w:p>
        </w:tc>
        <w:tc>
          <w:tcPr>
            <w:tcW w:w="60" w:type="dxa"/>
            <w:vAlign w:val="bottom"/>
            <w:tcBorders>
              <w:top w:val="single" w:sz="8" w:color="E7E4E1"/>
            </w:tcBorders>
            <w:shd w:val="clear" w:color="auto" w:fill="E7E4E1"/>
          </w:tcPr>
          <w:p>
            <w:pPr>
              <w:spacing w:after="0"/>
              <w:rPr>
                <w:sz w:val="5"/>
                <w:szCs w:val="5"/>
                <w:color w:val="auto"/>
              </w:rPr>
            </w:pPr>
          </w:p>
        </w:tc>
        <w:tc>
          <w:tcPr>
            <w:tcW w:w="94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c>
          <w:tcPr>
            <w:tcW w:w="28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r>
      <w:tr>
        <w:trPr>
          <w:trHeight w:val="682"/>
        </w:trPr>
        <w:tc>
          <w:tcPr>
            <w:tcW w:w="8560" w:type="dxa"/>
            <w:vAlign w:val="bottom"/>
            <w:gridSpan w:val="3"/>
          </w:tcPr>
          <w:p>
            <w:pPr>
              <w:spacing w:after="0"/>
              <w:rPr>
                <w:sz w:val="20"/>
                <w:szCs w:val="20"/>
                <w:color w:val="auto"/>
              </w:rPr>
            </w:pPr>
            <w:r>
              <w:rPr>
                <w:rFonts w:ascii="Arial" w:cs="Arial" w:eastAsia="Arial" w:hAnsi="Arial"/>
                <w:sz w:val="22"/>
                <w:szCs w:val="22"/>
                <w:b w:val="1"/>
                <w:bCs w:val="1"/>
                <w:color w:val="7F7F7F"/>
                <w:w w:val="98"/>
              </w:rPr>
              <w:t>Reconciliation of Broadcast Television Revenue Excluding Super Bowl (Unaudited)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2"/>
        </w:trPr>
        <w:tc>
          <w:tcPr>
            <w:tcW w:w="5280" w:type="dxa"/>
            <w:vAlign w:val="bottom"/>
            <w:tcBorders>
              <w:bottom w:val="single" w:sz="8" w:color="004EA8"/>
            </w:tcBorders>
          </w:tcPr>
          <w:p>
            <w:pPr>
              <w:spacing w:after="0"/>
              <w:rPr>
                <w:sz w:val="7"/>
                <w:szCs w:val="7"/>
                <w:color w:val="auto"/>
              </w:rPr>
            </w:pPr>
          </w:p>
        </w:tc>
        <w:tc>
          <w:tcPr>
            <w:tcW w:w="3180" w:type="dxa"/>
            <w:vAlign w:val="bottom"/>
            <w:tcBorders>
              <w:bottom w:val="single" w:sz="8" w:color="004EA8"/>
            </w:tcBorders>
          </w:tcPr>
          <w:p>
            <w:pPr>
              <w:spacing w:after="0"/>
              <w:rPr>
                <w:sz w:val="7"/>
                <w:szCs w:val="7"/>
                <w:color w:val="auto"/>
              </w:rPr>
            </w:pPr>
          </w:p>
        </w:tc>
        <w:tc>
          <w:tcPr>
            <w:tcW w:w="100" w:type="dxa"/>
            <w:vAlign w:val="bottom"/>
            <w:tcBorders>
              <w:bottom w:val="single" w:sz="8" w:color="004EA8"/>
            </w:tcBorders>
          </w:tcPr>
          <w:p>
            <w:pPr>
              <w:spacing w:after="0"/>
              <w:rPr>
                <w:sz w:val="7"/>
                <w:szCs w:val="7"/>
                <w:color w:val="auto"/>
              </w:rPr>
            </w:pPr>
          </w:p>
        </w:tc>
        <w:tc>
          <w:tcPr>
            <w:tcW w:w="2860" w:type="dxa"/>
            <w:vAlign w:val="bottom"/>
            <w:tcBorders>
              <w:bottom w:val="single" w:sz="8" w:color="004EA8"/>
            </w:tcBorders>
            <w:gridSpan w:val="9"/>
          </w:tcPr>
          <w:p>
            <w:pPr>
              <w:spacing w:after="0"/>
              <w:rPr>
                <w:sz w:val="7"/>
                <w:szCs w:val="7"/>
                <w:color w:val="auto"/>
              </w:rPr>
            </w:pPr>
          </w:p>
        </w:tc>
        <w:tc>
          <w:tcPr>
            <w:tcW w:w="40" w:type="dxa"/>
            <w:vAlign w:val="bottom"/>
          </w:tcPr>
          <w:p>
            <w:pPr>
              <w:spacing w:after="0"/>
              <w:rPr>
                <w:sz w:val="7"/>
                <w:szCs w:val="7"/>
                <w:color w:val="auto"/>
              </w:rPr>
            </w:pPr>
          </w:p>
        </w:tc>
      </w:tr>
      <w:tr>
        <w:trPr>
          <w:trHeight w:val="267"/>
        </w:trPr>
        <w:tc>
          <w:tcPr>
            <w:tcW w:w="5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gridSpan w:val="9"/>
          </w:tcPr>
          <w:p>
            <w:pPr>
              <w:spacing w:after="0"/>
              <w:rPr>
                <w:sz w:val="23"/>
                <w:szCs w:val="23"/>
                <w:color w:val="auto"/>
              </w:rPr>
            </w:pPr>
          </w:p>
        </w:tc>
        <w:tc>
          <w:tcPr>
            <w:tcW w:w="40" w:type="dxa"/>
            <w:vAlign w:val="bottom"/>
          </w:tcPr>
          <w:p>
            <w:pPr>
              <w:spacing w:after="0"/>
              <w:rPr>
                <w:sz w:val="23"/>
                <w:szCs w:val="23"/>
                <w:color w:val="auto"/>
              </w:rPr>
            </w:pPr>
          </w:p>
        </w:tc>
      </w:tr>
      <w:tr>
        <w:trPr>
          <w:trHeight w:val="314"/>
        </w:trPr>
        <w:tc>
          <w:tcPr>
            <w:tcW w:w="5280" w:type="dxa"/>
            <w:vAlign w:val="bottom"/>
            <w:shd w:val="clear" w:color="auto" w:fill="E7E4E1"/>
          </w:tcPr>
          <w:p>
            <w:pPr>
              <w:spacing w:after="0"/>
              <w:rPr>
                <w:sz w:val="24"/>
                <w:szCs w:val="24"/>
                <w:color w:val="auto"/>
              </w:rPr>
            </w:pP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860" w:type="dxa"/>
            <w:vAlign w:val="bottom"/>
            <w:gridSpan w:val="9"/>
            <w:shd w:val="clear" w:color="auto" w:fill="E7E4E1"/>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shd w:val="clear" w:color="auto" w:fill="E7E4E1"/>
          </w:tcPr>
          <w:p>
            <w:pPr>
              <w:spacing w:after="0"/>
              <w:rPr>
                <w:sz w:val="24"/>
                <w:szCs w:val="24"/>
                <w:color w:val="auto"/>
              </w:rPr>
            </w:pPr>
          </w:p>
        </w:tc>
      </w:tr>
      <w:tr>
        <w:trPr>
          <w:trHeight w:val="176"/>
        </w:trPr>
        <w:tc>
          <w:tcPr>
            <w:tcW w:w="5280" w:type="dxa"/>
            <w:vAlign w:val="bottom"/>
            <w:shd w:val="clear" w:color="auto" w:fill="E7E4E1"/>
          </w:tcPr>
          <w:p>
            <w:pPr>
              <w:spacing w:after="0"/>
              <w:rPr>
                <w:sz w:val="15"/>
                <w:szCs w:val="15"/>
                <w:color w:val="auto"/>
              </w:rPr>
            </w:pPr>
          </w:p>
        </w:tc>
        <w:tc>
          <w:tcPr>
            <w:tcW w:w="318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560" w:type="dxa"/>
            <w:vAlign w:val="bottom"/>
            <w:tcBorders>
              <w:right w:val="single" w:sz="8" w:color="E7E4E1"/>
            </w:tcBorders>
            <w:shd w:val="clear" w:color="auto" w:fill="E7E4E1"/>
          </w:tcPr>
          <w:p>
            <w:pPr>
              <w:spacing w:after="0"/>
              <w:rPr>
                <w:sz w:val="15"/>
                <w:szCs w:val="15"/>
                <w:color w:val="auto"/>
              </w:rPr>
            </w:pPr>
          </w:p>
        </w:tc>
        <w:tc>
          <w:tcPr>
            <w:tcW w:w="160" w:type="dxa"/>
            <w:vAlign w:val="bottom"/>
            <w:tcBorders>
              <w:right w:val="single" w:sz="8" w:color="E7E4E1"/>
            </w:tcBorders>
            <w:shd w:val="clear" w:color="auto" w:fill="E7E4E1"/>
          </w:tcPr>
          <w:p>
            <w:pPr>
              <w:spacing w:after="0"/>
              <w:rPr>
                <w:sz w:val="15"/>
                <w:szCs w:val="15"/>
                <w:color w:val="auto"/>
              </w:rPr>
            </w:pPr>
          </w:p>
        </w:tc>
        <w:tc>
          <w:tcPr>
            <w:tcW w:w="120" w:type="dxa"/>
            <w:vAlign w:val="bottom"/>
            <w:tcBorders>
              <w:left w:val="single" w:sz="8" w:color="E7E4E1"/>
            </w:tcBorders>
            <w:shd w:val="clear" w:color="auto" w:fill="E7E4E1"/>
          </w:tcPr>
          <w:p>
            <w:pPr>
              <w:spacing w:after="0"/>
              <w:rPr>
                <w:sz w:val="15"/>
                <w:szCs w:val="15"/>
                <w:color w:val="auto"/>
              </w:rPr>
            </w:pPr>
          </w:p>
        </w:tc>
        <w:tc>
          <w:tcPr>
            <w:tcW w:w="760" w:type="dxa"/>
            <w:vAlign w:val="bottom"/>
            <w:gridSpan w:val="3"/>
            <w:shd w:val="clear" w:color="auto" w:fill="E7E4E1"/>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c>
          <w:tcPr>
            <w:tcW w:w="280" w:type="dxa"/>
            <w:vAlign w:val="bottom"/>
            <w:shd w:val="clear" w:color="auto" w:fill="E7E4E1"/>
          </w:tcPr>
          <w:p>
            <w:pPr>
              <w:spacing w:after="0"/>
              <w:rPr>
                <w:sz w:val="15"/>
                <w:szCs w:val="15"/>
                <w:color w:val="auto"/>
              </w:rPr>
            </w:pPr>
          </w:p>
        </w:tc>
        <w:tc>
          <w:tcPr>
            <w:tcW w:w="40" w:type="dxa"/>
            <w:vAlign w:val="bottom"/>
            <w:shd w:val="clear" w:color="auto" w:fill="E7E4E1"/>
          </w:tcPr>
          <w:p>
            <w:pPr>
              <w:spacing w:after="0"/>
              <w:rPr>
                <w:sz w:val="15"/>
                <w:szCs w:val="15"/>
                <w:color w:val="auto"/>
              </w:rPr>
            </w:pPr>
          </w:p>
        </w:tc>
      </w:tr>
      <w:tr>
        <w:trPr>
          <w:trHeight w:val="175"/>
        </w:trPr>
        <w:tc>
          <w:tcPr>
            <w:tcW w:w="52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E7E4E1"/>
              <w:right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jc w:val="right"/>
              <w:ind w:right="128"/>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E7E4E1"/>
              <w:right w:val="single" w:sz="8" w:color="E7E4E1"/>
            </w:tcBorders>
            <w:shd w:val="clear" w:color="auto" w:fill="E7E4E1"/>
          </w:tcPr>
          <w:p>
            <w:pPr>
              <w:spacing w:after="0"/>
              <w:rPr>
                <w:sz w:val="15"/>
                <w:szCs w:val="15"/>
                <w:color w:val="auto"/>
              </w:rPr>
            </w:pPr>
          </w:p>
        </w:tc>
        <w:tc>
          <w:tcPr>
            <w:tcW w:w="120" w:type="dxa"/>
            <w:vAlign w:val="bottom"/>
            <w:tcBorders>
              <w:left w:val="single" w:sz="8" w:color="E7E4E1"/>
              <w:bottom w:val="single" w:sz="8" w:color="auto"/>
            </w:tcBorders>
            <w:shd w:val="clear" w:color="auto" w:fill="E7E4E1"/>
          </w:tcPr>
          <w:p>
            <w:pPr>
              <w:spacing w:after="0"/>
              <w:rPr>
                <w:sz w:val="15"/>
                <w:szCs w:val="15"/>
                <w:color w:val="auto"/>
              </w:rPr>
            </w:pPr>
          </w:p>
        </w:tc>
        <w:tc>
          <w:tcPr>
            <w:tcW w:w="560" w:type="dxa"/>
            <w:vAlign w:val="bottom"/>
            <w:tcBorders>
              <w:bottom w:val="single" w:sz="8" w:color="auto"/>
              <w:right w:val="single" w:sz="8" w:color="E7E4E1"/>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E7E4E1"/>
            </w:tcBorders>
            <w:shd w:val="clear" w:color="auto" w:fill="E7E4E1"/>
          </w:tcPr>
          <w:p>
            <w:pPr>
              <w:spacing w:after="0"/>
              <w:rPr>
                <w:sz w:val="15"/>
                <w:szCs w:val="15"/>
                <w:color w:val="auto"/>
              </w:rPr>
            </w:pPr>
          </w:p>
        </w:tc>
        <w:tc>
          <w:tcPr>
            <w:tcW w:w="60" w:type="dxa"/>
            <w:vAlign w:val="bottom"/>
            <w:tcBorders>
              <w:bottom w:val="single" w:sz="8" w:color="auto"/>
            </w:tcBorders>
            <w:shd w:val="clear" w:color="auto" w:fill="E7E4E1"/>
          </w:tcPr>
          <w:p>
            <w:pPr>
              <w:spacing w:after="0"/>
              <w:rPr>
                <w:sz w:val="15"/>
                <w:szCs w:val="15"/>
                <w:color w:val="auto"/>
              </w:rPr>
            </w:pPr>
          </w:p>
        </w:tc>
        <w:tc>
          <w:tcPr>
            <w:tcW w:w="940" w:type="dxa"/>
            <w:vAlign w:val="bottom"/>
            <w:tcBorders>
              <w:bottom w:val="single" w:sz="8" w:color="auto"/>
            </w:tcBorders>
            <w:shd w:val="clear" w:color="auto" w:fill="E7E4E1"/>
          </w:tcPr>
          <w:p>
            <w:pPr>
              <w:jc w:val="right"/>
              <w:ind w:right="88"/>
              <w:spacing w:after="0"/>
              <w:rPr>
                <w:sz w:val="20"/>
                <w:szCs w:val="20"/>
                <w:color w:val="auto"/>
              </w:rPr>
            </w:pPr>
            <w:r>
              <w:rPr>
                <w:rFonts w:ascii="Arial" w:cs="Arial" w:eastAsia="Arial" w:hAnsi="Arial"/>
                <w:sz w:val="14"/>
                <w:szCs w:val="14"/>
                <w:b w:val="1"/>
                <w:bCs w:val="1"/>
                <w:color w:val="auto"/>
              </w:rPr>
              <w:t>Growth %</w:t>
            </w:r>
          </w:p>
        </w:tc>
        <w:tc>
          <w:tcPr>
            <w:tcW w:w="320" w:type="dxa"/>
            <w:vAlign w:val="bottom"/>
            <w:tcBorders>
              <w:bottom w:val="single" w:sz="8" w:color="E7E4E1"/>
            </w:tcBorders>
            <w:gridSpan w:val="2"/>
            <w:shd w:val="clear" w:color="auto" w:fill="E7E4E1"/>
          </w:tcPr>
          <w:p>
            <w:pPr>
              <w:spacing w:after="0"/>
              <w:rPr>
                <w:sz w:val="15"/>
                <w:szCs w:val="15"/>
                <w:color w:val="auto"/>
              </w:rPr>
            </w:pPr>
          </w:p>
        </w:tc>
        <w:tc>
          <w:tcPr>
            <w:tcW w:w="40" w:type="dxa"/>
            <w:vAlign w:val="bottom"/>
            <w:tcBorders>
              <w:bottom w:val="single" w:sz="8" w:color="E7E4E1"/>
            </w:tcBorders>
            <w:shd w:val="clear" w:color="auto" w:fill="E7E4E1"/>
          </w:tcPr>
          <w:p>
            <w:pPr>
              <w:spacing w:after="0"/>
              <w:rPr>
                <w:sz w:val="15"/>
                <w:szCs w:val="15"/>
                <w:color w:val="auto"/>
              </w:rPr>
            </w:pPr>
          </w:p>
        </w:tc>
      </w:tr>
      <w:tr>
        <w:trPr>
          <w:trHeight w:val="29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32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1,861</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1,517</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(18.5%)</w:t>
            </w:r>
          </w:p>
        </w:tc>
        <w:tc>
          <w:tcPr>
            <w:tcW w:w="40" w:type="dxa"/>
            <w:vAlign w:val="bottom"/>
            <w:shd w:val="clear" w:color="auto" w:fill="E7E4E1"/>
          </w:tcPr>
          <w:p>
            <w:pPr>
              <w:spacing w:after="0"/>
              <w:rPr>
                <w:sz w:val="24"/>
                <w:szCs w:val="24"/>
                <w:color w:val="auto"/>
              </w:rPr>
            </w:pPr>
          </w:p>
        </w:tc>
      </w:tr>
      <w:tr>
        <w:trPr>
          <w:trHeight w:val="282"/>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318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20" w:type="dxa"/>
            <w:vAlign w:val="bottom"/>
            <w:tcBorders>
              <w:right w:val="single" w:sz="8" w:color="E7E4E1"/>
            </w:tcBorders>
            <w:gridSpan w:val="2"/>
            <w:shd w:val="clear" w:color="auto" w:fill="E7E4E1"/>
          </w:tcPr>
          <w:p>
            <w:pPr>
              <w:jc w:val="right"/>
              <w:ind w:right="88"/>
              <w:spacing w:after="0"/>
              <w:rPr>
                <w:sz w:val="20"/>
                <w:szCs w:val="20"/>
                <w:color w:val="auto"/>
              </w:rPr>
            </w:pPr>
            <w:r>
              <w:rPr>
                <w:rFonts w:ascii="Arial" w:cs="Arial" w:eastAsia="Arial" w:hAnsi="Arial"/>
                <w:sz w:val="14"/>
                <w:szCs w:val="14"/>
                <w:color w:val="auto"/>
              </w:rPr>
              <w:t>(259)</w:t>
            </w:r>
          </w:p>
        </w:tc>
        <w:tc>
          <w:tcPr>
            <w:tcW w:w="120" w:type="dxa"/>
            <w:vAlign w:val="bottom"/>
            <w:tcBorders>
              <w:left w:val="single" w:sz="8" w:color="E7E4E1"/>
            </w:tcBorders>
            <w:shd w:val="clear" w:color="auto" w:fill="E7E4E1"/>
          </w:tcPr>
          <w:p>
            <w:pPr>
              <w:spacing w:after="0"/>
              <w:rPr>
                <w:sz w:val="24"/>
                <w:szCs w:val="24"/>
                <w:color w:val="auto"/>
              </w:rPr>
            </w:pP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r>
      <w:tr>
        <w:trPr>
          <w:trHeight w:val="20"/>
        </w:trPr>
        <w:tc>
          <w:tcPr>
            <w:tcW w:w="5280" w:type="dxa"/>
            <w:vAlign w:val="bottom"/>
            <w:shd w:val="clear" w:color="auto" w:fill="E7E4E1"/>
          </w:tcPr>
          <w:p>
            <w:pPr>
              <w:spacing w:after="0" w:line="20" w:lineRule="exact"/>
              <w:rPr>
                <w:sz w:val="1"/>
                <w:szCs w:val="1"/>
                <w:color w:val="auto"/>
              </w:rPr>
            </w:pPr>
          </w:p>
        </w:tc>
        <w:tc>
          <w:tcPr>
            <w:tcW w:w="318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60" w:type="dxa"/>
            <w:vAlign w:val="bottom"/>
            <w:shd w:val="clear" w:color="auto" w:fill="E7E4E1"/>
          </w:tcPr>
          <w:p>
            <w:pPr>
              <w:spacing w:after="0" w:line="20" w:lineRule="exact"/>
              <w:rPr>
                <w:sz w:val="1"/>
                <w:szCs w:val="1"/>
                <w:color w:val="auto"/>
              </w:rPr>
            </w:pPr>
          </w:p>
        </w:tc>
        <w:tc>
          <w:tcPr>
            <w:tcW w:w="1260" w:type="dxa"/>
            <w:vAlign w:val="bottom"/>
            <w:gridSpan w:val="3"/>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r>
      <w:tr>
        <w:trPr>
          <w:trHeight w:val="344"/>
        </w:trPr>
        <w:tc>
          <w:tcPr>
            <w:tcW w:w="52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328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1,602</w:t>
            </w:r>
          </w:p>
        </w:tc>
        <w:tc>
          <w:tcPr>
            <w:tcW w:w="160" w:type="dxa"/>
            <w:vAlign w:val="bottom"/>
            <w:tcBorders>
              <w:right w:val="single" w:sz="8" w:color="E7E4E1"/>
            </w:tcBorders>
            <w:shd w:val="clear" w:color="auto" w:fill="E7E4E1"/>
          </w:tcPr>
          <w:p>
            <w:pPr>
              <w:spacing w:after="0"/>
              <w:rPr>
                <w:sz w:val="24"/>
                <w:szCs w:val="24"/>
                <w:color w:val="auto"/>
              </w:rPr>
            </w:pPr>
          </w:p>
        </w:tc>
        <w:tc>
          <w:tcPr>
            <w:tcW w:w="120" w:type="dxa"/>
            <w:vAlign w:val="bottom"/>
            <w:tcBorders>
              <w:left w:val="single" w:sz="8" w:color="E7E4E1"/>
            </w:tcBorders>
            <w:shd w:val="clear" w:color="auto" w:fill="E7E4E1"/>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1,517</w:t>
            </w:r>
          </w:p>
        </w:tc>
        <w:tc>
          <w:tcPr>
            <w:tcW w:w="1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126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color w:val="auto"/>
              </w:rPr>
              <w:t>(5.3%)</w:t>
            </w:r>
          </w:p>
        </w:tc>
        <w:tc>
          <w:tcPr>
            <w:tcW w:w="40" w:type="dxa"/>
            <w:vAlign w:val="bottom"/>
            <w:shd w:val="clear" w:color="auto" w:fill="E7E4E1"/>
          </w:tcPr>
          <w:p>
            <w:pPr>
              <w:spacing w:after="0"/>
              <w:rPr>
                <w:sz w:val="24"/>
                <w:szCs w:val="24"/>
                <w:color w:val="auto"/>
              </w:rPr>
            </w:pPr>
          </w:p>
        </w:tc>
      </w:tr>
      <w:tr>
        <w:trPr>
          <w:trHeight w:val="65"/>
        </w:trPr>
        <w:tc>
          <w:tcPr>
            <w:tcW w:w="5280" w:type="dxa"/>
            <w:vAlign w:val="bottom"/>
            <w:tcBorders>
              <w:top w:val="single" w:sz="8" w:color="E7E4E1"/>
            </w:tcBorders>
            <w:shd w:val="clear" w:color="auto" w:fill="E7E4E1"/>
          </w:tcPr>
          <w:p>
            <w:pPr>
              <w:spacing w:after="0"/>
              <w:rPr>
                <w:sz w:val="5"/>
                <w:szCs w:val="5"/>
                <w:color w:val="auto"/>
              </w:rPr>
            </w:pPr>
          </w:p>
        </w:tc>
        <w:tc>
          <w:tcPr>
            <w:tcW w:w="3180" w:type="dxa"/>
            <w:vAlign w:val="bottom"/>
            <w:tcBorders>
              <w:top w:val="single" w:sz="8" w:color="E7E4E1"/>
              <w:right w:val="single" w:sz="8" w:color="E7E4E1"/>
            </w:tcBorders>
            <w:shd w:val="clear" w:color="auto" w:fill="E7E4E1"/>
          </w:tcPr>
          <w:p>
            <w:pPr>
              <w:spacing w:after="0"/>
              <w:rPr>
                <w:sz w:val="5"/>
                <w:szCs w:val="5"/>
                <w:color w:val="auto"/>
              </w:rPr>
            </w:pPr>
          </w:p>
        </w:tc>
        <w:tc>
          <w:tcPr>
            <w:tcW w:w="100" w:type="dxa"/>
            <w:vAlign w:val="bottom"/>
            <w:tcBorders>
              <w:top w:val="single" w:sz="8" w:color="auto"/>
            </w:tcBorders>
            <w:shd w:val="clear" w:color="auto" w:fill="E7E4E1"/>
          </w:tcPr>
          <w:p>
            <w:pPr>
              <w:spacing w:after="0"/>
              <w:rPr>
                <w:sz w:val="5"/>
                <w:szCs w:val="5"/>
                <w:color w:val="auto"/>
              </w:rPr>
            </w:pPr>
          </w:p>
        </w:tc>
        <w:tc>
          <w:tcPr>
            <w:tcW w:w="560" w:type="dxa"/>
            <w:vAlign w:val="bottom"/>
            <w:tcBorders>
              <w:top w:val="single" w:sz="8" w:color="auto"/>
              <w:right w:val="single" w:sz="8" w:color="E7E4E1"/>
            </w:tcBorders>
            <w:shd w:val="clear" w:color="auto" w:fill="E7E4E1"/>
          </w:tcPr>
          <w:p>
            <w:pPr>
              <w:spacing w:after="0"/>
              <w:rPr>
                <w:sz w:val="5"/>
                <w:szCs w:val="5"/>
                <w:color w:val="auto"/>
              </w:rPr>
            </w:pPr>
          </w:p>
        </w:tc>
        <w:tc>
          <w:tcPr>
            <w:tcW w:w="160" w:type="dxa"/>
            <w:vAlign w:val="bottom"/>
            <w:tcBorders>
              <w:top w:val="single" w:sz="8" w:color="E7E4E1"/>
              <w:right w:val="single" w:sz="8" w:color="E7E4E1"/>
            </w:tcBorders>
            <w:shd w:val="clear" w:color="auto" w:fill="E7E4E1"/>
          </w:tcPr>
          <w:p>
            <w:pPr>
              <w:spacing w:after="0"/>
              <w:rPr>
                <w:sz w:val="5"/>
                <w:szCs w:val="5"/>
                <w:color w:val="auto"/>
              </w:rPr>
            </w:pPr>
          </w:p>
        </w:tc>
        <w:tc>
          <w:tcPr>
            <w:tcW w:w="120" w:type="dxa"/>
            <w:vAlign w:val="bottom"/>
            <w:tcBorders>
              <w:top w:val="single" w:sz="8" w:color="auto"/>
              <w:left w:val="single" w:sz="8" w:color="E7E4E1"/>
            </w:tcBorders>
            <w:shd w:val="clear" w:color="auto" w:fill="E7E4E1"/>
          </w:tcPr>
          <w:p>
            <w:pPr>
              <w:spacing w:after="0"/>
              <w:rPr>
                <w:sz w:val="5"/>
                <w:szCs w:val="5"/>
                <w:color w:val="auto"/>
              </w:rPr>
            </w:pPr>
          </w:p>
        </w:tc>
        <w:tc>
          <w:tcPr>
            <w:tcW w:w="560" w:type="dxa"/>
            <w:vAlign w:val="bottom"/>
            <w:tcBorders>
              <w:top w:val="single" w:sz="8" w:color="auto"/>
              <w:right w:val="single" w:sz="8" w:color="E7E4E1"/>
            </w:tcBorders>
            <w:shd w:val="clear" w:color="auto" w:fill="E7E4E1"/>
          </w:tcPr>
          <w:p>
            <w:pPr>
              <w:spacing w:after="0"/>
              <w:rPr>
                <w:sz w:val="5"/>
                <w:szCs w:val="5"/>
                <w:color w:val="auto"/>
              </w:rPr>
            </w:pPr>
          </w:p>
        </w:tc>
        <w:tc>
          <w:tcPr>
            <w:tcW w:w="140" w:type="dxa"/>
            <w:vAlign w:val="bottom"/>
            <w:tcBorders>
              <w:top w:val="single" w:sz="8" w:color="E7E4E1"/>
            </w:tcBorders>
            <w:shd w:val="clear" w:color="auto" w:fill="E7E4E1"/>
          </w:tcPr>
          <w:p>
            <w:pPr>
              <w:spacing w:after="0"/>
              <w:rPr>
                <w:sz w:val="5"/>
                <w:szCs w:val="5"/>
                <w:color w:val="auto"/>
              </w:rPr>
            </w:pPr>
          </w:p>
        </w:tc>
        <w:tc>
          <w:tcPr>
            <w:tcW w:w="60" w:type="dxa"/>
            <w:vAlign w:val="bottom"/>
            <w:tcBorders>
              <w:top w:val="single" w:sz="8" w:color="E7E4E1"/>
            </w:tcBorders>
            <w:shd w:val="clear" w:color="auto" w:fill="E7E4E1"/>
          </w:tcPr>
          <w:p>
            <w:pPr>
              <w:spacing w:after="0"/>
              <w:rPr>
                <w:sz w:val="5"/>
                <w:szCs w:val="5"/>
                <w:color w:val="auto"/>
              </w:rPr>
            </w:pPr>
          </w:p>
        </w:tc>
        <w:tc>
          <w:tcPr>
            <w:tcW w:w="94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c>
          <w:tcPr>
            <w:tcW w:w="280" w:type="dxa"/>
            <w:vAlign w:val="bottom"/>
            <w:tcBorders>
              <w:top w:val="single" w:sz="8" w:color="E7E4E1"/>
            </w:tcBorders>
            <w:shd w:val="clear" w:color="auto" w:fill="E7E4E1"/>
          </w:tcPr>
          <w:p>
            <w:pPr>
              <w:spacing w:after="0"/>
              <w:rPr>
                <w:sz w:val="5"/>
                <w:szCs w:val="5"/>
                <w:color w:val="auto"/>
              </w:rPr>
            </w:pPr>
          </w:p>
        </w:tc>
        <w:tc>
          <w:tcPr>
            <w:tcW w:w="40" w:type="dxa"/>
            <w:vAlign w:val="bottom"/>
            <w:tcBorders>
              <w:top w:val="single" w:sz="8" w:color="E7E4E1"/>
            </w:tcBorders>
            <w:shd w:val="clear" w:color="auto" w:fill="E7E4E1"/>
          </w:tcPr>
          <w:p>
            <w:pPr>
              <w:spacing w:after="0"/>
              <w:rPr>
                <w:sz w:val="5"/>
                <w:szCs w:val="5"/>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60"/>
          </w:cols>
          <w:pgMar w:left="240" w:top="366"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1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Exhibit 99.1 to this Current Report on Form 8-K we provide reconciliations of Free Cash Flow in Table 4, Consolidated Operating Cash Flow in Table 1 and “adjusted” data in Tables 4 and 5.</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2019-12-07T03:50:19Z</dcterms:created>
  <dcterms:modified xsi:type="dcterms:W3CDTF">2019-12-07T03:50:19Z</dcterms:modified>
</cp:coreProperties>
</file>