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182880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0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176530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4860" w:type="dxa"/>
            <w:vAlign w:val="bottom"/>
          </w:tcPr>
          <w:p>
            <w:pPr>
              <w:jc w:val="center"/>
              <w:ind w:right="1880"/>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00" w:type="dxa"/>
            <w:vAlign w:val="bottom"/>
          </w:tcPr>
          <w:p>
            <w:pPr>
              <w:spacing w:after="0"/>
              <w:rPr>
                <w:sz w:val="16"/>
                <w:szCs w:val="16"/>
                <w:color w:val="auto"/>
              </w:rPr>
            </w:pPr>
          </w:p>
        </w:tc>
        <w:tc>
          <w:tcPr>
            <w:tcW w:w="4860" w:type="dxa"/>
            <w:vAlign w:val="bottom"/>
          </w:tcPr>
          <w:p>
            <w:pPr>
              <w:jc w:val="center"/>
              <w:ind w:right="1880"/>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340"/>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001-32871</w:t>
            </w:r>
          </w:p>
        </w:tc>
        <w:tc>
          <w:tcPr>
            <w:tcW w:w="4860" w:type="dxa"/>
            <w:vAlign w:val="bottom"/>
          </w:tcPr>
          <w:p>
            <w:pPr>
              <w:jc w:val="center"/>
              <w:ind w:left="3640"/>
              <w:spacing w:after="0"/>
              <w:rPr>
                <w:sz w:val="20"/>
                <w:szCs w:val="20"/>
                <w:color w:val="auto"/>
              </w:rPr>
            </w:pPr>
            <w:r>
              <w:rPr>
                <w:rFonts w:ascii="Arial" w:cs="Arial" w:eastAsia="Arial" w:hAnsi="Arial"/>
                <w:sz w:val="18"/>
                <w:szCs w:val="18"/>
                <w:b w:val="1"/>
                <w:bCs w:val="1"/>
                <w:color w:val="auto"/>
                <w:w w:val="89"/>
              </w:rPr>
              <w:t>27-0000798</w:t>
            </w:r>
          </w:p>
        </w:tc>
      </w:tr>
      <w:tr>
        <w:trPr>
          <w:trHeight w:val="149"/>
        </w:trPr>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4860" w:type="dxa"/>
            <w:vAlign w:val="bottom"/>
          </w:tcPr>
          <w:p>
            <w:pPr>
              <w:jc w:val="center"/>
              <w:ind w:left="364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4860" w:type="dxa"/>
            <w:vAlign w:val="bottom"/>
          </w:tcPr>
          <w:p>
            <w:pPr>
              <w:jc w:val="center"/>
              <w:ind w:left="3640"/>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One Comcast Center</w:t>
            </w:r>
          </w:p>
        </w:tc>
        <w:tc>
          <w:tcPr>
            <w:tcW w:w="4860" w:type="dxa"/>
            <w:vAlign w:val="bottom"/>
          </w:tcPr>
          <w:p>
            <w:pPr>
              <w:spacing w:after="0"/>
              <w:rPr>
                <w:sz w:val="24"/>
                <w:szCs w:val="24"/>
                <w:color w:val="auto"/>
              </w:rPr>
            </w:pPr>
          </w:p>
        </w:tc>
      </w:t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4860" w:type="dxa"/>
            <w:vAlign w:val="bottom"/>
          </w:tcPr>
          <w:p>
            <w:pPr>
              <w:jc w:val="center"/>
              <w:ind w:left="3640"/>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60" w:type="dxa"/>
            <w:vAlign w:val="bottom"/>
          </w:tcPr>
          <w:p>
            <w:pPr>
              <w:jc w:val="center"/>
              <w:ind w:left="3640"/>
              <w:spacing w:after="0"/>
              <w:rPr>
                <w:sz w:val="20"/>
                <w:szCs w:val="20"/>
                <w:color w:val="auto"/>
              </w:rPr>
            </w:pPr>
            <w:r>
              <w:rPr>
                <w:rFonts w:ascii="Arial" w:cs="Arial" w:eastAsia="Arial" w:hAnsi="Arial"/>
                <w:sz w:val="14"/>
                <w:szCs w:val="14"/>
                <w:b w:val="1"/>
                <w:bCs w:val="1"/>
                <w:color w:val="auto"/>
                <w:w w:val="95"/>
              </w:rPr>
              <w:t>(Zip Code)</w:t>
            </w:r>
          </w:p>
        </w:tc>
      </w:tr>
    </w:tbl>
    <w:p>
      <w:pPr>
        <w:spacing w:after="0" w:line="12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00" w:type="dxa"/>
            <w:vAlign w:val="bottom"/>
          </w:tcPr>
          <w:p>
            <w:pPr>
              <w:spacing w:after="0"/>
              <w:rPr>
                <w:sz w:val="14"/>
                <w:szCs w:val="14"/>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50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00" w:type="dxa"/>
            <w:vAlign w:val="bottom"/>
          </w:tcPr>
          <w:p>
            <w:pPr>
              <w:spacing w:after="0"/>
              <w:rPr>
                <w:sz w:val="14"/>
                <w:szCs w:val="14"/>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5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w:t>
            </w:r>
          </w:p>
        </w:tc>
        <w:tc>
          <w:tcPr>
            <w:tcW w:w="240" w:type="dxa"/>
            <w:vAlign w:val="bottom"/>
          </w:tcPr>
          <w:p>
            <w:pPr>
              <w:spacing w:after="0"/>
              <w:rPr>
                <w:sz w:val="16"/>
                <w:szCs w:val="16"/>
                <w:color w:val="auto"/>
              </w:rPr>
            </w:pPr>
          </w:p>
        </w:tc>
        <w:tc>
          <w:tcPr>
            <w:tcW w:w="1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CMCSA</w:t>
            </w:r>
          </w:p>
        </w:tc>
        <w:tc>
          <w:tcPr>
            <w:tcW w:w="200" w:type="dxa"/>
            <w:vAlign w:val="bottom"/>
          </w:tcPr>
          <w:p>
            <w:pPr>
              <w:spacing w:after="0"/>
              <w:rPr>
                <w:sz w:val="16"/>
                <w:szCs w:val="16"/>
                <w:color w:val="auto"/>
              </w:rPr>
            </w:pPr>
          </w:p>
        </w:tc>
        <w:tc>
          <w:tcPr>
            <w:tcW w:w="3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16"/>
        </w:trPr>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90"/>
              </w:rPr>
              <w:t>2.0% Exchangeable Subordinated Debentures due 2029</w:t>
            </w:r>
          </w:p>
        </w:tc>
        <w:tc>
          <w:tcPr>
            <w:tcW w:w="2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rPr>
              <w:t>CCZ</w:t>
            </w:r>
          </w:p>
        </w:tc>
        <w:tc>
          <w:tcPr>
            <w:tcW w:w="20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90"/>
              </w:rPr>
              <w:t>5.50% Notes due 2029</w:t>
            </w:r>
          </w:p>
        </w:tc>
        <w:tc>
          <w:tcPr>
            <w:tcW w:w="2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6"/>
              </w:rPr>
              <w:t>CCGBP29</w:t>
            </w:r>
          </w:p>
        </w:tc>
        <w:tc>
          <w:tcPr>
            <w:tcW w:w="20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9.455% Guaranteed Notes due 2022</w:t>
            </w:r>
          </w:p>
        </w:tc>
        <w:tc>
          <w:tcPr>
            <w:tcW w:w="24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CMCSA/22</w:t>
            </w:r>
          </w:p>
        </w:tc>
        <w:tc>
          <w:tcPr>
            <w:tcW w:w="200" w:type="dxa"/>
            <w:vAlign w:val="bottom"/>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15"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Explanatory Note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Current Report on Form 8-K/A (“Amendment No. 2”) is being filed to amend and supplement Item 9.01 of the Current Report on Form 8-K/A filed by Comcast Corporation (“Comcast” or the “Company”) on December 18, 2018 (“Amendment No. 1”), which amended and supplemented Item 9.01 of the Current Report on Form 8-K filed on October 9, 2018 (the “Original 8-K”). This Amendment No. 2, which should be read together with the Original 8-K and the Amendment No. 1, is being filed to include additional pro forma financial information of Comcast for the twelve months ended December 31, 2018 and the unaudited historical financial statements of Sky Limited (formerly Sky plc) (“Sky”) for the three months ended September 30, 2018 and 2017, which were not required to be included in the Original 8-K or Amendment No. 1. The Company is providing this information so that it may be incorporated by reference in a prospectus included within a Form S-3 being filed today by the Company.</w:t>
      </w:r>
    </w:p>
    <w:p>
      <w:pPr>
        <w:spacing w:after="0" w:line="28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40" w:hanging="236"/>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statements of businesses acquired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audited consolidated financial statements of Sky as of and for the year ended June 30, 2018 were filed as Exhibit 99.1 to the Amendment No. 1 filed on December 18, 2018 and are incorporated by reference herein.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unaudited condensed consolidated interim financial statements of Sky for the three months ended September 30, 2018 and 2017 are attached to this Amendment No. 2 as Exhibit 99.2 and are incorporated herein by reference.</w:t>
      </w:r>
    </w:p>
    <w:p>
      <w:pPr>
        <w:spacing w:after="0" w:line="279" w:lineRule="exact"/>
        <w:rPr>
          <w:sz w:val="20"/>
          <w:szCs w:val="20"/>
          <w:color w:val="auto"/>
        </w:rPr>
      </w:pPr>
    </w:p>
    <w:p>
      <w:pPr>
        <w:ind w:left="260" w:hanging="256"/>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Comcast’s unaudited pro forma condensed combined statement of income for the twelve months ended December 31, 2018 that gives effect to the acquisition of Sky, is attached as Exhibit 99.3 to this Form 8-K/A and is incorporated herein by reference.</w:t>
      </w:r>
    </w:p>
    <w:p>
      <w:pPr>
        <w:spacing w:after="0" w:line="279" w:lineRule="exact"/>
        <w:rPr>
          <w:sz w:val="20"/>
          <w:szCs w:val="20"/>
          <w:color w:val="auto"/>
        </w:rPr>
      </w:pPr>
    </w:p>
    <w:p>
      <w:pPr>
        <w:ind w:left="260" w:hanging="256"/>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right"/>
              <w:ind w:right="557"/>
              <w:spacing w:after="0"/>
              <w:rPr>
                <w:sz w:val="20"/>
                <w:szCs w:val="20"/>
                <w:color w:val="auto"/>
              </w:rPr>
            </w:pPr>
            <w:r>
              <w:rPr>
                <w:rFonts w:ascii="Arial" w:cs="Arial" w:eastAsia="Arial" w:hAnsi="Arial"/>
                <w:sz w:val="14"/>
                <w:szCs w:val="14"/>
                <w:b w:val="1"/>
                <w:bCs w:val="1"/>
                <w:color w:val="auto"/>
                <w:w w:val="98"/>
              </w:rPr>
              <w:t>Exhibit</w:t>
            </w:r>
          </w:p>
        </w:tc>
        <w:tc>
          <w:tcPr>
            <w:tcW w:w="9900" w:type="dxa"/>
            <w:vAlign w:val="bottom"/>
            <w:gridSpan w:val="4"/>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w w:val="94"/>
              </w:rPr>
              <w:t>Number</w:t>
            </w:r>
          </w:p>
        </w:tc>
        <w:tc>
          <w:tcPr>
            <w:tcW w:w="99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120" w:type="dxa"/>
            <w:vAlign w:val="bottom"/>
          </w:tcPr>
          <w:p>
            <w:pPr>
              <w:jc w:val="right"/>
              <w:ind w:right="657"/>
              <w:spacing w:after="0"/>
              <w:rPr>
                <w:sz w:val="20"/>
                <w:szCs w:val="20"/>
                <w:color w:val="auto"/>
              </w:rPr>
            </w:pPr>
            <w:r>
              <w:rPr>
                <w:rFonts w:ascii="Arial" w:cs="Arial" w:eastAsia="Arial" w:hAnsi="Arial"/>
                <w:sz w:val="18"/>
                <w:szCs w:val="18"/>
                <w:color w:val="auto"/>
              </w:rPr>
              <w:t>99.1</w:t>
            </w:r>
          </w:p>
        </w:tc>
        <w:tc>
          <w:tcPr>
            <w:tcW w:w="9900" w:type="dxa"/>
            <w:vAlign w:val="bottom"/>
            <w:tcBorders>
              <w:bottom w:val="single" w:sz="8" w:color="0000EE"/>
            </w:tcBorders>
            <w:gridSpan w:val="4"/>
          </w:tcPr>
          <w:p>
            <w:pPr>
              <w:spacing w:after="0"/>
              <w:rPr>
                <w:rFonts w:ascii="Arial" w:cs="Arial" w:eastAsia="Arial" w:hAnsi="Arial"/>
                <w:sz w:val="18"/>
                <w:szCs w:val="18"/>
                <w:color w:val="0000EE"/>
                <w:w w:val="90"/>
              </w:rPr>
            </w:pPr>
            <w:hyperlink r:id="rId17">
              <w:r>
                <w:rPr>
                  <w:rFonts w:ascii="Arial" w:cs="Arial" w:eastAsia="Arial" w:hAnsi="Arial"/>
                  <w:sz w:val="18"/>
                  <w:szCs w:val="18"/>
                  <w:color w:val="0000EE"/>
                  <w:w w:val="90"/>
                </w:rPr>
                <w:t>Audited consolidated financial statements of Sky as of and for the year ended June 30, 2018 (incorporated by reference to Exhibit 99.1 to</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the Current Report on Form 8-K/A filed on December 18, 2018)</w:t>
              </w:r>
            </w:hyperlink>
          </w:p>
        </w:tc>
        <w:tc>
          <w:tcPr>
            <w:tcW w:w="5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jc w:val="right"/>
              <w:ind w:right="657"/>
              <w:spacing w:after="0"/>
              <w:rPr>
                <w:sz w:val="20"/>
                <w:szCs w:val="20"/>
                <w:color w:val="auto"/>
              </w:rPr>
            </w:pPr>
            <w:r>
              <w:rPr>
                <w:rFonts w:ascii="Arial" w:cs="Arial" w:eastAsia="Arial" w:hAnsi="Arial"/>
                <w:sz w:val="18"/>
                <w:szCs w:val="18"/>
                <w:color w:val="auto"/>
              </w:rPr>
              <w:t>99.2</w:t>
            </w:r>
          </w:p>
        </w:tc>
        <w:tc>
          <w:tcPr>
            <w:tcW w:w="92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interim financial statements of Sky for the three months ended September 30, 2018 and 2017</w:t>
              </w:r>
            </w:hyperlink>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tcPr>
          <w:p>
            <w:pPr>
              <w:jc w:val="right"/>
              <w:ind w:right="657"/>
              <w:spacing w:after="0"/>
              <w:rPr>
                <w:sz w:val="20"/>
                <w:szCs w:val="20"/>
                <w:color w:val="auto"/>
              </w:rPr>
            </w:pPr>
            <w:r>
              <w:rPr>
                <w:rFonts w:ascii="Arial" w:cs="Arial" w:eastAsia="Arial" w:hAnsi="Arial"/>
                <w:sz w:val="18"/>
                <w:szCs w:val="18"/>
                <w:color w:val="auto"/>
              </w:rPr>
              <w:t>99.3</w:t>
            </w:r>
          </w:p>
        </w:tc>
        <w:tc>
          <w:tcPr>
            <w:tcW w:w="9900" w:type="dxa"/>
            <w:vAlign w:val="bottom"/>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Comcast’s unaudited pro forma condensed combined statement of income for the twelve months ended December 31, 2018</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7"/>
          <w:szCs w:val="17"/>
          <w:color w:val="auto"/>
        </w:rPr>
        <w:t>By:  /s/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Senior Vice President, Chief Accounting Officer and Controller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0720"/>
          </w:cols>
          <w:pgMar w:left="440" w:top="297" w:right="7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Exhibit 99.2</w:t>
            </w:r>
          </w:p>
        </w:tc>
      </w:tr>
      <w:tr>
        <w:trPr>
          <w:trHeight w:val="432"/>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Interim Financial Statements of Sky Limited (formerly Sky plc)</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w w:val="93"/>
              </w:rPr>
              <w:t xml:space="preserve">Condensed Consolidated Income Statement </w:t>
            </w:r>
            <w:r>
              <w:rPr>
                <w:rFonts w:ascii="Arial" w:cs="Arial" w:eastAsia="Arial" w:hAnsi="Arial"/>
                <w:sz w:val="18"/>
                <w:szCs w:val="18"/>
                <w:color w:val="auto"/>
                <w:w w:val="93"/>
              </w:rPr>
              <w:t>for the three months ended 30 September 2018 and 2017</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Three months to 30 September</w:t>
            </w: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980" w:type="dxa"/>
            <w:vAlign w:val="bottom"/>
            <w:gridSpan w:val="3"/>
          </w:tcPr>
          <w:p>
            <w:pPr>
              <w:ind w:left="440"/>
              <w:spacing w:after="0"/>
              <w:rPr>
                <w:sz w:val="20"/>
                <w:szCs w:val="20"/>
                <w:color w:val="auto"/>
              </w:rPr>
            </w:pPr>
            <w:r>
              <w:rPr>
                <w:rFonts w:ascii="Arial" w:cs="Arial" w:eastAsia="Arial" w:hAnsi="Arial"/>
                <w:sz w:val="14"/>
                <w:szCs w:val="14"/>
                <w:color w:val="auto"/>
              </w:rPr>
              <w:t>Notes</w:t>
            </w: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£m</w:t>
            </w: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3,632</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Operating expense</w:t>
            </w:r>
          </w:p>
        </w:tc>
        <w:tc>
          <w:tcPr>
            <w:tcW w:w="78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(3,803)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(2,981)</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profit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Share of results of joint ventures and associates</w:t>
            </w:r>
          </w:p>
        </w:tc>
        <w:tc>
          <w:tcPr>
            <w:tcW w:w="440" w:type="dxa"/>
            <w:vAlign w:val="bottom"/>
          </w:tcPr>
          <w:p>
            <w:pPr>
              <w:spacing w:after="0"/>
              <w:rPr>
                <w:sz w:val="19"/>
                <w:szCs w:val="19"/>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6c</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Finance costs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Profit on disposal of associate</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3"/>
              </w:rPr>
              <w:t>6c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Profit before taxation</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Taxation credit (charge)</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Profit for the period</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 attributable to:</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Equity shareholders of the parent company</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from profit for the period (in pence)</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19.8p</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13.0p</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80" w:type="dxa"/>
            <w:vAlign w:val="bottom"/>
            <w:gridSpan w:val="2"/>
            <w:shd w:val="clear" w:color="auto" w:fill="CCEEFF"/>
          </w:tcPr>
          <w:p>
            <w:pPr>
              <w:jc w:val="center"/>
              <w:ind w:left="334"/>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19.7p</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12.9p</w:t>
            </w: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From 1 July 2018, the Group has applied IFRS 15 ‘Revenue from Contracts with Customers’ and IFRS 9 ‘Financial Instruments’ using a modified retrospective approach, recognising the cumulative effects of first-time adoption in opening equity at 1 July 2018.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a result, the 2017 figures presented for comparison purposes have not been adjusted. The impacts of this first-time adoption are presented in Note 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40" w:top="121"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Condensed Consolidated Statement of Comprehensive Income </w:t>
      </w:r>
      <w:r>
        <w:rPr>
          <w:rFonts w:ascii="Arial" w:cs="Arial" w:eastAsia="Arial" w:hAnsi="Arial"/>
          <w:sz w:val="18"/>
          <w:szCs w:val="18"/>
          <w:color w:val="auto"/>
        </w:rPr>
        <w:t>for the three months ended 30 September 2018 and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5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to 30 September</w:t>
            </w:r>
          </w:p>
        </w:tc>
      </w:tr>
      <w:tr>
        <w:trPr>
          <w:trHeight w:val="149"/>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2018</w:t>
            </w:r>
          </w:p>
        </w:tc>
        <w:tc>
          <w:tcPr>
            <w:tcW w:w="800" w:type="dxa"/>
            <w:vAlign w:val="bottom"/>
          </w:tcPr>
          <w:p>
            <w:pPr>
              <w:spacing w:after="0"/>
              <w:rPr>
                <w:sz w:val="12"/>
                <w:szCs w:val="12"/>
                <w:color w:val="auto"/>
              </w:rPr>
            </w:pPr>
          </w:p>
        </w:tc>
        <w:tc>
          <w:tcPr>
            <w:tcW w:w="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£m</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£m</w:t>
            </w: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8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recognised directly in equity that may subsequently be recycled to the income statement</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Gain on revaluation of minority equity investments</w:t>
            </w:r>
          </w:p>
        </w:tc>
        <w:tc>
          <w:tcPr>
            <w:tcW w:w="15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Gain (loss) on cash flow hedges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Tax on cash flow hedges</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(14)</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Loss on net investment hedges</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(47)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8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Amounts reclassified and reported in the income statement</w:t>
            </w:r>
          </w:p>
        </w:tc>
        <w:tc>
          <w:tcPr>
            <w:tcW w:w="70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(Gain) loss on cash flow hedges</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Tax on cash flow hedges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Amounts reclassified and reported in non-financial assets (basis adjustment)*</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Gain on cash flow hedges</w:t>
            </w:r>
          </w:p>
        </w:tc>
        <w:tc>
          <w:tcPr>
            <w:tcW w:w="15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Tax on cash flow hedges</w:t>
            </w:r>
          </w:p>
        </w:tc>
        <w:tc>
          <w:tcPr>
            <w:tcW w:w="15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for the period (net of tax)</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8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8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for the period attributable to:</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Equity shareholders of the parent company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8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r>
    </w:tbl>
    <w:p>
      <w:pPr>
        <w:spacing w:after="0" w:line="242" w:lineRule="exact"/>
        <w:rPr>
          <w:sz w:val="20"/>
          <w:szCs w:val="20"/>
          <w:color w:val="auto"/>
        </w:rPr>
      </w:pPr>
    </w:p>
    <w:p>
      <w:pPr>
        <w:ind w:left="220" w:right="80" w:hanging="216"/>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From 1 July 2018, the Group has applied IFRS 9 ‘Financial Instruments’ using a modified retrospective approach, recognising the cumulative effects of first-time adoption in opening equity at 1 July 2018.</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As a result, amounts reclassified and reported in non-financial assets (basis adjustment) have been recognised directly in equity under IFRS 9, which were previously recognised in other comprehensive income under IAS 39 ‘Financial Instruments: Recognition and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2017 figures presented for comparison purposes have not been adjusted. The impacts of this first-time adoption are presented in Note 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270"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Condensed Consolidated Balance Sheet </w:t>
      </w:r>
      <w:r>
        <w:rPr>
          <w:rFonts w:ascii="Arial" w:cs="Arial" w:eastAsia="Arial" w:hAnsi="Arial"/>
          <w:sz w:val="18"/>
          <w:szCs w:val="18"/>
          <w:color w:val="auto"/>
        </w:rPr>
        <w:t>as at 30 September 2018 and 30 June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800" w:type="dxa"/>
            <w:vAlign w:val="bottom"/>
            <w:gridSpan w:val="2"/>
          </w:tcPr>
          <w:p>
            <w:pPr>
              <w:jc w:val="center"/>
              <w:ind w:left="1831"/>
              <w:spacing w:after="0"/>
              <w:rPr>
                <w:sz w:val="20"/>
                <w:szCs w:val="20"/>
                <w:color w:val="auto"/>
              </w:rPr>
            </w:pPr>
            <w:r>
              <w:rPr>
                <w:rFonts w:ascii="Arial" w:cs="Arial" w:eastAsia="Arial" w:hAnsi="Arial"/>
                <w:sz w:val="14"/>
                <w:szCs w:val="14"/>
                <w:b w:val="1"/>
                <w:bCs w:val="1"/>
                <w:color w:val="auto"/>
                <w:w w:val="91"/>
              </w:rPr>
              <w:t>30 September</w:t>
            </w:r>
          </w:p>
        </w:tc>
        <w:tc>
          <w:tcPr>
            <w:tcW w:w="26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color w:val="auto"/>
                <w:w w:val="88"/>
              </w:rPr>
              <w:t>30 June</w:t>
            </w: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800" w:type="dxa"/>
            <w:vAlign w:val="bottom"/>
            <w:gridSpan w:val="2"/>
          </w:tcPr>
          <w:p>
            <w:pPr>
              <w:jc w:val="center"/>
              <w:ind w:left="1831"/>
              <w:spacing w:after="0" w:line="149" w:lineRule="exact"/>
              <w:rPr>
                <w:sz w:val="20"/>
                <w:szCs w:val="20"/>
                <w:color w:val="auto"/>
              </w:rPr>
            </w:pPr>
            <w:r>
              <w:rPr>
                <w:rFonts w:ascii="Arial" w:cs="Arial" w:eastAsia="Arial" w:hAnsi="Arial"/>
                <w:sz w:val="14"/>
                <w:szCs w:val="14"/>
                <w:b w:val="1"/>
                <w:bCs w:val="1"/>
                <w:color w:val="auto"/>
                <w:w w:val="89"/>
              </w:rPr>
              <w:t>2018</w:t>
            </w:r>
          </w:p>
        </w:tc>
        <w:tc>
          <w:tcPr>
            <w:tcW w:w="820" w:type="dxa"/>
            <w:vAlign w:val="bottom"/>
            <w:gridSpan w:val="2"/>
          </w:tcPr>
          <w:p>
            <w:pPr>
              <w:jc w:val="center"/>
              <w:ind w:left="151"/>
              <w:spacing w:after="0" w:line="149" w:lineRule="exact"/>
              <w:rPr>
                <w:sz w:val="20"/>
                <w:szCs w:val="20"/>
                <w:color w:val="auto"/>
              </w:rPr>
            </w:pPr>
            <w:r>
              <w:rPr>
                <w:rFonts w:ascii="Arial" w:cs="Arial" w:eastAsia="Arial" w:hAnsi="Arial"/>
                <w:sz w:val="14"/>
                <w:szCs w:val="14"/>
                <w:color w:val="auto"/>
                <w:w w:val="96"/>
              </w:rPr>
              <w:t>2018</w:t>
            </w:r>
          </w:p>
        </w:tc>
        <w:tc>
          <w:tcPr>
            <w:tcW w:w="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£m</w:t>
            </w:r>
          </w:p>
        </w:tc>
        <w:tc>
          <w:tcPr>
            <w:tcW w:w="26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£m</w:t>
            </w:r>
          </w:p>
        </w:tc>
      </w:tr>
      <w:tr>
        <w:trPr>
          <w:trHeight w:val="196"/>
        </w:trPr>
        <w:tc>
          <w:tcPr>
            <w:tcW w:w="20" w:type="dxa"/>
            <w:vAlign w:val="bottom"/>
          </w:tcPr>
          <w:p>
            <w:pPr>
              <w:spacing w:after="0"/>
              <w:rPr>
                <w:sz w:val="17"/>
                <w:szCs w:val="17"/>
                <w:color w:val="auto"/>
              </w:rPr>
            </w:pPr>
          </w:p>
        </w:tc>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9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Goodwill</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5,005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2,592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 and associates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Minority equity investments</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Programme distribution rights</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89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 to obtain customer contracts</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89</w:t>
            </w:r>
          </w:p>
        </w:tc>
        <w:tc>
          <w:tcPr>
            <w:tcW w:w="26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Cost to fulfil customer contracts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Derivative financial assets</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60" w:type="dxa"/>
            <w:vAlign w:val="bottom"/>
            <w:shd w:val="clear" w:color="auto" w:fill="CCEEFF"/>
          </w:tcPr>
          <w:p>
            <w:pPr>
              <w:spacing w:after="0"/>
              <w:rPr>
                <w:sz w:val="18"/>
                <w:szCs w:val="18"/>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9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1,964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Current tax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981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7,287</w:t>
            </w: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20,798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18,002</w:t>
            </w:r>
          </w:p>
        </w:tc>
        <w:tc>
          <w:tcPr>
            <w:tcW w:w="60" w:type="dxa"/>
            <w:vAlign w:val="bottom"/>
            <w:shd w:val="clear" w:color="auto" w:fill="CCEEFF"/>
          </w:tcPr>
          <w:p>
            <w:pPr>
              <w:spacing w:after="0"/>
              <w:rPr>
                <w:sz w:val="18"/>
                <w:szCs w:val="18"/>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9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6,644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Current tax liabilities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Provisions</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345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liabilities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8,193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9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Borrowings</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7,248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Provisions</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82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liabilities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60" w:type="dxa"/>
            <w:vAlign w:val="bottom"/>
            <w:shd w:val="clear" w:color="auto" w:fill="CCEEFF"/>
          </w:tcPr>
          <w:p>
            <w:pPr>
              <w:spacing w:after="0"/>
              <w:rPr>
                <w:sz w:val="18"/>
                <w:szCs w:val="18"/>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9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16,315</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13,982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Share premium</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2,704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2,704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Total equity attributable to equity shareholders of the parent company</w:t>
            </w:r>
          </w:p>
        </w:tc>
        <w:tc>
          <w:tcPr>
            <w:tcW w:w="19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4,479</w:t>
            </w: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 equity attributable to non-controlling interests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9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20,798</w:t>
            </w:r>
          </w:p>
        </w:tc>
        <w:tc>
          <w:tcPr>
            <w:tcW w:w="2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18,002</w:t>
            </w:r>
          </w:p>
        </w:tc>
        <w:tc>
          <w:tcPr>
            <w:tcW w:w="60" w:type="dxa"/>
            <w:vAlign w:val="bottom"/>
          </w:tcPr>
          <w:p>
            <w:pPr>
              <w:spacing w:after="0"/>
              <w:rPr>
                <w:sz w:val="18"/>
                <w:szCs w:val="18"/>
                <w:color w:val="auto"/>
              </w:rPr>
            </w:pPr>
          </w:p>
        </w:tc>
      </w:tr>
    </w:tbl>
    <w:p>
      <w:pPr>
        <w:spacing w:after="0" w:line="21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From 1 July 2018, the Group has applied IFRS 15 ‘Revenue from Contracts with Customers’ and IFRS 9 ‘Financial Instruments’ using a modified retrospective approach, recognising the cumulative effects of first-time adoption in opening equity at 1 July 2018.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30 June 2018 figures presented for comparison purposes have not been adjusted. The impacts of this first-time adoption are presented in Note 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Condensed Consolidated Cash Flow Statement </w:t>
      </w:r>
      <w:r>
        <w:rPr>
          <w:rFonts w:ascii="Arial" w:cs="Arial" w:eastAsia="Arial" w:hAnsi="Arial"/>
          <w:sz w:val="18"/>
          <w:szCs w:val="18"/>
          <w:color w:val="auto"/>
        </w:rPr>
        <w:t>for the three months ended 30 September 2018 and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5"/>
              </w:rPr>
              <w:t>Three months to 30 September</w:t>
            </w: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820" w:type="dxa"/>
            <w:vAlign w:val="bottom"/>
          </w:tcPr>
          <w:p>
            <w:pPr>
              <w:jc w:val="right"/>
              <w:ind w:right="191"/>
              <w:spacing w:after="0" w:line="14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860" w:type="dxa"/>
            <w:vAlign w:val="bottom"/>
            <w:gridSpan w:val="3"/>
          </w:tcPr>
          <w:p>
            <w:pPr>
              <w:jc w:val="center"/>
              <w:ind w:left="839"/>
              <w:spacing w:after="0"/>
              <w:rPr>
                <w:sz w:val="20"/>
                <w:szCs w:val="20"/>
                <w:color w:val="auto"/>
              </w:rPr>
            </w:pPr>
            <w:r>
              <w:rPr>
                <w:rFonts w:ascii="Arial" w:cs="Arial" w:eastAsia="Arial" w:hAnsi="Arial"/>
                <w:sz w:val="14"/>
                <w:szCs w:val="14"/>
                <w:color w:val="auto"/>
                <w:w w:val="92"/>
              </w:rPr>
              <w:t>Notes</w:t>
            </w:r>
          </w:p>
        </w:tc>
        <w:tc>
          <w:tcPr>
            <w:tcW w:w="12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rPr>
              <w:t>£m</w:t>
            </w:r>
          </w:p>
        </w:tc>
      </w:tr>
      <w:tr>
        <w:trPr>
          <w:trHeight w:val="196"/>
        </w:trPr>
        <w:tc>
          <w:tcPr>
            <w:tcW w:w="20" w:type="dxa"/>
            <w:vAlign w:val="bottom"/>
          </w:tcPr>
          <w:p>
            <w:pPr>
              <w:spacing w:after="0"/>
              <w:rPr>
                <w:sz w:val="17"/>
                <w:szCs w:val="17"/>
                <w:color w:val="auto"/>
              </w:rPr>
            </w:pPr>
          </w:p>
        </w:tc>
        <w:tc>
          <w:tcPr>
            <w:tcW w:w="6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(606)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(656)</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Taxation paid</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(659)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 from joint ventures and associates</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Funding to joint ventures and associates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on disposal of associate</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(175)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on disposal of property, plant and equipment</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(161)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Purchase of subsidiaries (net of cash and cash equivalents purchased)</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Purchase of minority equity investments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Purchase of associate</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Decrease in short-term deposits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from (used in) investing activities</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Repayment of obligations under finance leases</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Proceeds from disposal of shares in Employee Share Ownership Plan (“ESOP”)</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Purchase of own shares for ESOP</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Payments to satisfy exercise of employee share awards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Dividends paid to holders of non-controlling interests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w:t>
            </w:r>
          </w:p>
        </w:tc>
        <w:tc>
          <w:tcPr>
            <w:tcW w:w="4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movements</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1,622</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w:t>
            </w:r>
          </w:p>
        </w:tc>
        <w:tc>
          <w:tcPr>
            <w:tcW w:w="4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0"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Condensed Consolidated Statement of Changes in Equity </w:t>
      </w:r>
      <w:r>
        <w:rPr>
          <w:rFonts w:ascii="Arial" w:cs="Arial" w:eastAsia="Arial" w:hAnsi="Arial"/>
          <w:sz w:val="18"/>
          <w:szCs w:val="18"/>
          <w:color w:val="auto"/>
        </w:rPr>
        <w:t>for the three months ended 30 September 2018 and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80" w:type="dxa"/>
            <w:vAlign w:val="bottom"/>
            <w:gridSpan w:val="17"/>
          </w:tcPr>
          <w:p>
            <w:pPr>
              <w:jc w:val="right"/>
              <w:ind w:right="620"/>
              <w:spacing w:after="0"/>
              <w:rPr>
                <w:sz w:val="20"/>
                <w:szCs w:val="20"/>
                <w:color w:val="auto"/>
              </w:rPr>
            </w:pPr>
            <w:r>
              <w:rPr>
                <w:rFonts w:ascii="Arial" w:cs="Arial" w:eastAsia="Arial" w:hAnsi="Arial"/>
                <w:sz w:val="14"/>
                <w:szCs w:val="14"/>
                <w:b w:val="1"/>
                <w:bCs w:val="1"/>
                <w:color w:val="auto"/>
                <w:w w:val="94"/>
              </w:rPr>
              <w:t>Attributable to equity shareholders of the parent company</w:t>
            </w: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Retained</w:t>
            </w: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2"/>
                <w:szCs w:val="12"/>
                <w:color w:val="auto"/>
              </w:rPr>
            </w:pPr>
          </w:p>
        </w:tc>
        <w:tc>
          <w:tcPr>
            <w:tcW w:w="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ESOP</w:t>
            </w:r>
          </w:p>
        </w:tc>
        <w:tc>
          <w:tcPr>
            <w:tcW w:w="7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Hedging</w:t>
            </w:r>
          </w:p>
        </w:tc>
        <w:tc>
          <w:tcPr>
            <w:tcW w:w="80" w:type="dxa"/>
            <w:vAlign w:val="bottom"/>
          </w:tcPr>
          <w:p>
            <w:pPr>
              <w:spacing w:after="0"/>
              <w:rPr>
                <w:sz w:val="12"/>
                <w:szCs w:val="12"/>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Other</w:t>
            </w:r>
          </w:p>
        </w:tc>
        <w:tc>
          <w:tcPr>
            <w:tcW w:w="7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share-</w:t>
            </w:r>
          </w:p>
        </w:tc>
        <w:tc>
          <w:tcPr>
            <w:tcW w:w="60" w:type="dxa"/>
            <w:vAlign w:val="bottom"/>
          </w:tcPr>
          <w:p>
            <w:pPr>
              <w:spacing w:after="0"/>
              <w:rPr>
                <w:sz w:val="12"/>
                <w:szCs w:val="12"/>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(deficit)</w:t>
            </w: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holders’</w:t>
            </w:r>
          </w:p>
        </w:tc>
        <w:tc>
          <w:tcPr>
            <w:tcW w:w="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700" w:type="dxa"/>
            <w:vAlign w:val="bottom"/>
            <w:gridSpan w:val="2"/>
          </w:tcPr>
          <w:p>
            <w:pPr>
              <w:jc w:val="center"/>
              <w:ind w:left="62"/>
              <w:spacing w:after="0" w:line="149" w:lineRule="exact"/>
              <w:rPr>
                <w:sz w:val="20"/>
                <w:szCs w:val="20"/>
                <w:color w:val="auto"/>
              </w:rPr>
            </w:pPr>
            <w:r>
              <w:rPr>
                <w:rFonts w:ascii="Arial" w:cs="Arial" w:eastAsia="Arial" w:hAnsi="Arial"/>
                <w:sz w:val="14"/>
                <w:szCs w:val="14"/>
                <w:b w:val="1"/>
                <w:bCs w:val="1"/>
                <w:color w:val="auto"/>
                <w:w w:val="94"/>
              </w:rPr>
              <w:t>premium</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reserve</w:t>
            </w: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reserve</w:t>
            </w: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reserves</w:t>
            </w: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earnings</w:t>
            </w:r>
          </w:p>
        </w:tc>
        <w:tc>
          <w:tcPr>
            <w:tcW w:w="6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equity</w:t>
            </w:r>
          </w:p>
        </w:tc>
        <w:tc>
          <w:tcPr>
            <w:tcW w:w="14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controlling interests</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8"/>
              </w:rPr>
              <w:t>£m</w:t>
            </w: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8"/>
              </w:rPr>
              <w:t>£m</w:t>
            </w:r>
          </w:p>
        </w:tc>
        <w:tc>
          <w:tcPr>
            <w:tcW w:w="14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w:t>
            </w:r>
          </w:p>
        </w:tc>
        <w:tc>
          <w:tcPr>
            <w:tcW w:w="8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w:t>
            </w:r>
          </w:p>
        </w:tc>
        <w:tc>
          <w:tcPr>
            <w:tcW w:w="8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£m</w:t>
            </w:r>
          </w:p>
        </w:tc>
        <w:tc>
          <w:tcPr>
            <w:tcW w:w="8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£m</w:t>
            </w:r>
          </w:p>
        </w:tc>
        <w:tc>
          <w:tcPr>
            <w:tcW w:w="6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£m</w:t>
            </w:r>
          </w:p>
        </w:tc>
        <w:tc>
          <w:tcPr>
            <w:tcW w:w="6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£m</w:t>
            </w:r>
          </w:p>
        </w:tc>
        <w:tc>
          <w:tcPr>
            <w:tcW w:w="6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1 July 2017</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860</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ind w:left="71"/>
              <w:spacing w:after="0"/>
              <w:rPr>
                <w:sz w:val="20"/>
                <w:szCs w:val="20"/>
                <w:color w:val="auto"/>
              </w:rPr>
            </w:pPr>
            <w:r>
              <w:rPr>
                <w:rFonts w:ascii="Arial" w:cs="Arial" w:eastAsia="Arial" w:hAnsi="Arial"/>
                <w:sz w:val="18"/>
                <w:szCs w:val="18"/>
                <w:b w:val="1"/>
                <w:bCs w:val="1"/>
                <w:color w:val="auto"/>
                <w:w w:val="88"/>
              </w:rPr>
              <w:t>2,704</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364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Profit for the period</w:t>
            </w:r>
          </w:p>
        </w:tc>
        <w:tc>
          <w:tcPr>
            <w:tcW w:w="4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222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hedges</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Exchange differences on translation of foreign</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4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available-for-sale investment</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Recognition and transfer of cash flow hedges</w:t>
            </w:r>
          </w:p>
        </w:tc>
        <w:tc>
          <w:tcPr>
            <w:tcW w:w="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 on items taken directly to equity</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w w:val="92"/>
              </w:rPr>
              <w:t>Total comprehensive (loss) income for the period</w:t>
            </w:r>
          </w:p>
        </w:tc>
        <w:tc>
          <w:tcPr>
            <w:tcW w:w="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560" w:type="dxa"/>
            <w:vAlign w:val="bottom"/>
          </w:tcPr>
          <w:p>
            <w:pPr>
              <w:jc w:val="center"/>
              <w:ind w:left="131"/>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(73)</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(25)</w:t>
            </w:r>
          </w:p>
        </w:tc>
        <w:tc>
          <w:tcPr>
            <w:tcW w:w="640" w:type="dxa"/>
            <w:vAlign w:val="bottom"/>
            <w:gridSpan w:val="2"/>
          </w:tcPr>
          <w:p>
            <w:pPr>
              <w:ind w:left="360"/>
              <w:spacing w:after="0"/>
              <w:rPr>
                <w:sz w:val="20"/>
                <w:szCs w:val="20"/>
                <w:color w:val="auto"/>
              </w:rPr>
            </w:pPr>
            <w:r>
              <w:rPr>
                <w:rFonts w:ascii="Arial" w:cs="Arial" w:eastAsia="Arial" w:hAnsi="Arial"/>
                <w:sz w:val="18"/>
                <w:szCs w:val="18"/>
                <w:b w:val="1"/>
                <w:bCs w:val="1"/>
                <w:color w:val="auto"/>
                <w:w w:val="86"/>
              </w:rPr>
              <w:t>222</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Tax on items taken directly to equity</w:t>
            </w:r>
          </w:p>
        </w:tc>
        <w:tc>
          <w:tcPr>
            <w:tcW w:w="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At 30 September 2017</w:t>
            </w:r>
          </w:p>
        </w:tc>
        <w:tc>
          <w:tcPr>
            <w:tcW w:w="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b w:val="1"/>
                <w:bCs w:val="1"/>
                <w:color w:val="auto"/>
                <w:w w:val="79"/>
              </w:rPr>
              <w:t>860</w:t>
            </w:r>
          </w:p>
        </w:tc>
        <w:tc>
          <w:tcPr>
            <w:tcW w:w="140" w:type="dxa"/>
            <w:vAlign w:val="bottom"/>
          </w:tcPr>
          <w:p>
            <w:pPr>
              <w:spacing w:after="0"/>
              <w:rPr>
                <w:sz w:val="18"/>
                <w:szCs w:val="18"/>
                <w:color w:val="auto"/>
              </w:rPr>
            </w:pPr>
          </w:p>
        </w:tc>
        <w:tc>
          <w:tcPr>
            <w:tcW w:w="560" w:type="dxa"/>
            <w:vAlign w:val="bottom"/>
          </w:tcPr>
          <w:p>
            <w:pPr>
              <w:jc w:val="center"/>
              <w:ind w:left="71"/>
              <w:spacing w:after="0"/>
              <w:rPr>
                <w:sz w:val="20"/>
                <w:szCs w:val="20"/>
                <w:color w:val="auto"/>
              </w:rPr>
            </w:pPr>
            <w:r>
              <w:rPr>
                <w:rFonts w:ascii="Arial" w:cs="Arial" w:eastAsia="Arial" w:hAnsi="Arial"/>
                <w:sz w:val="18"/>
                <w:szCs w:val="18"/>
                <w:b w:val="1"/>
                <w:bCs w:val="1"/>
                <w:color w:val="auto"/>
                <w:w w:val="88"/>
              </w:rPr>
              <w:t>2,704</w:t>
            </w: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b w:val="1"/>
                <w:bCs w:val="1"/>
                <w:color w:val="auto"/>
                <w:w w:val="79"/>
              </w:rPr>
              <w:t>339</w:t>
            </w:r>
          </w:p>
        </w:tc>
        <w:tc>
          <w:tcPr>
            <w:tcW w:w="12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(86)</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3,788</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3,796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1 July 2018 – as reported</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860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color w:val="auto"/>
                <w:w w:val="88"/>
              </w:rPr>
              <w:t>2,704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322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86"/>
              </w:rPr>
              <w:t>174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4,016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Restatement for IFRS 9 and IFRS 15</w:t>
            </w:r>
          </w:p>
        </w:tc>
        <w:tc>
          <w:tcPr>
            <w:tcW w:w="40" w:type="dxa"/>
            <w:vAlign w:val="bottom"/>
          </w:tcPr>
          <w:p>
            <w:pPr>
              <w:spacing w:after="0"/>
              <w:rPr>
                <w:sz w:val="19"/>
                <w:szCs w:val="19"/>
                <w:color w:val="auto"/>
              </w:rPr>
            </w:pP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1 July 2018 – as restated</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860</w:t>
            </w:r>
          </w:p>
        </w:tc>
        <w:tc>
          <w:tcPr>
            <w:tcW w:w="700" w:type="dxa"/>
            <w:vAlign w:val="bottom"/>
            <w:gridSpan w:val="2"/>
            <w:shd w:val="clear" w:color="auto" w:fill="CCEEFF"/>
          </w:tcPr>
          <w:p>
            <w:pPr>
              <w:jc w:val="center"/>
              <w:ind w:left="222"/>
              <w:spacing w:after="0"/>
              <w:rPr>
                <w:sz w:val="20"/>
                <w:szCs w:val="20"/>
                <w:color w:val="auto"/>
              </w:rPr>
            </w:pPr>
            <w:r>
              <w:rPr>
                <w:rFonts w:ascii="Arial" w:cs="Arial" w:eastAsia="Arial" w:hAnsi="Arial"/>
                <w:sz w:val="18"/>
                <w:szCs w:val="18"/>
                <w:b w:val="1"/>
                <w:bCs w:val="1"/>
                <w:color w:val="auto"/>
                <w:w w:val="88"/>
              </w:rPr>
              <w:t>2,704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322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86"/>
              </w:rPr>
              <w:t>252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4,094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Profit for the period</w:t>
            </w:r>
          </w:p>
        </w:tc>
        <w:tc>
          <w:tcPr>
            <w:tcW w:w="40" w:type="dxa"/>
            <w:vAlign w:val="bottom"/>
          </w:tcPr>
          <w:p>
            <w:pPr>
              <w:spacing w:after="0"/>
              <w:rPr>
                <w:sz w:val="19"/>
                <w:szCs w:val="19"/>
                <w:color w:val="auto"/>
              </w:rPr>
            </w:pP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86"/>
              </w:rPr>
              <w:t>341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hedges</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Exchange differences on translation of foreign</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4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Recognition and transfer of cash flow hedges</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Tax on items taken directly to equity</w:t>
            </w:r>
          </w:p>
        </w:tc>
        <w:tc>
          <w:tcPr>
            <w:tcW w:w="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1"/>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86"/>
              </w:rPr>
              <w:t>341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Share-based payment</w:t>
            </w:r>
          </w:p>
        </w:tc>
        <w:tc>
          <w:tcPr>
            <w:tcW w:w="40" w:type="dxa"/>
            <w:vAlign w:val="bottom"/>
          </w:tcPr>
          <w:p>
            <w:pPr>
              <w:spacing w:after="0"/>
              <w:rPr>
                <w:sz w:val="19"/>
                <w:szCs w:val="19"/>
                <w:color w:val="auto"/>
              </w:rPr>
            </w:pP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 on items taken directly to equity</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w w:val="91"/>
              </w:rPr>
              <w:t>Recognition of cash flow hedges directly in reserves –</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basis adjustment*</w:t>
            </w:r>
          </w:p>
        </w:tc>
        <w:tc>
          <w:tcPr>
            <w:tcW w:w="4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30 September 2018</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860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color w:val="auto"/>
                <w:w w:val="88"/>
              </w:rPr>
              <w:t>2,704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327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86"/>
              </w:rPr>
              <w:t>620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4,479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right="260" w:hanging="216"/>
        <w:spacing w:after="0" w:line="277"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1 July 2018, the Group has applied IFRS 15 ‘Revenue from Contracts with Customers’ and IFRS 9 ‘Financial Instruments’ using a modified retrospective approach, recognising the cumulative effects of first-time adoption in opening equity at 1 July 2018.</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As a result, amounts reclassified and reported in non-financial assets (basis adjustment) have been recognised directly in equity under IFRS 9, which were previously recognised in other comprehensive income under IAS 39 ‘Financial Instruments: Recognition and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2017 figures presented for comparison purposes have not been adjusted. The impacts of this first-time adoption are presented in Note 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0"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Condensed Consolidated Interim Financial Statements</w:t>
      </w:r>
    </w:p>
    <w:p>
      <w:pPr>
        <w:spacing w:after="0" w:line="131"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Sky Limited (formerly Sky plc) (the ‘Company’) is a private limited company incorporated in the United Kingdom (‘UK’) and registered in England and Wales. The unaudited condensed consolidated interim financial statements include the Company and its subsidiaries (together, the ‘Group’) and its interests in associates and jointly controlled entities.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unaudited condensed consolidated interim financial statements for the three months ended 30 September 2018 and 2017 have been prepared in accordance with International Financial Reporting Standards (“IFRS”) as issued by the International Accounting Standards Board (“IASB”). The condensed consolidated interim financial statements have been prepared on a going concern basis and have been prepared using accounting policies and methods of computation consistent with those applied in the financial statements for the year ended 30 June 2018, except for new accounting pronouncements which have become effective this period and which are discussed further below.</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condensed consolidated interim financial statements are presented on a condensed basis as permitted by IAS 34 and therefore do not include all disclosures that would otherwise be required in a full set of financial statements. The condensed consolidated interim financial statements do not constitute statutory accounts as defined in Section 434 of the Companies Act 2006 and are unaudited for all periods presented. The financial information for the full year ended 30 June 2018 is extracted from the financial statements for that year. The auditor’s report on those financial statements was unqualified and did not contain any statement under section 498(2) and (3) of the Companies Act 2006.</w:t>
      </w:r>
    </w:p>
    <w:p>
      <w:pPr>
        <w:spacing w:after="0" w:line="17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The condensed consolidated interim financial statements are for the period 2 July 2018 to 30 September 2018 (fiscal year 2018: 13 weeks ended 1 October 2017). For convenience purposes, the Group continues to date its consolidated financial statements as at 30 June and its condensed consolidated interim financial statements for the first quarter as at 30 September.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Group continues to believe that its existing external financing, together with internally generated cash inflows, will continue to provide sufficient sources of liquidity to fund its current operations, including its contractual obligations and commercial commitments, its approved capital expenditure requirements and any dividends proposed for the foreseeable future. Accordingly, the Directors continue to adopt the going concern basis in preparing the condensed consolidated interim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significant accounting polices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Group has adopted IFRS 15 ‘Revenue from Contracts with Customers’ and IFRS 9 ‘Financial Instruments’ from 1 July 2018.</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Except for the first-time application of IFRS 15 and IFRS 9, the significant judgements made by management in applying the Group accounting policies and the key sources of estimation uncertainty were the same as those applied to the consolidated financial statements as at and for the year ended 30 June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IFRS 15 – ‘Revenue from Contracts with Customers’</w:t>
      </w:r>
    </w:p>
    <w:p>
      <w:pPr>
        <w:spacing w:after="0" w:line="121" w:lineRule="exact"/>
        <w:rPr>
          <w:sz w:val="20"/>
          <w:szCs w:val="20"/>
          <w:color w:val="auto"/>
        </w:rPr>
      </w:pPr>
    </w:p>
    <w:p>
      <w:pPr>
        <w:jc w:val="both"/>
        <w:ind w:right="640"/>
        <w:spacing w:after="0" w:line="312" w:lineRule="auto"/>
        <w:rPr>
          <w:sz w:val="20"/>
          <w:szCs w:val="20"/>
          <w:color w:val="auto"/>
        </w:rPr>
      </w:pPr>
      <w:r>
        <w:rPr>
          <w:rFonts w:ascii="Arial" w:cs="Arial" w:eastAsia="Arial" w:hAnsi="Arial"/>
          <w:sz w:val="16"/>
          <w:szCs w:val="16"/>
          <w:color w:val="auto"/>
        </w:rPr>
        <w:t>The Group has finalised its analysis and adopted IFRS 15 from 1 July 2018. As permitted by the standard, the Group has taken advantage of the modified transitional provisions and as such the prior period results remain as previously reported. Under the modified approach the cumulative approach of initially applying the standard is recognised in equity at 1 July 2018, with no restatement of prior periods.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adjustment to retained earnings of £46 million has been recognised in the Condensed Consolidated Statement of Changes in Equity, representing the cumulative deferral of costs to obtain customer contracts, which are amortised over the customer’s minimum contract period, the recognition of contract assets and liabilities and other assets, which as at transition would have been recognised earlier under IFRS 15, compared to the Group’s previous accounting policy under IAS 18, offset by resulting current and deferred tax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 1 July 2018, the Group has applied the provisions of IFRS 15, described below, to measure and recognise revenue.</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Group’s revenue comprises to direct-to-consumer, content and advertising revenue. Before revenue is recognised, IFRS 15 requires a contract as well as the various performance obligations contained in the contract to be identified. The number of performance obligations depends on the types of contracts and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IFRS 15 requires that the recognition of revenue from contracts with customers must reflect:</w:t>
      </w:r>
    </w:p>
    <w:p>
      <w:pPr>
        <w:spacing w:after="0" w:line="131" w:lineRule="exact"/>
        <w:rPr>
          <w:sz w:val="20"/>
          <w:szCs w:val="20"/>
          <w:color w:val="auto"/>
        </w:rPr>
      </w:pPr>
    </w:p>
    <w:p>
      <w:pPr>
        <w:ind w:left="980" w:right="200" w:hanging="54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at which performance obligations are fulfilled, corresponding to the transfer to a customer of control of a good or service, where control transfers either over time, or at a point in time;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to which the seller expects to be entitled as consideration for its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Direct-to-consumer </w:t>
      </w:r>
      <w:r>
        <w:rPr>
          <w:rFonts w:ascii="Arial" w:cs="Arial" w:eastAsia="Arial" w:hAnsi="Arial"/>
          <w:sz w:val="17"/>
          <w:szCs w:val="17"/>
          <w:color w:val="auto"/>
        </w:rPr>
        <w:t>– The Group recognises revenue upfront for distinct products and services delivered at the start of a subscription contract.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Discounts are allocated to all distinct performance obligations in the customer bundle on a pro-rata basis.</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Cohorts of costs to obtain customer contracts are capitalised under IFRS 15, pertaining to certain sales commissions and incentives payable to Group employees and third-party agencies, as well as certain online display costs. These costs are generally amortised straight-line over the customer’s minimum contract period. Additionally, the Group has reclassified certain activation fees as cost to fulfil customer contracts, which were previously classified as intangible assets.</w:t>
      </w:r>
    </w:p>
    <w:p>
      <w:pPr>
        <w:sectPr>
          <w:pgSz w:w="11900" w:h="16838" w:orient="portrait"/>
          <w:cols w:equalWidth="0" w:num="1">
            <w:col w:w="11000"/>
          </w:cols>
          <w:pgMar w:left="440" w:top="270" w:right="459" w:bottom="921"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000"/>
          </w:cols>
          <w:pgMar w:left="440" w:top="270" w:right="459" w:bottom="921"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Condensed Consolidated Interim Financial Statements (continued)</w:t>
      </w:r>
    </w:p>
    <w:p>
      <w:pPr>
        <w:spacing w:after="0" w:line="158"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 xml:space="preserve">Content </w:t>
      </w:r>
      <w:r>
        <w:rPr>
          <w:rFonts w:ascii="Arial" w:cs="Arial" w:eastAsia="Arial" w:hAnsi="Arial"/>
          <w:sz w:val="17"/>
          <w:szCs w:val="17"/>
          <w:color w:val="auto"/>
        </w:rPr>
        <w:t>- Channel revenue, is recognised over time as the service is delivered, with no significant changes resulting as a result of the adoption of IFRS</w:t>
      </w:r>
      <w:r>
        <w:rPr>
          <w:rFonts w:ascii="Arial" w:cs="Arial" w:eastAsia="Arial" w:hAnsi="Arial"/>
          <w:sz w:val="17"/>
          <w:szCs w:val="17"/>
          <w:b w:val="1"/>
          <w:bCs w:val="1"/>
          <w:color w:val="auto"/>
        </w:rPr>
        <w:t xml:space="preserve"> </w:t>
      </w:r>
      <w:r>
        <w:rPr>
          <w:rFonts w:ascii="Arial" w:cs="Arial" w:eastAsia="Arial" w:hAnsi="Arial"/>
          <w:sz w:val="17"/>
          <w:szCs w:val="17"/>
          <w:color w:val="auto"/>
        </w:rPr>
        <w:t>15. Programming revenue is recognised on control of the final programming being transferred to the customer at a point in time.</w:t>
      </w:r>
    </w:p>
    <w:p>
      <w:pPr>
        <w:spacing w:after="0" w:line="13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 As a result of adopting IFRS 15, the Group presents advertising revenue gross of payments to media partners, as the Group controls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being performed. Previously, these payments were netted against advertising revenue as the Group had not substantially transferred risks and rewards to the customer in providing the service.</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impact of adoption in the period to 30 September 2018 can be seen below and arises primarily from revenue which is deferred in the current period under IFRS 15 and an increase in advertising revenue and advertising cost compared to the Group’s previous basis.</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gridSpan w:val="2"/>
          </w:tcPr>
          <w:p>
            <w:pPr>
              <w:jc w:val="center"/>
              <w:ind w:right="800"/>
              <w:spacing w:after="0"/>
              <w:rPr>
                <w:sz w:val="20"/>
                <w:szCs w:val="20"/>
                <w:color w:val="auto"/>
              </w:rPr>
            </w:pPr>
            <w:r>
              <w:rPr>
                <w:rFonts w:ascii="Arial" w:cs="Arial" w:eastAsia="Arial" w:hAnsi="Arial"/>
                <w:sz w:val="14"/>
                <w:szCs w:val="14"/>
                <w:color w:val="auto"/>
                <w:w w:val="95"/>
              </w:rPr>
              <w:t>Impact of IFRS 15 in</w:t>
            </w: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2"/>
              </w:rPr>
              <w:t>Statutory Group 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980" w:type="dxa"/>
            <w:vAlign w:val="bottom"/>
            <w:gridSpan w:val="2"/>
          </w:tcPr>
          <w:p>
            <w:pPr>
              <w:jc w:val="right"/>
              <w:ind w:right="780"/>
              <w:spacing w:after="0" w:line="145" w:lineRule="exact"/>
              <w:rPr>
                <w:sz w:val="20"/>
                <w:szCs w:val="20"/>
                <w:color w:val="auto"/>
              </w:rPr>
            </w:pPr>
            <w:r>
              <w:rPr>
                <w:rFonts w:ascii="Arial" w:cs="Arial" w:eastAsia="Arial" w:hAnsi="Arial"/>
                <w:sz w:val="14"/>
                <w:szCs w:val="14"/>
                <w:color w:val="auto"/>
                <w:w w:val="90"/>
              </w:rPr>
              <w:t>Pre-adjustment Total</w:t>
            </w:r>
          </w:p>
        </w:tc>
        <w:tc>
          <w:tcPr>
            <w:tcW w:w="2020" w:type="dxa"/>
            <w:vAlign w:val="bottom"/>
            <w:gridSpan w:val="2"/>
          </w:tcPr>
          <w:p>
            <w:pPr>
              <w:jc w:val="center"/>
              <w:ind w:right="800"/>
              <w:spacing w:after="0" w:line="145" w:lineRule="exact"/>
              <w:rPr>
                <w:sz w:val="20"/>
                <w:szCs w:val="20"/>
                <w:color w:val="auto"/>
              </w:rPr>
            </w:pPr>
            <w:r>
              <w:rPr>
                <w:rFonts w:ascii="Arial" w:cs="Arial" w:eastAsia="Arial" w:hAnsi="Arial"/>
                <w:sz w:val="14"/>
                <w:szCs w:val="14"/>
                <w:color w:val="auto"/>
                <w:w w:val="93"/>
              </w:rPr>
              <w:t>the period</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£m</w:t>
            </w:r>
          </w:p>
        </w:tc>
        <w:tc>
          <w:tcPr>
            <w:tcW w:w="7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£m</w:t>
            </w:r>
          </w:p>
        </w:tc>
        <w:tc>
          <w:tcPr>
            <w:tcW w:w="7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£m</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Direct-to-consumer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7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Content</w:t>
            </w:r>
          </w:p>
        </w:tc>
        <w:tc>
          <w:tcPr>
            <w:tcW w:w="1980" w:type="dxa"/>
            <w:vAlign w:val="bottom"/>
            <w:gridSpan w:val="2"/>
          </w:tcPr>
          <w:p>
            <w:pPr>
              <w:jc w:val="right"/>
              <w:ind w:right="780"/>
              <w:spacing w:after="0"/>
              <w:rPr>
                <w:sz w:val="20"/>
                <w:szCs w:val="20"/>
                <w:color w:val="auto"/>
              </w:rPr>
            </w:pPr>
            <w:r>
              <w:rPr>
                <w:rFonts w:ascii="Arial" w:cs="Arial" w:eastAsia="Arial" w:hAnsi="Arial"/>
                <w:sz w:val="18"/>
                <w:szCs w:val="18"/>
                <w:color w:val="auto"/>
              </w:rPr>
              <w:t>236</w:t>
            </w:r>
          </w:p>
        </w:tc>
        <w:tc>
          <w:tcPr>
            <w:tcW w:w="2020" w:type="dxa"/>
            <w:vAlign w:val="bottom"/>
            <w:gridSpan w:val="2"/>
          </w:tcPr>
          <w:p>
            <w:pPr>
              <w:jc w:val="right"/>
              <w:ind w:right="720"/>
              <w:spacing w:after="0"/>
              <w:rPr>
                <w:sz w:val="20"/>
                <w:szCs w:val="20"/>
                <w:color w:val="auto"/>
              </w:rPr>
            </w:pPr>
            <w:r>
              <w:rPr>
                <w:rFonts w:ascii="Arial" w:cs="Arial" w:eastAsia="Arial" w:hAnsi="Arial"/>
                <w:sz w:val="18"/>
                <w:szCs w:val="18"/>
                <w:color w:val="auto"/>
              </w:rPr>
              <w:t>(25)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193</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3,440</w:t>
            </w:r>
          </w:p>
        </w:tc>
        <w:tc>
          <w:tcPr>
            <w:tcW w:w="7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7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Programming</w:t>
            </w:r>
          </w:p>
        </w:tc>
        <w:tc>
          <w:tcPr>
            <w:tcW w:w="19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(1,669)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Direct network costs</w:t>
            </w:r>
          </w:p>
        </w:tc>
        <w:tc>
          <w:tcPr>
            <w:tcW w:w="1980" w:type="dxa"/>
            <w:vAlign w:val="bottom"/>
            <w:gridSpan w:val="2"/>
          </w:tcPr>
          <w:p>
            <w:pPr>
              <w:jc w:val="right"/>
              <w:ind w:right="720"/>
              <w:spacing w:after="0"/>
              <w:rPr>
                <w:sz w:val="20"/>
                <w:szCs w:val="20"/>
                <w:color w:val="auto"/>
              </w:rPr>
            </w:pPr>
            <w:r>
              <w:rPr>
                <w:rFonts w:ascii="Arial" w:cs="Arial" w:eastAsia="Arial" w:hAnsi="Arial"/>
                <w:sz w:val="18"/>
                <w:szCs w:val="18"/>
                <w:color w:val="auto"/>
              </w:rPr>
              <w:t>(315)</w:t>
            </w: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 general and administration</w:t>
            </w:r>
          </w:p>
        </w:tc>
        <w:tc>
          <w:tcPr>
            <w:tcW w:w="19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(1,631)</w:t>
            </w:r>
          </w:p>
        </w:tc>
        <w:tc>
          <w:tcPr>
            <w:tcW w:w="20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9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(3,615)</w:t>
            </w:r>
          </w:p>
        </w:tc>
        <w:tc>
          <w:tcPr>
            <w:tcW w:w="20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(188)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9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(175)</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580"/>
        <w:spacing w:after="0" w:line="277" w:lineRule="auto"/>
        <w:rPr>
          <w:sz w:val="20"/>
          <w:szCs w:val="20"/>
          <w:color w:val="auto"/>
        </w:rPr>
      </w:pPr>
      <w:r>
        <w:rPr>
          <w:rFonts w:ascii="Arial" w:cs="Arial" w:eastAsia="Arial" w:hAnsi="Arial"/>
          <w:sz w:val="18"/>
          <w:szCs w:val="18"/>
          <w:color w:val="auto"/>
        </w:rPr>
        <w:t>An impairment of £1 million of contract assets was recognised in the three months ended 30 September 2018 (three months ended 30 September 2017: nil).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IFRS 9 –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IFRS 9 ‘Financial Instruments’ replaces IAS 39 ‘Financial Instruments: Recognition and Measurement’ and is effective on the Group from 1 July 2018.</w:t>
      </w:r>
    </w:p>
    <w:p>
      <w:pPr>
        <w:spacing w:after="0" w:line="2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Group has applied the classification, measurement and impairment requirements of the standard on a modified retrospective basis, adjusting the opening balance sheet at the transition date of 1 July 2018 with no restatement of comparative periods. The areas which impact the Group relate to the recognition of impairment provisions for customer receivables and other financial assets and the accounting for minority investments. IFRS 9 also contains new rules relating to hedge accounting, although the adoption of these is not mandatory and the Group will continue to apply IAS 39 hedge accounting policies.</w:t>
      </w:r>
    </w:p>
    <w:p>
      <w:pPr>
        <w:spacing w:after="0" w:line="18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With respect to impairment provisions, IFRS 9 introduces a model based on expected credit loss. This requires a provision to be made for impairment from the initial point at which the receivable is recognised, compared to IAS 39 which requires a provision to be made only when a loss event occurs. The IFRS 9 credit loss model has not had a material impact on either the Group’s balance sheet position or income statement result.</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IFRS 9 requires certain of the Group’s trade receivables to be measured at fair value, as opposed to amortised cost. The balance sheet impact of this was less than £1 million as at 1 July 2018. IFRS 9 requires all equity investments to be held on the balance sheet at fair value, with associated movements incurred in either the income statement or in equity reserves. The Group has elected to recognise such movements in the income statement within financing cost.</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IFRS 9 requires that amounts recognised in non-financial assets (basis adjustment) are recognised directly in equity, which were previously recognised in other comprehensive income under IAS 39 ‘Financial Instruments: Recognition and Measurement.’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Condensed Consolidated Interim Financial Statements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impacts of the first-time adoption of IFRS 15 and IFRS 9 at 1 July 2018 on the Group’s opening balance sheet are set out below:</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As reported</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Impact of IFRS 9</w:t>
            </w:r>
          </w:p>
        </w:tc>
        <w:tc>
          <w:tcPr>
            <w:tcW w:w="2060" w:type="dxa"/>
            <w:vAlign w:val="bottom"/>
            <w:gridSpan w:val="3"/>
          </w:tcPr>
          <w:p>
            <w:pPr>
              <w:jc w:val="right"/>
              <w:ind w:right="340"/>
              <w:spacing w:after="0"/>
              <w:rPr>
                <w:sz w:val="20"/>
                <w:szCs w:val="20"/>
                <w:color w:val="auto"/>
              </w:rPr>
            </w:pPr>
            <w:r>
              <w:rPr>
                <w:rFonts w:ascii="Arial" w:cs="Arial" w:eastAsia="Arial" w:hAnsi="Arial"/>
                <w:sz w:val="14"/>
                <w:szCs w:val="14"/>
                <w:color w:val="auto"/>
              </w:rPr>
              <w:t>Impact of IFRS 15</w:t>
            </w:r>
          </w:p>
        </w:tc>
        <w:tc>
          <w:tcPr>
            <w:tcW w:w="1020" w:type="dxa"/>
            <w:vAlign w:val="bottom"/>
            <w:gridSpan w:val="3"/>
          </w:tcPr>
          <w:p>
            <w:pPr>
              <w:jc w:val="center"/>
              <w:ind w:left="132"/>
              <w:spacing w:after="0"/>
              <w:rPr>
                <w:sz w:val="20"/>
                <w:szCs w:val="20"/>
                <w:color w:val="auto"/>
              </w:rPr>
            </w:pPr>
            <w:r>
              <w:rPr>
                <w:rFonts w:ascii="Arial" w:cs="Arial" w:eastAsia="Arial" w:hAnsi="Arial"/>
                <w:sz w:val="14"/>
                <w:szCs w:val="14"/>
                <w:color w:val="auto"/>
                <w:w w:val="92"/>
              </w:rPr>
              <w:t>As adjusted</w:t>
            </w:r>
          </w:p>
        </w:tc>
      </w:tr>
      <w:tr>
        <w:trPr>
          <w:trHeight w:val="181"/>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color w:val="auto"/>
              </w:rPr>
              <w:t>£m</w:t>
            </w:r>
          </w:p>
        </w:tc>
        <w:tc>
          <w:tcPr>
            <w:tcW w:w="640" w:type="dxa"/>
            <w:vAlign w:val="bottom"/>
          </w:tcPr>
          <w:p>
            <w:pPr>
              <w:spacing w:after="0"/>
              <w:rPr>
                <w:sz w:val="15"/>
                <w:szCs w:val="15"/>
                <w:color w:val="auto"/>
              </w:rPr>
            </w:pPr>
          </w:p>
        </w:tc>
        <w:tc>
          <w:tcPr>
            <w:tcW w:w="1020" w:type="dxa"/>
            <w:vAlign w:val="bottom"/>
          </w:tcPr>
          <w:p>
            <w:pPr>
              <w:ind w:left="400"/>
              <w:spacing w:after="0"/>
              <w:rPr>
                <w:sz w:val="20"/>
                <w:szCs w:val="20"/>
                <w:color w:val="auto"/>
              </w:rPr>
            </w:pPr>
            <w:r>
              <w:rPr>
                <w:rFonts w:ascii="Arial" w:cs="Arial" w:eastAsia="Arial" w:hAnsi="Arial"/>
                <w:sz w:val="14"/>
                <w:szCs w:val="14"/>
                <w:color w:val="auto"/>
              </w:rPr>
              <w:t>£m</w:t>
            </w:r>
          </w:p>
        </w:tc>
        <w:tc>
          <w:tcPr>
            <w:tcW w:w="640" w:type="dxa"/>
            <w:vAlign w:val="bottom"/>
          </w:tcPr>
          <w:p>
            <w:pPr>
              <w:spacing w:after="0"/>
              <w:rPr>
                <w:sz w:val="15"/>
                <w:szCs w:val="15"/>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color w:val="auto"/>
              </w:rPr>
              <w:t>£m</w:t>
            </w:r>
          </w:p>
        </w:tc>
        <w:tc>
          <w:tcPr>
            <w:tcW w:w="28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rPr>
              <w:t>£m</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Intangible assets</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4,531</w:t>
            </w:r>
          </w:p>
        </w:tc>
        <w:tc>
          <w:tcPr>
            <w:tcW w:w="64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280"/>
              <w:spacing w:after="0"/>
              <w:rPr>
                <w:sz w:val="20"/>
                <w:szCs w:val="20"/>
                <w:color w:val="auto"/>
              </w:rPr>
            </w:pPr>
            <w:r>
              <w:rPr>
                <w:rFonts w:ascii="Arial" w:cs="Arial" w:eastAsia="Arial" w:hAnsi="Arial"/>
                <w:sz w:val="18"/>
                <w:szCs w:val="18"/>
                <w:color w:val="auto"/>
              </w:rPr>
              <w:t>(32)</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4,499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Minority equity investments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to obtain customer contracts</w:t>
            </w:r>
          </w:p>
        </w:tc>
        <w:tc>
          <w:tcPr>
            <w:tcW w:w="114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81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Cost to fulfil customer contracts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Deferred tax assets</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425</w:t>
            </w:r>
          </w:p>
        </w:tc>
        <w:tc>
          <w:tcPr>
            <w:tcW w:w="640" w:type="dxa"/>
            <w:vAlign w:val="bottom"/>
          </w:tcPr>
          <w:p>
            <w:pPr>
              <w:spacing w:after="0"/>
              <w:rPr>
                <w:sz w:val="19"/>
                <w:szCs w:val="19"/>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1,729</w:t>
            </w:r>
          </w:p>
        </w:tc>
        <w:tc>
          <w:tcPr>
            <w:tcW w:w="640" w:type="dxa"/>
            <w:vAlign w:val="bottom"/>
          </w:tcPr>
          <w:p>
            <w:pPr>
              <w:spacing w:after="0"/>
              <w:rPr>
                <w:sz w:val="19"/>
                <w:szCs w:val="19"/>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1,840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4,586</w:t>
            </w:r>
          </w:p>
        </w:tc>
        <w:tc>
          <w:tcPr>
            <w:tcW w:w="64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4,735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 tax liabilities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40" w:type="dxa"/>
            <w:vAlign w:val="bottom"/>
            <w:shd w:val="clear" w:color="auto" w:fill="CCEEFF"/>
          </w:tcPr>
          <w:p>
            <w:pPr>
              <w:spacing w:after="0"/>
              <w:rPr>
                <w:sz w:val="18"/>
                <w:szCs w:val="18"/>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1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40" w:type="dxa"/>
            <w:vAlign w:val="bottom"/>
            <w:shd w:val="clear" w:color="auto" w:fill="CCEEFF"/>
          </w:tcPr>
          <w:p>
            <w:pPr>
              <w:spacing w:after="0"/>
              <w:rPr>
                <w:sz w:val="18"/>
                <w:szCs w:val="18"/>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c>
          <w:tcPr>
            <w:tcW w:w="6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40" w:type="dxa"/>
            <w:vAlign w:val="bottom"/>
          </w:tcPr>
          <w:p>
            <w:pPr>
              <w:spacing w:after="0"/>
              <w:rPr>
                <w:sz w:val="19"/>
                <w:szCs w:val="19"/>
                <w:color w:val="auto"/>
              </w:rPr>
            </w:pPr>
          </w:p>
        </w:tc>
      </w:tr>
    </w:tbl>
    <w:p>
      <w:pPr>
        <w:spacing w:after="0" w:line="360" w:lineRule="exact"/>
        <w:rPr>
          <w:sz w:val="20"/>
          <w:szCs w:val="20"/>
          <w:color w:val="auto"/>
        </w:rPr>
      </w:pPr>
    </w:p>
    <w:p>
      <w:pPr>
        <w:ind w:left="440" w:hanging="436"/>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Group has three reportable segments that are defined by geographic area to reflect how the Group’s operations are monitored and managed. The reportable segments presented reflect the Group’s management and reporting structure as viewed by the Board of Directors, which is considered to be the Group’s chief operating decision maker.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Reportable segment</w:t>
            </w:r>
          </w:p>
        </w:tc>
        <w:tc>
          <w:tcPr>
            <w:tcW w:w="3380" w:type="dxa"/>
            <w:vAlign w:val="bottom"/>
            <w:gridSpan w:val="3"/>
          </w:tcPr>
          <w:p>
            <w:pPr>
              <w:ind w:left="180"/>
              <w:spacing w:after="0"/>
              <w:rPr>
                <w:sz w:val="20"/>
                <w:szCs w:val="20"/>
                <w:color w:val="auto"/>
              </w:rPr>
            </w:pPr>
            <w:r>
              <w:rPr>
                <w:rFonts w:ascii="Arial" w:cs="Arial" w:eastAsia="Arial" w:hAnsi="Arial"/>
                <w:sz w:val="14"/>
                <w:szCs w:val="14"/>
                <w:b w:val="1"/>
                <w:bCs w:val="1"/>
                <w:color w:val="auto"/>
              </w:rPr>
              <w:t>Description</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UK &amp; Ireland</w:t>
            </w:r>
          </w:p>
        </w:tc>
        <w:tc>
          <w:tcPr>
            <w:tcW w:w="8460" w:type="dxa"/>
            <w:vAlign w:val="bottom"/>
            <w:gridSpan w:val="14"/>
          </w:tcPr>
          <w:p>
            <w:pPr>
              <w:ind w:left="180"/>
              <w:spacing w:after="0"/>
              <w:rPr>
                <w:sz w:val="20"/>
                <w:szCs w:val="20"/>
                <w:color w:val="auto"/>
              </w:rPr>
            </w:pPr>
            <w:r>
              <w:rPr>
                <w:rFonts w:ascii="Arial" w:cs="Arial" w:eastAsia="Arial" w:hAnsi="Arial"/>
                <w:sz w:val="18"/>
                <w:szCs w:val="18"/>
                <w:color w:val="auto"/>
                <w:w w:val="90"/>
              </w:rPr>
              <w:t>The activities and operations of the pay TV, home communications, mobile and adjacent businesses in the UK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380" w:type="dxa"/>
            <w:vAlign w:val="bottom"/>
            <w:gridSpan w:val="3"/>
          </w:tcPr>
          <w:p>
            <w:pPr>
              <w:ind w:left="180"/>
              <w:spacing w:after="0"/>
              <w:rPr>
                <w:sz w:val="20"/>
                <w:szCs w:val="20"/>
                <w:color w:val="auto"/>
              </w:rPr>
            </w:pPr>
            <w:r>
              <w:rPr>
                <w:rFonts w:ascii="Arial" w:cs="Arial" w:eastAsia="Arial" w:hAnsi="Arial"/>
                <w:sz w:val="18"/>
                <w:szCs w:val="18"/>
                <w:color w:val="auto"/>
              </w:rPr>
              <w:t>Ireland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Italy</w:t>
            </w:r>
          </w:p>
        </w:tc>
        <w:tc>
          <w:tcPr>
            <w:tcW w:w="6900" w:type="dxa"/>
            <w:vAlign w:val="bottom"/>
            <w:gridSpan w:val="11"/>
          </w:tcPr>
          <w:p>
            <w:pPr>
              <w:ind w:left="180"/>
              <w:spacing w:after="0"/>
              <w:rPr>
                <w:sz w:val="20"/>
                <w:szCs w:val="20"/>
                <w:color w:val="auto"/>
              </w:rPr>
            </w:pPr>
            <w:r>
              <w:rPr>
                <w:rFonts w:ascii="Arial" w:cs="Arial" w:eastAsia="Arial" w:hAnsi="Arial"/>
                <w:sz w:val="18"/>
                <w:szCs w:val="18"/>
                <w:color w:val="auto"/>
              </w:rPr>
              <w:t>The activities and operations of the pay TV and adjacent businesses in Italy</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Germany &amp; Austria</w:t>
            </w:r>
          </w:p>
        </w:tc>
        <w:tc>
          <w:tcPr>
            <w:tcW w:w="6900" w:type="dxa"/>
            <w:vAlign w:val="bottom"/>
            <w:gridSpan w:val="11"/>
          </w:tcPr>
          <w:p>
            <w:pPr>
              <w:ind w:left="180"/>
              <w:spacing w:after="0"/>
              <w:rPr>
                <w:sz w:val="20"/>
                <w:szCs w:val="20"/>
                <w:color w:val="auto"/>
              </w:rPr>
            </w:pPr>
            <w:r>
              <w:rPr>
                <w:rFonts w:ascii="Arial" w:cs="Arial" w:eastAsia="Arial" w:hAnsi="Arial"/>
                <w:sz w:val="18"/>
                <w:szCs w:val="18"/>
                <w:color w:val="auto"/>
                <w:w w:val="90"/>
              </w:rPr>
              <w:t>The activities and operations of the pay TV and adjacent businesses in Germany and Austria</w:t>
            </w: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w w:val="93"/>
              </w:rPr>
              <w:t xml:space="preserve">Segmental income statement </w:t>
            </w:r>
            <w:r>
              <w:rPr>
                <w:rFonts w:ascii="Arial" w:cs="Arial" w:eastAsia="Arial" w:hAnsi="Arial"/>
                <w:sz w:val="18"/>
                <w:szCs w:val="18"/>
                <w:color w:val="auto"/>
                <w:w w:val="93"/>
              </w:rPr>
              <w:t>for the three months ended 30 September 2018</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380" w:type="dxa"/>
            <w:vAlign w:val="bottom"/>
            <w:gridSpan w:val="3"/>
            <w:vMerge w:val="restart"/>
          </w:tcPr>
          <w:p>
            <w:pPr>
              <w:ind w:left="2020"/>
              <w:spacing w:after="0"/>
              <w:rPr>
                <w:sz w:val="20"/>
                <w:szCs w:val="20"/>
                <w:color w:val="auto"/>
              </w:rPr>
            </w:pPr>
            <w:r>
              <w:rPr>
                <w:rFonts w:ascii="Arial" w:cs="Arial" w:eastAsia="Arial" w:hAnsi="Arial"/>
                <w:sz w:val="14"/>
                <w:szCs w:val="14"/>
                <w:b w:val="1"/>
                <w:bCs w:val="1"/>
                <w:color w:val="auto"/>
              </w:rPr>
              <w:t>UK &amp; Ireland</w:t>
            </w:r>
          </w:p>
        </w:tc>
        <w:tc>
          <w:tcPr>
            <w:tcW w:w="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Italy</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9"/>
              </w:rPr>
              <w:t>Germany &amp;</w:t>
            </w: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Adjusting Items</w:t>
            </w:r>
          </w:p>
        </w:tc>
        <w:tc>
          <w:tcPr>
            <w:tcW w:w="15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8"/>
              </w:rPr>
              <w:t>Statutory Group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38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Austria</w:t>
            </w:r>
          </w:p>
        </w:tc>
        <w:tc>
          <w:tcPr>
            <w:tcW w:w="22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&amp; Eliminations</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£m</w:t>
            </w: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w:t>
            </w: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£m</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Direct-to-consumer</w:t>
            </w:r>
          </w:p>
        </w:tc>
        <w:tc>
          <w:tcPr>
            <w:tcW w:w="20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Content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0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2,241</w:t>
            </w:r>
          </w:p>
        </w:tc>
        <w:tc>
          <w:tcPr>
            <w:tcW w:w="5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Programming</w:t>
            </w:r>
          </w:p>
        </w:tc>
        <w:tc>
          <w:tcPr>
            <w:tcW w:w="3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(945)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(379)</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Direct network costs</w:t>
            </w:r>
          </w:p>
        </w:tc>
        <w:tc>
          <w:tcPr>
            <w:tcW w:w="3380" w:type="dxa"/>
            <w:vAlign w:val="bottom"/>
            <w:gridSpan w:val="3"/>
          </w:tcPr>
          <w:p>
            <w:pPr>
              <w:jc w:val="right"/>
              <w:ind w:right="440"/>
              <w:spacing w:after="0"/>
              <w:rPr>
                <w:sz w:val="20"/>
                <w:szCs w:val="20"/>
                <w:color w:val="auto"/>
              </w:rPr>
            </w:pPr>
            <w:r>
              <w:rPr>
                <w:rFonts w:ascii="Arial" w:cs="Arial" w:eastAsia="Arial" w:hAnsi="Arial"/>
                <w:sz w:val="18"/>
                <w:szCs w:val="18"/>
                <w:color w:val="auto"/>
              </w:rPr>
              <w:t>(315)</w:t>
            </w: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5"/>
              </w:rPr>
              <w:t>Sales, general and administration</w:t>
            </w:r>
          </w:p>
        </w:tc>
        <w:tc>
          <w:tcPr>
            <w:tcW w:w="3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(690)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(246)</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(687)</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(1,950)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(625)</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(540)</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(688)</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20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(496)</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23"/>
        </w:trPr>
        <w:tc>
          <w:tcPr>
            <w:tcW w:w="4600" w:type="dxa"/>
            <w:vAlign w:val="bottom"/>
            <w:gridSpan w:val="3"/>
          </w:tcPr>
          <w:p>
            <w:pPr>
              <w:spacing w:after="0"/>
              <w:rPr>
                <w:sz w:val="20"/>
                <w:szCs w:val="20"/>
                <w:color w:val="auto"/>
              </w:rPr>
            </w:pPr>
            <w:r>
              <w:rPr>
                <w:rFonts w:ascii="Arial" w:cs="Arial" w:eastAsia="Arial" w:hAnsi="Arial"/>
                <w:sz w:val="18"/>
                <w:szCs w:val="18"/>
                <w:color w:val="auto"/>
              </w:rPr>
              <w:t>Share of results of joint ventures and associates</w:t>
            </w:r>
          </w:p>
        </w:tc>
        <w:tc>
          <w:tcPr>
            <w:tcW w:w="8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Finance costs</w:t>
            </w:r>
          </w:p>
        </w:tc>
        <w:tc>
          <w:tcPr>
            <w:tcW w:w="2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Profit on disposal of associate</w:t>
            </w:r>
          </w:p>
        </w:tc>
        <w:tc>
          <w:tcPr>
            <w:tcW w:w="2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Profit before taxation</w:t>
            </w:r>
          </w:p>
        </w:tc>
        <w:tc>
          <w:tcPr>
            <w:tcW w:w="2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380" w:type="dxa"/>
            <w:vAlign w:val="bottom"/>
            <w:gridSpan w:val="3"/>
          </w:tcPr>
          <w:p>
            <w:pPr>
              <w:jc w:val="right"/>
              <w:ind w:right="40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Condensed Consolidated Interim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Segmental income statement </w:t>
      </w:r>
      <w:r>
        <w:rPr>
          <w:rFonts w:ascii="Arial" w:cs="Arial" w:eastAsia="Arial" w:hAnsi="Arial"/>
          <w:sz w:val="18"/>
          <w:szCs w:val="18"/>
          <w:color w:val="auto"/>
        </w:rPr>
        <w:t>for the three months ended 30 September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9"/>
              </w:rPr>
              <w:t>Germany &amp;</w:t>
            </w:r>
          </w:p>
        </w:tc>
        <w:tc>
          <w:tcPr>
            <w:tcW w:w="14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Adjusting Items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9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UK &amp; Ireland</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Italy</w:t>
            </w:r>
          </w:p>
        </w:tc>
        <w:tc>
          <w:tcPr>
            <w:tcW w:w="2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Austria</w:t>
            </w:r>
          </w:p>
        </w:tc>
        <w:tc>
          <w:tcPr>
            <w:tcW w:w="22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&amp; Eliminations</w:t>
            </w:r>
          </w:p>
        </w:tc>
        <w:tc>
          <w:tcPr>
            <w:tcW w:w="1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Statutory Group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£m</w:t>
            </w:r>
          </w:p>
        </w:tc>
        <w:tc>
          <w:tcPr>
            <w:tcW w:w="2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w:t>
            </w:r>
          </w:p>
        </w:tc>
        <w:tc>
          <w:tcPr>
            <w:tcW w:w="22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£m</w:t>
            </w:r>
          </w:p>
        </w:tc>
        <w:tc>
          <w:tcPr>
            <w:tcW w:w="22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to Consumer</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Content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2,198</w:t>
            </w: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Revenue from external customers</w:t>
            </w:r>
          </w:p>
        </w:tc>
        <w:tc>
          <w:tcPr>
            <w:tcW w:w="6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2,196</w:t>
            </w:r>
          </w:p>
        </w:tc>
        <w:tc>
          <w:tcPr>
            <w:tcW w:w="4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Programming</w:t>
            </w:r>
          </w:p>
        </w:tc>
        <w:tc>
          <w:tcPr>
            <w:tcW w:w="1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(882)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 network costs</w:t>
            </w:r>
          </w:p>
        </w:tc>
        <w:tc>
          <w:tcPr>
            <w:tcW w:w="1940" w:type="dxa"/>
            <w:vAlign w:val="bottom"/>
            <w:gridSpan w:val="3"/>
          </w:tcPr>
          <w:p>
            <w:pPr>
              <w:jc w:val="right"/>
              <w:ind w:right="420"/>
              <w:spacing w:after="0"/>
              <w:rPr>
                <w:sz w:val="20"/>
                <w:szCs w:val="20"/>
                <w:color w:val="auto"/>
              </w:rPr>
            </w:pPr>
            <w:r>
              <w:rPr>
                <w:rFonts w:ascii="Arial" w:cs="Arial" w:eastAsia="Arial" w:hAnsi="Arial"/>
                <w:sz w:val="18"/>
                <w:szCs w:val="18"/>
                <w:color w:val="auto"/>
              </w:rPr>
              <w:t>(276)</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Sales, general and administration</w:t>
            </w:r>
          </w:p>
        </w:tc>
        <w:tc>
          <w:tcPr>
            <w:tcW w:w="1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(1,861)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(537)</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(502)</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(81)</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Share of results of joint ventures and associates</w:t>
            </w:r>
          </w:p>
        </w:tc>
        <w:tc>
          <w:tcPr>
            <w:tcW w:w="6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Finance costs</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before taxation</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Results for each segment are presented on an adjusted basis.</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To provide a more relevant presentation, management has chosen to reanalyse the segmental allocation of certain revenue and costs relating to the Group’s OTT businesses from those previously reported, in order to align to how the Group’s operations are monitored and managed.</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440" w:top="270"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Condensed Consolidated Interim Financial Statements (continued)</w:t>
      </w:r>
    </w:p>
    <w:p>
      <w:pPr>
        <w:spacing w:after="0" w:line="158"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ordinary shares for the period was: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30 September</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0" w:type="dxa"/>
            <w:vAlign w:val="bottom"/>
            <w:gridSpan w:val="2"/>
          </w:tcPr>
          <w:p>
            <w:pPr>
              <w:jc w:val="right"/>
              <w:ind w:right="314"/>
              <w:spacing w:after="0" w:line="149"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1420" w:type="dxa"/>
            <w:vAlign w:val="bottom"/>
            <w:gridSpan w:val="2"/>
          </w:tcPr>
          <w:p>
            <w:pPr>
              <w:jc w:val="right"/>
              <w:ind w:right="290"/>
              <w:spacing w:after="0" w:line="149"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6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Millions of shares</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color w:val="auto"/>
              </w:rPr>
              <w:t>Millions of shares</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1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1,719</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ESOP trust ordinary shares</w:t>
            </w:r>
          </w:p>
        </w:tc>
        <w:tc>
          <w:tcPr>
            <w:tcW w:w="26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shares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1,718</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8"/>
                <w:szCs w:val="18"/>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Dilutive ordinary shares from share options</w:t>
            </w:r>
          </w:p>
        </w:tc>
        <w:tc>
          <w:tcPr>
            <w:tcW w:w="1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shares</w:t>
            </w:r>
          </w:p>
        </w:tc>
        <w:tc>
          <w:tcPr>
            <w:tcW w:w="1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1,727</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and diluted earnings per share are calculated by dividing profit for the period attributable to equity shareholders of the parent company by the weighted average number of shares for the period.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4800" w:type="dxa"/>
            <w:vAlign w:val="bottom"/>
            <w:gridSpan w:val="2"/>
          </w:tcPr>
          <w:p>
            <w:pPr>
              <w:ind w:left="180"/>
              <w:spacing w:after="0"/>
              <w:rPr>
                <w:sz w:val="20"/>
                <w:szCs w:val="20"/>
                <w:color w:val="auto"/>
              </w:rPr>
            </w:pPr>
            <w:r>
              <w:rPr>
                <w:rFonts w:ascii="Arial" w:cs="Arial" w:eastAsia="Arial" w:hAnsi="Arial"/>
                <w:sz w:val="18"/>
                <w:szCs w:val="18"/>
                <w:b w:val="1"/>
                <w:bCs w:val="1"/>
                <w:color w:val="auto"/>
              </w:rPr>
              <w:t>Dividends</w:t>
            </w: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40" w:type="dxa"/>
            <w:vAlign w:val="bottom"/>
            <w:gridSpan w:val="3"/>
          </w:tcPr>
          <w:p>
            <w:pPr>
              <w:ind w:left="260"/>
              <w:spacing w:after="0"/>
              <w:rPr>
                <w:sz w:val="20"/>
                <w:szCs w:val="20"/>
                <w:color w:val="auto"/>
              </w:rPr>
            </w:pPr>
            <w:r>
              <w:rPr>
                <w:rFonts w:ascii="Arial" w:cs="Arial" w:eastAsia="Arial" w:hAnsi="Arial"/>
                <w:sz w:val="14"/>
                <w:szCs w:val="14"/>
                <w:b w:val="1"/>
                <w:bCs w:val="1"/>
                <w:color w:val="auto"/>
              </w:rPr>
              <w:t>Three months ended 30 September</w:t>
            </w:r>
          </w:p>
        </w:tc>
        <w:tc>
          <w:tcPr>
            <w:tcW w:w="76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Year ended</w:t>
            </w:r>
          </w:p>
        </w:tc>
      </w:tr>
      <w:tr>
        <w:trPr>
          <w:trHeight w:val="149"/>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740" w:type="dxa"/>
            <w:vAlign w:val="bottom"/>
            <w:gridSpan w:val="2"/>
          </w:tcPr>
          <w:p>
            <w:pPr>
              <w:jc w:val="right"/>
              <w:ind w:right="217"/>
              <w:spacing w:after="0" w:line="149" w:lineRule="exact"/>
              <w:rPr>
                <w:sz w:val="20"/>
                <w:szCs w:val="20"/>
                <w:color w:val="auto"/>
              </w:rPr>
            </w:pPr>
            <w:r>
              <w:rPr>
                <w:rFonts w:ascii="Arial" w:cs="Arial" w:eastAsia="Arial" w:hAnsi="Arial"/>
                <w:sz w:val="14"/>
                <w:szCs w:val="14"/>
                <w:b w:val="1"/>
                <w:bCs w:val="1"/>
                <w:color w:val="auto"/>
              </w:rPr>
              <w:t>2018</w:t>
            </w:r>
          </w:p>
        </w:tc>
        <w:tc>
          <w:tcPr>
            <w:tcW w:w="1760" w:type="dxa"/>
            <w:vAlign w:val="bottom"/>
            <w:gridSpan w:val="2"/>
          </w:tcPr>
          <w:p>
            <w:pPr>
              <w:jc w:val="right"/>
              <w:ind w:right="214"/>
              <w:spacing w:after="0" w:line="149" w:lineRule="exact"/>
              <w:rPr>
                <w:sz w:val="20"/>
                <w:szCs w:val="20"/>
                <w:color w:val="auto"/>
              </w:rPr>
            </w:pPr>
            <w:r>
              <w:rPr>
                <w:rFonts w:ascii="Arial" w:cs="Arial" w:eastAsia="Arial" w:hAnsi="Arial"/>
                <w:sz w:val="14"/>
                <w:szCs w:val="14"/>
                <w:color w:val="auto"/>
              </w:rPr>
              <w:t>2017</w:t>
            </w:r>
          </w:p>
        </w:tc>
        <w:tc>
          <w:tcPr>
            <w:tcW w:w="7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7"/>
              </w:rPr>
              <w:t>30 June 2018</w:t>
            </w:r>
          </w:p>
        </w:tc>
      </w:tr>
      <w:tr>
        <w:trPr>
          <w:trHeight w:val="17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£m</w:t>
            </w:r>
          </w:p>
        </w:tc>
        <w:tc>
          <w:tcPr>
            <w:tcW w:w="8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7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£m</w:t>
            </w:r>
          </w:p>
        </w:tc>
      </w:tr>
      <w:tr>
        <w:trPr>
          <w:trHeight w:val="196"/>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Dividends paid during the period</w:t>
            </w:r>
          </w:p>
        </w:tc>
        <w:tc>
          <w:tcPr>
            <w:tcW w:w="8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8"/>
              </w:rPr>
              <w:t>2018 Special dividend paid: 10.00 per ordinary share</w:t>
            </w:r>
          </w:p>
        </w:tc>
        <w:tc>
          <w:tcPr>
            <w:tcW w:w="86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172</w:t>
            </w: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9"/>
              </w:rPr>
              <w:t>2018 Interim dividend paid: 13.06 per ordinary share</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396</w:t>
            </w:r>
          </w:p>
        </w:tc>
      </w:tr>
      <w:tr>
        <w:trPr>
          <w:trHeight w:val="372"/>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60" w:type="dxa"/>
            <w:vAlign w:val="bottom"/>
          </w:tcPr>
          <w:p>
            <w:pPr>
              <w:jc w:val="right"/>
              <w:ind w:right="239"/>
              <w:spacing w:after="0"/>
              <w:rPr>
                <w:sz w:val="20"/>
                <w:szCs w:val="20"/>
                <w:color w:val="auto"/>
              </w:rPr>
            </w:pPr>
            <w:r>
              <w:rPr>
                <w:rFonts w:ascii="Arial" w:cs="Arial" w:eastAsia="Arial" w:hAnsi="Arial"/>
                <w:sz w:val="18"/>
                <w:szCs w:val="18"/>
                <w:color w:val="auto"/>
              </w:rPr>
              <w:t>10</w:t>
            </w:r>
          </w:p>
        </w:tc>
        <w:tc>
          <w:tcPr>
            <w:tcW w:w="8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640"/>
          </w:cols>
          <w:pgMar w:left="440" w:top="270" w:right="81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Notes to the Condensed Consolidated Interim Financial Statements (continued)</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0"/>
                <w:szCs w:val="20"/>
                <w:color w:val="auto"/>
              </w:rPr>
            </w:pPr>
            <w:r>
              <w:rPr>
                <w:rFonts w:ascii="Arial" w:cs="Arial" w:eastAsia="Arial" w:hAnsi="Arial"/>
                <w:sz w:val="18"/>
                <w:szCs w:val="18"/>
                <w:b w:val="1"/>
                <w:bCs w:val="1"/>
                <w:color w:val="auto"/>
              </w:rPr>
              <w:t>5</w:t>
            </w:r>
          </w:p>
        </w:tc>
        <w:tc>
          <w:tcPr>
            <w:tcW w:w="728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Notes to the Condensed Consolidated Cash Flow Statement</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profit before taxation to cash used in operations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1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4"/>
              </w:rPr>
              <w:t>Three months to 30 September</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78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before taxation</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0" w:type="dxa"/>
            <w:vAlign w:val="bottom"/>
          </w:tcPr>
          <w:p>
            <w:pPr>
              <w:spacing w:after="0" w:line="201" w:lineRule="exact"/>
              <w:rPr>
                <w:sz w:val="20"/>
                <w:szCs w:val="20"/>
                <w:color w:val="auto"/>
              </w:rPr>
            </w:pPr>
            <w:r>
              <w:rPr>
                <w:rFonts w:ascii="Arial" w:cs="Arial" w:eastAsia="Arial" w:hAnsi="Arial"/>
                <w:sz w:val="18"/>
                <w:szCs w:val="18"/>
                <w:color w:val="auto"/>
                <w:w w:val="98"/>
              </w:rPr>
              <w:t>Depreciation, impairment and losses (profits) on disposal of property, plant and</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169</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7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Amortisation, impairment and losses (profits) on disposal of intangible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Finance costs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Profit on disposal of associate</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(634)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Share of results of joint ventures and associates</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4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7280" w:type="dxa"/>
            <w:vAlign w:val="bottom"/>
            <w:gridSpan w:val="2"/>
          </w:tcPr>
          <w:p>
            <w:pPr>
              <w:ind w:left="1060"/>
              <w:spacing w:after="0"/>
              <w:rPr>
                <w:sz w:val="20"/>
                <w:szCs w:val="20"/>
                <w:color w:val="auto"/>
              </w:rPr>
            </w:pPr>
            <w:r>
              <w:rPr>
                <w:rFonts w:ascii="Arial" w:cs="Arial" w:eastAsia="Arial" w:hAnsi="Arial"/>
                <w:sz w:val="18"/>
                <w:szCs w:val="18"/>
                <w:color w:val="auto"/>
              </w:rPr>
              <w:t>Decrease (increase) in trade and other receivables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319</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(2,102)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Increase in trade and other payables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898</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provisions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Decrease in costs to obtain customer contracts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Decrease in derivative financial instruments</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Cash used in operations</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(606)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Other matters</w:t>
      </w:r>
    </w:p>
    <w:p>
      <w:pPr>
        <w:spacing w:after="0" w:line="131"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subsidiaries of the Company have agreed to provide additional funding to several of their investments in limited and unlimited companies and partnerships, in accordance with funding agreements. Payment of this additional funding would be required if requested by the investees in accordance with the funding agreements. The maximum potential amount of future payments which may be required to be made by the subsidiaries of the Company to their investments, in both limited and unlimited companies and partnerships under the undertakings and additional funding agreements, is £15 million (30 September 2017: £34 million; 30 June 2018: £17 million).</w:t>
      </w:r>
    </w:p>
    <w:p>
      <w:pPr>
        <w:spacing w:after="0" w:line="333" w:lineRule="exact"/>
        <w:rPr>
          <w:sz w:val="20"/>
          <w:szCs w:val="20"/>
          <w:color w:val="auto"/>
        </w:rPr>
      </w:pPr>
    </w:p>
    <w:p>
      <w:pPr>
        <w:ind w:left="440" w:hanging="436"/>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21st Century Fox and Comcast Corporation offers</w:t>
      </w:r>
    </w:p>
    <w:p>
      <w:pPr>
        <w:spacing w:after="0" w:line="12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On 11 July 2018, the Twenty-First Century Fox, Inc. (“21st Century Fox”) group announced an increased recommended cash offer for the shares in the Company which it (or its affiliates) did not already own at an offer price of £14.00 per Sky share. On 12 July 2018, Comcast Corporation (“Comcast”) announced an increased cash offer of £14.75 per Sky share which the Independent Committee of the Board recommended shareholders to accept.</w:t>
      </w:r>
    </w:p>
    <w:p>
      <w:pPr>
        <w:spacing w:after="0" w:line="14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On 27 September 2018, Comcast Bidco Limited (“Comcast Bidco”), an indirect wholly-owned subsidiary of Comcast, published its revised offer document to Sky shareholders formally setting out Comcast Bidco’s final offer of £17.28 per share and the process to accept Comcast Bidco’s offer.</w:t>
      </w:r>
    </w:p>
    <w:p>
      <w:pPr>
        <w:spacing w:after="0" w:line="268" w:lineRule="exact"/>
        <w:rPr>
          <w:sz w:val="20"/>
          <w:szCs w:val="20"/>
          <w:color w:val="auto"/>
        </w:rPr>
      </w:pPr>
    </w:p>
    <w:p>
      <w:pPr>
        <w:ind w:left="440" w:hanging="436"/>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Profit on disposal of associate</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During the prior year, the Group received a cash distribution of £113 million from Sky Bet, following Sky Bet’s recapitalisation. The distribution was applied to reduce the carrying value of the Group’s investment in Sky Bet to nil, with the excess of £33 million being recognised as income.</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21 April 2018, the Group reached an agreement to dispose of its investment in Sky Bet to The Stars Group Inc. following which the investment was reclassified as a held for sale asset, with a carrying value of nil.</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On 10 July 2018, the Group completed the sale of its 20% stake in Sky Betting &amp; Gaming to The Stars Group Inc. for a total consideration of £634 million, comprising £427 million in cash and 7.6 million shares in The Stars Group Inc.</w:t>
      </w:r>
    </w:p>
    <w:p>
      <w:pPr>
        <w:spacing w:after="0" w:line="315" w:lineRule="exact"/>
        <w:rPr>
          <w:sz w:val="20"/>
          <w:szCs w:val="20"/>
          <w:color w:val="auto"/>
        </w:rPr>
      </w:pPr>
    </w:p>
    <w:p>
      <w:pPr>
        <w:ind w:left="440" w:hanging="436"/>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 and major shareholders</w:t>
      </w:r>
    </w:p>
    <w:p>
      <w:pPr>
        <w:spacing w:after="0" w:line="131" w:lineRule="exact"/>
        <w:rPr>
          <w:sz w:val="20"/>
          <w:szCs w:val="20"/>
          <w:color w:val="auto"/>
        </w:rPr>
      </w:pPr>
    </w:p>
    <w:p>
      <w:pPr>
        <w:ind w:left="440" w:hanging="436"/>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Entities with significant influence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Group conducts business transactions with companies that are part of 21st Century Fox, which was a major shareholder in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 related parties and amounts outstanding in relation to those transactions and with related parties at 30 September are as follows:</w:t>
      </w:r>
    </w:p>
    <w:p>
      <w:pPr>
        <w:spacing w:after="0" w:line="25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2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9"/>
              </w:rPr>
              <w:t>Three months ended 30 September</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Year ended</w:t>
            </w:r>
          </w:p>
        </w:tc>
      </w:tr>
      <w:tr>
        <w:trPr>
          <w:trHeight w:val="149"/>
        </w:trPr>
        <w:tc>
          <w:tcPr>
            <w:tcW w:w="5160" w:type="dxa"/>
            <w:vAlign w:val="bottom"/>
          </w:tcPr>
          <w:p>
            <w:pPr>
              <w:spacing w:after="0"/>
              <w:rPr>
                <w:sz w:val="12"/>
                <w:szCs w:val="12"/>
                <w:color w:val="auto"/>
              </w:rPr>
            </w:pPr>
          </w:p>
        </w:tc>
        <w:tc>
          <w:tcPr>
            <w:tcW w:w="840" w:type="dxa"/>
            <w:vAlign w:val="bottom"/>
          </w:tcPr>
          <w:p>
            <w:pPr>
              <w:jc w:val="right"/>
              <w:ind w:right="178"/>
              <w:spacing w:after="0" w:line="149" w:lineRule="exact"/>
              <w:rPr>
                <w:sz w:val="20"/>
                <w:szCs w:val="20"/>
                <w:color w:val="auto"/>
              </w:rPr>
            </w:pPr>
            <w:r>
              <w:rPr>
                <w:rFonts w:ascii="Arial" w:cs="Arial" w:eastAsia="Arial" w:hAnsi="Arial"/>
                <w:sz w:val="14"/>
                <w:szCs w:val="14"/>
                <w:b w:val="1"/>
                <w:bCs w:val="1"/>
                <w:color w:val="auto"/>
              </w:rPr>
              <w:t>2018</w:t>
            </w:r>
          </w:p>
        </w:tc>
        <w:tc>
          <w:tcPr>
            <w:tcW w:w="820" w:type="dxa"/>
            <w:vAlign w:val="bottom"/>
          </w:tcPr>
          <w:p>
            <w:pPr>
              <w:spacing w:after="0"/>
              <w:rPr>
                <w:sz w:val="12"/>
                <w:szCs w:val="12"/>
                <w:color w:val="auto"/>
              </w:rPr>
            </w:pPr>
          </w:p>
        </w:tc>
        <w:tc>
          <w:tcPr>
            <w:tcW w:w="880" w:type="dxa"/>
            <w:vAlign w:val="bottom"/>
          </w:tcPr>
          <w:p>
            <w:pPr>
              <w:jc w:val="right"/>
              <w:ind w:right="196"/>
              <w:spacing w:after="0" w:line="149" w:lineRule="exact"/>
              <w:rPr>
                <w:sz w:val="20"/>
                <w:szCs w:val="20"/>
                <w:color w:val="auto"/>
              </w:rPr>
            </w:pPr>
            <w:r>
              <w:rPr>
                <w:rFonts w:ascii="Arial" w:cs="Arial" w:eastAsia="Arial" w:hAnsi="Arial"/>
                <w:sz w:val="14"/>
                <w:szCs w:val="14"/>
                <w:color w:val="auto"/>
              </w:rPr>
              <w:t>2017</w:t>
            </w:r>
          </w:p>
        </w:tc>
        <w:tc>
          <w:tcPr>
            <w:tcW w:w="6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30 June 2018</w:t>
            </w:r>
          </w:p>
        </w:tc>
      </w:tr>
      <w:tr>
        <w:trPr>
          <w:trHeight w:val="171"/>
        </w:trPr>
        <w:tc>
          <w:tcPr>
            <w:tcW w:w="5160" w:type="dxa"/>
            <w:vAlign w:val="bottom"/>
          </w:tcPr>
          <w:p>
            <w:pPr>
              <w:spacing w:after="0"/>
              <w:rPr>
                <w:sz w:val="14"/>
                <w:szCs w:val="14"/>
                <w:color w:val="auto"/>
              </w:rPr>
            </w:pPr>
          </w:p>
        </w:tc>
        <w:tc>
          <w:tcPr>
            <w:tcW w:w="166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£m</w:t>
            </w:r>
          </w:p>
        </w:tc>
        <w:tc>
          <w:tcPr>
            <w:tcW w:w="1560" w:type="dxa"/>
            <w:vAlign w:val="bottom"/>
            <w:gridSpan w:val="2"/>
          </w:tcPr>
          <w:p>
            <w:pPr>
              <w:jc w:val="right"/>
              <w:ind w:right="1020"/>
              <w:spacing w:after="0"/>
              <w:rPr>
                <w:sz w:val="20"/>
                <w:szCs w:val="20"/>
                <w:color w:val="auto"/>
              </w:rPr>
            </w:pPr>
            <w:r>
              <w:rPr>
                <w:rFonts w:ascii="Arial" w:cs="Arial" w:eastAsia="Arial" w:hAnsi="Arial"/>
                <w:sz w:val="14"/>
                <w:szCs w:val="14"/>
                <w:color w:val="auto"/>
              </w:rPr>
              <w:t>£m</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Supply of goods or services by the Group</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8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Purchases of goods or services by the Group</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(83)</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(101)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Amounts owed to the Group</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Amounts owed by the Group</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(179)</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(167)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r>
      <w:tr>
        <w:trPr>
          <w:trHeight w:val="20"/>
        </w:trPr>
        <w:tc>
          <w:tcPr>
            <w:tcW w:w="5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30 September 2018 the Group had expenditure commitments of £515 million (30 September 2017: £961 million; 30 June 2018: £568 million) with 21st Century Fox companies, which principally related to minimum television programming rights commitments.</w:t>
      </w:r>
    </w:p>
    <w:p>
      <w:pPr>
        <w:sectPr>
          <w:pgSz w:w="11900" w:h="16838" w:orient="portrait"/>
          <w:cols w:equalWidth="0" w:num="1">
            <w:col w:w="11000"/>
          </w:cols>
          <w:pgMar w:left="440" w:top="270" w:right="459" w:bottom="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00"/>
          </w:cols>
          <w:pgMar w:left="440" w:top="270" w:right="459" w:bottom="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Condensed Consolidated Interim Financial Statements (continued)</w:t>
      </w:r>
    </w:p>
    <w:p>
      <w:pPr>
        <w:spacing w:after="0" w:line="131" w:lineRule="exact"/>
        <w:rPr>
          <w:sz w:val="20"/>
          <w:szCs w:val="20"/>
          <w:color w:val="auto"/>
        </w:rPr>
      </w:pPr>
    </w:p>
    <w:p>
      <w:pPr>
        <w:ind w:left="440" w:hanging="436"/>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 and major shareholders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Goods and services supplied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the Group supplied programming, airtime, transmission and marketing services to 21st Century Fox.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goods and services and certain other relationships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the Group purchased programming and technical and marketing services from 21st Century Fox, Inc. companies.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was an agreement between 21st Century Fox, Inc. and the Group, pursuant to which it was agreed that, for so long as 21st Century Fox, Inc. directly or indirectly holds an interest of 30% or more in the Group, 21st Century Fox, Inc. will not engage in the business of satellite broadcasting in the UK or Ireland.</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15 December 2016, the Company entered into a co-operation agreement with 21st Century Fox pursuant to which the parties agreed to provide each other with information and assistance for the purposes of obtaining all merger control and regulatory clearances and authorisations in relation to the 21</w:t>
      </w:r>
      <w:r>
        <w:rPr>
          <w:rFonts w:ascii="Arial" w:cs="Arial" w:eastAsia="Arial" w:hAnsi="Arial"/>
          <w:sz w:val="13"/>
          <w:szCs w:val="13"/>
          <w:color w:val="auto"/>
        </w:rPr>
        <w:t>st</w:t>
      </w:r>
      <w:r>
        <w:rPr>
          <w:rFonts w:ascii="Arial" w:cs="Arial" w:eastAsia="Arial" w:hAnsi="Arial"/>
          <w:sz w:val="16"/>
          <w:szCs w:val="16"/>
          <w:color w:val="auto"/>
        </w:rPr>
        <w:t xml:space="preserve"> Century Fox Offer and the preparation of the document to be sent to the Company’s shareholders in relation to the Original 21st Century Fox Offer. The co-operation agreement was terminated by the Company on 25 April 2018 after the Independent Committee withdrew its recommendation of the Original 21st Century Fox Offer. Notwithstanding such termination, certain obligations under the co-operation agreement continued in effect.</w:t>
      </w:r>
    </w:p>
    <w:p>
      <w:pPr>
        <w:spacing w:after="0" w:line="303" w:lineRule="exact"/>
        <w:rPr>
          <w:sz w:val="20"/>
          <w:szCs w:val="20"/>
          <w:color w:val="auto"/>
        </w:rPr>
      </w:pPr>
    </w:p>
    <w:p>
      <w:pPr>
        <w:ind w:left="440" w:hanging="436"/>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Joint ventures and associates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Transactions between the Company and its subsidiaries, which are related parties, have been eliminated on consolidation and are not disclosed in this note. Transactions between the Group and its joint ventures and associates are disclosed below.</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2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9"/>
              </w:rPr>
              <w:t>Three months ended 30 September</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Year ended</w:t>
            </w:r>
          </w:p>
        </w:tc>
      </w:tr>
      <w:tr>
        <w:trPr>
          <w:trHeight w:val="149"/>
        </w:trPr>
        <w:tc>
          <w:tcPr>
            <w:tcW w:w="5640" w:type="dxa"/>
            <w:vAlign w:val="bottom"/>
            <w:gridSpan w:val="2"/>
          </w:tcPr>
          <w:p>
            <w:pPr>
              <w:ind w:left="5340"/>
              <w:spacing w:after="0" w:line="149"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jc w:val="right"/>
              <w:ind w:right="196"/>
              <w:spacing w:after="0" w:line="149" w:lineRule="exact"/>
              <w:rPr>
                <w:sz w:val="20"/>
                <w:szCs w:val="20"/>
                <w:color w:val="auto"/>
              </w:rPr>
            </w:pPr>
            <w:r>
              <w:rPr>
                <w:rFonts w:ascii="Arial" w:cs="Arial" w:eastAsia="Arial" w:hAnsi="Arial"/>
                <w:sz w:val="14"/>
                <w:szCs w:val="14"/>
                <w:color w:val="auto"/>
              </w:rPr>
              <w:t>2017</w:t>
            </w:r>
          </w:p>
        </w:tc>
        <w:tc>
          <w:tcPr>
            <w:tcW w:w="7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30 June 2018</w:t>
            </w:r>
          </w:p>
        </w:tc>
      </w:tr>
      <w:tr>
        <w:trPr>
          <w:trHeight w:val="171"/>
        </w:trPr>
        <w:tc>
          <w:tcPr>
            <w:tcW w:w="5100" w:type="dxa"/>
            <w:vAlign w:val="bottom"/>
          </w:tcPr>
          <w:p>
            <w:pPr>
              <w:spacing w:after="0"/>
              <w:rPr>
                <w:sz w:val="14"/>
                <w:szCs w:val="14"/>
                <w:color w:val="auto"/>
              </w:rPr>
            </w:pPr>
          </w:p>
        </w:tc>
        <w:tc>
          <w:tcPr>
            <w:tcW w:w="540" w:type="dxa"/>
            <w:vAlign w:val="bottom"/>
          </w:tcPr>
          <w:p>
            <w:pPr>
              <w:ind w:left="300"/>
              <w:spacing w:after="0"/>
              <w:rPr>
                <w:sz w:val="20"/>
                <w:szCs w:val="20"/>
                <w:color w:val="auto"/>
              </w:rPr>
            </w:pPr>
            <w:r>
              <w:rPr>
                <w:rFonts w:ascii="Arial" w:cs="Arial" w:eastAsia="Arial" w:hAnsi="Arial"/>
                <w:sz w:val="14"/>
                <w:szCs w:val="14"/>
                <w:b w:val="1"/>
                <w:bCs w:val="1"/>
                <w:color w:val="auto"/>
              </w:rPr>
              <w:t>£m</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gridSpan w:val="2"/>
          </w:tcPr>
          <w:p>
            <w:pPr>
              <w:jc w:val="right"/>
              <w:ind w:right="1040"/>
              <w:spacing w:after="0"/>
              <w:rPr>
                <w:sz w:val="20"/>
                <w:szCs w:val="20"/>
                <w:color w:val="auto"/>
              </w:rPr>
            </w:pPr>
            <w:r>
              <w:rPr>
                <w:rFonts w:ascii="Arial" w:cs="Arial" w:eastAsia="Arial" w:hAnsi="Arial"/>
                <w:sz w:val="14"/>
                <w:szCs w:val="14"/>
                <w:color w:val="auto"/>
              </w:rPr>
              <w:t>£m</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Supply of services by the Group</w:t>
            </w: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9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Purchases of goods or services by the Group</w:t>
            </w:r>
          </w:p>
        </w:tc>
        <w:tc>
          <w:tcPr>
            <w:tcW w:w="118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w w:val="87"/>
              </w:rPr>
              <w:t>(12)</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owed by joint ventures and associates to the Group</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Amounts owed to joint ventures and associates by the Group</w:t>
            </w:r>
          </w:p>
        </w:tc>
        <w:tc>
          <w:tcPr>
            <w:tcW w:w="540" w:type="dxa"/>
            <w:vAlign w:val="bottom"/>
          </w:tcPr>
          <w:p>
            <w:pPr>
              <w:spacing w:after="0"/>
              <w:rPr>
                <w:sz w:val="18"/>
                <w:szCs w:val="18"/>
                <w:color w:val="auto"/>
              </w:rPr>
            </w:pPr>
          </w:p>
        </w:tc>
        <w:tc>
          <w:tcPr>
            <w:tcW w:w="118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(5)</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0"/>
        </w:trPr>
        <w:tc>
          <w:tcPr>
            <w:tcW w:w="5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Services supplied are primarily the provision of transponder capacity, marketing, airtime sales and support services. Purchases principally represent fees payable for channel carriage.</w:t>
      </w:r>
    </w:p>
    <w:p>
      <w:pPr>
        <w:spacing w:after="0" w:line="17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Amounts owed by joint ventures and associates include £17 million (30 September 2017: £16 million; 30 June 2018: £17 million) relating to loan funding. The loans bear interest at rates of between 1.50% and 2.00% (30 September 2017: between 1.50% and 2.00%; 30 June 2018: rates between 1.50% and 2.00%). The maximum amount of loan funding outstanding in total from joint ventures and associates during the period was £17 million (three months ended 30 September 2017: £16 million; year ended 30 June 2018: £17 million).</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Group has previously taken out a number of forward exchange contracts with counterparty banks on behalf of the joint venture AETN UK. On the same dates as these forward contracts were entered into, the Group entered into equal and opposite contracts with AETN UK in respect of these forward contracts.</w:t>
      </w:r>
    </w:p>
    <w:p>
      <w:pPr>
        <w:spacing w:after="0" w:line="18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Consequently, the Group was not exposed to any of the net gains or losses on these forward contracts. The face value of forward foreign exchange contracts that had not matured as at 30 September 2018 was £9 million (30 September 2017: £12 million; 30 June 2018: £9 million).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During the current period nil (three months ended 30 September 2017: less than US$1 million; year ended 30 June 2018: less than US$1 million)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received from the joint venture upon maturity of forward exchange contracts and US$1 million (three months ended 30 September 2017: US$1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ended 30 June 2018: US$4 million) was paid to the joint venture upon maturity of forward foreign exchange contracts.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During the current period, £1 million (three months ended 30 September 2017: £1 million; year ended 30 June 2018: £3 million) was received from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joint venture upon maturity of forward foreign exchange contracts and nil (three months ended 30 September 2017: £1 million; year ended 30 June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2018: £1 million) was paid to the joint venture upon maturity of forward foreign exchange contracts.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current period, nil (three months ended 30 September 2017: €1 million; year ended 30 June 2018: €1 million) was received from the joint venture upon maturity of forward exchange contracts and nil (three months ended 30 September 2017: nil; year ended 30 June 2018: nil) was paid to the joint venture upon maturity of forward exchange contracts.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30 September 2018 the Group had minimum expenditure commitments of nil (30 September 2017: nil; 30 June 2018: £1 million) with its joint ventures and associates.</w:t>
      </w:r>
    </w:p>
    <w:p>
      <w:pPr>
        <w:spacing w:after="0" w:line="315" w:lineRule="exact"/>
        <w:rPr>
          <w:sz w:val="20"/>
          <w:szCs w:val="20"/>
          <w:color w:val="auto"/>
        </w:rPr>
      </w:pPr>
    </w:p>
    <w:p>
      <w:pPr>
        <w:ind w:left="440" w:hanging="436"/>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Group has engaged in a number of transactions with companies of which some of the Company’s Directors are also directors. These do not meet the definition of related party transactions.</w:t>
      </w:r>
    </w:p>
    <w:p>
      <w:pPr>
        <w:sectPr>
          <w:pgSz w:w="11900" w:h="16838" w:orient="portrait"/>
          <w:cols w:equalWidth="0" w:num="1">
            <w:col w:w="11020"/>
          </w:cols>
          <w:pgMar w:left="440" w:top="270" w:right="439" w:bottom="1081"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20"/>
          </w:cols>
          <w:pgMar w:left="440" w:top="270" w:right="439" w:bottom="1081"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Condensed Consolidated Interim Financial Statements (continued)</w:t>
      </w:r>
    </w:p>
    <w:p>
      <w:pPr>
        <w:spacing w:after="0" w:line="131" w:lineRule="exact"/>
        <w:rPr>
          <w:sz w:val="20"/>
          <w:szCs w:val="20"/>
          <w:color w:val="auto"/>
        </w:rPr>
      </w:pPr>
    </w:p>
    <w:p>
      <w:pPr>
        <w:ind w:left="440" w:hanging="436"/>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 and major shareholders (continued)</w:t>
      </w:r>
    </w:p>
    <w:p>
      <w:pPr>
        <w:spacing w:after="0" w:line="158" w:lineRule="exact"/>
        <w:rPr>
          <w:sz w:val="20"/>
          <w:szCs w:val="20"/>
          <w:color w:val="auto"/>
        </w:rPr>
      </w:pPr>
    </w:p>
    <w:p>
      <w:pPr>
        <w:ind w:left="440" w:hanging="43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Key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Group has a related party relationship with the Directors of the Company. At 30 September 2018, there were 11 (30 September 2017: 11; 30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11) members of key management, all of whom were Directors of the Company. Key management compensation is provided below:</w:t>
      </w: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480" w:type="dxa"/>
            <w:vAlign w:val="bottom"/>
            <w:gridSpan w:val="4"/>
          </w:tcPr>
          <w:p>
            <w:pPr>
              <w:ind w:left="260"/>
              <w:spacing w:after="0"/>
              <w:rPr>
                <w:sz w:val="20"/>
                <w:szCs w:val="20"/>
                <w:color w:val="auto"/>
              </w:rPr>
            </w:pPr>
            <w:r>
              <w:rPr>
                <w:rFonts w:ascii="Arial" w:cs="Arial" w:eastAsia="Arial" w:hAnsi="Arial"/>
                <w:sz w:val="14"/>
                <w:szCs w:val="14"/>
                <w:b w:val="1"/>
                <w:bCs w:val="1"/>
                <w:color w:val="auto"/>
                <w:w w:val="94"/>
              </w:rPr>
              <w:t>Three months ended 30 September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color w:val="auto"/>
                <w:w w:val="88"/>
              </w:rPr>
              <w:t>Year ended</w:t>
            </w:r>
          </w:p>
        </w:tc>
      </w:tr>
      <w:tr>
        <w:trPr>
          <w:trHeight w:val="149"/>
        </w:trPr>
        <w:tc>
          <w:tcPr>
            <w:tcW w:w="5660" w:type="dxa"/>
            <w:vAlign w:val="bottom"/>
            <w:gridSpan w:val="2"/>
          </w:tcPr>
          <w:p>
            <w:pPr>
              <w:ind w:left="5280"/>
              <w:spacing w:after="0" w:line="149" w:lineRule="exact"/>
              <w:rPr>
                <w:sz w:val="20"/>
                <w:szCs w:val="20"/>
                <w:color w:val="auto"/>
              </w:rPr>
            </w:pPr>
            <w:r>
              <w:rPr>
                <w:rFonts w:ascii="Arial" w:cs="Arial" w:eastAsia="Arial" w:hAnsi="Arial"/>
                <w:sz w:val="14"/>
                <w:szCs w:val="14"/>
                <w:b w:val="1"/>
                <w:bCs w:val="1"/>
                <w:color w:val="auto"/>
              </w:rPr>
              <w:t>2018</w:t>
            </w:r>
          </w:p>
        </w:tc>
        <w:tc>
          <w:tcPr>
            <w:tcW w:w="182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2017</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9"/>
              </w:rPr>
              <w:t>30 June 2018</w:t>
            </w:r>
          </w:p>
        </w:tc>
      </w:tr>
      <w:tr>
        <w:trPr>
          <w:trHeight w:val="171"/>
        </w:trPr>
        <w:tc>
          <w:tcPr>
            <w:tcW w:w="5000" w:type="dxa"/>
            <w:vAlign w:val="bottom"/>
          </w:tcPr>
          <w:p>
            <w:pPr>
              <w:spacing w:after="0"/>
              <w:rPr>
                <w:sz w:val="14"/>
                <w:szCs w:val="14"/>
                <w:color w:val="auto"/>
              </w:rPr>
            </w:pPr>
          </w:p>
        </w:tc>
        <w:tc>
          <w:tcPr>
            <w:tcW w:w="660" w:type="dxa"/>
            <w:vAlign w:val="bottom"/>
          </w:tcPr>
          <w:p>
            <w:pPr>
              <w:ind w:left="320"/>
              <w:spacing w:after="0"/>
              <w:rPr>
                <w:sz w:val="20"/>
                <w:szCs w:val="20"/>
                <w:color w:val="auto"/>
              </w:rPr>
            </w:pPr>
            <w:r>
              <w:rPr>
                <w:rFonts w:ascii="Arial" w:cs="Arial" w:eastAsia="Arial" w:hAnsi="Arial"/>
                <w:sz w:val="14"/>
                <w:szCs w:val="14"/>
                <w:b w:val="1"/>
                <w:bCs w:val="1"/>
                <w:color w:val="auto"/>
              </w:rPr>
              <w:t>£m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jc w:val="center"/>
              <w:ind w:left="88"/>
              <w:spacing w:after="0"/>
              <w:rPr>
                <w:sz w:val="20"/>
                <w:szCs w:val="20"/>
                <w:color w:val="auto"/>
              </w:rPr>
            </w:pPr>
            <w:r>
              <w:rPr>
                <w:rFonts w:ascii="Arial" w:cs="Arial" w:eastAsia="Arial" w:hAnsi="Arial"/>
                <w:sz w:val="14"/>
                <w:szCs w:val="14"/>
                <w:color w:val="auto"/>
                <w:w w:val="92"/>
              </w:rPr>
              <w:t>£m</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color w:val="auto"/>
              </w:rPr>
              <w:t>£m</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Share-based payments</w:t>
            </w:r>
          </w:p>
        </w:tc>
        <w:tc>
          <w:tcPr>
            <w:tcW w:w="112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3</w:t>
            </w:r>
          </w:p>
        </w:tc>
        <w:tc>
          <w:tcPr>
            <w:tcW w:w="700" w:type="dxa"/>
            <w:vAlign w:val="bottom"/>
          </w:tcPr>
          <w:p>
            <w:pPr>
              <w:spacing w:after="0"/>
              <w:rPr>
                <w:sz w:val="18"/>
                <w:szCs w:val="18"/>
                <w:color w:val="auto"/>
              </w:rPr>
            </w:pPr>
          </w:p>
        </w:tc>
        <w:tc>
          <w:tcPr>
            <w:tcW w:w="960" w:type="dxa"/>
            <w:vAlign w:val="bottom"/>
            <w:gridSpan w:val="2"/>
          </w:tcPr>
          <w:p>
            <w:pPr>
              <w:jc w:val="right"/>
              <w:ind w:right="78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5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7</w:t>
            </w: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0"/>
        </w:trPr>
        <w:tc>
          <w:tcPr>
            <w:tcW w:w="5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Post-employment benefits were less than £1 million in each period.</w:t>
      </w:r>
    </w:p>
    <w:p>
      <w:pPr>
        <w:spacing w:after="0" w:line="370" w:lineRule="exact"/>
        <w:rPr>
          <w:sz w:val="20"/>
          <w:szCs w:val="20"/>
          <w:color w:val="auto"/>
        </w:rPr>
      </w:pPr>
    </w:p>
    <w:p>
      <w:pPr>
        <w:ind w:left="440" w:hanging="43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categorises the Group’s financial instruments which are held at fair value into one of three levels to reflect the degree to which observable inputs are used in determining their fair values: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3"/>
          </w:tcPr>
          <w:p>
            <w:pPr>
              <w:ind w:left="50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6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1520" w:type="dxa"/>
            <w:vAlign w:val="bottom"/>
            <w:gridSpan w:val="4"/>
          </w:tcPr>
          <w:p>
            <w:pPr>
              <w:ind w:left="500"/>
              <w:spacing w:after="0"/>
              <w:rPr>
                <w:sz w:val="20"/>
                <w:szCs w:val="20"/>
                <w:color w:val="auto"/>
              </w:rPr>
            </w:pPr>
            <w:r>
              <w:rPr>
                <w:rFonts w:ascii="Arial" w:cs="Arial" w:eastAsia="Arial" w:hAnsi="Arial"/>
                <w:sz w:val="14"/>
                <w:szCs w:val="14"/>
                <w:b w:val="1"/>
                <w:bCs w:val="1"/>
                <w:color w:val="auto"/>
              </w:rPr>
              <w:t>Level 3</w:t>
            </w: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30</w:t>
            </w:r>
          </w:p>
        </w:tc>
        <w:tc>
          <w:tcPr>
            <w:tcW w:w="840" w:type="dxa"/>
            <w:vAlign w:val="bottom"/>
            <w:tcBorders>
              <w:top w:val="single" w:sz="8" w:color="auto"/>
            </w:tcBorders>
            <w:gridSpan w:val="2"/>
          </w:tcPr>
          <w:p>
            <w:pPr>
              <w:jc w:val="center"/>
              <w:ind w:left="171"/>
              <w:spacing w:after="0" w:line="119" w:lineRule="exact"/>
              <w:rPr>
                <w:sz w:val="20"/>
                <w:szCs w:val="20"/>
                <w:color w:val="auto"/>
              </w:rPr>
            </w:pPr>
            <w:r>
              <w:rPr>
                <w:rFonts w:ascii="Arial" w:cs="Arial" w:eastAsia="Arial" w:hAnsi="Arial"/>
                <w:sz w:val="13"/>
                <w:szCs w:val="13"/>
                <w:color w:val="auto"/>
              </w:rPr>
              <w:t>30</w:t>
            </w:r>
          </w:p>
        </w:tc>
        <w:tc>
          <w:tcPr>
            <w:tcW w:w="260" w:type="dxa"/>
            <w:vAlign w:val="bottom"/>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30</w:t>
            </w: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left="14"/>
              <w:spacing w:after="0" w:line="119" w:lineRule="exact"/>
              <w:rPr>
                <w:sz w:val="20"/>
                <w:szCs w:val="20"/>
                <w:color w:val="auto"/>
              </w:rPr>
            </w:pPr>
            <w:r>
              <w:rPr>
                <w:rFonts w:ascii="Arial" w:cs="Arial" w:eastAsia="Arial" w:hAnsi="Arial"/>
                <w:sz w:val="13"/>
                <w:szCs w:val="13"/>
                <w:color w:val="auto"/>
                <w:w w:val="96"/>
              </w:rPr>
              <w:t>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30</w:t>
            </w:r>
          </w:p>
        </w:tc>
        <w:tc>
          <w:tcPr>
            <w:tcW w:w="860" w:type="dxa"/>
            <w:vAlign w:val="bottom"/>
            <w:tcBorders>
              <w:top w:val="single" w:sz="8" w:color="auto"/>
            </w:tcBorders>
            <w:gridSpan w:val="2"/>
          </w:tcPr>
          <w:p>
            <w:pPr>
              <w:jc w:val="center"/>
              <w:ind w:left="160"/>
              <w:spacing w:after="0" w:line="119" w:lineRule="exact"/>
              <w:rPr>
                <w:sz w:val="20"/>
                <w:szCs w:val="20"/>
                <w:color w:val="auto"/>
              </w:rPr>
            </w:pPr>
            <w:r>
              <w:rPr>
                <w:rFonts w:ascii="Arial" w:cs="Arial" w:eastAsia="Arial" w:hAnsi="Arial"/>
                <w:sz w:val="13"/>
                <w:szCs w:val="13"/>
                <w:color w:val="auto"/>
                <w:w w:val="96"/>
              </w:rPr>
              <w:t>30</w:t>
            </w:r>
          </w:p>
        </w:tc>
        <w:tc>
          <w:tcPr>
            <w:tcW w:w="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780" w:type="dxa"/>
            <w:vAlign w:val="bottom"/>
            <w:gridSpan w:val="2"/>
          </w:tcPr>
          <w:p>
            <w:pPr>
              <w:jc w:val="center"/>
              <w:ind w:left="1056"/>
              <w:spacing w:after="0" w:line="149" w:lineRule="exact"/>
              <w:rPr>
                <w:sz w:val="20"/>
                <w:szCs w:val="20"/>
                <w:color w:val="auto"/>
              </w:rPr>
            </w:pPr>
            <w:r>
              <w:rPr>
                <w:rFonts w:ascii="Arial" w:cs="Arial" w:eastAsia="Arial" w:hAnsi="Arial"/>
                <w:sz w:val="14"/>
                <w:szCs w:val="14"/>
                <w:b w:val="1"/>
                <w:bCs w:val="1"/>
                <w:color w:val="auto"/>
                <w:w w:val="91"/>
              </w:rPr>
              <w:t>Sept 2018</w:t>
            </w:r>
          </w:p>
        </w:tc>
        <w:tc>
          <w:tcPr>
            <w:tcW w:w="840" w:type="dxa"/>
            <w:vAlign w:val="bottom"/>
            <w:gridSpan w:val="2"/>
          </w:tcPr>
          <w:p>
            <w:pPr>
              <w:jc w:val="center"/>
              <w:ind w:left="171"/>
              <w:spacing w:after="0" w:line="149" w:lineRule="exact"/>
              <w:rPr>
                <w:sz w:val="20"/>
                <w:szCs w:val="20"/>
                <w:color w:val="auto"/>
              </w:rPr>
            </w:pPr>
            <w:r>
              <w:rPr>
                <w:rFonts w:ascii="Arial" w:cs="Arial" w:eastAsia="Arial" w:hAnsi="Arial"/>
                <w:sz w:val="14"/>
                <w:szCs w:val="14"/>
                <w:color w:val="auto"/>
                <w:w w:val="91"/>
              </w:rPr>
              <w:t>June 2018</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 2018</w:t>
            </w: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1"/>
              </w:rPr>
              <w:t>June 2018</w:t>
            </w:r>
          </w:p>
        </w:tc>
        <w:tc>
          <w:tcPr>
            <w:tcW w:w="720" w:type="dxa"/>
            <w:vAlign w:val="bottom"/>
            <w:gridSpan w:val="2"/>
          </w:tcPr>
          <w:p>
            <w:pPr>
              <w:jc w:val="center"/>
              <w:ind w:left="36"/>
              <w:spacing w:after="0" w:line="149" w:lineRule="exact"/>
              <w:rPr>
                <w:sz w:val="20"/>
                <w:szCs w:val="20"/>
                <w:color w:val="auto"/>
              </w:rPr>
            </w:pPr>
            <w:r>
              <w:rPr>
                <w:rFonts w:ascii="Arial" w:cs="Arial" w:eastAsia="Arial" w:hAnsi="Arial"/>
                <w:sz w:val="14"/>
                <w:szCs w:val="14"/>
                <w:b w:val="1"/>
                <w:bCs w:val="1"/>
                <w:color w:val="auto"/>
                <w:w w:val="91"/>
              </w:rPr>
              <w:t>Sept 2018</w:t>
            </w:r>
          </w:p>
        </w:tc>
        <w:tc>
          <w:tcPr>
            <w:tcW w:w="920" w:type="dxa"/>
            <w:vAlign w:val="bottom"/>
            <w:gridSpan w:val="3"/>
          </w:tcPr>
          <w:p>
            <w:pPr>
              <w:jc w:val="center"/>
              <w:ind w:left="100"/>
              <w:spacing w:after="0" w:line="149" w:lineRule="exact"/>
              <w:rPr>
                <w:sz w:val="20"/>
                <w:szCs w:val="20"/>
                <w:color w:val="auto"/>
              </w:rPr>
            </w:pPr>
            <w:r>
              <w:rPr>
                <w:rFonts w:ascii="Arial" w:cs="Arial" w:eastAsia="Arial" w:hAnsi="Arial"/>
                <w:sz w:val="14"/>
                <w:szCs w:val="14"/>
                <w:color w:val="auto"/>
                <w:w w:val="88"/>
              </w:rPr>
              <w:t>June 2018</w:t>
            </w: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£m</w:t>
            </w: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£m</w:t>
            </w:r>
          </w:p>
        </w:tc>
        <w:tc>
          <w:tcPr>
            <w:tcW w:w="26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w:t>
            </w: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£m</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8"/>
              </w:rPr>
              <w:t>£m</w:t>
            </w:r>
          </w:p>
        </w:tc>
        <w:tc>
          <w:tcPr>
            <w:tcW w:w="26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£m</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investments</w:t>
            </w:r>
          </w:p>
        </w:tc>
        <w:tc>
          <w:tcPr>
            <w:tcW w:w="1780" w:type="dxa"/>
            <w:vAlign w:val="bottom"/>
            <w:gridSpan w:val="2"/>
          </w:tcPr>
          <w:p>
            <w:pPr>
              <w:ind w:left="1500"/>
              <w:spacing w:after="0"/>
              <w:rPr>
                <w:sz w:val="20"/>
                <w:szCs w:val="20"/>
                <w:color w:val="auto"/>
              </w:rPr>
            </w:pPr>
            <w:r>
              <w:rPr>
                <w:rFonts w:ascii="Arial" w:cs="Arial" w:eastAsia="Arial" w:hAnsi="Arial"/>
                <w:sz w:val="18"/>
                <w:szCs w:val="18"/>
                <w:b w:val="1"/>
                <w:bCs w:val="1"/>
                <w:color w:val="auto"/>
                <w:w w:val="86"/>
              </w:rPr>
              <w:t>144</w:t>
            </w:r>
          </w:p>
        </w:tc>
        <w:tc>
          <w:tcPr>
            <w:tcW w:w="2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b w:val="1"/>
                <w:bCs w:val="1"/>
                <w:color w:val="auto"/>
                <w:w w:val="86"/>
              </w:rPr>
              <w:t>124</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w w:val="86"/>
              </w:rPr>
              <w:t>117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assets at fair value through profit or loss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rate swaps</w:t>
            </w:r>
          </w:p>
        </w:tc>
        <w:tc>
          <w:tcPr>
            <w:tcW w:w="11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Cross-currency swaps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11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80" w:type="dxa"/>
            <w:vAlign w:val="bottom"/>
            <w:gridSpan w:val="2"/>
            <w:shd w:val="clear" w:color="auto" w:fill="CCEEFF"/>
          </w:tcPr>
          <w:p>
            <w:pPr>
              <w:ind w:left="1500"/>
              <w:spacing w:after="0"/>
              <w:rPr>
                <w:sz w:val="20"/>
                <w:szCs w:val="20"/>
                <w:color w:val="auto"/>
              </w:rPr>
            </w:pPr>
            <w:r>
              <w:rPr>
                <w:rFonts w:ascii="Arial" w:cs="Arial" w:eastAsia="Arial" w:hAnsi="Arial"/>
                <w:sz w:val="18"/>
                <w:szCs w:val="18"/>
                <w:b w:val="1"/>
                <w:bCs w:val="1"/>
                <w:color w:val="auto"/>
                <w:w w:val="86"/>
              </w:rPr>
              <w:t>144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86"/>
              </w:rPr>
              <w:t>124</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6"/>
              </w:rPr>
              <w:t>117</w:t>
            </w:r>
          </w:p>
        </w:tc>
        <w:tc>
          <w:tcPr>
            <w:tcW w:w="60" w:type="dxa"/>
            <w:vAlign w:val="bottom"/>
            <w:shd w:val="clear" w:color="auto" w:fill="CCEEFF"/>
          </w:tcPr>
          <w:p>
            <w:pPr>
              <w:spacing w:after="0"/>
              <w:rPr>
                <w:sz w:val="18"/>
                <w:szCs w:val="18"/>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Financial liabilities</w:t>
            </w:r>
          </w:p>
        </w:tc>
        <w:tc>
          <w:tcPr>
            <w:tcW w:w="11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Cross-currency swaps</w:t>
            </w:r>
          </w:p>
        </w:tc>
        <w:tc>
          <w:tcPr>
            <w:tcW w:w="11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(423)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Embedded derivative</w:t>
            </w:r>
          </w:p>
        </w:tc>
        <w:tc>
          <w:tcPr>
            <w:tcW w:w="11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(458)</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Level 1 fair values measured using quoted prices (unadjusted) in active markets for identical assets or liabilities, including shares in listed entities.</w:t>
      </w:r>
    </w:p>
    <w:p>
      <w:pPr>
        <w:spacing w:after="0" w:line="23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Level 2 fair values measured using inputs, other than quoted prices included within Level 1 that are observable for the asset or liability either directly or indirectly. Derivative financial instrument fair values are present values determined from future cash flows discounted at rates derived from market source data.</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Level 3 fair values measured using inputs for the asset or liability that are not based on observable market data. Certain of the Group’s unlisted minority equity investments are held at fair value and are categorised as Level 3 in the fair value hierarchy. The Group utilises initial historical cost and also the fair value implied by the latest funding rounds, as applicable, in determining fair values of unlisted investments at the balance sheet date.</w:t>
      </w:r>
    </w:p>
    <w:p>
      <w:pPr>
        <w:spacing w:after="0" w:line="291" w:lineRule="exact"/>
        <w:rPr>
          <w:sz w:val="20"/>
          <w:szCs w:val="20"/>
          <w:color w:val="auto"/>
        </w:rPr>
      </w:pPr>
    </w:p>
    <w:p>
      <w:pPr>
        <w:ind w:left="440" w:hanging="43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9 October 2018, the offer by Comcast Bidco to acquire the entire issued and to be issued share capital of the Company became wholly unconditional. As a result and as of that date, the ultimate controlling party of the Company is now Comcast. In the fourth quarter of 2018, Comcast Bidco acquired the remaining Sky shares and it now owns 100% of the share capital of the Company.</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15 November 2018 the Group repaid $583 million of 9.500% Guaranteed Notes. On 18 February 2019, the Group cancelled its £1 billion revolving credit facility, which had a maturity date of 30 November 2021.</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19 December 2018, it was announced that Sky plc had re-registered from a public limited company to a private limited company and delisted its shares. The Company also changed its name from Sky plc to Sky Limited.</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May 2019, Comcast provided a full and unconditional guarantee of the Group’s outstanding debt in connection with the Group’s noteholders consenting to (i) the transfer of the listing of three series of notes from the Main Market of the London Stock Exchange to the Professional Securities Market of the London Stock Exchange and (ii) amending certain terms of the Sky notes.</w:t>
      </w:r>
    </w:p>
    <w:p>
      <w:pPr>
        <w:sectPr>
          <w:pgSz w:w="11900" w:h="16838" w:orient="portrait"/>
          <w:cols w:equalWidth="0" w:num="1">
            <w:col w:w="11040"/>
          </w:cols>
          <w:pgMar w:left="440" w:top="270" w:right="419" w:bottom="1440" w:gutter="0" w:footer="0" w:header="0"/>
        </w:sectPr>
      </w:pP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40"/>
          </w:cols>
          <w:pgMar w:left="440" w:top="270" w:right="41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 and Accompanying Notes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October 9, 2018, in connection with Comcast Corporation’s (“Comcast”, the “Company” or “we”) offer to acquire the share capital of Sky Limited (formerly Sky plc) (“Sky”), we acquired a controlling interest in Sky through a series of purchases of Sky shares at our offer price of £17.28 per Sky share. In the fourth quarter of 2018, we acquired the remaining Sky shares and now own 100% of Sky’s equity interests (the “Acquisition”). Total cash consideration for the Acquisition was £30.2 billion (approximately $39.4 billion using the exchange rates on the purchase dates).</w:t>
      </w:r>
    </w:p>
    <w:p>
      <w:pPr>
        <w:spacing w:after="0" w:line="15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Sky is one of Europe’s leading entertainment companies whose operations primarily include a direct-to-consumer business, providing video, high-speed internet, voice and wireless phone services, and a content business, operating entertainment networks, the Sky News broadcast network and Sky Sports networks.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 finance the Acquisition, we:</w:t>
      </w:r>
    </w:p>
    <w:p>
      <w:pPr>
        <w:spacing w:after="0" w:line="131" w:lineRule="exact"/>
        <w:rPr>
          <w:sz w:val="20"/>
          <w:szCs w:val="20"/>
          <w:color w:val="auto"/>
        </w:rPr>
      </w:pPr>
    </w:p>
    <w:p>
      <w:pPr>
        <w:ind w:left="980" w:hanging="54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issued $27.0 billion aggregate amount of senior unsecured fixed and floating rate notes that will mature between 2020 and 2058,</w:t>
      </w:r>
    </w:p>
    <w:p>
      <w:pPr>
        <w:spacing w:after="0" w:line="142" w:lineRule="exact"/>
        <w:rPr>
          <w:rFonts w:ascii="Arial" w:cs="Arial" w:eastAsia="Arial" w:hAnsi="Arial"/>
          <w:sz w:val="17"/>
          <w:szCs w:val="17"/>
          <w:color w:val="auto"/>
        </w:rPr>
      </w:pPr>
    </w:p>
    <w:p>
      <w:pPr>
        <w:ind w:left="980" w:right="840" w:hanging="54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borrowed £6.6 billion ($8.7 billion using the exchange rates on the dates of borrowings) under a £7.0 billion unsecured sterling-denominated term loan credit agreement,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borrowed $3.0 billion under a $3.0 billion unsecured dollar-denominated term loan credit agreement.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remaining cash consideration was funded using cash on hand. As of October 9, 2018, Sky had outstanding indebtedness that was consolidated in our financial statements with an aggregate fair value amount of approximately $11 billion using the exchange rate as of such date.</w:t>
      </w:r>
    </w:p>
    <w:p>
      <w:pPr>
        <w:spacing w:after="0" w:line="14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unaudited pro forma condensed combined statement of income (“pro forma statement of income”) has been prepared based on the historical financial statements of Comcast and Sky and is intended to provide you with information about how the Acquisition and related financings might have affected our historical income statements. The pro forma statement of income for the year ended December 31, 2018 combines the historical consolidated statement of income of Comcast for the twelve months ended December 31, 2018, derived from the Comcast’s Annual Report on Form 10-K filed with the U.S. Securities and Exchange Commission (“SEC”) on January 31, 2019, with the respective historical consolidated income statement information of Sky, as indicated below, as if the Acquisition had occurred on January 1, 2017.</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historical financial information of Sky for the period January 1, 2018 through October 8, 2018 in the pro forma statement of income was derived by subtracting the historical unaudited condensed consolidated income statement of Sky for the six months ended December 31, 2017 from the historical consolidated audited income statement of Sky for the year ended June 30, 2018 to obtain the period January 1, 2018 through June 30, 2018, which was then added to the unaudited condensed consolidated income statement for the three months ended September 30, 2018, as filed in this Current Report on Form 8-K/A, as well as the historical unaudited consolidated financial information of Sky for the period from October 1, 2018 through October 8, 2018 derived from its accounting records. The results of Sky for the period October 9, 2018 through December 31, 2018 are included in the Comcast’s historical consolidated statement of income within its Annual Report on Form 10-K for the twelve months ended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 forma statement of income should be read in conjunction with the accompanying notes and:</w:t>
      </w:r>
    </w:p>
    <w:p>
      <w:pPr>
        <w:spacing w:after="0" w:line="131" w:lineRule="exact"/>
        <w:rPr>
          <w:sz w:val="20"/>
          <w:szCs w:val="20"/>
          <w:color w:val="auto"/>
        </w:rPr>
      </w:pPr>
    </w:p>
    <w:p>
      <w:pPr>
        <w:ind w:left="980" w:right="200" w:hanging="54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historical audited financial statements of Comcast Corporation for the year ended December 31, 2018, included in Comcast’s Annual Report on Form 10-K filed with the SEC on January 31, 2019;</w:t>
      </w:r>
    </w:p>
    <w:p>
      <w:pPr>
        <w:spacing w:after="0" w:line="75" w:lineRule="exact"/>
        <w:rPr>
          <w:rFonts w:ascii="Arial" w:cs="Arial" w:eastAsia="Arial" w:hAnsi="Arial"/>
          <w:sz w:val="18"/>
          <w:szCs w:val="18"/>
          <w:color w:val="auto"/>
        </w:rPr>
      </w:pPr>
    </w:p>
    <w:p>
      <w:pPr>
        <w:ind w:left="980" w:right="220" w:hanging="54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historical audited financial statements of Sky for the year ended June 30, 2018, included in exhibit 99.1 of Comcast’s Current Report on Form 8-K/A filed on December 18, 2018,</w:t>
      </w:r>
    </w:p>
    <w:p>
      <w:pPr>
        <w:spacing w:after="0" w:line="75" w:lineRule="exact"/>
        <w:rPr>
          <w:rFonts w:ascii="Arial" w:cs="Arial" w:eastAsia="Arial" w:hAnsi="Arial"/>
          <w:sz w:val="18"/>
          <w:szCs w:val="18"/>
          <w:color w:val="auto"/>
        </w:rPr>
      </w:pPr>
    </w:p>
    <w:p>
      <w:pPr>
        <w:ind w:left="980" w:hanging="54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historical unaudited financial statements of Sky for the three months ended September 30, 2018, included in exhibit 99.2 in this Current Report on Form 8-K/A.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7" w:name="page18"/>
    <w:bookmarkEnd w:id="17"/>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pro forma balance sheet is not presented since the Acquisition is reflected in Comcast’s audited consolidated balance sheet as of December 31, 2018, which was included in Comcast’s Annual Report on Form 10-K for the period ended December 31, 2018.</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pro forma statement of income is presented using the acquisition method of accounting, with Comcast as the acquirer. The pro forma statement of income is presented for informational purposes only. It has been prepared in accordance with Article 11 of Regulation S-X of the SEC and is not necessarily indicative of what our results of operations actually would have been had we completed the Acquisition as of the date indicated, nor does it purport to project the future operating results of the combined company. The pro forma statement of income is presented for illustrative purposes only and does not reflect the costs of any integration activities or cost savings or synergies that may be achieved as a result of the Acquisition.</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Twelve Months Ended December 31,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gridSpan w:val="2"/>
          </w:tcPr>
          <w:p>
            <w:pPr>
              <w:spacing w:after="0"/>
              <w:rPr>
                <w:sz w:val="20"/>
                <w:szCs w:val="20"/>
                <w:color w:val="auto"/>
              </w:rPr>
            </w:pPr>
            <w:r>
              <w:rPr>
                <w:rFonts w:ascii="Arial" w:cs="Arial" w:eastAsia="Arial" w:hAnsi="Arial"/>
                <w:sz w:val="14"/>
                <w:szCs w:val="14"/>
                <w:color w:val="auto"/>
              </w:rPr>
              <w:t>in millions (USD) except per share data</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4"/>
            <w:vMerge w:val="restart"/>
          </w:tcPr>
          <w:p>
            <w:pPr>
              <w:jc w:val="center"/>
              <w:ind w:right="60"/>
              <w:spacing w:after="0" w:line="113" w:lineRule="exact"/>
              <w:rPr>
                <w:sz w:val="20"/>
                <w:szCs w:val="20"/>
                <w:color w:val="auto"/>
              </w:rPr>
            </w:pPr>
            <w:r>
              <w:rPr>
                <w:rFonts w:ascii="Arial" w:cs="Arial" w:eastAsia="Arial" w:hAnsi="Arial"/>
                <w:sz w:val="13"/>
                <w:szCs w:val="13"/>
                <w:b w:val="1"/>
                <w:bCs w:val="1"/>
                <w:color w:val="auto"/>
              </w:rPr>
              <w:t>IFRS to U.S. GAAP</w:t>
            </w: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right"/>
              <w:ind w:right="220"/>
              <w:spacing w:after="0" w:line="113" w:lineRule="exact"/>
              <w:rPr>
                <w:sz w:val="20"/>
                <w:szCs w:val="20"/>
                <w:color w:val="auto"/>
              </w:rPr>
            </w:pPr>
            <w:r>
              <w:rPr>
                <w:rFonts w:ascii="Arial" w:cs="Arial" w:eastAsia="Arial" w:hAnsi="Arial"/>
                <w:sz w:val="13"/>
                <w:szCs w:val="13"/>
                <w:b w:val="1"/>
                <w:bCs w:val="1"/>
                <w:color w:val="auto"/>
                <w:w w:val="97"/>
              </w:rPr>
              <w:t>Financing</w:t>
            </w: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rPr>
              <w:t>Accounting</w:t>
            </w: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Comcast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Sky</w:t>
            </w:r>
          </w:p>
        </w:tc>
        <w:tc>
          <w:tcPr>
            <w:tcW w:w="142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1"/>
              </w:rPr>
              <w:t>Pro Forma</w:t>
            </w: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Adjustments</w:t>
            </w:r>
          </w:p>
        </w:tc>
        <w:tc>
          <w:tcPr>
            <w:tcW w:w="580" w:type="dxa"/>
            <w:vAlign w:val="bottom"/>
          </w:tcPr>
          <w:p>
            <w:pPr>
              <w:spacing w:after="0"/>
              <w:rPr>
                <w:sz w:val="12"/>
                <w:szCs w:val="12"/>
                <w:color w:val="auto"/>
              </w:rPr>
            </w:pPr>
          </w:p>
        </w:tc>
        <w:tc>
          <w:tcPr>
            <w:tcW w:w="10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2"/>
                <w:szCs w:val="12"/>
                <w:color w:val="auto"/>
              </w:rPr>
            </w:pPr>
          </w:p>
        </w:tc>
        <w:tc>
          <w:tcPr>
            <w:tcW w:w="9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Adjustments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(Note 1)</w:t>
            </w:r>
          </w:p>
        </w:tc>
        <w:tc>
          <w:tcPr>
            <w:tcW w:w="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(Note 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(Note 3)</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(Note 4)</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(Note 5)</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Combined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94,507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14,598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3a, 3b</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5h, 5i</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109,518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Costs and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Programming and production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3b</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5d, 5h, 5i</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Other operating and administrative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28,094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8"/>
                <w:szCs w:val="18"/>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w w:val="99"/>
              </w:rPr>
              <w:t>3a, 3b</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(577)</w:t>
            </w:r>
          </w:p>
        </w:tc>
        <w:tc>
          <w:tcPr>
            <w:tcW w:w="820" w:type="dxa"/>
            <w:vAlign w:val="bottom"/>
          </w:tcPr>
          <w:p>
            <w:pPr>
              <w:ind w:left="60"/>
              <w:spacing w:after="0"/>
              <w:rPr>
                <w:sz w:val="20"/>
                <w:szCs w:val="20"/>
                <w:color w:val="auto"/>
              </w:rPr>
            </w:pPr>
            <w:r>
              <w:rPr>
                <w:rFonts w:ascii="Arial" w:cs="Arial" w:eastAsia="Arial" w:hAnsi="Arial"/>
                <w:sz w:val="18"/>
                <w:szCs w:val="18"/>
                <w:color w:val="auto"/>
              </w:rPr>
              <w:t>5c, 5h, 5i</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Advertising, marketing and promotion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3b</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5i</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5a</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3b</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5b</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Other operating gains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75,498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19,009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(3,542)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3b</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4a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5f</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9"/>
              </w:rPr>
              <w:t>Investment and other income (loss),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580" w:type="dxa"/>
            <w:vAlign w:val="bottom"/>
          </w:tcPr>
          <w:p>
            <w:pPr>
              <w:ind w:left="60"/>
              <w:spacing w:after="0"/>
              <w:rPr>
                <w:sz w:val="20"/>
                <w:szCs w:val="20"/>
                <w:color w:val="auto"/>
              </w:rPr>
            </w:pPr>
            <w:r>
              <w:rPr>
                <w:rFonts w:ascii="Arial" w:cs="Arial" w:eastAsia="Arial" w:hAnsi="Arial"/>
                <w:sz w:val="18"/>
                <w:szCs w:val="18"/>
                <w:color w:val="auto"/>
              </w:rPr>
              <w:t>3b</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15,242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(3,380)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5e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4b</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5e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(3,002)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340"/>
              <w:spacing w:after="0" w:line="201" w:lineRule="exact"/>
              <w:rPr>
                <w:sz w:val="20"/>
                <w:szCs w:val="20"/>
                <w:color w:val="auto"/>
              </w:rPr>
            </w:pPr>
            <w:r>
              <w:rPr>
                <w:rFonts w:ascii="Arial" w:cs="Arial" w:eastAsia="Arial" w:hAnsi="Arial"/>
                <w:sz w:val="18"/>
                <w:szCs w:val="18"/>
                <w:color w:val="auto"/>
                <w:w w:val="93"/>
              </w:rPr>
              <w:t>Less: Net income (loss) attributable to</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noncontrolling interest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redeemable subsidiary preferred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stock</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(loss) attributable to</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Comcast Corporation</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11,731</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w:t>
            </w:r>
          </w:p>
        </w:tc>
        <w:tc>
          <w:tcPr>
            <w:tcW w:w="3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Basic earnings per common share</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b w:val="1"/>
                <w:bCs w:val="1"/>
                <w:color w:val="auto"/>
                <w:w w:val="97"/>
              </w:rPr>
              <w:t>attributable to Comcast Corporation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b w:val="1"/>
                <w:bCs w:val="1"/>
                <w:color w:val="auto"/>
              </w:rPr>
              <w:t>shareholders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9"/>
              </w:rPr>
              <w:t>5g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earnings per common share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7"/>
              </w:rPr>
              <w:t>attributable to Comcast Corporation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5g</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Condensed Combined Statement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pro forma statement of income of Comcast is based on the historical financial statements of Comcast and Sky after giving effect to the Acquisition, related financings and pro forma adjustments as described in these notes. Pro forma adjustments are included only to the extent they are</w:t>
      </w:r>
    </w:p>
    <w:p>
      <w:pPr>
        <w:ind w:right="380" w:firstLine="4"/>
        <w:spacing w:after="0" w:line="295" w:lineRule="auto"/>
        <w:tabs>
          <w:tab w:leader="none" w:pos="2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directly attributable to the Acquisition, (ii) factually supportable, and (iii) expected to have a continuing impact on the combined results. The pro forma statement of income is presented for illustrative purposes only and does not reflect the costs of any integration activities or cost savings or synergies that may be achieved as a result of the Acquisition. The pro forma statement of income does not reflect non-recurring expenses directly attributable to the Acquisition, including fees to attorneys, accountants and other professional advisors, and other transaction-related costs.</w:t>
      </w:r>
    </w:p>
    <w:p>
      <w:pPr>
        <w:spacing w:after="0" w:line="1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historical consolidated financial statements of Comcast are prepared in accordance with accounting principles generally accepted in the United States of America (“U.S. GAAP”) and are shown in U.S. dollars. The historical consolidated financial statements of Sky are prepared in accordance with International Financial Reporting Standards (“IFRS”) as issued by the International Accounting Standards Board (“IASB”) and are translated into U.S. dollars. The revenue and expenses were translated using average exchange rates for the periods noted.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Sky Historical Financial Statements</w:t>
      </w:r>
    </w:p>
    <w:p>
      <w:pPr>
        <w:spacing w:after="0" w:line="121"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Sky historical balances were derived from Sky’s historical financial statements described in the introduction and are presented under IFRS and converted from British pounds to U.S. dollars based on historical exchange rates. The historical unaudited income statement of Sky for the period January 1, 2018 through October 8, 2018 was translated using the average exchange rate of $1.35 $/£.</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historical balances reflect certain reclassifications of Sky’s income statement categories to conform to Comcast’s presentation and are summarized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6"/>
            <w:vMerge w:val="restart"/>
          </w:tcPr>
          <w:p>
            <w:pPr>
              <w:spacing w:after="0"/>
              <w:rPr>
                <w:sz w:val="20"/>
                <w:szCs w:val="20"/>
                <w:color w:val="auto"/>
              </w:rPr>
            </w:pPr>
            <w:r>
              <w:rPr>
                <w:rFonts w:ascii="Arial" w:cs="Arial" w:eastAsia="Arial" w:hAnsi="Arial"/>
                <w:sz w:val="14"/>
                <w:szCs w:val="14"/>
                <w:b w:val="1"/>
                <w:bCs w:val="1"/>
                <w:i w:val="1"/>
                <w:iCs w:val="1"/>
                <w:color w:val="auto"/>
              </w:rPr>
              <w:t>Sky Financial Statement Line</w:t>
            </w:r>
          </w:p>
        </w:tc>
        <w:tc>
          <w:tcPr>
            <w:tcW w:w="1120" w:type="dxa"/>
            <w:vAlign w:val="bottom"/>
            <w:gridSpan w:val="4"/>
          </w:tcPr>
          <w:p>
            <w:pPr>
              <w:ind w:left="120"/>
              <w:spacing w:after="0"/>
              <w:rPr>
                <w:sz w:val="20"/>
                <w:szCs w:val="20"/>
                <w:color w:val="auto"/>
              </w:rPr>
            </w:pPr>
            <w:r>
              <w:rPr>
                <w:rFonts w:ascii="Arial" w:cs="Arial" w:eastAsia="Arial" w:hAnsi="Arial"/>
                <w:sz w:val="14"/>
                <w:szCs w:val="14"/>
                <w:b w:val="1"/>
                <w:bCs w:val="1"/>
                <w:i w:val="1"/>
                <w:iCs w:val="1"/>
                <w:color w:val="auto"/>
              </w:rPr>
              <w:t>Sky Historical</w:t>
            </w:r>
          </w:p>
        </w:tc>
        <w:tc>
          <w:tcPr>
            <w:tcW w:w="120" w:type="dxa"/>
            <w:vAlign w:val="bottom"/>
          </w:tcPr>
          <w:p>
            <w:pPr>
              <w:spacing w:after="0"/>
              <w:rPr>
                <w:sz w:val="14"/>
                <w:szCs w:val="14"/>
                <w:color w:val="auto"/>
              </w:rPr>
            </w:pPr>
          </w:p>
        </w:tc>
        <w:tc>
          <w:tcPr>
            <w:tcW w:w="4340" w:type="dxa"/>
            <w:vAlign w:val="bottom"/>
            <w:vMerge w:val="restart"/>
          </w:tcPr>
          <w:p>
            <w:pPr>
              <w:ind w:left="1120"/>
              <w:spacing w:after="0"/>
              <w:rPr>
                <w:sz w:val="20"/>
                <w:szCs w:val="20"/>
                <w:color w:val="auto"/>
              </w:rPr>
            </w:pPr>
            <w:r>
              <w:rPr>
                <w:rFonts w:ascii="Arial" w:cs="Arial" w:eastAsia="Arial" w:hAnsi="Arial"/>
                <w:sz w:val="14"/>
                <w:szCs w:val="14"/>
                <w:b w:val="1"/>
                <w:bCs w:val="1"/>
                <w:i w:val="1"/>
                <w:iCs w:val="1"/>
                <w:color w:val="auto"/>
              </w:rPr>
              <w:t>Comcast Financial Statement Line</w:t>
            </w:r>
          </w:p>
        </w:tc>
        <w:tc>
          <w:tcPr>
            <w:tcW w:w="0" w:type="dxa"/>
            <w:vAlign w:val="bottom"/>
          </w:tcPr>
          <w:p>
            <w:pPr>
              <w:spacing w:after="0"/>
              <w:rPr>
                <w:sz w:val="1"/>
                <w:szCs w:val="1"/>
                <w:color w:val="auto"/>
              </w:rPr>
            </w:pPr>
          </w:p>
        </w:tc>
      </w:tr>
      <w:tr>
        <w:trPr>
          <w:trHeight w:val="174"/>
        </w:trPr>
        <w:tc>
          <w:tcPr>
            <w:tcW w:w="456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40"/>
              <w:spacing w:after="0" w:line="154" w:lineRule="exact"/>
              <w:rPr>
                <w:sz w:val="20"/>
                <w:szCs w:val="20"/>
                <w:color w:val="auto"/>
              </w:rPr>
            </w:pPr>
            <w:r>
              <w:rPr>
                <w:rFonts w:ascii="Arial" w:cs="Arial" w:eastAsia="Arial" w:hAnsi="Arial"/>
                <w:sz w:val="14"/>
                <w:szCs w:val="14"/>
                <w:b w:val="1"/>
                <w:bCs w:val="1"/>
                <w:i w:val="1"/>
                <w:iCs w:val="1"/>
                <w:color w:val="auto"/>
                <w:w w:val="94"/>
              </w:rPr>
              <w:t>Amount</w:t>
            </w:r>
          </w:p>
        </w:tc>
        <w:tc>
          <w:tcPr>
            <w:tcW w:w="120" w:type="dxa"/>
            <w:vAlign w:val="bottom"/>
          </w:tcPr>
          <w:p>
            <w:pPr>
              <w:spacing w:after="0"/>
              <w:rPr>
                <w:sz w:val="15"/>
                <w:szCs w:val="15"/>
                <w:color w:val="auto"/>
              </w:rPr>
            </w:pPr>
          </w:p>
        </w:tc>
        <w:tc>
          <w:tcPr>
            <w:tcW w:w="4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800" w:type="dxa"/>
            <w:vAlign w:val="bottom"/>
            <w:tcBorders>
              <w:top w:val="single" w:sz="8" w:color="auto"/>
            </w:tcBorders>
            <w:gridSpan w:val="4"/>
          </w:tcPr>
          <w:p>
            <w:pPr>
              <w:spacing w:after="0" w:line="136" w:lineRule="exact"/>
              <w:rPr>
                <w:sz w:val="20"/>
                <w:szCs w:val="20"/>
                <w:color w:val="auto"/>
              </w:rPr>
            </w:pPr>
            <w:r>
              <w:rPr>
                <w:rFonts w:ascii="Arial" w:cs="Arial" w:eastAsia="Arial" w:hAnsi="Arial"/>
                <w:sz w:val="14"/>
                <w:szCs w:val="14"/>
                <w:i w:val="1"/>
                <w:iCs w:val="1"/>
                <w:color w:val="auto"/>
              </w:rPr>
              <w:t>(in millions)</w:t>
            </w: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Income Statement for the period January 1, 2018 through</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October 8, 2018</w:t>
            </w:r>
          </w:p>
        </w:tc>
        <w:tc>
          <w:tcPr>
            <w:tcW w:w="316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5"/>
          </w:tcPr>
          <w:p>
            <w:pPr>
              <w:spacing w:after="0"/>
              <w:rPr>
                <w:sz w:val="20"/>
                <w:szCs w:val="20"/>
                <w:color w:val="auto"/>
              </w:rPr>
            </w:pPr>
            <w:r>
              <w:rPr>
                <w:rFonts w:ascii="Arial" w:cs="Arial" w:eastAsia="Arial" w:hAnsi="Arial"/>
                <w:sz w:val="18"/>
                <w:szCs w:val="18"/>
                <w:color w:val="auto"/>
              </w:rPr>
              <w:t>Operating expense</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6,921</w:t>
            </w:r>
          </w:p>
        </w:tc>
        <w:tc>
          <w:tcPr>
            <w:tcW w:w="140" w:type="dxa"/>
            <w:vAlign w:val="bottom"/>
          </w:tcPr>
          <w:p>
            <w:pPr>
              <w:spacing w:after="0"/>
              <w:rPr>
                <w:sz w:val="18"/>
                <w:szCs w:val="18"/>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Programming and production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operating and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5"/>
          </w:tcPr>
          <w:p>
            <w:pPr>
              <w:spacing w:after="0"/>
              <w:rPr>
                <w:sz w:val="20"/>
                <w:szCs w:val="20"/>
                <w:color w:val="auto"/>
              </w:rPr>
            </w:pPr>
            <w:r>
              <w:rPr>
                <w:rFonts w:ascii="Arial" w:cs="Arial" w:eastAsia="Arial" w:hAnsi="Arial"/>
                <w:sz w:val="18"/>
                <w:szCs w:val="18"/>
                <w:color w:val="auto"/>
              </w:rPr>
              <w:t>Operating expense</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8"/>
                <w:szCs w:val="18"/>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Advertising, marketing and promotion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5"/>
          </w:tcPr>
          <w:p>
            <w:pPr>
              <w:spacing w:after="0"/>
              <w:rPr>
                <w:sz w:val="20"/>
                <w:szCs w:val="20"/>
                <w:color w:val="auto"/>
              </w:rPr>
            </w:pPr>
            <w:r>
              <w:rPr>
                <w:rFonts w:ascii="Arial" w:cs="Arial" w:eastAsia="Arial" w:hAnsi="Arial"/>
                <w:sz w:val="18"/>
                <w:szCs w:val="18"/>
                <w:color w:val="auto"/>
              </w:rPr>
              <w:t>Operating expense</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20"/>
                <w:szCs w:val="20"/>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9" w:name="page20"/>
    <w:bookmarkEnd w:id="19"/>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the Acquisition, Sky is presented as a separate reportable segment in Comcast’s consolidated financial statements. Comparability of Sky’s results for the twelve months ended December 31, 2018 was affected by contract termination costs and costs related to a settlement totaling $231 million, as well as a gain on the sale of an investment of approximately $845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IFRS to U.S. GAAP Adjustments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IFRS differs in certain respects from U.S. GAAP. The following adjustments have been made to align Sky’s historical accounting policies under IFRS to Comcast’s accounting policies under U.S. GAAP for purposes of this pro forma presentation.</w:t>
      </w:r>
    </w:p>
    <w:p>
      <w:pPr>
        <w:spacing w:after="0" w:line="319" w:lineRule="exact"/>
        <w:rPr>
          <w:sz w:val="20"/>
          <w:szCs w:val="20"/>
          <w:color w:val="auto"/>
        </w:rPr>
      </w:pPr>
    </w:p>
    <w:p>
      <w:pPr>
        <w:ind w:left="980" w:hanging="54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Advertising</w:t>
      </w:r>
    </w:p>
    <w:p>
      <w:pPr>
        <w:spacing w:after="0" w:line="117" w:lineRule="exact"/>
        <w:rPr>
          <w:rFonts w:ascii="Arial" w:cs="Arial" w:eastAsia="Arial" w:hAnsi="Arial"/>
          <w:sz w:val="18"/>
          <w:szCs w:val="18"/>
          <w:color w:val="auto"/>
        </w:rPr>
      </w:pPr>
    </w:p>
    <w:p>
      <w:pPr>
        <w:ind w:left="1000" w:right="120"/>
        <w:spacing w:after="0" w:line="259" w:lineRule="auto"/>
        <w:rPr>
          <w:rFonts w:ascii="Arial" w:cs="Arial" w:eastAsia="Arial" w:hAnsi="Arial"/>
          <w:sz w:val="18"/>
          <w:szCs w:val="18"/>
          <w:color w:val="auto"/>
        </w:rPr>
      </w:pPr>
      <w:r>
        <w:rPr>
          <w:rFonts w:ascii="Arial" w:cs="Arial" w:eastAsia="Arial" w:hAnsi="Arial"/>
          <w:sz w:val="18"/>
          <w:szCs w:val="18"/>
          <w:color w:val="auto"/>
        </w:rPr>
        <w:t>When recognizing revenue from the sale of advertising units, where Sky sells advertising on television channels owned by third parties, revenue will now be recognized on a gross basis. Prior to the adoption of IFRS 15 on June 30, 2018, Sky recognized this advertising revenue on a net basis. This results in increases to revenue and to other operating and administrative expense of $631 million for the year ended December 31, 2018.</w:t>
      </w:r>
    </w:p>
    <w:p>
      <w:pPr>
        <w:spacing w:after="0" w:line="92" w:lineRule="exact"/>
        <w:rPr>
          <w:rFonts w:ascii="Arial" w:cs="Arial" w:eastAsia="Arial" w:hAnsi="Arial"/>
          <w:sz w:val="18"/>
          <w:szCs w:val="18"/>
          <w:color w:val="auto"/>
        </w:rPr>
      </w:pPr>
    </w:p>
    <w:p>
      <w:pPr>
        <w:ind w:left="980" w:hanging="54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consist of other immaterial conforming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Financing Adjustments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finance the Acquisition, Comcast borrowed approximately $38.8 billion, with the remaining amount of consideration funded using cash on hand for total cash consideration of approximately $39.4 billion (using the exchange rate dates on the purchase dates).</w:t>
      </w:r>
    </w:p>
    <w:p>
      <w:pPr>
        <w:spacing w:after="0" w:line="76" w:lineRule="exact"/>
        <w:rPr>
          <w:sz w:val="20"/>
          <w:szCs w:val="20"/>
          <w:color w:val="auto"/>
        </w:rPr>
      </w:pPr>
    </w:p>
    <w:p>
      <w:pPr>
        <w:ind w:left="980" w:right="40" w:hanging="544"/>
        <w:spacing w:after="0" w:line="25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an increase in interest expense of $997 million related to the incremental borrowings for the year ended December 31, 2018. In determining pro forma interest expense, Comcast used the weighted average interest rate of 3.51% for borrowings used to fund the Acquisition. A hypothetical 1/8 percentage point increase/decrease in the weighted average interest rate used would result in an increase/decrease of approximately $19 million in annual pro forma interest expense.</w:t>
      </w:r>
    </w:p>
    <w:p>
      <w:pPr>
        <w:spacing w:after="0" w:line="92" w:lineRule="exact"/>
        <w:rPr>
          <w:rFonts w:ascii="Arial" w:cs="Arial" w:eastAsia="Arial" w:hAnsi="Arial"/>
          <w:sz w:val="18"/>
          <w:szCs w:val="18"/>
          <w:color w:val="auto"/>
        </w:rPr>
      </w:pPr>
    </w:p>
    <w:p>
      <w:pPr>
        <w:ind w:left="980" w:right="640" w:hanging="54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tax effects on the financing adjustments were calculated based on the U.S. federal statutory rate of 21%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Purchase Accounting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 forma statement of income reflects certain Acquisition-related adjustments, which are as follows:</w:t>
      </w:r>
    </w:p>
    <w:p>
      <w:pPr>
        <w:spacing w:after="0" w:line="374" w:lineRule="exact"/>
        <w:rPr>
          <w:sz w:val="20"/>
          <w:szCs w:val="20"/>
          <w:color w:val="auto"/>
        </w:rPr>
      </w:pPr>
    </w:p>
    <w:p>
      <w:pPr>
        <w:ind w:left="980" w:hanging="54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Depreciation Expense</w:t>
      </w:r>
    </w:p>
    <w:p>
      <w:pPr>
        <w:spacing w:after="0" w:line="117" w:lineRule="exact"/>
        <w:rPr>
          <w:rFonts w:ascii="Arial" w:cs="Arial" w:eastAsia="Arial" w:hAnsi="Arial"/>
          <w:sz w:val="18"/>
          <w:szCs w:val="18"/>
          <w:color w:val="auto"/>
        </w:rPr>
      </w:pPr>
    </w:p>
    <w:p>
      <w:pPr>
        <w:ind w:left="1000" w:right="20"/>
        <w:spacing w:after="0" w:line="276" w:lineRule="auto"/>
        <w:rPr>
          <w:rFonts w:ascii="Arial" w:cs="Arial" w:eastAsia="Arial" w:hAnsi="Arial"/>
          <w:sz w:val="18"/>
          <w:szCs w:val="18"/>
          <w:color w:val="auto"/>
        </w:rPr>
      </w:pPr>
      <w:r>
        <w:rPr>
          <w:rFonts w:ascii="Arial" w:cs="Arial" w:eastAsia="Arial" w:hAnsi="Arial"/>
          <w:sz w:val="17"/>
          <w:szCs w:val="17"/>
          <w:color w:val="auto"/>
        </w:rPr>
        <w:t>An adjustment of $741 million was made to increase the historical carrying value of property and equipment to derive a total fair value of property and equipment of $4.1 billion. Customer premise equipment made up the largest balance with a fair value of $1.4 billion, with original estimated useful lives of 5 to 7 years. The remaining property and equipment includes network assets, real estate and other machinery and equipment with a fair value of $1.5 billion, with original estimated useful lives ranging from 3 to 40 years. This adjustment resulted in incremental depreciation expense of $91 million for the twelve months ended December 31, 2018.</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0" w:name="page21"/>
    <w:bookmarkEnd w:id="20"/>
    <w:p>
      <w:pPr>
        <w:ind w:left="544" w:hanging="544"/>
        <w:spacing w:after="0"/>
        <w:tabs>
          <w:tab w:leader="none" w:pos="54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Amortization Expense</w:t>
      </w:r>
    </w:p>
    <w:p>
      <w:pPr>
        <w:spacing w:after="0" w:line="117" w:lineRule="exact"/>
        <w:rPr>
          <w:rFonts w:ascii="Arial" w:cs="Arial" w:eastAsia="Arial" w:hAnsi="Arial"/>
          <w:sz w:val="18"/>
          <w:szCs w:val="18"/>
          <w:color w:val="auto"/>
        </w:rPr>
      </w:pPr>
    </w:p>
    <w:p>
      <w:pPr>
        <w:ind w:left="564" w:right="860"/>
        <w:spacing w:after="0" w:line="277" w:lineRule="auto"/>
        <w:rPr>
          <w:rFonts w:ascii="Arial" w:cs="Arial" w:eastAsia="Arial" w:hAnsi="Arial"/>
          <w:sz w:val="18"/>
          <w:szCs w:val="18"/>
          <w:color w:val="auto"/>
        </w:rPr>
      </w:pPr>
      <w:r>
        <w:rPr>
          <w:rFonts w:ascii="Arial" w:cs="Arial" w:eastAsia="Arial" w:hAnsi="Arial"/>
          <w:sz w:val="18"/>
          <w:szCs w:val="18"/>
          <w:color w:val="auto"/>
        </w:rPr>
        <w:t>An adjustment of $13.6 billion was made to increase the historical carrying value of other intangible assets, net of accumulated amortization. This adjustment reflects the valuation of intangible assets as follows:</w:t>
      </w:r>
    </w:p>
    <w:p>
      <w:pPr>
        <w:spacing w:after="0" w:line="181" w:lineRule="exact"/>
        <w:rPr>
          <w:sz w:val="20"/>
          <w:szCs w:val="20"/>
          <w:color w:val="auto"/>
        </w:rPr>
      </w:pPr>
    </w:p>
    <w:tbl>
      <w:tblPr>
        <w:tblLayout w:type="fixed"/>
        <w:tblInd w:w="1224"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color w:val="auto"/>
                <w:w w:val="98"/>
              </w:rPr>
              <w:t>(in millions)</w:t>
            </w:r>
          </w:p>
        </w:tc>
        <w:tc>
          <w:tcPr>
            <w:tcW w:w="242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Twelve months ended</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Fair</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9"/>
              </w:rPr>
              <w:t>Useful Life</w:t>
            </w:r>
          </w:p>
        </w:tc>
        <w:tc>
          <w:tcPr>
            <w:tcW w:w="100" w:type="dxa"/>
            <w:vAlign w:val="bottom"/>
          </w:tcPr>
          <w:p>
            <w:pPr>
              <w:spacing w:after="0"/>
              <w:rPr>
                <w:sz w:val="15"/>
                <w:szCs w:val="15"/>
                <w:color w:val="auto"/>
              </w:rPr>
            </w:pPr>
          </w:p>
        </w:tc>
        <w:tc>
          <w:tcPr>
            <w:tcW w:w="142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2"/>
              </w:rPr>
              <w:t>December 31, 2018</w:t>
            </w:r>
          </w:p>
        </w:tc>
        <w:tc>
          <w:tcPr>
            <w:tcW w:w="0" w:type="dxa"/>
            <w:vAlign w:val="bottom"/>
          </w:tcPr>
          <w:p>
            <w:pPr>
              <w:spacing w:after="0"/>
              <w:rPr>
                <w:sz w:val="1"/>
                <w:szCs w:val="1"/>
                <w:color w:val="auto"/>
              </w:rPr>
            </w:pPr>
          </w:p>
        </w:tc>
      </w:tr>
      <w:tr>
        <w:trPr>
          <w:trHeight w:val="103"/>
        </w:trPr>
        <w:tc>
          <w:tcPr>
            <w:tcW w:w="940" w:type="dxa"/>
            <w:vAlign w:val="bottom"/>
            <w:gridSpan w:val="2"/>
            <w:vMerge w:val="restart"/>
          </w:tcPr>
          <w:p>
            <w:pPr>
              <w:spacing w:after="0"/>
              <w:rPr>
                <w:sz w:val="20"/>
                <w:szCs w:val="20"/>
                <w:color w:val="auto"/>
              </w:rPr>
            </w:pPr>
            <w:r>
              <w:rPr>
                <w:rFonts w:ascii="Arial" w:cs="Arial" w:eastAsia="Arial" w:hAnsi="Arial"/>
                <w:sz w:val="14"/>
                <w:szCs w:val="14"/>
                <w:color w:val="auto"/>
                <w:w w:val="92"/>
              </w:rPr>
              <w:t>Intangible Asset</w:t>
            </w:r>
          </w:p>
        </w:tc>
        <w:tc>
          <w:tcPr>
            <w:tcW w:w="220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40" w:type="dxa"/>
            <w:vAlign w:val="bottom"/>
            <w:tcBorders>
              <w:bottom w:val="single" w:sz="8" w:color="auto"/>
            </w:tcBorders>
            <w:gridSpan w:val="2"/>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Value</w:t>
            </w:r>
          </w:p>
        </w:tc>
        <w:tc>
          <w:tcPr>
            <w:tcW w:w="340" w:type="dxa"/>
            <w:vAlign w:val="bottom"/>
          </w:tcPr>
          <w:p>
            <w:pPr>
              <w:spacing w:after="0"/>
              <w:rPr>
                <w:sz w:val="15"/>
                <w:szCs w:val="15"/>
                <w:color w:val="auto"/>
              </w:rPr>
            </w:pPr>
          </w:p>
        </w:tc>
        <w:tc>
          <w:tcPr>
            <w:tcW w:w="1020" w:type="dxa"/>
            <w:vAlign w:val="bottom"/>
            <w:gridSpan w:val="3"/>
          </w:tcPr>
          <w:p>
            <w:pPr>
              <w:spacing w:after="0" w:line="154" w:lineRule="exact"/>
              <w:rPr>
                <w:sz w:val="20"/>
                <w:szCs w:val="20"/>
                <w:color w:val="auto"/>
              </w:rPr>
            </w:pPr>
            <w:r>
              <w:rPr>
                <w:rFonts w:ascii="Arial" w:cs="Arial" w:eastAsia="Arial" w:hAnsi="Arial"/>
                <w:sz w:val="14"/>
                <w:szCs w:val="14"/>
                <w:color w:val="auto"/>
              </w:rPr>
              <w:t>Adjustment</w:t>
            </w:r>
          </w:p>
        </w:tc>
        <w:tc>
          <w:tcPr>
            <w:tcW w:w="1080" w:type="dxa"/>
            <w:vAlign w:val="bottom"/>
            <w:gridSpan w:val="2"/>
          </w:tcPr>
          <w:p>
            <w:pPr>
              <w:jc w:val="center"/>
              <w:ind w:right="320"/>
              <w:spacing w:after="0" w:line="154" w:lineRule="exact"/>
              <w:rPr>
                <w:sz w:val="20"/>
                <w:szCs w:val="20"/>
                <w:color w:val="auto"/>
              </w:rPr>
            </w:pPr>
            <w:r>
              <w:rPr>
                <w:rFonts w:ascii="Arial" w:cs="Arial" w:eastAsia="Arial" w:hAnsi="Arial"/>
                <w:sz w:val="14"/>
                <w:szCs w:val="14"/>
                <w:color w:val="auto"/>
                <w:w w:val="95"/>
              </w:rPr>
              <w:t>(in years)</w:t>
            </w:r>
          </w:p>
        </w:tc>
        <w:tc>
          <w:tcPr>
            <w:tcW w:w="1520" w:type="dxa"/>
            <w:vAlign w:val="bottom"/>
            <w:gridSpan w:val="3"/>
          </w:tcPr>
          <w:p>
            <w:pPr>
              <w:spacing w:after="0" w:line="154" w:lineRule="exact"/>
              <w:rPr>
                <w:sz w:val="20"/>
                <w:szCs w:val="20"/>
                <w:color w:val="auto"/>
              </w:rPr>
            </w:pPr>
            <w:r>
              <w:rPr>
                <w:rFonts w:ascii="Arial" w:cs="Arial" w:eastAsia="Arial" w:hAnsi="Arial"/>
                <w:sz w:val="14"/>
                <w:szCs w:val="14"/>
                <w:color w:val="auto"/>
                <w:w w:val="96"/>
              </w:rPr>
              <w:t>Incremental Amortization</w:t>
            </w: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9,449</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6,191</w:t>
            </w:r>
          </w:p>
        </w:tc>
        <w:tc>
          <w:tcPr>
            <w:tcW w:w="3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 to 19</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Tradenames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5,833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5,075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Indefinite</w:t>
            </w:r>
          </w:p>
        </w:tc>
        <w:tc>
          <w:tcPr>
            <w:tcW w:w="1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4,257</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 to 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19,539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13,555</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4"/>
        <w:spacing w:after="0" w:line="259" w:lineRule="auto"/>
        <w:rPr>
          <w:sz w:val="20"/>
          <w:szCs w:val="20"/>
          <w:color w:val="auto"/>
        </w:rPr>
      </w:pPr>
      <w:r>
        <w:rPr>
          <w:rFonts w:ascii="Arial" w:cs="Arial" w:eastAsia="Arial" w:hAnsi="Arial"/>
          <w:sz w:val="18"/>
          <w:szCs w:val="18"/>
          <w:color w:val="auto"/>
        </w:rPr>
        <w:t>Customer relationships consist of direct to consumer, distributor and advertiser relationships. The amortization of customer relationships is based on the valuation and the estimated lives of customers following the Acquisition date. The estimated customer lives are based on expected customer attrition using the historical churn for Sky. For purposes of this pro forma statement of income, a straight-line method has been applied.</w:t>
      </w:r>
    </w:p>
    <w:p>
      <w:pPr>
        <w:spacing w:after="0" w:line="335" w:lineRule="exact"/>
        <w:rPr>
          <w:sz w:val="20"/>
          <w:szCs w:val="20"/>
          <w:color w:val="auto"/>
        </w:rPr>
      </w:pPr>
    </w:p>
    <w:p>
      <w:pPr>
        <w:ind w:left="544" w:hanging="544"/>
        <w:spacing w:after="0"/>
        <w:tabs>
          <w:tab w:leader="none" w:pos="54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Non-Recurring Transaction-Related Costs</w:t>
      </w:r>
    </w:p>
    <w:p>
      <w:pPr>
        <w:spacing w:after="0" w:line="117" w:lineRule="exact"/>
        <w:rPr>
          <w:rFonts w:ascii="Arial" w:cs="Arial" w:eastAsia="Arial" w:hAnsi="Arial"/>
          <w:sz w:val="18"/>
          <w:szCs w:val="18"/>
          <w:color w:val="auto"/>
        </w:rPr>
      </w:pPr>
    </w:p>
    <w:p>
      <w:pPr>
        <w:ind w:left="564" w:right="120"/>
        <w:spacing w:after="0" w:line="302" w:lineRule="auto"/>
        <w:rPr>
          <w:rFonts w:ascii="Arial" w:cs="Arial" w:eastAsia="Arial" w:hAnsi="Arial"/>
          <w:sz w:val="18"/>
          <w:szCs w:val="18"/>
          <w:color w:val="auto"/>
        </w:rPr>
      </w:pPr>
      <w:r>
        <w:rPr>
          <w:rFonts w:ascii="Arial" w:cs="Arial" w:eastAsia="Arial" w:hAnsi="Arial"/>
          <w:sz w:val="16"/>
          <w:szCs w:val="16"/>
          <w:color w:val="auto"/>
        </w:rPr>
        <w:t>The decrease in other operating and administrative expense reflects $529 million of expenses incurred for transaction-related costs associated with the Acquisition, including the U.K. share acquisition tax, success-based investment banker fees, and elimination of other transaction-related costs recorded in the historical financial statements of Comcast and Sky for the year ended December 31, 2018. These costs are excluded from the pro forma statement of income, as they are non-recurring charges directly attributable to the Acquisition.</w:t>
      </w:r>
    </w:p>
    <w:p>
      <w:pPr>
        <w:spacing w:after="0" w:line="302" w:lineRule="exact"/>
        <w:rPr>
          <w:rFonts w:ascii="Arial" w:cs="Arial" w:eastAsia="Arial" w:hAnsi="Arial"/>
          <w:sz w:val="18"/>
          <w:szCs w:val="18"/>
          <w:color w:val="auto"/>
        </w:rPr>
      </w:pPr>
    </w:p>
    <w:p>
      <w:pPr>
        <w:ind w:left="544" w:hanging="544"/>
        <w:spacing w:after="0"/>
        <w:tabs>
          <w:tab w:leader="none" w:pos="54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Programming and Production Expense</w:t>
      </w:r>
    </w:p>
    <w:p>
      <w:pPr>
        <w:spacing w:after="0" w:line="117" w:lineRule="exact"/>
        <w:rPr>
          <w:rFonts w:ascii="Arial" w:cs="Arial" w:eastAsia="Arial" w:hAnsi="Arial"/>
          <w:sz w:val="18"/>
          <w:szCs w:val="18"/>
          <w:color w:val="auto"/>
        </w:rPr>
      </w:pPr>
    </w:p>
    <w:p>
      <w:pPr>
        <w:ind w:left="564" w:right="300"/>
        <w:spacing w:after="0" w:line="277" w:lineRule="auto"/>
        <w:rPr>
          <w:rFonts w:ascii="Arial" w:cs="Arial" w:eastAsia="Arial" w:hAnsi="Arial"/>
          <w:sz w:val="18"/>
          <w:szCs w:val="18"/>
          <w:color w:val="auto"/>
        </w:rPr>
      </w:pPr>
      <w:r>
        <w:rPr>
          <w:rFonts w:ascii="Arial" w:cs="Arial" w:eastAsia="Arial" w:hAnsi="Arial"/>
          <w:sz w:val="18"/>
          <w:szCs w:val="18"/>
          <w:color w:val="auto"/>
        </w:rPr>
        <w:t>The decrease in programming and production expense for the year ended December 31, 2018 reflects the valuation adjustment of $304 million related to Sky’s contractual obligations.</w:t>
      </w:r>
    </w:p>
    <w:p>
      <w:pPr>
        <w:spacing w:after="0" w:line="319" w:lineRule="exact"/>
        <w:rPr>
          <w:rFonts w:ascii="Arial" w:cs="Arial" w:eastAsia="Arial" w:hAnsi="Arial"/>
          <w:sz w:val="18"/>
          <w:szCs w:val="18"/>
          <w:color w:val="auto"/>
        </w:rPr>
      </w:pPr>
    </w:p>
    <w:p>
      <w:pPr>
        <w:ind w:left="544" w:hanging="544"/>
        <w:spacing w:after="0"/>
        <w:tabs>
          <w:tab w:leader="none" w:pos="54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Income Tax Expense</w:t>
      </w:r>
    </w:p>
    <w:p>
      <w:pPr>
        <w:spacing w:after="0" w:line="117" w:lineRule="exact"/>
        <w:rPr>
          <w:rFonts w:ascii="Arial" w:cs="Arial" w:eastAsia="Arial" w:hAnsi="Arial"/>
          <w:sz w:val="18"/>
          <w:szCs w:val="18"/>
          <w:color w:val="auto"/>
        </w:rPr>
      </w:pPr>
    </w:p>
    <w:p>
      <w:pPr>
        <w:ind w:left="564" w:right="220"/>
        <w:spacing w:after="0" w:line="312" w:lineRule="auto"/>
        <w:rPr>
          <w:rFonts w:ascii="Arial" w:cs="Arial" w:eastAsia="Arial" w:hAnsi="Arial"/>
          <w:sz w:val="18"/>
          <w:szCs w:val="18"/>
          <w:color w:val="auto"/>
        </w:rPr>
      </w:pPr>
      <w:r>
        <w:rPr>
          <w:rFonts w:ascii="Arial" w:cs="Arial" w:eastAsia="Arial" w:hAnsi="Arial"/>
          <w:sz w:val="16"/>
          <w:szCs w:val="16"/>
          <w:color w:val="auto"/>
        </w:rPr>
        <w:t>The income tax expense impact of Sky pro forma adjustments was calculated by applying the applicable statutory rate in effect by jurisdiction to each corresponding pro forma adjustment for the year ended December 31, 2018. The income tax expense impact of Sky IFRS to GAAP adjustments was calculated using an estimated blended statutory tax rate of 20% for the year ended December 31, 2018.</w:t>
      </w:r>
    </w:p>
    <w:p>
      <w:pPr>
        <w:spacing w:after="0" w:line="295" w:lineRule="exact"/>
        <w:rPr>
          <w:rFonts w:ascii="Arial" w:cs="Arial" w:eastAsia="Arial" w:hAnsi="Arial"/>
          <w:sz w:val="18"/>
          <w:szCs w:val="18"/>
          <w:color w:val="auto"/>
        </w:rPr>
      </w:pPr>
    </w:p>
    <w:p>
      <w:pPr>
        <w:ind w:left="544" w:hanging="544"/>
        <w:spacing w:after="0"/>
        <w:tabs>
          <w:tab w:leader="none" w:pos="54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Interest Expense</w:t>
      </w:r>
    </w:p>
    <w:p>
      <w:pPr>
        <w:spacing w:after="0" w:line="117" w:lineRule="exact"/>
        <w:rPr>
          <w:rFonts w:ascii="Arial" w:cs="Arial" w:eastAsia="Arial" w:hAnsi="Arial"/>
          <w:sz w:val="18"/>
          <w:szCs w:val="18"/>
          <w:color w:val="auto"/>
        </w:rPr>
      </w:pPr>
    </w:p>
    <w:p>
      <w:pPr>
        <w:ind w:left="564"/>
        <w:spacing w:after="0"/>
        <w:rPr>
          <w:rFonts w:ascii="Arial" w:cs="Arial" w:eastAsia="Arial" w:hAnsi="Arial"/>
          <w:sz w:val="18"/>
          <w:szCs w:val="18"/>
          <w:color w:val="auto"/>
        </w:rPr>
      </w:pPr>
      <w:r>
        <w:rPr>
          <w:rFonts w:ascii="Arial" w:cs="Arial" w:eastAsia="Arial" w:hAnsi="Arial"/>
          <w:sz w:val="17"/>
          <w:szCs w:val="17"/>
          <w:color w:val="auto"/>
        </w:rPr>
        <w:t>As a result of the increase in Sky’s fair value of debt, interest expense decreased $53 million for the year ended December 31, 2018.</w:t>
      </w:r>
    </w:p>
    <w:p>
      <w:pPr>
        <w:spacing w:after="0" w:line="385" w:lineRule="exact"/>
        <w:rPr>
          <w:rFonts w:ascii="Arial" w:cs="Arial" w:eastAsia="Arial" w:hAnsi="Arial"/>
          <w:sz w:val="18"/>
          <w:szCs w:val="18"/>
          <w:color w:val="auto"/>
        </w:rPr>
      </w:pPr>
    </w:p>
    <w:p>
      <w:pPr>
        <w:ind w:left="544" w:hanging="544"/>
        <w:spacing w:after="0"/>
        <w:tabs>
          <w:tab w:leader="none" w:pos="54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117" w:lineRule="exact"/>
        <w:rPr>
          <w:rFonts w:ascii="Arial" w:cs="Arial" w:eastAsia="Arial" w:hAnsi="Arial"/>
          <w:sz w:val="18"/>
          <w:szCs w:val="18"/>
          <w:color w:val="auto"/>
        </w:rPr>
      </w:pPr>
    </w:p>
    <w:p>
      <w:pPr>
        <w:ind w:left="564" w:right="80"/>
        <w:spacing w:after="0" w:line="264" w:lineRule="auto"/>
        <w:rPr>
          <w:rFonts w:ascii="Arial" w:cs="Arial" w:eastAsia="Arial" w:hAnsi="Arial"/>
          <w:sz w:val="18"/>
          <w:szCs w:val="18"/>
          <w:color w:val="auto"/>
        </w:rPr>
      </w:pPr>
      <w:r>
        <w:rPr>
          <w:rFonts w:ascii="Arial" w:cs="Arial" w:eastAsia="Arial" w:hAnsi="Arial"/>
          <w:sz w:val="18"/>
          <w:szCs w:val="18"/>
          <w:color w:val="auto"/>
        </w:rPr>
        <w:t>The pro forma combined diluted earnings per share presented below for the year ended December 31, 2018 reflects the dilutive effect of Comcast issued replacement share-based compensation awards for unvested awards based in Sky shares that were held by Sky employees at the time of the Acquisition:</w:t>
      </w:r>
    </w:p>
    <w:p>
      <w:pPr>
        <w:spacing w:after="0" w:line="191" w:lineRule="exact"/>
        <w:rPr>
          <w:sz w:val="20"/>
          <w:szCs w:val="20"/>
          <w:color w:val="auto"/>
        </w:rPr>
      </w:pPr>
    </w:p>
    <w:tbl>
      <w:tblPr>
        <w:tblLayout w:type="fixed"/>
        <w:tblInd w:w="1344" w:type="dxa"/>
        <w:tblCellMar>
          <w:top w:w="0" w:type="dxa"/>
          <w:left w:w="0" w:type="dxa"/>
          <w:bottom w:w="0" w:type="dxa"/>
          <w:right w:w="0" w:type="dxa"/>
        </w:tblCellMar>
      </w:tblPr>
      <w:tr>
        <w:trPr>
          <w:trHeight w:val="161"/>
        </w:trPr>
        <w:tc>
          <w:tcPr>
            <w:tcW w:w="2000" w:type="dxa"/>
            <w:vAlign w:val="bottom"/>
            <w:vMerge w:val="restart"/>
          </w:tcPr>
          <w:p>
            <w:pPr>
              <w:spacing w:after="0"/>
              <w:rPr>
                <w:sz w:val="20"/>
                <w:szCs w:val="20"/>
                <w:color w:val="auto"/>
              </w:rPr>
            </w:pPr>
            <w:r>
              <w:rPr>
                <w:rFonts w:ascii="Arial" w:cs="Arial" w:eastAsia="Arial" w:hAnsi="Arial"/>
                <w:sz w:val="14"/>
                <w:szCs w:val="14"/>
                <w:color w:val="auto"/>
                <w:w w:val="92"/>
              </w:rPr>
              <w:t>(in millions, except per share data)</w:t>
            </w:r>
          </w:p>
        </w:tc>
        <w:tc>
          <w:tcPr>
            <w:tcW w:w="346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74"/>
        </w:trPr>
        <w:tc>
          <w:tcPr>
            <w:tcW w:w="200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2020" w:type="dxa"/>
            <w:vAlign w:val="bottom"/>
            <w:gridSpan w:val="4"/>
          </w:tcPr>
          <w:p>
            <w:pPr>
              <w:jc w:val="center"/>
              <w:ind w:left="676"/>
              <w:spacing w:after="0" w:line="154" w:lineRule="exact"/>
              <w:rPr>
                <w:sz w:val="20"/>
                <w:szCs w:val="20"/>
                <w:color w:val="auto"/>
              </w:rPr>
            </w:pPr>
            <w:r>
              <w:rPr>
                <w:rFonts w:ascii="Arial" w:cs="Arial" w:eastAsia="Arial" w:hAnsi="Arial"/>
                <w:sz w:val="14"/>
                <w:szCs w:val="14"/>
                <w:color w:val="auto"/>
                <w:w w:val="92"/>
              </w:rPr>
              <w:t>December 31, 2018</w:t>
            </w: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Pro forma net income</w:t>
            </w: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12,176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Basic weighted average Comcast shares outstanding</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basic earnings per share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Diluted weighted average Comcast shares outstanding</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Comcast replacement awards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Pro forma diluted weighted average Comcast shares outstanding</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diluted earnings per share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460" w:type="dxa"/>
            <w:vAlign w:val="bottom"/>
            <w:gridSpan w:val="2"/>
          </w:tcPr>
          <w:p>
            <w:pPr>
              <w:ind w:left="3680"/>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4"/>
          </w:cols>
          <w:pgMar w:left="876" w:top="274" w:right="459" w:bottom="1440" w:gutter="0" w:footer="0" w:header="0"/>
        </w:sectPr>
      </w:pPr>
    </w:p>
    <w:bookmarkStart w:id="21" w:name="page22"/>
    <w:bookmarkEnd w:id="21"/>
    <w:p>
      <w:pPr>
        <w:ind w:left="544" w:hanging="544"/>
        <w:spacing w:after="0"/>
        <w:tabs>
          <w:tab w:leader="none" w:pos="54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Intercompany transactions</w:t>
      </w:r>
    </w:p>
    <w:p>
      <w:pPr>
        <w:spacing w:after="0" w:line="117" w:lineRule="exact"/>
        <w:rPr>
          <w:rFonts w:ascii="Arial" w:cs="Arial" w:eastAsia="Arial" w:hAnsi="Arial"/>
          <w:sz w:val="18"/>
          <w:szCs w:val="18"/>
          <w:color w:val="auto"/>
        </w:rPr>
      </w:pPr>
    </w:p>
    <w:p>
      <w:pPr>
        <w:ind w:left="564"/>
        <w:spacing w:after="0" w:line="277" w:lineRule="auto"/>
        <w:rPr>
          <w:rFonts w:ascii="Arial" w:cs="Arial" w:eastAsia="Arial" w:hAnsi="Arial"/>
          <w:sz w:val="18"/>
          <w:szCs w:val="18"/>
          <w:color w:val="auto"/>
        </w:rPr>
      </w:pPr>
      <w:r>
        <w:rPr>
          <w:rFonts w:ascii="Arial" w:cs="Arial" w:eastAsia="Arial" w:hAnsi="Arial"/>
          <w:sz w:val="18"/>
          <w:szCs w:val="18"/>
          <w:color w:val="auto"/>
        </w:rPr>
        <w:t>These adjustments reflect the elimination of intercompany revenue and expenses related to transactions between Comcast, primarily with its wholly-owned subsidiary NBCUniversal Media, LLC, and Sky.</w:t>
      </w:r>
    </w:p>
    <w:p>
      <w:pPr>
        <w:spacing w:after="0" w:line="181" w:lineRule="exact"/>
        <w:rPr>
          <w:sz w:val="20"/>
          <w:szCs w:val="20"/>
          <w:color w:val="auto"/>
        </w:rPr>
      </w:pPr>
    </w:p>
    <w:tbl>
      <w:tblPr>
        <w:tblLayout w:type="fixed"/>
        <w:tblInd w:w="1344"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3120" w:type="dxa"/>
            <w:vAlign w:val="bottom"/>
            <w:gridSpan w:val="4"/>
          </w:tcPr>
          <w:p>
            <w:pPr>
              <w:jc w:val="right"/>
              <w:ind w:right="120"/>
              <w:spacing w:after="0" w:line="154" w:lineRule="exact"/>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Programming and production</w:t>
            </w:r>
          </w:p>
        </w:tc>
        <w:tc>
          <w:tcPr>
            <w:tcW w:w="20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and administrative</w:t>
            </w:r>
          </w:p>
        </w:tc>
        <w:tc>
          <w:tcPr>
            <w:tcW w:w="20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24" w:right="4480" w:hanging="5024"/>
        <w:spacing w:after="0" w:line="536" w:lineRule="auto"/>
        <w:tabs>
          <w:tab w:leader="none" w:pos="531"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consist of other immaterial purchase price allocation adjustments. 6</w:t>
      </w:r>
    </w:p>
    <w:sectPr>
      <w:pgSz w:w="11900" w:h="16838" w:orient="portrait"/>
      <w:cols w:equalWidth="0" w:num="1">
        <w:col w:w="10444"/>
      </w:cols>
      <w:pgMar w:left="876"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1"/>
    </w:lvl>
  </w:abstractNum>
  <w:abstractNum w:abstractNumId="2">
    <w:nsid w:val="431BD7B7"/>
    <w:multiLevelType w:val="hybridMultilevel"/>
    <w:lvl w:ilvl="0">
      <w:lvlJc w:val="left"/>
      <w:lvlText w:val="(%1)"/>
      <w:numFmt w:val="lowerLetter"/>
      <w:start w:val="2"/>
    </w:lvl>
  </w:abstractNum>
  <w:abstractNum w:abstractNumId="3">
    <w:nsid w:val="3F2DBA31"/>
    <w:multiLevelType w:val="hybridMultilevel"/>
    <w:lvl w:ilvl="0">
      <w:lvlJc w:val="left"/>
      <w:lvlText w:val="(%1)"/>
      <w:numFmt w:val="lowerLetter"/>
      <w:start w:val="4"/>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2"/>
      <w:numFmt w:val="bullet"/>
      <w:start w:val="1"/>
    </w:lvl>
  </w:abstractNum>
  <w:abstractNum w:abstractNumId="9">
    <w:nsid w:val="333AB105"/>
    <w:multiLevelType w:val="hybridMultilevel"/>
    <w:lvl w:ilvl="0">
      <w:lvlJc w:val="left"/>
      <w:lvlText w:val="3"/>
      <w:numFmt w:val="bullet"/>
      <w:start w:val="1"/>
    </w:lvl>
  </w:abstractNum>
  <w:abstractNum w:abstractNumId="10">
    <w:nsid w:val="721DA317"/>
    <w:multiLevelType w:val="hybridMultilevel"/>
    <w:lvl w:ilvl="0">
      <w:lvlJc w:val="left"/>
      <w:lvlText w:val="6"/>
      <w:numFmt w:val="bullet"/>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Letter"/>
      <w:start w:val="2"/>
    </w:lvl>
  </w:abstractNum>
  <w:abstractNum w:abstractNumId="13">
    <w:nsid w:val="6763845E"/>
    <w:multiLevelType w:val="hybridMultilevel"/>
    <w:lvl w:ilvl="0">
      <w:lvlJc w:val="left"/>
      <w:lvlText w:val="%1)"/>
      <w:numFmt w:val="lowerLetter"/>
      <w:start w:val="3"/>
    </w:lvl>
  </w:abstractNum>
  <w:abstractNum w:abstractNumId="14">
    <w:nsid w:val="75A2A8D4"/>
    <w:multiLevelType w:val="hybridMultilevel"/>
    <w:lvl w:ilvl="0">
      <w:lvlJc w:val="left"/>
      <w:lvlText w:val="7"/>
      <w:numFmt w:val="bullet"/>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7"/>
      <w:numFmt w:val="bullet"/>
      <w:start w:val="1"/>
    </w:lvl>
  </w:abstractNum>
  <w:abstractNum w:abstractNumId="17">
    <w:nsid w:val="4353D0CD"/>
    <w:multiLevelType w:val="hybridMultilevel"/>
    <w:lvl w:ilvl="0">
      <w:lvlJc w:val="left"/>
      <w:lvlText w:val="%1)"/>
      <w:numFmt w:val="lowerLetter"/>
      <w:start w:val="2"/>
    </w:lvl>
  </w:abstractNum>
  <w:abstractNum w:abstractNumId="18">
    <w:nsid w:val="B03E0C6"/>
    <w:multiLevelType w:val="hybridMultilevel"/>
    <w:lvl w:ilvl="0">
      <w:lvlJc w:val="left"/>
      <w:lvlText w:val="%1)"/>
      <w:numFmt w:val="lowerLetter"/>
      <w:start w:val="3"/>
    </w:lvl>
  </w:abstractNum>
  <w:abstractNum w:abstractNumId="19">
    <w:nsid w:val="189A769B"/>
    <w:multiLevelType w:val="hybridMultilevel"/>
    <w:lvl w:ilvl="0">
      <w:lvlJc w:val="left"/>
      <w:lvlText w:val="7"/>
      <w:numFmt w:val="bullet"/>
      <w:start w:val="1"/>
    </w:lvl>
  </w:abstractNum>
  <w:abstractNum w:abstractNumId="20">
    <w:nsid w:val="54E49EB4"/>
    <w:multiLevelType w:val="hybridMultilevel"/>
    <w:lvl w:ilvl="0">
      <w:lvlJc w:val="left"/>
      <w:lvlText w:val="%1)"/>
      <w:numFmt w:val="lowerLetter"/>
      <w:start w:val="4"/>
    </w:lvl>
  </w:abstractNum>
  <w:abstractNum w:abstractNumId="21">
    <w:nsid w:val="71F32454"/>
    <w:multiLevelType w:val="hybridMultilevel"/>
    <w:lvl w:ilvl="0">
      <w:lvlJc w:val="left"/>
      <w:lvlText w:val="8"/>
      <w:numFmt w:val="bullet"/>
      <w:start w:val="1"/>
    </w:lvl>
  </w:abstractNum>
  <w:abstractNum w:abstractNumId="22">
    <w:nsid w:val="2CA88611"/>
    <w:multiLevelType w:val="hybridMultilevel"/>
    <w:lvl w:ilvl="0">
      <w:lvlJc w:val="left"/>
      <w:lvlText w:val="9"/>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lowerRoman"/>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lowerLetter"/>
      <w:start w:val="3"/>
    </w:lvl>
  </w:abstractNum>
  <w:abstractNum w:abstractNumId="31">
    <w:nsid w:val="22221A70"/>
    <w:multiLevelType w:val="hybridMultilevel"/>
    <w:lvl w:ilvl="0">
      <w:lvlJc w:val="left"/>
      <w:lvlText w:val="%1)"/>
      <w:numFmt w:val="lowerLetter"/>
      <w:start w:val="8"/>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7" Type="http://schemas.openxmlformats.org/officeDocument/2006/relationships/hyperlink" Target="http://www.sec.gov/Archives/edgar/data/1166691/000119312518352064/d654855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2019-12-28T09:06:16Z</dcterms:created>
  <dcterms:modified xsi:type="dcterms:W3CDTF">2019-12-28T09:06:16Z</dcterms:modified>
</cp:coreProperties>
</file>