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SCHEDULE 13G</w:t>
      </w:r>
    </w:p>
    <w:p>
      <w:pPr>
        <w:jc w:val="center"/>
        <w:ind w:right="241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23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6" w:lineRule="exact"/>
        <w:rPr>
          <w:sz w:val="24"/>
          <w:szCs w:val="24"/>
          <w:color w:val="auto"/>
        </w:rPr>
      </w:pPr>
    </w:p>
    <w:p>
      <w:pPr>
        <w:jc w:val="center"/>
        <w:ind w:right="229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13d-2(b)</w:t>
      </w: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__)(1)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Ticketmaster Online-CitySearch, Inc.</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Class B Common Stock</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88633P203</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960" w:hanging="215"/>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4" w:lineRule="exact"/>
        <w:rPr>
          <w:rFonts w:ascii="Courier New" w:cs="Courier New" w:eastAsia="Courier New" w:hAnsi="Courier New"/>
          <w:sz w:val="18"/>
          <w:szCs w:val="18"/>
          <w:color w:val="auto"/>
        </w:rPr>
      </w:pPr>
    </w:p>
    <w:p>
      <w:pPr>
        <w:jc w:val="both"/>
        <w:ind w:left="740" w:right="7679" w:firstLine="5"/>
        <w:spacing w:after="0" w:line="290" w:lineRule="auto"/>
        <w:tabs>
          <w:tab w:leader="none" w:pos="95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13d-1(c) [X] Rule 13d-1(d)</w:t>
      </w:r>
    </w:p>
    <w:p>
      <w:pPr>
        <w:spacing w:after="0" w:line="16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firstLine="640"/>
        <w:spacing w:after="0" w:line="237"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207" w:lineRule="exact"/>
        <w:rPr>
          <w:sz w:val="24"/>
          <w:szCs w:val="24"/>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3560" w:val="left"/>
          <w:tab w:leader="none" w:pos="6420" w:val="left"/>
        </w:tabs>
        <w:rPr>
          <w:sz w:val="20"/>
          <w:szCs w:val="20"/>
          <w:color w:val="auto"/>
        </w:rPr>
      </w:pPr>
      <w:r>
        <w:rPr>
          <w:rFonts w:ascii="Courier New" w:cs="Courier New" w:eastAsia="Courier New" w:hAnsi="Courier New"/>
          <w:sz w:val="18"/>
          <w:szCs w:val="18"/>
          <w:color w:val="auto"/>
        </w:rPr>
        <w:t>CUSIP No. 88633P203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1" w:lineRule="exact"/>
        <w:rPr>
          <w:sz w:val="24"/>
          <w:szCs w:val="24"/>
          <w:color w:val="auto"/>
        </w:rPr>
      </w:pPr>
    </w:p>
    <w:p>
      <w:pPr>
        <w:ind w:left="1060" w:hanging="631"/>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4"/>
          <w:szCs w:val="24"/>
          <w:color w:val="auto"/>
        </w:rPr>
      </w:pPr>
    </w:p>
    <w:p>
      <w:pPr>
        <w:ind w:left="420"/>
        <w:spacing w:after="0"/>
        <w:tabs>
          <w:tab w:leader="none" w:pos="10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jc w:val="right"/>
        <w:ind w:right="1999"/>
        <w:spacing w:after="0" w:line="238" w:lineRule="auto"/>
        <w:rPr>
          <w:sz w:val="20"/>
          <w:szCs w:val="20"/>
          <w:color w:val="auto"/>
        </w:rPr>
      </w:pPr>
      <w:r>
        <w:rPr>
          <w:rFonts w:ascii="Courier New" w:cs="Courier New" w:eastAsia="Courier New" w:hAnsi="Courier New"/>
          <w:sz w:val="18"/>
          <w:szCs w:val="18"/>
          <w:color w:val="auto"/>
        </w:rPr>
        <w:t>(a) [ ]</w:t>
      </w:r>
    </w:p>
    <w:p>
      <w:pPr>
        <w:jc w:val="right"/>
        <w:ind w:right="1999"/>
        <w:spacing w:after="0"/>
        <w:rPr>
          <w:sz w:val="20"/>
          <w:szCs w:val="20"/>
          <w:color w:val="auto"/>
        </w:rPr>
      </w:pPr>
      <w:r>
        <w:rPr>
          <w:rFonts w:ascii="Courier New" w:cs="Courier New" w:eastAsia="Courier New" w:hAnsi="Courier New"/>
          <w:sz w:val="18"/>
          <w:szCs w:val="18"/>
          <w:color w:val="auto"/>
        </w:rPr>
        <w:t>(b) [ ]</w:t>
      </w:r>
    </w:p>
    <w:p>
      <w:pPr>
        <w:ind w:left="1060" w:hanging="631"/>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1160" w:right="5359" w:hanging="731"/>
        <w:spacing w:after="0" w:line="470" w:lineRule="auto"/>
        <w:tabs>
          <w:tab w:leader="none" w:pos="105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Pennsylvania</w:t>
      </w:r>
    </w:p>
    <w:p>
      <w:pPr>
        <w:spacing w:after="0" w:line="6" w:lineRule="exact"/>
        <w:rPr>
          <w:rFonts w:ascii="Courier New" w:cs="Courier New" w:eastAsia="Courier New" w:hAnsi="Courier New"/>
          <w:sz w:val="18"/>
          <w:szCs w:val="18"/>
          <w:color w:val="auto"/>
        </w:rPr>
      </w:pPr>
    </w:p>
    <w:p>
      <w:pPr>
        <w:ind w:left="3160" w:hanging="518"/>
        <w:spacing w:after="0"/>
        <w:tabs>
          <w:tab w:leader="none" w:pos="31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6" w:lineRule="exact"/>
        <w:rPr>
          <w:rFonts w:ascii="Courier New" w:cs="Courier New" w:eastAsia="Courier New" w:hAnsi="Courier New"/>
          <w:sz w:val="18"/>
          <w:szCs w:val="18"/>
          <w:color w:val="auto"/>
        </w:rPr>
      </w:pPr>
    </w:p>
    <w:p>
      <w:pPr>
        <w:ind w:left="31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453,613 shares of Class A Common Stock, which is convertible into Class B</w:t>
      </w:r>
    </w:p>
    <w:tbl>
      <w:tblPr>
        <w:tblLayout w:type="fixed"/>
        <w:tblInd w:w="64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Courier New" w:cs="Courier New" w:eastAsia="Courier New" w:hAnsi="Courier New"/>
                <w:sz w:val="18"/>
                <w:szCs w:val="18"/>
                <w:color w:val="auto"/>
              </w:rPr>
              <w:t>Common Stock on a one-for-one basis.</w:t>
            </w:r>
          </w:p>
        </w:tc>
      </w:tr>
      <w:tr>
        <w:trPr>
          <w:trHeight w:val="203"/>
        </w:trPr>
        <w:tc>
          <w:tcPr>
            <w:tcW w:w="16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740" w:type="dxa"/>
            <w:vAlign w:val="bottom"/>
          </w:tcPr>
          <w:p>
            <w:pPr>
              <w:spacing w:after="0"/>
              <w:rPr>
                <w:sz w:val="17"/>
                <w:szCs w:val="17"/>
                <w:color w:val="auto"/>
              </w:rPr>
            </w:pPr>
          </w:p>
        </w:tc>
        <w:tc>
          <w:tcPr>
            <w:tcW w:w="4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(See Item 4).</w:t>
            </w:r>
          </w:p>
        </w:tc>
      </w:tr>
      <w:tr>
        <w:trPr>
          <w:trHeight w:val="203"/>
        </w:trPr>
        <w:tc>
          <w:tcPr>
            <w:tcW w:w="16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203"/>
        </w:trPr>
        <w:tc>
          <w:tcPr>
            <w:tcW w:w="16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4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40" w:type="dxa"/>
            <w:vAlign w:val="bottom"/>
          </w:tcPr>
          <w:p>
            <w:pPr>
              <w:spacing w:after="0"/>
              <w:rPr>
                <w:sz w:val="17"/>
                <w:szCs w:val="17"/>
                <w:color w:val="auto"/>
              </w:rPr>
            </w:pPr>
          </w:p>
        </w:tc>
        <w:tc>
          <w:tcPr>
            <w:tcW w:w="4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6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203"/>
        </w:trPr>
        <w:tc>
          <w:tcPr>
            <w:tcW w:w="16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4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740" w:type="dxa"/>
            <w:vAlign w:val="bottom"/>
          </w:tcPr>
          <w:p>
            <w:pPr>
              <w:spacing w:after="0"/>
              <w:rPr>
                <w:sz w:val="17"/>
                <w:szCs w:val="17"/>
                <w:color w:val="auto"/>
              </w:rPr>
            </w:pPr>
          </w:p>
        </w:tc>
        <w:tc>
          <w:tcPr>
            <w:tcW w:w="4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7"/>
              </w:rPr>
              <w:t>453,613 shares of Class A Common Stock,</w:t>
            </w:r>
          </w:p>
        </w:tc>
      </w:tr>
    </w:tbl>
    <w:p>
      <w:pPr>
        <w:sectPr>
          <w:pgSz w:w="11900" w:h="16855" w:orient="portrait"/>
          <w:cols w:equalWidth="0" w:num="1">
            <w:col w:w="10219"/>
          </w:cols>
          <w:pgMar w:left="240" w:top="244" w:right="1440" w:bottom="0" w:gutter="0" w:footer="0" w:header="0"/>
        </w:sectPr>
      </w:pPr>
    </w:p>
    <w:bookmarkStart w:id="1" w:name="page2"/>
    <w:bookmarkEnd w:id="1"/>
    <w:p>
      <w:pPr>
        <w:ind w:left="3160"/>
        <w:spacing w:after="0"/>
        <w:rPr>
          <w:sz w:val="20"/>
          <w:szCs w:val="20"/>
          <w:color w:val="auto"/>
        </w:rPr>
      </w:pPr>
      <w:r>
        <w:rPr>
          <w:rFonts w:ascii="Courier New" w:cs="Courier New" w:eastAsia="Courier New" w:hAnsi="Courier New"/>
          <w:sz w:val="18"/>
          <w:szCs w:val="18"/>
          <w:color w:val="auto"/>
        </w:rPr>
        <w:t>which is convertible into Class B</w:t>
      </w:r>
    </w:p>
    <w:p>
      <w:pPr>
        <w:ind w:left="3160"/>
        <w:spacing w:after="0" w:line="238" w:lineRule="auto"/>
        <w:rPr>
          <w:sz w:val="20"/>
          <w:szCs w:val="20"/>
          <w:color w:val="auto"/>
        </w:rPr>
      </w:pPr>
      <w:r>
        <w:rPr>
          <w:rFonts w:ascii="Courier New" w:cs="Courier New" w:eastAsia="Courier New" w:hAnsi="Courier New"/>
          <w:sz w:val="18"/>
          <w:szCs w:val="18"/>
          <w:color w:val="auto"/>
        </w:rPr>
        <w:t>Common Stock on a one-for-one basis.</w:t>
      </w:r>
    </w:p>
    <w:p>
      <w:pPr>
        <w:ind w:left="3160"/>
        <w:spacing w:after="0"/>
        <w:rPr>
          <w:sz w:val="20"/>
          <w:szCs w:val="20"/>
          <w:color w:val="auto"/>
        </w:rPr>
      </w:pPr>
      <w:r>
        <w:rPr>
          <w:rFonts w:ascii="Courier New" w:cs="Courier New" w:eastAsia="Courier New" w:hAnsi="Courier New"/>
          <w:sz w:val="18"/>
          <w:szCs w:val="18"/>
          <w:color w:val="auto"/>
        </w:rPr>
        <w:t>(See Item 4).</w:t>
      </w:r>
    </w:p>
    <w:p>
      <w:pPr>
        <w:spacing w:after="0" w:line="206" w:lineRule="exact"/>
        <w:rPr>
          <w:sz w:val="20"/>
          <w:szCs w:val="20"/>
          <w:color w:val="auto"/>
        </w:rPr>
      </w:pPr>
    </w:p>
    <w:p>
      <w:pPr>
        <w:ind w:left="3160" w:right="4519" w:hanging="518"/>
        <w:spacing w:after="0" w:line="470" w:lineRule="auto"/>
        <w:tabs>
          <w:tab w:leader="none" w:pos="31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060" w:right="2419" w:hanging="525"/>
        <w:spacing w:after="0" w:line="279" w:lineRule="auto"/>
        <w:tabs>
          <w:tab w:leader="none" w:pos="10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453,613 shares of Class A Common Stock, which is convertible into Class B Common Stock on a one-for-one basis. (See Item 4).</w:t>
      </w:r>
    </w:p>
    <w:p>
      <w:pPr>
        <w:spacing w:after="0" w:line="172" w:lineRule="exact"/>
        <w:rPr>
          <w:rFonts w:ascii="Courier New" w:cs="Courier New" w:eastAsia="Courier New" w:hAnsi="Courier New"/>
          <w:sz w:val="16"/>
          <w:szCs w:val="16"/>
          <w:color w:val="auto"/>
        </w:rPr>
      </w:pPr>
    </w:p>
    <w:p>
      <w:pPr>
        <w:ind w:left="1060" w:hanging="631"/>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w:t>
      </w:r>
    </w:p>
    <w:p>
      <w:pPr>
        <w:ind w:left="1060"/>
        <w:spacing w:after="0" w:line="238" w:lineRule="auto"/>
        <w:tabs>
          <w:tab w:leader="none" w:pos="7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 ]</w:t>
      </w:r>
    </w:p>
    <w:p>
      <w:pPr>
        <w:spacing w:after="0" w:line="202" w:lineRule="exact"/>
        <w:rPr>
          <w:sz w:val="20"/>
          <w:szCs w:val="20"/>
          <w:color w:val="auto"/>
        </w:rPr>
      </w:pPr>
    </w:p>
    <w:p>
      <w:pPr>
        <w:ind w:left="1060" w:hanging="631"/>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6" w:lineRule="exact"/>
        <w:rPr>
          <w:rFonts w:ascii="Courier New" w:cs="Courier New" w:eastAsia="Courier New" w:hAnsi="Courier New"/>
          <w:sz w:val="18"/>
          <w:szCs w:val="18"/>
          <w:color w:val="auto"/>
        </w:rPr>
      </w:pPr>
    </w:p>
    <w:p>
      <w:pPr>
        <w:ind w:left="1060"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0.7% of the Class A Common Stock; if such shares are converted to Class B Common Stock, they would represent 5.3% of the Class B Common Stock. (See Item 4).</w:t>
      </w:r>
    </w:p>
    <w:p>
      <w:pPr>
        <w:spacing w:after="0" w:line="203" w:lineRule="exact"/>
        <w:rPr>
          <w:rFonts w:ascii="Courier New" w:cs="Courier New" w:eastAsia="Courier New" w:hAnsi="Courier New"/>
          <w:sz w:val="18"/>
          <w:szCs w:val="18"/>
          <w:color w:val="auto"/>
        </w:rPr>
      </w:pPr>
    </w:p>
    <w:p>
      <w:pPr>
        <w:ind w:left="1060" w:hanging="631"/>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Ticketmaster Online-CitySearch,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790 E. Colorado Boulevard, Suite 200</w:t>
      </w:r>
    </w:p>
    <w:p>
      <w:pPr>
        <w:ind w:left="740"/>
        <w:spacing w:after="0" w:line="238" w:lineRule="auto"/>
        <w:rPr>
          <w:sz w:val="20"/>
          <w:szCs w:val="20"/>
          <w:color w:val="auto"/>
        </w:rPr>
      </w:pPr>
      <w:r>
        <w:rPr>
          <w:rFonts w:ascii="Courier New" w:cs="Courier New" w:eastAsia="Courier New" w:hAnsi="Courier New"/>
          <w:sz w:val="18"/>
          <w:szCs w:val="18"/>
          <w:color w:val="auto"/>
        </w:rPr>
        <w:t>Pasadena, California 91101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2(a), (b) and (c).</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Name of Person Filing; Address of Principal Business Office; Citizenship:</w:t>
      </w:r>
    </w:p>
    <w:p>
      <w:pPr>
        <w:spacing w:after="0" w:line="224" w:lineRule="exact"/>
        <w:rPr>
          <w:sz w:val="20"/>
          <w:szCs w:val="20"/>
          <w:color w:val="auto"/>
        </w:rPr>
      </w:pPr>
    </w:p>
    <w:p>
      <w:pPr>
        <w:ind w:left="640" w:right="2199"/>
        <w:spacing w:after="0" w:line="272" w:lineRule="auto"/>
        <w:rPr>
          <w:sz w:val="20"/>
          <w:szCs w:val="20"/>
          <w:color w:val="auto"/>
        </w:rPr>
      </w:pPr>
      <w:r>
        <w:rPr>
          <w:rFonts w:ascii="Courier New" w:cs="Courier New" w:eastAsia="Courier New" w:hAnsi="Courier New"/>
          <w:sz w:val="16"/>
          <w:szCs w:val="16"/>
          <w:color w:val="auto"/>
        </w:rPr>
        <w:t>This statement is being filed by Comcast Corporation, a Pennsylvania corporation ("Comcast"). Comcast CitySearch, Inc., a Delaware corporation, holds the shares of Class A Common Stock of the Issuer described in Item 4 below. Comcast CitySearch, Inc. is a wholly owned subsidiary of Comcast Online Communications, Inc., which itself is a Delaware corporation and a wholly owned subsidiary of Comcast.</w:t>
      </w:r>
    </w:p>
    <w:p>
      <w:pPr>
        <w:spacing w:after="0" w:line="186" w:lineRule="exact"/>
        <w:rPr>
          <w:sz w:val="20"/>
          <w:szCs w:val="20"/>
          <w:color w:val="auto"/>
        </w:rPr>
      </w:pPr>
    </w:p>
    <w:p>
      <w:pPr>
        <w:ind w:left="640" w:right="2199"/>
        <w:spacing w:after="0" w:line="237" w:lineRule="auto"/>
        <w:rPr>
          <w:sz w:val="20"/>
          <w:szCs w:val="20"/>
          <w:color w:val="auto"/>
        </w:rPr>
      </w:pPr>
      <w:r>
        <w:rPr>
          <w:rFonts w:ascii="Courier New" w:cs="Courier New" w:eastAsia="Courier New" w:hAnsi="Courier New"/>
          <w:sz w:val="18"/>
          <w:szCs w:val="18"/>
          <w:color w:val="auto"/>
        </w:rPr>
        <w:t>Sural Corporation, a Delaware corporation ("Sural"), is the beneficial owner of shares of Class A Common Stock of Comcast and of all outstanding shares of Class B Common Stock of Comcast. As of December 31, 1998, the shares of common stock of Comcast owned by Sural constituted a majority of the voting power of the two classes of Comcast's voting common stock combined.</w:t>
      </w:r>
    </w:p>
    <w:p>
      <w:pPr>
        <w:spacing w:after="0" w:line="210" w:lineRule="exact"/>
        <w:rPr>
          <w:sz w:val="20"/>
          <w:szCs w:val="20"/>
          <w:color w:val="auto"/>
        </w:rPr>
      </w:pPr>
    </w:p>
    <w:p>
      <w:pPr>
        <w:ind w:left="640" w:right="1999"/>
        <w:spacing w:after="0" w:line="237" w:lineRule="auto"/>
        <w:rPr>
          <w:sz w:val="20"/>
          <w:szCs w:val="20"/>
          <w:color w:val="auto"/>
        </w:rPr>
      </w:pPr>
      <w:r>
        <w:rPr>
          <w:rFonts w:ascii="Courier New" w:cs="Courier New" w:eastAsia="Courier New" w:hAnsi="Courier New"/>
          <w:sz w:val="18"/>
          <w:szCs w:val="18"/>
          <w:color w:val="auto"/>
        </w:rPr>
        <w:t>Brian L. Roberts has sole voting power over stock representing a majority of voting power of all Sural stock. Pursuant to Rule 13d-3 of the Exchange Act, Brian L. Roberts may be deemed to be the beneficial owner of the Comcast Class A Common Stock and the Comcast Class B Common Stock owned by Sural.</w:t>
      </w:r>
    </w:p>
    <w:p>
      <w:pPr>
        <w:spacing w:after="0" w:line="209" w:lineRule="exact"/>
        <w:rPr>
          <w:sz w:val="20"/>
          <w:szCs w:val="20"/>
          <w:color w:val="auto"/>
        </w:rPr>
      </w:pPr>
    </w:p>
    <w:p>
      <w:pPr>
        <w:ind w:left="640" w:right="2199"/>
        <w:spacing w:after="0" w:line="237" w:lineRule="auto"/>
        <w:rPr>
          <w:sz w:val="20"/>
          <w:szCs w:val="20"/>
          <w:color w:val="auto"/>
        </w:rPr>
      </w:pPr>
      <w:r>
        <w:rPr>
          <w:rFonts w:ascii="Courier New" w:cs="Courier New" w:eastAsia="Courier New" w:hAnsi="Courier New"/>
          <w:sz w:val="18"/>
          <w:szCs w:val="18"/>
          <w:color w:val="auto"/>
        </w:rPr>
        <w:t>The principal business address of Comcast, Comcast Online Communications, Inc. and Brian L. Roberts is 1500 Market Street, Philadelphia, Pennsylvania 19102-2148. The principal business address of Sural and Comcast CitySearch, Inc. is 1201 N. Market Street, Suite 2201, Wilmington, Delaware 19801.</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Class B Common Stock, par value $0.01 per share ("Class B Common Stock").</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88633P203</w:t>
      </w:r>
    </w:p>
    <w:p>
      <w:pPr>
        <w:spacing w:after="0" w:line="207" w:lineRule="exact"/>
        <w:rPr>
          <w:sz w:val="20"/>
          <w:szCs w:val="20"/>
          <w:color w:val="auto"/>
        </w:rPr>
      </w:pPr>
    </w:p>
    <w:p>
      <w:pPr>
        <w:ind w:left="860" w:right="2199" w:hanging="84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or (c), check whether the person filing is a:</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 Amount beneficially owned:</w:t>
      </w:r>
    </w:p>
    <w:p>
      <w:pPr>
        <w:sectPr>
          <w:pgSz w:w="11900" w:h="16838" w:orient="portrait"/>
          <w:cols w:equalWidth="0" w:num="1">
            <w:col w:w="10219"/>
          </w:cols>
          <w:pgMar w:left="240" w:top="136" w:right="1440" w:bottom="0" w:gutter="0" w:footer="0" w:header="0"/>
        </w:sectPr>
      </w:pPr>
    </w:p>
    <w:bookmarkStart w:id="2" w:name="page3"/>
    <w:bookmarkEnd w:id="2"/>
    <w:p>
      <w:pPr>
        <w:ind w:left="1160" w:right="2319"/>
        <w:spacing w:after="0" w:line="237" w:lineRule="auto"/>
        <w:rPr>
          <w:sz w:val="20"/>
          <w:szCs w:val="20"/>
          <w:color w:val="auto"/>
        </w:rPr>
      </w:pPr>
      <w:r>
        <w:rPr>
          <w:rFonts w:ascii="Courier New" w:cs="Courier New" w:eastAsia="Courier New" w:hAnsi="Courier New"/>
          <w:sz w:val="18"/>
          <w:szCs w:val="18"/>
          <w:color w:val="auto"/>
        </w:rPr>
        <w:t>453,613 shares of Class A Common Stock, par value $0.01 per share ("Class A Common Stock"), which is convertible, at the option of the holder, into Class B Common Stock on a one-for-one basis.</w:t>
      </w:r>
    </w:p>
    <w:p>
      <w:pPr>
        <w:spacing w:after="0" w:line="202" w:lineRule="exact"/>
        <w:rPr>
          <w:sz w:val="20"/>
          <w:szCs w:val="20"/>
          <w:color w:val="auto"/>
        </w:rPr>
      </w:pPr>
    </w:p>
    <w:p>
      <w:pPr>
        <w:ind w:left="1160" w:hanging="415"/>
        <w:spacing w:after="0"/>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6" w:lineRule="exact"/>
        <w:rPr>
          <w:rFonts w:ascii="Courier New" w:cs="Courier New" w:eastAsia="Courier New" w:hAnsi="Courier New"/>
          <w:sz w:val="18"/>
          <w:szCs w:val="18"/>
          <w:color w:val="auto"/>
        </w:rPr>
      </w:pPr>
    </w:p>
    <w:p>
      <w:pPr>
        <w:ind w:left="1160"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0.7% of the outstanding Class A Common Stock or, assuming conversion into Class B Common Stock, 5.3% of the outstanding Class B Common Stock; and 0.7% of the voting power of the Common Stock of the Issuer. Then percentages are based on the 63,291,653 shares of Class A Common Stock and 8,167,000 shares of Class B Common Stock, in each case outstanding as of December 31, 1998 and as provided by the Issuer.</w:t>
      </w:r>
    </w:p>
    <w:p>
      <w:pPr>
        <w:spacing w:after="0" w:line="205"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800" w:hanging="423"/>
        <w:spacing w:after="0"/>
        <w:tabs>
          <w:tab w:leader="none" w:pos="18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7" w:lineRule="exact"/>
        <w:rPr>
          <w:sz w:val="20"/>
          <w:szCs w:val="20"/>
          <w:color w:val="auto"/>
        </w:rPr>
      </w:pPr>
    </w:p>
    <w:p>
      <w:pPr>
        <w:ind w:left="1380" w:right="1999"/>
        <w:spacing w:after="0" w:line="237" w:lineRule="auto"/>
        <w:rPr>
          <w:sz w:val="20"/>
          <w:szCs w:val="20"/>
          <w:color w:val="auto"/>
        </w:rPr>
      </w:pPr>
      <w:r>
        <w:rPr>
          <w:rFonts w:ascii="Courier New" w:cs="Courier New" w:eastAsia="Courier New" w:hAnsi="Courier New"/>
          <w:sz w:val="18"/>
          <w:szCs w:val="18"/>
          <w:color w:val="auto"/>
        </w:rPr>
        <w:t>453,613 shares of Class A Common Stock, which is convertible into Class B Common Stock on a one-for-one basis. On any matter submitted to a vote of shareholders of the Issuer, each outstanding share of Class A Common Stock is entitled to fifteen votes and each outstanding share of Class B Common Stock is entitle to one vote (such classes voting together as a single class).</w:t>
      </w:r>
    </w:p>
    <w:p>
      <w:pPr>
        <w:spacing w:after="0" w:line="211" w:lineRule="exact"/>
        <w:rPr>
          <w:sz w:val="20"/>
          <w:szCs w:val="20"/>
          <w:color w:val="auto"/>
        </w:rPr>
      </w:pPr>
    </w:p>
    <w:p>
      <w:pPr>
        <w:ind w:left="1380" w:right="3999" w:hanging="108"/>
        <w:spacing w:after="0" w:line="470" w:lineRule="auto"/>
        <w:tabs>
          <w:tab w:leader="none" w:pos="180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- 0 -</w:t>
      </w:r>
    </w:p>
    <w:p>
      <w:pPr>
        <w:spacing w:after="0" w:line="6" w:lineRule="exact"/>
        <w:rPr>
          <w:rFonts w:ascii="Courier New" w:cs="Courier New" w:eastAsia="Courier New" w:hAnsi="Courier New"/>
          <w:sz w:val="18"/>
          <w:szCs w:val="18"/>
          <w:color w:val="auto"/>
        </w:rPr>
      </w:pPr>
    </w:p>
    <w:p>
      <w:pPr>
        <w:ind w:left="1800" w:hanging="633"/>
        <w:spacing w:after="0"/>
        <w:tabs>
          <w:tab w:leader="none" w:pos="18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7" w:lineRule="exact"/>
        <w:rPr>
          <w:sz w:val="20"/>
          <w:szCs w:val="20"/>
          <w:color w:val="auto"/>
        </w:rPr>
      </w:pPr>
    </w:p>
    <w:p>
      <w:pPr>
        <w:ind w:left="1380" w:right="1999"/>
        <w:spacing w:after="0" w:line="235" w:lineRule="auto"/>
        <w:rPr>
          <w:sz w:val="20"/>
          <w:szCs w:val="20"/>
          <w:color w:val="auto"/>
        </w:rPr>
      </w:pPr>
      <w:r>
        <w:rPr>
          <w:rFonts w:ascii="Courier New" w:cs="Courier New" w:eastAsia="Courier New" w:hAnsi="Courier New"/>
          <w:sz w:val="18"/>
          <w:szCs w:val="18"/>
          <w:color w:val="auto"/>
        </w:rPr>
        <w:t>453,613 shares of Class A Common Stock, which is convertible into Class B Common Stock on a one-for-one basis.</w:t>
      </w:r>
    </w:p>
    <w:p>
      <w:pPr>
        <w:spacing w:after="0" w:line="208" w:lineRule="exact"/>
        <w:rPr>
          <w:sz w:val="20"/>
          <w:szCs w:val="20"/>
          <w:color w:val="auto"/>
        </w:rPr>
      </w:pPr>
    </w:p>
    <w:p>
      <w:pPr>
        <w:ind w:left="1380" w:right="2619" w:hanging="108"/>
        <w:spacing w:after="0" w:line="470" w:lineRule="auto"/>
        <w:tabs>
          <w:tab w:leader="none" w:pos="18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- 0 -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640" w:right="1999" w:hanging="63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319" w:firstLine="1580"/>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Stanley Wang</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Stanley Wang</w:t>
      </w:r>
    </w:p>
    <w:p>
      <w:pPr>
        <w:ind w:left="3160"/>
        <w:spacing w:after="0" w:line="237" w:lineRule="auto"/>
        <w:rPr>
          <w:sz w:val="20"/>
          <w:szCs w:val="20"/>
          <w:color w:val="auto"/>
        </w:rPr>
      </w:pPr>
      <w:r>
        <w:rPr>
          <w:rFonts w:ascii="Courier New" w:cs="Courier New" w:eastAsia="Courier New" w:hAnsi="Courier New"/>
          <w:sz w:val="18"/>
          <w:szCs w:val="18"/>
          <w:color w:val="auto"/>
        </w:rPr>
        <w:t>Title: Senior Vice President</w:t>
      </w:r>
    </w:p>
    <w:p>
      <w:pPr>
        <w:ind w:left="3900"/>
        <w:spacing w:after="0" w:line="238" w:lineRule="auto"/>
        <w:rPr>
          <w:sz w:val="20"/>
          <w:szCs w:val="20"/>
          <w:color w:val="auto"/>
        </w:rPr>
      </w:pPr>
      <w:r>
        <w:rPr>
          <w:rFonts w:ascii="Courier New" w:cs="Courier New" w:eastAsia="Courier New" w:hAnsi="Courier New"/>
          <w:sz w:val="18"/>
          <w:szCs w:val="18"/>
          <w:color w:val="auto"/>
        </w:rPr>
        <w:t>and Secretary</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Date: February 16, 1999</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3"/>
    </w:lvl>
    <w:lvl w:ilvl="1">
      <w:lvlJc w:val="left"/>
      <w:lvlText w:val="%2."/>
      <w:numFmt w:val="decimal"/>
      <w:start w:val="5"/>
    </w:lvl>
  </w:abstractNum>
  <w:abstractNum w:abstractNumId="4">
    <w:nsid w:val="79E2A9E3"/>
    <w:multiLevelType w:val="hybridMultilevel"/>
    <w:lvl w:ilvl="0">
      <w:lvlJc w:val="left"/>
      <w:lvlText w:val="%1"/>
      <w:numFmt w:val="decimal"/>
      <w:start w:val="1"/>
    </w:lvl>
    <w:lvl w:ilvl="1">
      <w:lvlJc w:val="left"/>
      <w:lvlText w:val="%2."/>
      <w:numFmt w:val="decimal"/>
      <w:start w:val="8"/>
    </w:lvl>
  </w:abstractNum>
  <w:abstractNum w:abstractNumId="5">
    <w:nsid w:val="7545E146"/>
    <w:multiLevelType w:val="hybridMultilevel"/>
    <w:lvl w:ilvl="0">
      <w:lvlJc w:val="left"/>
      <w:lvlText w:val="%1."/>
      <w:numFmt w:val="decimal"/>
      <w:start w:val="9"/>
    </w:lvl>
    <w:lvl w:ilvl="1">
      <w:lvlJc w:val="left"/>
      <w:lvlText w:val="%2"/>
      <w:numFmt w:val="decimal"/>
      <w:start w:val="1"/>
    </w:lvl>
  </w:abstractNum>
  <w:abstractNum w:abstractNumId="6">
    <w:nsid w:val="515F007C"/>
    <w:multiLevelType w:val="hybridMultilevel"/>
    <w:lvl w:ilvl="0">
      <w:lvlJc w:val="left"/>
      <w:lvlText w:val="%1."/>
      <w:numFmt w:val="decimal"/>
      <w:start w:val="11"/>
    </w:lvl>
  </w:abstractNum>
  <w:abstractNum w:abstractNumId="7">
    <w:nsid w:val="5BD062C2"/>
    <w:multiLevelType w:val="hybridMultilevel"/>
    <w:lvl w:ilvl="0">
      <w:lvlJc w:val="left"/>
      <w:lvlText w:val="(%1)"/>
      <w:numFmt w:val="lowerLetter"/>
      <w:start w:val="2"/>
    </w:lvl>
    <w:lvl w:ilvl="1">
      <w:lvlJc w:val="left"/>
      <w:lvlText w:val="(%2)"/>
      <w:numFmt w:val="lowerLetter"/>
      <w:start w:val="9"/>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2020-02-22T09:53:04Z</dcterms:created>
  <dcterms:modified xsi:type="dcterms:W3CDTF">2020-02-22T09:53:04Z</dcterms:modified>
</cp:coreProperties>
</file>