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Filed by the Registrant [ ]</w:t>
      </w:r>
    </w:p>
    <w:p>
      <w:pPr>
        <w:ind w:left="540"/>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ectPr>
          <w:pgSz w:w="11900" w:h="16838" w:orient="portrait"/>
          <w:cols w:equalWidth="0" w:num="1">
            <w:col w:w="10219"/>
          </w:cols>
          <w:pgMar w:left="240" w:top="852"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ind w:right="1779" w:hanging="420"/>
        <w:spacing w:after="0" w:line="268" w:lineRule="auto"/>
        <w:rPr>
          <w:sz w:val="20"/>
          <w:szCs w:val="20"/>
          <w:color w:val="auto"/>
        </w:rPr>
      </w:pPr>
      <w:r>
        <w:rPr>
          <w:rFonts w:ascii="Courier New" w:cs="Courier New" w:eastAsia="Courier New" w:hAnsi="Courier New"/>
          <w:sz w:val="16"/>
          <w:szCs w:val="16"/>
          <w:color w:val="auto"/>
        </w:rPr>
        <w:t>[ ] Confidential, For Use of the Commission Only (as permitted by Rule 14a_6(e)(2))</w:t>
      </w:r>
    </w:p>
    <w:p>
      <w:pPr>
        <w:spacing w:after="0" w:line="1" w:lineRule="exact"/>
        <w:rPr>
          <w:sz w:val="24"/>
          <w:szCs w:val="24"/>
          <w:color w:val="auto"/>
        </w:rPr>
      </w:pPr>
    </w:p>
    <w:p>
      <w:pPr>
        <w:sectPr>
          <w:pgSz w:w="11900" w:h="16838" w:orient="portrait"/>
          <w:cols w:equalWidth="0" w:num="2">
            <w:col w:w="4660" w:space="720"/>
            <w:col w:w="4839"/>
          </w:cols>
          <w:pgMar w:left="240" w:top="852" w:right="1440" w:bottom="0" w:gutter="0" w:footer="0" w:header="0"/>
          <w:type w:val="continuous"/>
        </w:sect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Proxy Statement</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ectPr>
          <w:pgSz w:w="11900" w:h="16838" w:orient="portrait"/>
          <w:cols w:equalWidth="0" w:num="1">
            <w:col w:w="10219"/>
          </w:cols>
          <w:pgMar w:left="240" w:top="852" w:right="1440" w:bottom="0" w:gutter="0" w:footer="0" w:header="0"/>
          <w:type w:val="continuous"/>
        </w:sectPr>
      </w:pPr>
    </w:p>
    <w:p>
      <w:pPr>
        <w:ind w:left="1060" w:hanging="525"/>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Under Rule 14a-12</w:t>
      </w:r>
    </w:p>
    <w:p>
      <w:pPr>
        <w:spacing w:after="0" w:line="200" w:lineRule="exact"/>
        <w:rPr>
          <w:sz w:val="24"/>
          <w:szCs w:val="24"/>
          <w:color w:val="auto"/>
        </w:rPr>
      </w:pPr>
    </w:p>
    <w:p>
      <w:pPr>
        <w:spacing w:after="0" w:line="20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1060" w:hanging="525"/>
        <w:spacing w:after="0" w:line="238"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computed on table below per Exchange Act Rules 14a-6(i)(1)</w:t>
      </w:r>
    </w:p>
    <w:p>
      <w:pPr>
        <w:ind w:left="1060"/>
        <w:spacing w:after="0" w:line="237" w:lineRule="auto"/>
        <w:rPr>
          <w:sz w:val="20"/>
          <w:szCs w:val="20"/>
          <w:color w:val="auto"/>
        </w:rPr>
      </w:pPr>
      <w:r>
        <w:rPr>
          <w:rFonts w:ascii="Courier New" w:cs="Courier New" w:eastAsia="Courier New" w:hAnsi="Courier New"/>
          <w:sz w:val="18"/>
          <w:szCs w:val="18"/>
          <w:color w:val="auto"/>
        </w:rPr>
        <w:t>and 0-11.</w:t>
      </w:r>
    </w:p>
    <w:p>
      <w:pPr>
        <w:ind w:left="1060" w:hanging="52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199" w:firstLine="535"/>
        <w:spacing w:after="0" w:line="236" w:lineRule="auto"/>
        <w:tabs>
          <w:tab w:leader="none" w:pos="105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0_11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Fee paid previously with preliminary materials.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Check box if any part of the fee is offset as provided by Exchange Act</w:t>
      </w:r>
    </w:p>
    <w:p>
      <w:pPr>
        <w:spacing w:after="0" w:line="21"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1060" w:hanging="525"/>
        <w:spacing w:after="0"/>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press release was issued by Comcast Corporation: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[COMCAST LOGO]</w:t>
      </w:r>
      <w:r>
        <w:rPr>
          <w:sz w:val="20"/>
          <w:szCs w:val="20"/>
          <w:color w:val="auto"/>
        </w:rPr>
        <w:tab/>
      </w:r>
      <w:r>
        <w:rPr>
          <w:rFonts w:ascii="Courier New" w:cs="Courier New" w:eastAsia="Courier New" w:hAnsi="Courier New"/>
          <w:sz w:val="16"/>
          <w:szCs w:val="16"/>
          <w:color w:val="auto"/>
        </w:rPr>
        <w:t>PRESS RELEASE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ectPr>
          <w:pgSz w:w="11900" w:h="16838" w:orient="portrait"/>
          <w:cols w:equalWidth="0" w:num="1">
            <w:col w:w="10219"/>
          </w:cols>
          <w:pgMar w:left="240" w:top="852" w:right="1440" w:bottom="0" w:gutter="0" w:footer="0" w:header="0"/>
          <w:type w:val="continuous"/>
        </w:sectPr>
      </w:pPr>
    </w:p>
    <w:bookmarkStart w:id="1" w:name="page2"/>
    <w:bookmarkEnd w:id="1"/>
    <w:p>
      <w:pPr>
        <w:jc w:val="center"/>
        <w:ind w:right="1759"/>
        <w:spacing w:after="0"/>
        <w:rPr>
          <w:sz w:val="20"/>
          <w:szCs w:val="20"/>
          <w:color w:val="auto"/>
        </w:rPr>
      </w:pPr>
      <w:r>
        <w:rPr>
          <w:rFonts w:ascii="Courier New" w:cs="Courier New" w:eastAsia="Courier New" w:hAnsi="Courier New"/>
          <w:sz w:val="18"/>
          <w:szCs w:val="18"/>
          <w:color w:val="auto"/>
        </w:rPr>
        <w:t>COMCAST VIEWS AT&amp;T'S DELAY</w:t>
      </w:r>
    </w:p>
    <w:p>
      <w:pPr>
        <w:jc w:val="center"/>
        <w:ind w:right="1759"/>
        <w:spacing w:after="0" w:line="238" w:lineRule="auto"/>
        <w:rPr>
          <w:sz w:val="20"/>
          <w:szCs w:val="20"/>
          <w:color w:val="auto"/>
        </w:rPr>
      </w:pPr>
      <w:r>
        <w:rPr>
          <w:rFonts w:ascii="Courier New" w:cs="Courier New" w:eastAsia="Courier New" w:hAnsi="Courier New"/>
          <w:sz w:val="18"/>
          <w:szCs w:val="18"/>
          <w:color w:val="auto"/>
        </w:rPr>
        <w:t>IN TRACKING STOCK AS POSITIVE STEP</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Shareholders Respond To Comcast's Proposal By Adding</w:t>
      </w:r>
    </w:p>
    <w:p>
      <w:pPr>
        <w:jc w:val="center"/>
        <w:ind w:right="1759"/>
        <w:spacing w:after="0" w:line="238" w:lineRule="auto"/>
        <w:rPr>
          <w:sz w:val="20"/>
          <w:szCs w:val="20"/>
          <w:color w:val="auto"/>
        </w:rPr>
      </w:pPr>
      <w:r>
        <w:rPr>
          <w:rFonts w:ascii="Courier New" w:cs="Courier New" w:eastAsia="Courier New" w:hAnsi="Courier New"/>
          <w:sz w:val="18"/>
          <w:szCs w:val="18"/>
          <w:color w:val="auto"/>
        </w:rPr>
        <w:t>Over $14 Billion In Market Valuation To AT&amp;T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Philadelphia - July 18, 2001 - Comcast Corporation (Nasdaq: CMCSA, CMCSK) today announced that it viewed positively the decision by AT&amp;T's (NYSE: T) Board of Directors to maximize shareholder value by examining strategic alternatives in addition to its planned initial public offering of its broadband assets. On July 8, 2001, Comcast made a proposal to merge with AT&amp;T's broadband business in a tax-free transaction, which valued AT&amp;T's core broadband assets at $58 billion based on Comcast stock's closing price on July 6, 2001, the last trading day prior to Comcast's proposal.</w:t>
      </w:r>
    </w:p>
    <w:p>
      <w:pPr>
        <w:spacing w:after="0" w:line="21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are pleased that AT&amp;T's Board of Directors has responded to the market's overwhelming endorsement of our proposal by delaying its broadband tracking stock plan," said Mr. Brian L. Roberts, president of Comcast. "However, we disagree with the AT&amp;T Board's characterization of our offer as inadequate. Since our announcement, AT&amp;T shareholders have responded to our proposal by adding over $14 billion in market valuation to AT&amp;T. As evidenced by the reaction of their shareholders, the Board's concern about our corporate governance has no foundation. We think our stock's historical performance speaks for itself."</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Mr. Roberts continued, "We are surprised that AT&amp;T's Board has yet to ask us for any further information. To that end, we remain prepared to hold immediate discussions with AT&amp;T regarding our proposal."</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Comcast reiterated that it is prepared to acquire AT&amp;T's interests in Time Warner Entertainment, Cablevision, and Rainbow Media by assuming more debt and issuing more equity to reflect their agreed upon value.</w:t>
      </w:r>
    </w:p>
    <w:p>
      <w:pPr>
        <w:spacing w:after="0" w:line="200" w:lineRule="exact"/>
        <w:rPr>
          <w:sz w:val="20"/>
          <w:szCs w:val="20"/>
          <w:color w:val="auto"/>
        </w:rPr>
      </w:pPr>
    </w:p>
    <w:p>
      <w:pPr>
        <w:spacing w:after="0" w:line="211"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41" w:right="1440" w:bottom="1440" w:gutter="0" w:footer="0" w:header="0"/>
        </w:sectPr>
      </w:pPr>
    </w:p>
    <w:bookmarkStart w:id="2" w:name="page3"/>
    <w:bookmarkEnd w:id="2"/>
    <w:p>
      <w:pPr>
        <w:ind w:right="2319"/>
        <w:spacing w:after="0" w:line="275" w:lineRule="auto"/>
        <w:rPr>
          <w:sz w:val="20"/>
          <w:szCs w:val="20"/>
          <w:color w:val="auto"/>
        </w:rPr>
      </w:pPr>
      <w:r>
        <w:rPr>
          <w:rFonts w:ascii="Courier New" w:cs="Courier New" w:eastAsia="Courier New" w:hAnsi="Courier New"/>
          <w:sz w:val="16"/>
          <w:szCs w:val="16"/>
          <w:color w:val="auto"/>
        </w:rPr>
        <w:t>products that customers will find attractive; (14) future acquisitions, strategic partnerships and divestitures; (15) general business and economic conditions; and (16) other risks described from time to time in Comcast's periodic reports filed with the Securities and Exchange Commission.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ind w:left="3900"/>
              <w:spacing w:after="0"/>
              <w:rPr>
                <w:sz w:val="20"/>
                <w:szCs w:val="20"/>
                <w:color w:val="auto"/>
              </w:rPr>
            </w:pPr>
            <w:r>
              <w:rPr>
                <w:rFonts w:ascii="Courier New" w:cs="Courier New" w:eastAsia="Courier New" w:hAnsi="Courier New"/>
                <w:sz w:val="18"/>
                <w:szCs w:val="18"/>
                <w:color w:val="auto"/>
              </w:rPr>
              <w:t># # #</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6060" w:type="dxa"/>
            <w:vAlign w:val="bottom"/>
          </w:tcPr>
          <w:p>
            <w:pPr>
              <w:spacing w:after="0"/>
              <w:rPr>
                <w:sz w:val="20"/>
                <w:szCs w:val="20"/>
                <w:color w:val="auto"/>
              </w:rPr>
            </w:pPr>
            <w:r>
              <w:rPr>
                <w:rFonts w:ascii="Courier New" w:cs="Courier New" w:eastAsia="Courier New" w:hAnsi="Courier New"/>
                <w:sz w:val="18"/>
                <w:szCs w:val="18"/>
                <w:color w:val="auto"/>
              </w:rPr>
              <w:t>Investor Contact:</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Marlene S. Dooner, Vice President, Investor Relations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981-7392</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E. Dordelman, Vice President, Finance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981-7550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Kelley L. Claypool, Manager, Investor Relations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981-7729</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Media Contact:</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Abernathy MacGregor Group</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371-5999</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Adam Miller, Steve Frankel, Brian Faw</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upperLetter"/>
      <w:start w:val="24"/>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
      <w:numFmt w:val="bullet"/>
      <w:start w:val="1"/>
    </w:lvl>
    <w:lvl w:ilvl="1">
      <w:lvlJc w:val="left"/>
      <w:lvlText w:val="(%2)"/>
      <w:numFmt w:val="decimal"/>
      <w:start w:val="2"/>
    </w:lvl>
  </w:abstractNum>
  <w:abstractNum w:abstractNumId="6">
    <w:nsid w:val="4DB127F8"/>
    <w:multiLevelType w:val="hybridMultilevel"/>
    <w:lvl w:ilvl="0">
      <w:lvlJc w:val="left"/>
      <w:lvlText w:val="-"/>
      <w:numFmt w:val="bullet"/>
      <w:start w:val="1"/>
    </w:lvl>
    <w:lvl w:ilvl="1">
      <w:lvlJc w:val="left"/>
      <w:lvlText w:val="(%2)"/>
      <w:numFmt w:val="decimal"/>
      <w:start w:val="3"/>
    </w:lvl>
  </w:abstractNum>
  <w:abstractNum w:abstractNumId="7">
    <w:nsid w:val="216231B"/>
    <w:multiLevelType w:val="hybridMultilevel"/>
    <w:lvl w:ilvl="0">
      <w:lvlJc w:val="left"/>
      <w:lvlText w:val="-"/>
      <w:numFmt w:val="bullet"/>
      <w:start w:val="1"/>
    </w:lvl>
    <w:lvl w:ilvl="1">
      <w:lvlJc w:val="left"/>
      <w:lvlText w:val="(%2)"/>
      <w:numFmt w:val="decimal"/>
      <w:start w:val="4"/>
    </w:lvl>
  </w:abstractNum>
  <w:abstractNum w:abstractNumId="8">
    <w:nsid w:val="1F16E9E8"/>
    <w:multiLevelType w:val="hybridMultilevel"/>
    <w:lvl w:ilvl="0">
      <w:lvlJc w:val="left"/>
      <w:lvlText w:val="-"/>
      <w:numFmt w:val="bullet"/>
      <w:start w:val="1"/>
    </w:lvl>
    <w:lvl w:ilvl="1">
      <w:lvlJc w:val="left"/>
      <w:lvlText w:val="(%2)"/>
      <w:numFmt w:val="decimal"/>
      <w:start w:val="5"/>
    </w:lvl>
  </w:abstractNum>
  <w:abstractNum w:abstractNumId="9">
    <w:nsid w:val="1190CDE7"/>
    <w:multiLevelType w:val="hybridMultilevel"/>
    <w:lvl w:ilvl="0">
      <w:lvlJc w:val="left"/>
      <w:lvlText w:val="-"/>
      <w:numFmt w:val="bullet"/>
      <w:start w:val="1"/>
    </w:lvl>
    <w:lvl w:ilvl="1">
      <w:lvlJc w:val="left"/>
      <w:lvlText w:val="(%2)"/>
      <w:numFmt w:val="decimal"/>
      <w:start w:val="1"/>
    </w:lvl>
  </w:abstractNum>
  <w:abstractNum w:abstractNumId="10">
    <w:nsid w:val="66EF438D"/>
    <w:multiLevelType w:val="hybridMultilevel"/>
    <w:lvl w:ilvl="0">
      <w:lvlJc w:val="left"/>
      <w:lvlText w:val="-"/>
      <w:numFmt w:val="bullet"/>
      <w:start w:val="1"/>
    </w:lvl>
    <w:lvl w:ilvl="1">
      <w:lvlJc w:val="left"/>
      <w:lvlText w:val="(%2)"/>
      <w:numFmt w:val="decimal"/>
      <w:start w:val="2"/>
    </w:lvl>
  </w:abstractNum>
  <w:abstractNum w:abstractNumId="11">
    <w:nsid w:val="140E0F76"/>
    <w:multiLevelType w:val="hybridMultilevel"/>
    <w:lvl w:ilvl="0">
      <w:lvlJc w:val="left"/>
      <w:lvlText w:val="-"/>
      <w:numFmt w:val="bullet"/>
      <w:start w:val="1"/>
    </w:lvl>
    <w:lvl w:ilvl="1">
      <w:lvlJc w:val="left"/>
      <w:lvlText w:val="(%2)"/>
      <w:numFmt w:val="decimal"/>
      <w:start w:val="3"/>
    </w:lvl>
  </w:abstractNum>
  <w:abstractNum w:abstractNumId="12">
    <w:nsid w:val="3352255A"/>
    <w:multiLevelType w:val="hybridMultilevel"/>
    <w:lvl w:ilvl="0">
      <w:lvlJc w:val="left"/>
      <w:lvlText w:val="-"/>
      <w:numFmt w:val="bullet"/>
      <w:start w:val="1"/>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2019-12-16T11:32:07Z</dcterms:created>
  <dcterms:modified xsi:type="dcterms:W3CDTF">2019-12-16T11:32:07Z</dcterms:modified>
</cp:coreProperties>
</file>