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(Amendment No. )*</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ZAPATA COMPUTING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98906V100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980" w:hanging="324"/>
        <w:spacing w:after="0"/>
        <w:tabs>
          <w:tab w:leader="none" w:pos="98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ind w:right="240" w:firstLine="324"/>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98906V100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3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Comcast Ventures, LP</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22"/>
                <w:szCs w:val="22"/>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 0</w:t>
            </w:r>
          </w:p>
        </w:tc>
        <w:tc>
          <w:tcPr>
            <w:tcW w:w="2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260" w:type="dxa"/>
            <w:vAlign w:val="bottom"/>
            <w:tcBorders>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 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 0</w:t>
            </w:r>
          </w:p>
        </w:tc>
        <w:tc>
          <w:tcPr>
            <w:tcW w:w="2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 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4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6560" w:type="dxa"/>
            <w:vAlign w:val="bottom"/>
            <w:vMerge w:val="continue"/>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80" w:type="dxa"/>
            <w:vAlign w:val="bottom"/>
            <w:tcBorders>
              <w:right w:val="single" w:sz="8" w:color="auto"/>
            </w:tcBorders>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8.7% (</w:t>
            </w:r>
            <w:r>
              <w:rPr>
                <w:rFonts w:ascii="Times New Roman" w:cs="Times New Roman" w:eastAsia="Times New Roman" w:hAnsi="Times New Roman"/>
                <w:sz w:val="18"/>
                <w:szCs w:val="18"/>
                <w:i w:val="1"/>
                <w:iCs w:val="1"/>
                <w:color w:val="auto"/>
                <w:w w:val="99"/>
              </w:rPr>
              <w:t>See Item 4</w:t>
            </w:r>
            <w:r>
              <w:rPr>
                <w:rFonts w:ascii="Times New Roman" w:cs="Times New Roman" w:eastAsia="Times New Roman" w:hAnsi="Times New Roman"/>
                <w:sz w:val="18"/>
                <w:szCs w:val="18"/>
                <w:color w:val="auto"/>
                <w:w w:val="99"/>
              </w:rPr>
              <w:t>)</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PN</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98906V100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3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Comcast CV, L.P.</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22"/>
                <w:szCs w:val="22"/>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 0</w:t>
            </w:r>
          </w:p>
        </w:tc>
        <w:tc>
          <w:tcPr>
            <w:tcW w:w="2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260" w:type="dxa"/>
            <w:vAlign w:val="bottom"/>
            <w:tcBorders>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 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 0</w:t>
            </w:r>
          </w:p>
        </w:tc>
        <w:tc>
          <w:tcPr>
            <w:tcW w:w="2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 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4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6560" w:type="dxa"/>
            <w:vAlign w:val="bottom"/>
            <w:vMerge w:val="continue"/>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80" w:type="dxa"/>
            <w:vAlign w:val="bottom"/>
            <w:tcBorders>
              <w:right w:val="single" w:sz="8" w:color="auto"/>
            </w:tcBorders>
            <w:vMerge w:val="restart"/>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22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8.7% (</w:t>
            </w:r>
            <w:r>
              <w:rPr>
                <w:rFonts w:ascii="Times New Roman" w:cs="Times New Roman" w:eastAsia="Times New Roman" w:hAnsi="Times New Roman"/>
                <w:sz w:val="18"/>
                <w:szCs w:val="18"/>
                <w:i w:val="1"/>
                <w:iCs w:val="1"/>
                <w:color w:val="auto"/>
                <w:w w:val="99"/>
              </w:rPr>
              <w:t>See Item 4</w:t>
            </w:r>
            <w:r>
              <w:rPr>
                <w:rFonts w:ascii="Times New Roman" w:cs="Times New Roman" w:eastAsia="Times New Roman" w:hAnsi="Times New Roman"/>
                <w:sz w:val="18"/>
                <w:szCs w:val="18"/>
                <w:color w:val="auto"/>
                <w:w w:val="99"/>
              </w:rPr>
              <w:t>)</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PN</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98906V100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3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Comcast CV GP, LLC</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22"/>
                <w:szCs w:val="22"/>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 0</w:t>
            </w:r>
          </w:p>
        </w:tc>
        <w:tc>
          <w:tcPr>
            <w:tcW w:w="2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260" w:type="dxa"/>
            <w:vAlign w:val="bottom"/>
            <w:tcBorders>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 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 0</w:t>
            </w:r>
          </w:p>
        </w:tc>
        <w:tc>
          <w:tcPr>
            <w:tcW w:w="2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 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4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6560" w:type="dxa"/>
            <w:vAlign w:val="bottom"/>
            <w:vMerge w:val="continue"/>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80" w:type="dxa"/>
            <w:vAlign w:val="bottom"/>
            <w:tcBorders>
              <w:right w:val="single" w:sz="8" w:color="auto"/>
            </w:tcBorders>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8.7% (</w:t>
            </w:r>
            <w:r>
              <w:rPr>
                <w:rFonts w:ascii="Times New Roman" w:cs="Times New Roman" w:eastAsia="Times New Roman" w:hAnsi="Times New Roman"/>
                <w:sz w:val="18"/>
                <w:szCs w:val="18"/>
                <w:i w:val="1"/>
                <w:iCs w:val="1"/>
                <w:color w:val="auto"/>
                <w:w w:val="99"/>
              </w:rPr>
              <w:t>See Item 4</w:t>
            </w:r>
            <w:r>
              <w:rPr>
                <w:rFonts w:ascii="Times New Roman" w:cs="Times New Roman" w:eastAsia="Times New Roman" w:hAnsi="Times New Roman"/>
                <w:sz w:val="18"/>
                <w:szCs w:val="18"/>
                <w:color w:val="auto"/>
                <w:w w:val="99"/>
              </w:rPr>
              <w:t>)</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98906V100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3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Comcast Holdings Corporation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22"/>
                <w:szCs w:val="22"/>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 0</w:t>
            </w:r>
          </w:p>
        </w:tc>
        <w:tc>
          <w:tcPr>
            <w:tcW w:w="2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260" w:type="dxa"/>
            <w:vAlign w:val="bottom"/>
            <w:tcBorders>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 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 0</w:t>
            </w:r>
          </w:p>
        </w:tc>
        <w:tc>
          <w:tcPr>
            <w:tcW w:w="2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 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4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6560" w:type="dxa"/>
            <w:vAlign w:val="bottom"/>
            <w:vMerge w:val="continue"/>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80" w:type="dxa"/>
            <w:vAlign w:val="bottom"/>
            <w:tcBorders>
              <w:right w:val="single" w:sz="8" w:color="auto"/>
            </w:tcBorders>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8.7% (</w:t>
            </w:r>
            <w:r>
              <w:rPr>
                <w:rFonts w:ascii="Times New Roman" w:cs="Times New Roman" w:eastAsia="Times New Roman" w:hAnsi="Times New Roman"/>
                <w:sz w:val="18"/>
                <w:szCs w:val="18"/>
                <w:i w:val="1"/>
                <w:iCs w:val="1"/>
                <w:color w:val="auto"/>
                <w:w w:val="99"/>
              </w:rPr>
              <w:t>See Item 4</w:t>
            </w:r>
            <w:r>
              <w:rPr>
                <w:rFonts w:ascii="Times New Roman" w:cs="Times New Roman" w:eastAsia="Times New Roman" w:hAnsi="Times New Roman"/>
                <w:sz w:val="18"/>
                <w:szCs w:val="18"/>
                <w:color w:val="auto"/>
                <w:w w:val="99"/>
              </w:rPr>
              <w:t>)</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98906V100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83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Comcast Corporation</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ind w:left="1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22"/>
                <w:szCs w:val="22"/>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 0</w:t>
            </w:r>
          </w:p>
        </w:tc>
        <w:tc>
          <w:tcPr>
            <w:tcW w:w="2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260" w:type="dxa"/>
            <w:vAlign w:val="bottom"/>
            <w:tcBorders>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 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 0</w:t>
            </w:r>
          </w:p>
        </w:tc>
        <w:tc>
          <w:tcPr>
            <w:tcW w:w="2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Pr>
          <w:p>
            <w:pPr>
              <w:spacing w:after="0"/>
              <w:rPr>
                <w:sz w:val="18"/>
                <w:szCs w:val="18"/>
                <w:color w:val="auto"/>
              </w:rPr>
            </w:pPr>
          </w:p>
        </w:tc>
        <w:tc>
          <w:tcPr>
            <w:tcW w:w="440" w:type="dxa"/>
            <w:vAlign w:val="bottom"/>
            <w:tcBorders>
              <w:right w:val="single" w:sz="8" w:color="auto"/>
            </w:tcBorders>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 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2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4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6560" w:type="dxa"/>
            <w:vAlign w:val="bottom"/>
            <w:vMerge w:val="continue"/>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2,527,327 (</w:t>
            </w:r>
            <w:r>
              <w:rPr>
                <w:rFonts w:ascii="Times New Roman" w:cs="Times New Roman" w:eastAsia="Times New Roman" w:hAnsi="Times New Roman"/>
                <w:sz w:val="18"/>
                <w:szCs w:val="18"/>
                <w:i w:val="1"/>
                <w:iCs w:val="1"/>
                <w:color w:val="auto"/>
              </w:rPr>
              <w:t>See Item 4</w:t>
            </w:r>
            <w:r>
              <w:rPr>
                <w:rFonts w:ascii="Times New Roman" w:cs="Times New Roman" w:eastAsia="Times New Roman" w:hAnsi="Times New Roman"/>
                <w:sz w:val="18"/>
                <w:szCs w:val="18"/>
                <w:color w:val="auto"/>
              </w:rPr>
              <w:t>)</w:t>
            </w: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80" w:type="dxa"/>
            <w:vAlign w:val="bottom"/>
            <w:tcBorders>
              <w:right w:val="single" w:sz="8" w:color="auto"/>
            </w:tcBorders>
            <w:vMerge w:val="restart"/>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22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8.7% (</w:t>
            </w:r>
            <w:r>
              <w:rPr>
                <w:rFonts w:ascii="Times New Roman" w:cs="Times New Roman" w:eastAsia="Times New Roman" w:hAnsi="Times New Roman"/>
                <w:sz w:val="18"/>
                <w:szCs w:val="18"/>
                <w:i w:val="1"/>
                <w:iCs w:val="1"/>
                <w:color w:val="auto"/>
                <w:w w:val="99"/>
              </w:rPr>
              <w:t>See Item 4</w:t>
            </w:r>
            <w:r>
              <w:rPr>
                <w:rFonts w:ascii="Times New Roman" w:cs="Times New Roman" w:eastAsia="Times New Roman" w:hAnsi="Times New Roman"/>
                <w:sz w:val="18"/>
                <w:szCs w:val="18"/>
                <w:color w:val="auto"/>
                <w:w w:val="99"/>
              </w:rPr>
              <w:t>)</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36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4"/>
                <w:szCs w:val="24"/>
                <w:color w:val="auto"/>
              </w:rPr>
            </w:pPr>
          </w:p>
        </w:tc>
        <w:tc>
          <w:tcPr>
            <w:tcW w:w="8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0" w:right="339" w:bottom="1440" w:gutter="0" w:footer="0" w:header="0"/>
        </w:sectPr>
      </w:pPr>
    </w:p>
    <w:bookmarkStart w:id="6" w:name="page7"/>
    <w:bookmarkEnd w:id="6"/>
    <w:p>
      <w:pPr>
        <w:ind w:left="4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Zapata Computing Holdings Inc. (the “Issuer”)</w:t>
      </w:r>
    </w:p>
    <w:p>
      <w:pPr>
        <w:spacing w:after="0" w:line="221" w:lineRule="exact"/>
        <w:rPr>
          <w:sz w:val="20"/>
          <w:szCs w:val="20"/>
          <w:color w:val="auto"/>
        </w:rPr>
      </w:pPr>
    </w:p>
    <w:p>
      <w:pPr>
        <w:ind w:left="1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100 Federal Street, Floor 20, Boston, MA 02110</w:t>
      </w:r>
    </w:p>
    <w:p>
      <w:pPr>
        <w:spacing w:after="0" w:line="221" w:lineRule="exact"/>
        <w:rPr>
          <w:sz w:val="20"/>
          <w:szCs w:val="20"/>
          <w:color w:val="auto"/>
        </w:rPr>
      </w:pPr>
    </w:p>
    <w:p>
      <w:pPr>
        <w:ind w:left="2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2(a).</w:t>
        <w:tab/>
        <w:t>Name of Reporting Persons:</w:t>
      </w:r>
    </w:p>
    <w:p>
      <w:pPr>
        <w:spacing w:after="0" w:line="25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Ventures, LP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CV, L.P.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CV GP, LLC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Holdings Corporation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Comcast Ventures, LP is the direct holder of 2,527,327 shares of the Issuer’s Common Stock. Comcast CV GP, LLC is the general partner of Comcast Ventures, LP, and, together with Comcast CV, L.P., directly owns all of the interests in Comcast Ventures, LP. Comcast CV GP, LLC is also the general partner of Comcast CV, L.P., and together with Comcast Holdings Corporation, directly owns all of the interests in Comcast CV, L.P. Comcast Holdings Corporation directly owns all of the membership interests in Comcast CV GP, LLC and is a direct, wholly-owned subsidiary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all Reporting Persons, c/o Comcast Corporation, One Comcast Center, 1701 John F. Kennedy Boulevard, Philadelphia, Pennsylvania 19103-2838.</w:t>
      </w:r>
    </w:p>
    <w:p>
      <w:pPr>
        <w:spacing w:after="0" w:line="221"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5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Ventures, LP, Comcast CV, L.P. and Comcast CV GP, LLC: Delaware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Holdings Corporation and Comcast Corporation: Pennsylvania</w:t>
      </w:r>
    </w:p>
    <w:p>
      <w:pPr>
        <w:spacing w:after="0" w:line="248" w:lineRule="exact"/>
        <w:rPr>
          <w:sz w:val="20"/>
          <w:szCs w:val="20"/>
          <w:color w:val="auto"/>
        </w:rPr>
      </w:pPr>
    </w:p>
    <w:p>
      <w:pPr>
        <w:ind w:left="2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Common Stock, par value $0.0001</w:t>
      </w:r>
    </w:p>
    <w:p>
      <w:pPr>
        <w:spacing w:after="0" w:line="221"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98906V100</w:t>
      </w:r>
    </w:p>
    <w:p>
      <w:pPr>
        <w:spacing w:after="0" w:line="221"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215" w:lineRule="exact"/>
        <w:rPr>
          <w:sz w:val="20"/>
          <w:szCs w:val="20"/>
          <w:color w:val="auto"/>
        </w:rPr>
      </w:pPr>
    </w:p>
    <w:p>
      <w:pPr>
        <w:ind w:left="780" w:hanging="588"/>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780" w:hanging="593"/>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780" w:hanging="588"/>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780" w:hanging="593"/>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780" w:hanging="588"/>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780" w:hanging="578"/>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780" w:hanging="593"/>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780" w:hanging="593"/>
        <w:spacing w:after="0" w:line="207" w:lineRule="exact"/>
        <w:tabs>
          <w:tab w:leader="none" w:pos="7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25" w:lineRule="exact"/>
        <w:rPr>
          <w:sz w:val="20"/>
          <w:szCs w:val="20"/>
          <w:color w:val="auto"/>
        </w:rPr>
      </w:pPr>
    </w:p>
    <w:p>
      <w:pPr>
        <w:ind w:left="1140" w:right="360" w:hanging="934"/>
        <w:spacing w:after="0" w:line="245" w:lineRule="exact"/>
        <w:tabs>
          <w:tab w:leader="none" w:pos="775"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780" w:hanging="574"/>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289" w:lineRule="exact"/>
        <w:rPr>
          <w:sz w:val="20"/>
          <w:szCs w:val="20"/>
          <w:color w:val="auto"/>
        </w:rPr>
      </w:pPr>
    </w:p>
    <w:p>
      <w:pPr>
        <w:ind w:left="58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requested in this item is incorporated herein by reference to the cover pages to this Schedule 13G.</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Calculations are based on information from the Issuer that 29,092,879 shares of Common Stock of the Issuer were outstanding as of March 28, 2024 following the business combination effected on March 28, 2024, between Andretti Acquisition Corp. (“AAC”), Tigre Merger Sub, Inc. (“Merger Sub”), a wholly owned subsidiary of AAC, and Zapata Computing, Inc. (“Zapata”), through the merger of Merger Sub with and into Zapata, with Zapata surviving the merger as a wholly owned subsidiary of AAC (the “Business Combination”). In connection with the Business Combination, AAC changed its name to Zapata Computing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ind w:left="1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58" w:lineRule="exact"/>
        <w:rPr>
          <w:sz w:val="20"/>
          <w:szCs w:val="20"/>
          <w:color w:val="auto"/>
        </w:rPr>
      </w:pPr>
    </w:p>
    <w:p>
      <w:pPr>
        <w:ind w:left="1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9" w:name="page10"/>
    <w:bookmarkEnd w:id="9"/>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jc w:val="right"/>
        <w:spacing w:after="0"/>
        <w:tabs>
          <w:tab w:leader="none" w:pos="4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Senior Deputy General Counsel and</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jc w:val="right"/>
        <w:spacing w:after="0"/>
        <w:tabs>
          <w:tab w:leader="none" w:pos="4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Senior Deputy General Counsel and</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CV GP, LLC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Derek H.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Derek H. Squire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General Counsel and Secretary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CV, L.P.</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Comcast CV GP, LLC, its general partner</w:t>
      </w:r>
    </w:p>
    <w:p>
      <w:pPr>
        <w:spacing w:after="0" w:line="2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Derek H.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Name: Derek H. Squire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General Counsel and Secretary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VENTURES, LP</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Comcast CV GP, LLC, its general partner</w:t>
      </w:r>
    </w:p>
    <w:p>
      <w:pPr>
        <w:spacing w:after="0" w:line="2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Derek H.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Name: Derek H. Squire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320" w:top="536" w:right="6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Senior Deputy General Counsel and</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Senior Deputy General Counsel and</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CV GP, LLC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Derek H.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Derek H. Squire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General Counsel and Secretary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CV, L.P.</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Comcast CV GP, LLC, its general partner</w:t>
      </w:r>
    </w:p>
    <w:p>
      <w:pPr>
        <w:spacing w:after="0" w:line="2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Derek H.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Name: Derek H. Squire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General Counsel and Secretary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VENTURES, LP</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Comcast CV GP, LLC, its general partner</w:t>
      </w:r>
    </w:p>
    <w:p>
      <w:pPr>
        <w:spacing w:after="0" w:line="2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Derek H.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Name: Derek H. Squire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2024-04-01T15:32:39Z</dcterms:created>
  <dcterms:modified xsi:type="dcterms:W3CDTF">2024-04-01T15:32:39Z</dcterms:modified>
</cp:coreProperties>
</file>